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ABE54" w14:textId="2CE7ADA7" w:rsidR="00B91F3E" w:rsidRPr="00745005" w:rsidRDefault="003C4CC6" w:rsidP="00745005">
      <w:pPr>
        <w:pStyle w:val="PartHeading"/>
      </w:pPr>
      <w:r>
        <w:t>Department</w:t>
      </w:r>
      <w:r w:rsidR="00B91F3E" w:rsidRPr="00745005">
        <w:t xml:space="preserve"> of Infrastructure, Transport, Regional Development and Communications</w:t>
      </w:r>
    </w:p>
    <w:p w14:paraId="6F74493F" w14:textId="77777777" w:rsidR="00B91F3E" w:rsidRPr="00745005" w:rsidRDefault="00B91F3E" w:rsidP="00745005">
      <w:pPr>
        <w:pStyle w:val="PartHeading"/>
      </w:pPr>
    </w:p>
    <w:p w14:paraId="5B2AE095" w14:textId="77777777" w:rsidR="00B91F3E" w:rsidRPr="00745005" w:rsidRDefault="00B91F3E" w:rsidP="00745005">
      <w:pPr>
        <w:pStyle w:val="PartHeading"/>
      </w:pPr>
    </w:p>
    <w:p w14:paraId="16F6A726" w14:textId="77777777" w:rsidR="00B91F3E" w:rsidRPr="00745005" w:rsidRDefault="00B91F3E" w:rsidP="00745005">
      <w:pPr>
        <w:pStyle w:val="PartHeading"/>
      </w:pPr>
      <w:r w:rsidRPr="00745005">
        <w:t>Entity resources and planned performance</w:t>
      </w:r>
    </w:p>
    <w:p w14:paraId="0F770951" w14:textId="39C484E1" w:rsidR="00CA4F9B" w:rsidRDefault="00CA4F9B">
      <w:pPr>
        <w:spacing w:after="0" w:line="240" w:lineRule="auto"/>
        <w:jc w:val="left"/>
        <w:rPr>
          <w:rFonts w:ascii="Arial Bold" w:hAnsi="Arial Bold" w:cs="Arial"/>
          <w:b/>
          <w:bCs/>
          <w:kern w:val="28"/>
          <w:sz w:val="52"/>
          <w:szCs w:val="32"/>
        </w:rPr>
      </w:pPr>
      <w:r>
        <w:br w:type="page"/>
      </w:r>
    </w:p>
    <w:p w14:paraId="432A7FA8" w14:textId="77777777" w:rsidR="00B91F3E" w:rsidRDefault="00B91F3E" w:rsidP="00B91F3E">
      <w:pPr>
        <w:pStyle w:val="PartHeading"/>
        <w:sectPr w:rsidR="00B91F3E" w:rsidSect="00B91F3E">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64AD17DA" w14:textId="7504F5F1" w:rsidR="00B91F3E" w:rsidRPr="002A32FD" w:rsidRDefault="003C4CC6" w:rsidP="00B91F3E">
      <w:pPr>
        <w:pStyle w:val="ContentsHeading"/>
      </w:pPr>
      <w:r>
        <w:lastRenderedPageBreak/>
        <w:t>Department</w:t>
      </w:r>
      <w:r w:rsidR="00B91F3E">
        <w:t xml:space="preserve"> of </w:t>
      </w:r>
      <w:r w:rsidR="00B91F3E" w:rsidRPr="00195C74">
        <w:t>Infrastructure, Transport, Regional Development and Communications</w:t>
      </w:r>
    </w:p>
    <w:p w14:paraId="56A9EC7E" w14:textId="1DF2E525" w:rsidR="00C5325F" w:rsidRDefault="00C000B8">
      <w:pPr>
        <w:pStyle w:val="TOC1"/>
        <w:rPr>
          <w:rFonts w:asciiTheme="minorHAnsi" w:eastAsiaTheme="minorEastAsia" w:hAnsiTheme="minorHAnsi" w:cstheme="minorBidi"/>
          <w:b w:val="0"/>
          <w:caps w:val="0"/>
          <w:noProof/>
          <w:sz w:val="22"/>
          <w:szCs w:val="22"/>
        </w:rPr>
      </w:pPr>
      <w:r>
        <w:fldChar w:fldCharType="begin"/>
      </w:r>
      <w:r>
        <w:instrText xml:space="preserve"> TOC \h \z \t "Heading 2 - DITRDC,1,Heading 3 - DITRDC,2" </w:instrText>
      </w:r>
      <w:r>
        <w:fldChar w:fldCharType="separate"/>
      </w:r>
      <w:hyperlink w:anchor="_Toc99295943" w:history="1">
        <w:r w:rsidR="00C5325F" w:rsidRPr="00B21BB0">
          <w:rPr>
            <w:rStyle w:val="Hyperlink"/>
            <w:noProof/>
          </w:rPr>
          <w:t>Section 1: Entity overview and resources</w:t>
        </w:r>
        <w:r w:rsidR="00C5325F">
          <w:rPr>
            <w:noProof/>
            <w:webHidden/>
          </w:rPr>
          <w:tab/>
        </w:r>
        <w:r w:rsidR="00C5325F">
          <w:rPr>
            <w:noProof/>
            <w:webHidden/>
          </w:rPr>
          <w:fldChar w:fldCharType="begin"/>
        </w:r>
        <w:r w:rsidR="00C5325F">
          <w:rPr>
            <w:noProof/>
            <w:webHidden/>
          </w:rPr>
          <w:instrText xml:space="preserve"> PAGEREF _Toc99295943 \h </w:instrText>
        </w:r>
        <w:r w:rsidR="00C5325F">
          <w:rPr>
            <w:noProof/>
            <w:webHidden/>
          </w:rPr>
        </w:r>
        <w:r w:rsidR="00C5325F">
          <w:rPr>
            <w:noProof/>
            <w:webHidden/>
          </w:rPr>
          <w:fldChar w:fldCharType="separate"/>
        </w:r>
        <w:r w:rsidR="00C5325F">
          <w:rPr>
            <w:noProof/>
            <w:webHidden/>
          </w:rPr>
          <w:t>21</w:t>
        </w:r>
        <w:r w:rsidR="00C5325F">
          <w:rPr>
            <w:noProof/>
            <w:webHidden/>
          </w:rPr>
          <w:fldChar w:fldCharType="end"/>
        </w:r>
      </w:hyperlink>
    </w:p>
    <w:p w14:paraId="4FE27690" w14:textId="30944288" w:rsidR="00C5325F" w:rsidRDefault="00C5325F">
      <w:pPr>
        <w:pStyle w:val="TOC2"/>
        <w:tabs>
          <w:tab w:val="left" w:pos="800"/>
        </w:tabs>
        <w:rPr>
          <w:rFonts w:asciiTheme="minorHAnsi" w:eastAsiaTheme="minorEastAsia" w:hAnsiTheme="minorHAnsi" w:cstheme="minorBidi"/>
          <w:noProof/>
          <w:sz w:val="22"/>
          <w:szCs w:val="22"/>
        </w:rPr>
      </w:pPr>
      <w:hyperlink w:anchor="_Toc99295944" w:history="1">
        <w:r w:rsidRPr="00B21BB0">
          <w:rPr>
            <w:rStyle w:val="Hyperlink"/>
            <w:noProof/>
          </w:rPr>
          <w:t>1.1</w:t>
        </w:r>
        <w:r>
          <w:rPr>
            <w:rFonts w:asciiTheme="minorHAnsi" w:eastAsiaTheme="minorEastAsia" w:hAnsiTheme="minorHAnsi" w:cstheme="minorBidi"/>
            <w:noProof/>
            <w:sz w:val="22"/>
            <w:szCs w:val="22"/>
          </w:rPr>
          <w:tab/>
        </w:r>
        <w:r w:rsidRPr="00B21BB0">
          <w:rPr>
            <w:rStyle w:val="Hyperlink"/>
            <w:noProof/>
          </w:rPr>
          <w:t>Strategic direction statement</w:t>
        </w:r>
        <w:r>
          <w:rPr>
            <w:noProof/>
            <w:webHidden/>
          </w:rPr>
          <w:tab/>
        </w:r>
        <w:r>
          <w:rPr>
            <w:noProof/>
            <w:webHidden/>
          </w:rPr>
          <w:fldChar w:fldCharType="begin"/>
        </w:r>
        <w:r>
          <w:rPr>
            <w:noProof/>
            <w:webHidden/>
          </w:rPr>
          <w:instrText xml:space="preserve"> PAGEREF _Toc99295944 \h </w:instrText>
        </w:r>
        <w:r>
          <w:rPr>
            <w:noProof/>
            <w:webHidden/>
          </w:rPr>
        </w:r>
        <w:r>
          <w:rPr>
            <w:noProof/>
            <w:webHidden/>
          </w:rPr>
          <w:fldChar w:fldCharType="separate"/>
        </w:r>
        <w:r>
          <w:rPr>
            <w:noProof/>
            <w:webHidden/>
          </w:rPr>
          <w:t>21</w:t>
        </w:r>
        <w:r>
          <w:rPr>
            <w:noProof/>
            <w:webHidden/>
          </w:rPr>
          <w:fldChar w:fldCharType="end"/>
        </w:r>
      </w:hyperlink>
    </w:p>
    <w:p w14:paraId="3DEB5585" w14:textId="701A285B" w:rsidR="00C5325F" w:rsidRDefault="00C5325F">
      <w:pPr>
        <w:pStyle w:val="TOC2"/>
        <w:tabs>
          <w:tab w:val="left" w:pos="800"/>
        </w:tabs>
        <w:rPr>
          <w:rFonts w:asciiTheme="minorHAnsi" w:eastAsiaTheme="minorEastAsia" w:hAnsiTheme="minorHAnsi" w:cstheme="minorBidi"/>
          <w:noProof/>
          <w:sz w:val="22"/>
          <w:szCs w:val="22"/>
        </w:rPr>
      </w:pPr>
      <w:hyperlink w:anchor="_Toc99295945" w:history="1">
        <w:r w:rsidRPr="00B21BB0">
          <w:rPr>
            <w:rStyle w:val="Hyperlink"/>
            <w:noProof/>
          </w:rPr>
          <w:t>1.2</w:t>
        </w:r>
        <w:r>
          <w:rPr>
            <w:rFonts w:asciiTheme="minorHAnsi" w:eastAsiaTheme="minorEastAsia" w:hAnsiTheme="minorHAnsi" w:cstheme="minorBidi"/>
            <w:noProof/>
            <w:sz w:val="22"/>
            <w:szCs w:val="22"/>
          </w:rPr>
          <w:tab/>
        </w:r>
        <w:r w:rsidRPr="00B21BB0">
          <w:rPr>
            <w:rStyle w:val="Hyperlink"/>
            <w:noProof/>
          </w:rPr>
          <w:t>Entity resource statement</w:t>
        </w:r>
        <w:r>
          <w:rPr>
            <w:noProof/>
            <w:webHidden/>
          </w:rPr>
          <w:tab/>
        </w:r>
        <w:r>
          <w:rPr>
            <w:noProof/>
            <w:webHidden/>
          </w:rPr>
          <w:fldChar w:fldCharType="begin"/>
        </w:r>
        <w:r>
          <w:rPr>
            <w:noProof/>
            <w:webHidden/>
          </w:rPr>
          <w:instrText xml:space="preserve"> PAGEREF _Toc99295945 \h </w:instrText>
        </w:r>
        <w:r>
          <w:rPr>
            <w:noProof/>
            <w:webHidden/>
          </w:rPr>
        </w:r>
        <w:r>
          <w:rPr>
            <w:noProof/>
            <w:webHidden/>
          </w:rPr>
          <w:fldChar w:fldCharType="separate"/>
        </w:r>
        <w:r>
          <w:rPr>
            <w:noProof/>
            <w:webHidden/>
          </w:rPr>
          <w:t>23</w:t>
        </w:r>
        <w:r>
          <w:rPr>
            <w:noProof/>
            <w:webHidden/>
          </w:rPr>
          <w:fldChar w:fldCharType="end"/>
        </w:r>
      </w:hyperlink>
    </w:p>
    <w:p w14:paraId="083C95AE" w14:textId="05B3049B" w:rsidR="00C5325F" w:rsidRDefault="00C5325F">
      <w:pPr>
        <w:pStyle w:val="TOC2"/>
        <w:tabs>
          <w:tab w:val="left" w:pos="800"/>
        </w:tabs>
        <w:rPr>
          <w:rFonts w:asciiTheme="minorHAnsi" w:eastAsiaTheme="minorEastAsia" w:hAnsiTheme="minorHAnsi" w:cstheme="minorBidi"/>
          <w:noProof/>
          <w:sz w:val="22"/>
          <w:szCs w:val="22"/>
        </w:rPr>
      </w:pPr>
      <w:hyperlink w:anchor="_Toc99295946" w:history="1">
        <w:r w:rsidRPr="00B21BB0">
          <w:rPr>
            <w:rStyle w:val="Hyperlink"/>
            <w:noProof/>
          </w:rPr>
          <w:t>1.3</w:t>
        </w:r>
        <w:r>
          <w:rPr>
            <w:rFonts w:asciiTheme="minorHAnsi" w:eastAsiaTheme="minorEastAsia" w:hAnsiTheme="minorHAnsi" w:cstheme="minorBidi"/>
            <w:noProof/>
            <w:sz w:val="22"/>
            <w:szCs w:val="22"/>
          </w:rPr>
          <w:tab/>
        </w:r>
        <w:r w:rsidRPr="00B21BB0">
          <w:rPr>
            <w:rStyle w:val="Hyperlink"/>
            <w:noProof/>
          </w:rPr>
          <w:t>Budget measures</w:t>
        </w:r>
        <w:r>
          <w:rPr>
            <w:noProof/>
            <w:webHidden/>
          </w:rPr>
          <w:tab/>
        </w:r>
        <w:r>
          <w:rPr>
            <w:noProof/>
            <w:webHidden/>
          </w:rPr>
          <w:fldChar w:fldCharType="begin"/>
        </w:r>
        <w:r>
          <w:rPr>
            <w:noProof/>
            <w:webHidden/>
          </w:rPr>
          <w:instrText xml:space="preserve"> PAGEREF _Toc99295946 \h </w:instrText>
        </w:r>
        <w:r>
          <w:rPr>
            <w:noProof/>
            <w:webHidden/>
          </w:rPr>
        </w:r>
        <w:r>
          <w:rPr>
            <w:noProof/>
            <w:webHidden/>
          </w:rPr>
          <w:fldChar w:fldCharType="separate"/>
        </w:r>
        <w:r>
          <w:rPr>
            <w:noProof/>
            <w:webHidden/>
          </w:rPr>
          <w:t>27</w:t>
        </w:r>
        <w:r>
          <w:rPr>
            <w:noProof/>
            <w:webHidden/>
          </w:rPr>
          <w:fldChar w:fldCharType="end"/>
        </w:r>
      </w:hyperlink>
    </w:p>
    <w:p w14:paraId="1746D6D5" w14:textId="74C7B507" w:rsidR="00C5325F" w:rsidRDefault="00C5325F">
      <w:pPr>
        <w:pStyle w:val="TOC1"/>
        <w:rPr>
          <w:rFonts w:asciiTheme="minorHAnsi" w:eastAsiaTheme="minorEastAsia" w:hAnsiTheme="minorHAnsi" w:cstheme="minorBidi"/>
          <w:b w:val="0"/>
          <w:caps w:val="0"/>
          <w:noProof/>
          <w:sz w:val="22"/>
          <w:szCs w:val="22"/>
        </w:rPr>
      </w:pPr>
      <w:hyperlink w:anchor="_Toc99295947" w:history="1">
        <w:r w:rsidRPr="00B21BB0">
          <w:rPr>
            <w:rStyle w:val="Hyperlink"/>
            <w:noProof/>
          </w:rPr>
          <w:t>Section 2: Outcomes and planned performance</w:t>
        </w:r>
        <w:r>
          <w:rPr>
            <w:noProof/>
            <w:webHidden/>
          </w:rPr>
          <w:tab/>
        </w:r>
        <w:r>
          <w:rPr>
            <w:noProof/>
            <w:webHidden/>
          </w:rPr>
          <w:fldChar w:fldCharType="begin"/>
        </w:r>
        <w:r>
          <w:rPr>
            <w:noProof/>
            <w:webHidden/>
          </w:rPr>
          <w:instrText xml:space="preserve"> PAGEREF _Toc99295947 \h </w:instrText>
        </w:r>
        <w:r>
          <w:rPr>
            <w:noProof/>
            <w:webHidden/>
          </w:rPr>
        </w:r>
        <w:r>
          <w:rPr>
            <w:noProof/>
            <w:webHidden/>
          </w:rPr>
          <w:fldChar w:fldCharType="separate"/>
        </w:r>
        <w:r>
          <w:rPr>
            <w:noProof/>
            <w:webHidden/>
          </w:rPr>
          <w:t>31</w:t>
        </w:r>
        <w:r>
          <w:rPr>
            <w:noProof/>
            <w:webHidden/>
          </w:rPr>
          <w:fldChar w:fldCharType="end"/>
        </w:r>
      </w:hyperlink>
    </w:p>
    <w:p w14:paraId="13AC59B6" w14:textId="31F9840A" w:rsidR="00C5325F" w:rsidRDefault="00C5325F">
      <w:pPr>
        <w:pStyle w:val="TOC2"/>
        <w:tabs>
          <w:tab w:val="left" w:pos="800"/>
        </w:tabs>
        <w:rPr>
          <w:rFonts w:asciiTheme="minorHAnsi" w:eastAsiaTheme="minorEastAsia" w:hAnsiTheme="minorHAnsi" w:cstheme="minorBidi"/>
          <w:noProof/>
          <w:sz w:val="22"/>
          <w:szCs w:val="22"/>
        </w:rPr>
      </w:pPr>
      <w:hyperlink w:anchor="_Toc99295948" w:history="1">
        <w:r w:rsidRPr="00B21BB0">
          <w:rPr>
            <w:rStyle w:val="Hyperlink"/>
            <w:noProof/>
          </w:rPr>
          <w:t xml:space="preserve">2.1 </w:t>
        </w:r>
        <w:r>
          <w:rPr>
            <w:rFonts w:asciiTheme="minorHAnsi" w:eastAsiaTheme="minorEastAsia" w:hAnsiTheme="minorHAnsi" w:cstheme="minorBidi"/>
            <w:noProof/>
            <w:sz w:val="22"/>
            <w:szCs w:val="22"/>
          </w:rPr>
          <w:tab/>
        </w:r>
        <w:r w:rsidRPr="00B21BB0">
          <w:rPr>
            <w:rStyle w:val="Hyperlink"/>
            <w:noProof/>
          </w:rPr>
          <w:t>Budgeted expenses and performance for Outcome 1</w:t>
        </w:r>
        <w:r>
          <w:rPr>
            <w:noProof/>
            <w:webHidden/>
          </w:rPr>
          <w:tab/>
        </w:r>
        <w:r>
          <w:rPr>
            <w:noProof/>
            <w:webHidden/>
          </w:rPr>
          <w:fldChar w:fldCharType="begin"/>
        </w:r>
        <w:r>
          <w:rPr>
            <w:noProof/>
            <w:webHidden/>
          </w:rPr>
          <w:instrText xml:space="preserve"> PAGEREF _Toc99295948 \h </w:instrText>
        </w:r>
        <w:r>
          <w:rPr>
            <w:noProof/>
            <w:webHidden/>
          </w:rPr>
        </w:r>
        <w:r>
          <w:rPr>
            <w:noProof/>
            <w:webHidden/>
          </w:rPr>
          <w:fldChar w:fldCharType="separate"/>
        </w:r>
        <w:r>
          <w:rPr>
            <w:noProof/>
            <w:webHidden/>
          </w:rPr>
          <w:t>32</w:t>
        </w:r>
        <w:r>
          <w:rPr>
            <w:noProof/>
            <w:webHidden/>
          </w:rPr>
          <w:fldChar w:fldCharType="end"/>
        </w:r>
      </w:hyperlink>
    </w:p>
    <w:p w14:paraId="55FA54A9" w14:textId="1D3F501C" w:rsidR="00C5325F" w:rsidRDefault="00C5325F">
      <w:pPr>
        <w:pStyle w:val="TOC2"/>
        <w:tabs>
          <w:tab w:val="left" w:pos="800"/>
        </w:tabs>
        <w:rPr>
          <w:rFonts w:asciiTheme="minorHAnsi" w:eastAsiaTheme="minorEastAsia" w:hAnsiTheme="minorHAnsi" w:cstheme="minorBidi"/>
          <w:noProof/>
          <w:sz w:val="22"/>
          <w:szCs w:val="22"/>
        </w:rPr>
      </w:pPr>
      <w:hyperlink w:anchor="_Toc99295949" w:history="1">
        <w:r w:rsidRPr="00B21BB0">
          <w:rPr>
            <w:rStyle w:val="Hyperlink"/>
            <w:noProof/>
          </w:rPr>
          <w:t xml:space="preserve">2.2 </w:t>
        </w:r>
        <w:r>
          <w:rPr>
            <w:rFonts w:asciiTheme="minorHAnsi" w:eastAsiaTheme="minorEastAsia" w:hAnsiTheme="minorHAnsi" w:cstheme="minorBidi"/>
            <w:noProof/>
            <w:sz w:val="22"/>
            <w:szCs w:val="22"/>
          </w:rPr>
          <w:tab/>
        </w:r>
        <w:r w:rsidRPr="00B21BB0">
          <w:rPr>
            <w:rStyle w:val="Hyperlink"/>
            <w:noProof/>
          </w:rPr>
          <w:t>Budgeted expenses and performance for Outcome 2</w:t>
        </w:r>
        <w:r>
          <w:rPr>
            <w:noProof/>
            <w:webHidden/>
          </w:rPr>
          <w:tab/>
        </w:r>
        <w:r>
          <w:rPr>
            <w:noProof/>
            <w:webHidden/>
          </w:rPr>
          <w:fldChar w:fldCharType="begin"/>
        </w:r>
        <w:r>
          <w:rPr>
            <w:noProof/>
            <w:webHidden/>
          </w:rPr>
          <w:instrText xml:space="preserve"> PAGEREF _Toc99295949 \h </w:instrText>
        </w:r>
        <w:r>
          <w:rPr>
            <w:noProof/>
            <w:webHidden/>
          </w:rPr>
        </w:r>
        <w:r>
          <w:rPr>
            <w:noProof/>
            <w:webHidden/>
          </w:rPr>
          <w:fldChar w:fldCharType="separate"/>
        </w:r>
        <w:r>
          <w:rPr>
            <w:noProof/>
            <w:webHidden/>
          </w:rPr>
          <w:t>39</w:t>
        </w:r>
        <w:r>
          <w:rPr>
            <w:noProof/>
            <w:webHidden/>
          </w:rPr>
          <w:fldChar w:fldCharType="end"/>
        </w:r>
      </w:hyperlink>
    </w:p>
    <w:p w14:paraId="7F8EC469" w14:textId="7B4F53B6" w:rsidR="00C5325F" w:rsidRDefault="00C5325F">
      <w:pPr>
        <w:pStyle w:val="TOC2"/>
        <w:tabs>
          <w:tab w:val="left" w:pos="800"/>
        </w:tabs>
        <w:rPr>
          <w:rFonts w:asciiTheme="minorHAnsi" w:eastAsiaTheme="minorEastAsia" w:hAnsiTheme="minorHAnsi" w:cstheme="minorBidi"/>
          <w:noProof/>
          <w:sz w:val="22"/>
          <w:szCs w:val="22"/>
        </w:rPr>
      </w:pPr>
      <w:hyperlink w:anchor="_Toc99295950" w:history="1">
        <w:r w:rsidRPr="00B21BB0">
          <w:rPr>
            <w:rStyle w:val="Hyperlink"/>
            <w:noProof/>
          </w:rPr>
          <w:t xml:space="preserve">2.3 </w:t>
        </w:r>
        <w:r>
          <w:rPr>
            <w:rFonts w:asciiTheme="minorHAnsi" w:eastAsiaTheme="minorEastAsia" w:hAnsiTheme="minorHAnsi" w:cstheme="minorBidi"/>
            <w:noProof/>
            <w:sz w:val="22"/>
            <w:szCs w:val="22"/>
          </w:rPr>
          <w:tab/>
        </w:r>
        <w:r w:rsidRPr="00B21BB0">
          <w:rPr>
            <w:rStyle w:val="Hyperlink"/>
            <w:noProof/>
          </w:rPr>
          <w:t>Budgeted expenses and performance for Outcome 3</w:t>
        </w:r>
        <w:r>
          <w:rPr>
            <w:noProof/>
            <w:webHidden/>
          </w:rPr>
          <w:tab/>
        </w:r>
        <w:r>
          <w:rPr>
            <w:noProof/>
            <w:webHidden/>
          </w:rPr>
          <w:fldChar w:fldCharType="begin"/>
        </w:r>
        <w:r>
          <w:rPr>
            <w:noProof/>
            <w:webHidden/>
          </w:rPr>
          <w:instrText xml:space="preserve"> PAGEREF _Toc99295950 \h </w:instrText>
        </w:r>
        <w:r>
          <w:rPr>
            <w:noProof/>
            <w:webHidden/>
          </w:rPr>
        </w:r>
        <w:r>
          <w:rPr>
            <w:noProof/>
            <w:webHidden/>
          </w:rPr>
          <w:fldChar w:fldCharType="separate"/>
        </w:r>
        <w:r>
          <w:rPr>
            <w:noProof/>
            <w:webHidden/>
          </w:rPr>
          <w:t>53</w:t>
        </w:r>
        <w:r>
          <w:rPr>
            <w:noProof/>
            <w:webHidden/>
          </w:rPr>
          <w:fldChar w:fldCharType="end"/>
        </w:r>
      </w:hyperlink>
    </w:p>
    <w:p w14:paraId="2311FB5D" w14:textId="0E2F6E03" w:rsidR="00C5325F" w:rsidRDefault="00C5325F">
      <w:pPr>
        <w:pStyle w:val="TOC2"/>
        <w:tabs>
          <w:tab w:val="left" w:pos="800"/>
        </w:tabs>
        <w:rPr>
          <w:rFonts w:asciiTheme="minorHAnsi" w:eastAsiaTheme="minorEastAsia" w:hAnsiTheme="minorHAnsi" w:cstheme="minorBidi"/>
          <w:noProof/>
          <w:sz w:val="22"/>
          <w:szCs w:val="22"/>
        </w:rPr>
      </w:pPr>
      <w:hyperlink w:anchor="_Toc99295951" w:history="1">
        <w:r w:rsidRPr="00B21BB0">
          <w:rPr>
            <w:rStyle w:val="Hyperlink"/>
            <w:noProof/>
          </w:rPr>
          <w:t xml:space="preserve">2.4 </w:t>
        </w:r>
        <w:r>
          <w:rPr>
            <w:rFonts w:asciiTheme="minorHAnsi" w:eastAsiaTheme="minorEastAsia" w:hAnsiTheme="minorHAnsi" w:cstheme="minorBidi"/>
            <w:noProof/>
            <w:sz w:val="22"/>
            <w:szCs w:val="22"/>
          </w:rPr>
          <w:tab/>
        </w:r>
        <w:r w:rsidRPr="00B21BB0">
          <w:rPr>
            <w:rStyle w:val="Hyperlink"/>
            <w:noProof/>
          </w:rPr>
          <w:t>Budgeted expenses and performance for Outcome 4</w:t>
        </w:r>
        <w:r>
          <w:rPr>
            <w:noProof/>
            <w:webHidden/>
          </w:rPr>
          <w:tab/>
        </w:r>
        <w:r>
          <w:rPr>
            <w:noProof/>
            <w:webHidden/>
          </w:rPr>
          <w:fldChar w:fldCharType="begin"/>
        </w:r>
        <w:r>
          <w:rPr>
            <w:noProof/>
            <w:webHidden/>
          </w:rPr>
          <w:instrText xml:space="preserve"> PAGEREF _Toc99295951 \h </w:instrText>
        </w:r>
        <w:r>
          <w:rPr>
            <w:noProof/>
            <w:webHidden/>
          </w:rPr>
        </w:r>
        <w:r>
          <w:rPr>
            <w:noProof/>
            <w:webHidden/>
          </w:rPr>
          <w:fldChar w:fldCharType="separate"/>
        </w:r>
        <w:r>
          <w:rPr>
            <w:noProof/>
            <w:webHidden/>
          </w:rPr>
          <w:t>64</w:t>
        </w:r>
        <w:r>
          <w:rPr>
            <w:noProof/>
            <w:webHidden/>
          </w:rPr>
          <w:fldChar w:fldCharType="end"/>
        </w:r>
      </w:hyperlink>
    </w:p>
    <w:p w14:paraId="03E4E526" w14:textId="0AEA24F2" w:rsidR="00C5325F" w:rsidRDefault="00C5325F">
      <w:pPr>
        <w:pStyle w:val="TOC2"/>
        <w:tabs>
          <w:tab w:val="left" w:pos="800"/>
        </w:tabs>
        <w:rPr>
          <w:rFonts w:asciiTheme="minorHAnsi" w:eastAsiaTheme="minorEastAsia" w:hAnsiTheme="minorHAnsi" w:cstheme="minorBidi"/>
          <w:noProof/>
          <w:sz w:val="22"/>
          <w:szCs w:val="22"/>
        </w:rPr>
      </w:pPr>
      <w:hyperlink w:anchor="_Toc99295952" w:history="1">
        <w:r w:rsidRPr="00B21BB0">
          <w:rPr>
            <w:rStyle w:val="Hyperlink"/>
            <w:noProof/>
          </w:rPr>
          <w:t xml:space="preserve">2.5 </w:t>
        </w:r>
        <w:r>
          <w:rPr>
            <w:rFonts w:asciiTheme="minorHAnsi" w:eastAsiaTheme="minorEastAsia" w:hAnsiTheme="minorHAnsi" w:cstheme="minorBidi"/>
            <w:noProof/>
            <w:sz w:val="22"/>
            <w:szCs w:val="22"/>
          </w:rPr>
          <w:tab/>
        </w:r>
        <w:r w:rsidRPr="00B21BB0">
          <w:rPr>
            <w:rStyle w:val="Hyperlink"/>
            <w:noProof/>
          </w:rPr>
          <w:t>Budgeted expenses and performance for Outcome 5</w:t>
        </w:r>
        <w:r>
          <w:rPr>
            <w:noProof/>
            <w:webHidden/>
          </w:rPr>
          <w:tab/>
        </w:r>
        <w:r>
          <w:rPr>
            <w:noProof/>
            <w:webHidden/>
          </w:rPr>
          <w:fldChar w:fldCharType="begin"/>
        </w:r>
        <w:r>
          <w:rPr>
            <w:noProof/>
            <w:webHidden/>
          </w:rPr>
          <w:instrText xml:space="preserve"> PAGEREF _Toc99295952 \h </w:instrText>
        </w:r>
        <w:r>
          <w:rPr>
            <w:noProof/>
            <w:webHidden/>
          </w:rPr>
        </w:r>
        <w:r>
          <w:rPr>
            <w:noProof/>
            <w:webHidden/>
          </w:rPr>
          <w:fldChar w:fldCharType="separate"/>
        </w:r>
        <w:r>
          <w:rPr>
            <w:noProof/>
            <w:webHidden/>
          </w:rPr>
          <w:t>68</w:t>
        </w:r>
        <w:r>
          <w:rPr>
            <w:noProof/>
            <w:webHidden/>
          </w:rPr>
          <w:fldChar w:fldCharType="end"/>
        </w:r>
      </w:hyperlink>
    </w:p>
    <w:p w14:paraId="7F37856B" w14:textId="3D34B812" w:rsidR="00C5325F" w:rsidRDefault="00C5325F">
      <w:pPr>
        <w:pStyle w:val="TOC2"/>
        <w:tabs>
          <w:tab w:val="left" w:pos="800"/>
        </w:tabs>
        <w:rPr>
          <w:rFonts w:asciiTheme="minorHAnsi" w:eastAsiaTheme="minorEastAsia" w:hAnsiTheme="minorHAnsi" w:cstheme="minorBidi"/>
          <w:noProof/>
          <w:sz w:val="22"/>
          <w:szCs w:val="22"/>
        </w:rPr>
      </w:pPr>
      <w:hyperlink w:anchor="_Toc99295953" w:history="1">
        <w:r w:rsidRPr="00B21BB0">
          <w:rPr>
            <w:rStyle w:val="Hyperlink"/>
            <w:noProof/>
          </w:rPr>
          <w:t xml:space="preserve">2.6 </w:t>
        </w:r>
        <w:r>
          <w:rPr>
            <w:rFonts w:asciiTheme="minorHAnsi" w:eastAsiaTheme="minorEastAsia" w:hAnsiTheme="minorHAnsi" w:cstheme="minorBidi"/>
            <w:noProof/>
            <w:sz w:val="22"/>
            <w:szCs w:val="22"/>
          </w:rPr>
          <w:tab/>
        </w:r>
        <w:r w:rsidRPr="00B21BB0">
          <w:rPr>
            <w:rStyle w:val="Hyperlink"/>
            <w:noProof/>
          </w:rPr>
          <w:t>Budgeted expenses and performance for Outcome 6</w:t>
        </w:r>
        <w:r>
          <w:rPr>
            <w:noProof/>
            <w:webHidden/>
          </w:rPr>
          <w:tab/>
        </w:r>
        <w:r>
          <w:rPr>
            <w:noProof/>
            <w:webHidden/>
          </w:rPr>
          <w:fldChar w:fldCharType="begin"/>
        </w:r>
        <w:r>
          <w:rPr>
            <w:noProof/>
            <w:webHidden/>
          </w:rPr>
          <w:instrText xml:space="preserve"> PAGEREF _Toc99295953 \h </w:instrText>
        </w:r>
        <w:r>
          <w:rPr>
            <w:noProof/>
            <w:webHidden/>
          </w:rPr>
        </w:r>
        <w:r>
          <w:rPr>
            <w:noProof/>
            <w:webHidden/>
          </w:rPr>
          <w:fldChar w:fldCharType="separate"/>
        </w:r>
        <w:r>
          <w:rPr>
            <w:noProof/>
            <w:webHidden/>
          </w:rPr>
          <w:t>78</w:t>
        </w:r>
        <w:r>
          <w:rPr>
            <w:noProof/>
            <w:webHidden/>
          </w:rPr>
          <w:fldChar w:fldCharType="end"/>
        </w:r>
      </w:hyperlink>
    </w:p>
    <w:p w14:paraId="100656EE" w14:textId="13E7D67C" w:rsidR="00C5325F" w:rsidRDefault="00C5325F">
      <w:pPr>
        <w:pStyle w:val="TOC1"/>
        <w:rPr>
          <w:rFonts w:asciiTheme="minorHAnsi" w:eastAsiaTheme="minorEastAsia" w:hAnsiTheme="minorHAnsi" w:cstheme="minorBidi"/>
          <w:b w:val="0"/>
          <w:caps w:val="0"/>
          <w:noProof/>
          <w:sz w:val="22"/>
          <w:szCs w:val="22"/>
        </w:rPr>
      </w:pPr>
      <w:hyperlink w:anchor="_Toc99295954" w:history="1">
        <w:r w:rsidRPr="00B21BB0">
          <w:rPr>
            <w:rStyle w:val="Hyperlink"/>
            <w:noProof/>
          </w:rPr>
          <w:t>Section 3: Budgeted financial statements</w:t>
        </w:r>
        <w:r>
          <w:rPr>
            <w:noProof/>
            <w:webHidden/>
          </w:rPr>
          <w:tab/>
        </w:r>
        <w:r>
          <w:rPr>
            <w:noProof/>
            <w:webHidden/>
          </w:rPr>
          <w:fldChar w:fldCharType="begin"/>
        </w:r>
        <w:r>
          <w:rPr>
            <w:noProof/>
            <w:webHidden/>
          </w:rPr>
          <w:instrText xml:space="preserve"> PAGEREF _Toc99295954 \h </w:instrText>
        </w:r>
        <w:r>
          <w:rPr>
            <w:noProof/>
            <w:webHidden/>
          </w:rPr>
        </w:r>
        <w:r>
          <w:rPr>
            <w:noProof/>
            <w:webHidden/>
          </w:rPr>
          <w:fldChar w:fldCharType="separate"/>
        </w:r>
        <w:r>
          <w:rPr>
            <w:noProof/>
            <w:webHidden/>
          </w:rPr>
          <w:t>87</w:t>
        </w:r>
        <w:r>
          <w:rPr>
            <w:noProof/>
            <w:webHidden/>
          </w:rPr>
          <w:fldChar w:fldCharType="end"/>
        </w:r>
      </w:hyperlink>
    </w:p>
    <w:p w14:paraId="5E41A214" w14:textId="6206577F" w:rsidR="00C5325F" w:rsidRDefault="00C5325F">
      <w:pPr>
        <w:pStyle w:val="TOC2"/>
        <w:tabs>
          <w:tab w:val="left" w:pos="800"/>
        </w:tabs>
        <w:rPr>
          <w:rFonts w:asciiTheme="minorHAnsi" w:eastAsiaTheme="minorEastAsia" w:hAnsiTheme="minorHAnsi" w:cstheme="minorBidi"/>
          <w:noProof/>
          <w:sz w:val="22"/>
          <w:szCs w:val="22"/>
        </w:rPr>
      </w:pPr>
      <w:hyperlink w:anchor="_Toc99295955" w:history="1">
        <w:r w:rsidRPr="00B21BB0">
          <w:rPr>
            <w:rStyle w:val="Hyperlink"/>
            <w:noProof/>
          </w:rPr>
          <w:t>3.1</w:t>
        </w:r>
        <w:r>
          <w:rPr>
            <w:rFonts w:asciiTheme="minorHAnsi" w:eastAsiaTheme="minorEastAsia" w:hAnsiTheme="minorHAnsi" w:cstheme="minorBidi"/>
            <w:noProof/>
            <w:sz w:val="22"/>
            <w:szCs w:val="22"/>
          </w:rPr>
          <w:tab/>
        </w:r>
        <w:r w:rsidRPr="00B21BB0">
          <w:rPr>
            <w:rStyle w:val="Hyperlink"/>
            <w:noProof/>
          </w:rPr>
          <w:t>Budgeted financial statements</w:t>
        </w:r>
        <w:r>
          <w:rPr>
            <w:noProof/>
            <w:webHidden/>
          </w:rPr>
          <w:tab/>
        </w:r>
        <w:r>
          <w:rPr>
            <w:noProof/>
            <w:webHidden/>
          </w:rPr>
          <w:fldChar w:fldCharType="begin"/>
        </w:r>
        <w:r>
          <w:rPr>
            <w:noProof/>
            <w:webHidden/>
          </w:rPr>
          <w:instrText xml:space="preserve"> PAGEREF _Toc99295955 \h </w:instrText>
        </w:r>
        <w:r>
          <w:rPr>
            <w:noProof/>
            <w:webHidden/>
          </w:rPr>
        </w:r>
        <w:r>
          <w:rPr>
            <w:noProof/>
            <w:webHidden/>
          </w:rPr>
          <w:fldChar w:fldCharType="separate"/>
        </w:r>
        <w:r>
          <w:rPr>
            <w:noProof/>
            <w:webHidden/>
          </w:rPr>
          <w:t>87</w:t>
        </w:r>
        <w:r>
          <w:rPr>
            <w:noProof/>
            <w:webHidden/>
          </w:rPr>
          <w:fldChar w:fldCharType="end"/>
        </w:r>
      </w:hyperlink>
    </w:p>
    <w:p w14:paraId="16F3CD42" w14:textId="41BB67C1" w:rsidR="00C5325F" w:rsidRDefault="00C5325F">
      <w:pPr>
        <w:pStyle w:val="TOC2"/>
        <w:tabs>
          <w:tab w:val="left" w:pos="800"/>
        </w:tabs>
        <w:rPr>
          <w:rFonts w:asciiTheme="minorHAnsi" w:eastAsiaTheme="minorEastAsia" w:hAnsiTheme="minorHAnsi" w:cstheme="minorBidi"/>
          <w:noProof/>
          <w:sz w:val="22"/>
          <w:szCs w:val="22"/>
        </w:rPr>
      </w:pPr>
      <w:hyperlink w:anchor="_Toc99295956" w:history="1">
        <w:r w:rsidRPr="00B21BB0">
          <w:rPr>
            <w:rStyle w:val="Hyperlink"/>
            <w:noProof/>
          </w:rPr>
          <w:t>3.2</w:t>
        </w:r>
        <w:r>
          <w:rPr>
            <w:rFonts w:asciiTheme="minorHAnsi" w:eastAsiaTheme="minorEastAsia" w:hAnsiTheme="minorHAnsi" w:cstheme="minorBidi"/>
            <w:noProof/>
            <w:sz w:val="22"/>
            <w:szCs w:val="22"/>
          </w:rPr>
          <w:tab/>
        </w:r>
        <w:r w:rsidRPr="00B21BB0">
          <w:rPr>
            <w:rStyle w:val="Hyperlink"/>
            <w:noProof/>
          </w:rPr>
          <w:t>Budgeted financial statements tables</w:t>
        </w:r>
        <w:r>
          <w:rPr>
            <w:noProof/>
            <w:webHidden/>
          </w:rPr>
          <w:tab/>
        </w:r>
        <w:r>
          <w:rPr>
            <w:noProof/>
            <w:webHidden/>
          </w:rPr>
          <w:fldChar w:fldCharType="begin"/>
        </w:r>
        <w:r>
          <w:rPr>
            <w:noProof/>
            <w:webHidden/>
          </w:rPr>
          <w:instrText xml:space="preserve"> PAGEREF _Toc99295956 \h </w:instrText>
        </w:r>
        <w:r>
          <w:rPr>
            <w:noProof/>
            <w:webHidden/>
          </w:rPr>
        </w:r>
        <w:r>
          <w:rPr>
            <w:noProof/>
            <w:webHidden/>
          </w:rPr>
          <w:fldChar w:fldCharType="separate"/>
        </w:r>
        <w:r>
          <w:rPr>
            <w:noProof/>
            <w:webHidden/>
          </w:rPr>
          <w:t>88</w:t>
        </w:r>
        <w:r>
          <w:rPr>
            <w:noProof/>
            <w:webHidden/>
          </w:rPr>
          <w:fldChar w:fldCharType="end"/>
        </w:r>
      </w:hyperlink>
    </w:p>
    <w:p w14:paraId="1E05FACD" w14:textId="3CC46D82" w:rsidR="00B91F3E" w:rsidRDefault="00C000B8" w:rsidP="00B91F3E">
      <w:pPr>
        <w:pStyle w:val="TOC1"/>
      </w:pPr>
      <w:r>
        <w:fldChar w:fldCharType="end"/>
      </w:r>
    </w:p>
    <w:p w14:paraId="66733B40" w14:textId="77777777" w:rsidR="00B91F3E" w:rsidRPr="008B5AFD" w:rsidRDefault="00B91F3E" w:rsidP="00B91F3E"/>
    <w:p w14:paraId="6DB4E99A" w14:textId="77777777" w:rsidR="00B91F3E" w:rsidRDefault="00B91F3E" w:rsidP="00B91F3E">
      <w:pPr>
        <w:sectPr w:rsidR="00B91F3E" w:rsidSect="00F96D8A">
          <w:headerReference w:type="first" r:id="rId16"/>
          <w:footerReference w:type="first" r:id="rId17"/>
          <w:type w:val="oddPage"/>
          <w:pgSz w:w="11906" w:h="16838" w:code="9"/>
          <w:pgMar w:top="2835" w:right="2098" w:bottom="2466" w:left="2098" w:header="1814" w:footer="1814" w:gutter="0"/>
          <w:cols w:space="708"/>
          <w:titlePg/>
          <w:docGrid w:linePitch="360"/>
        </w:sectPr>
      </w:pPr>
    </w:p>
    <w:p w14:paraId="5072B39A" w14:textId="1900DBDD" w:rsidR="00B91F3E" w:rsidRDefault="003C4CC6" w:rsidP="00745005">
      <w:pPr>
        <w:pStyle w:val="Heading1"/>
      </w:pPr>
      <w:bookmarkStart w:id="0" w:name="_Toc98440164"/>
      <w:r>
        <w:lastRenderedPageBreak/>
        <w:t>Department</w:t>
      </w:r>
      <w:r w:rsidR="00B91F3E">
        <w:t xml:space="preserve"> of </w:t>
      </w:r>
      <w:r w:rsidR="00B91F3E" w:rsidRPr="00745005">
        <w:t>Infrastructure</w:t>
      </w:r>
      <w:r w:rsidR="00B91F3E">
        <w:t>, Transport, Regional Development and Communications</w:t>
      </w:r>
      <w:bookmarkEnd w:id="0"/>
    </w:p>
    <w:p w14:paraId="5B61021F" w14:textId="77777777" w:rsidR="00B91F3E" w:rsidRPr="002C4D41" w:rsidRDefault="00B91F3E" w:rsidP="000B0083">
      <w:pPr>
        <w:pStyle w:val="Heading2-DITRDC"/>
      </w:pPr>
      <w:bookmarkStart w:id="1" w:name="_Toc190682308"/>
      <w:bookmarkStart w:id="2" w:name="_Toc190682526"/>
      <w:bookmarkStart w:id="3" w:name="_Toc444523508"/>
      <w:bookmarkStart w:id="4" w:name="_Toc99295943"/>
      <w:r w:rsidRPr="002C4D41">
        <w:t xml:space="preserve">Section 1: </w:t>
      </w:r>
      <w:r w:rsidRPr="000B0083">
        <w:t>Entity</w:t>
      </w:r>
      <w:r w:rsidRPr="002C4D41">
        <w:t xml:space="preserve"> overview and </w:t>
      </w:r>
      <w:r>
        <w:t>reso</w:t>
      </w:r>
      <w:r w:rsidRPr="002C4D41">
        <w:t>urces</w:t>
      </w:r>
      <w:bookmarkEnd w:id="1"/>
      <w:bookmarkEnd w:id="2"/>
      <w:bookmarkEnd w:id="3"/>
      <w:bookmarkEnd w:id="4"/>
    </w:p>
    <w:p w14:paraId="339B3DAC" w14:textId="77777777" w:rsidR="00B91F3E" w:rsidRDefault="00B91F3E" w:rsidP="00745005">
      <w:pPr>
        <w:pStyle w:val="Heading3-DITRDC"/>
      </w:pPr>
      <w:bookmarkStart w:id="5" w:name="_Toc190682309"/>
      <w:bookmarkStart w:id="6" w:name="_Toc190682527"/>
      <w:bookmarkStart w:id="7" w:name="_Toc444523509"/>
      <w:bookmarkStart w:id="8" w:name="_Toc99295944"/>
      <w:r>
        <w:t>1.1</w:t>
      </w:r>
      <w:r>
        <w:tab/>
        <w:t xml:space="preserve">Strategic </w:t>
      </w:r>
      <w:r w:rsidRPr="00745005">
        <w:t>direction</w:t>
      </w:r>
      <w:bookmarkEnd w:id="5"/>
      <w:bookmarkEnd w:id="6"/>
      <w:r>
        <w:t xml:space="preserve"> statement</w:t>
      </w:r>
      <w:bookmarkEnd w:id="7"/>
      <w:bookmarkEnd w:id="8"/>
    </w:p>
    <w:p w14:paraId="6599C43A" w14:textId="717A7BA3" w:rsidR="00B91F3E" w:rsidRPr="009D610B" w:rsidRDefault="00B91F3E" w:rsidP="00D10AB6">
      <w:pPr>
        <w:spacing w:line="240" w:lineRule="auto"/>
        <w:jc w:val="left"/>
        <w:rPr>
          <w:rFonts w:eastAsia="Calibri"/>
          <w:lang w:eastAsia="en-US"/>
        </w:rPr>
      </w:pPr>
      <w:bookmarkStart w:id="9" w:name="_Toc190682310"/>
      <w:bookmarkStart w:id="10" w:name="_Toc190682528"/>
      <w:r w:rsidRPr="009D610B">
        <w:rPr>
          <w:rFonts w:eastAsia="Calibri"/>
          <w:lang w:eastAsia="en-US"/>
        </w:rPr>
        <w:t xml:space="preserve">The work of the </w:t>
      </w:r>
      <w:r w:rsidR="003C4CC6">
        <w:rPr>
          <w:rFonts w:eastAsia="Calibri"/>
          <w:lang w:eastAsia="en-US"/>
        </w:rPr>
        <w:t>Department</w:t>
      </w:r>
      <w:r w:rsidRPr="009D610B">
        <w:rPr>
          <w:rFonts w:eastAsia="Calibri"/>
          <w:lang w:eastAsia="en-US"/>
        </w:rPr>
        <w:t xml:space="preserve"> of Infrastructure, Transport, Regional Development and Communications continues to underpin our economy and society. In our work</w:t>
      </w:r>
      <w:r w:rsidR="008A173B">
        <w:rPr>
          <w:rFonts w:eastAsia="Calibri"/>
          <w:lang w:eastAsia="en-US"/>
        </w:rPr>
        <w:t>,</w:t>
      </w:r>
      <w:r w:rsidRPr="009D610B">
        <w:rPr>
          <w:rFonts w:eastAsia="Calibri"/>
          <w:lang w:eastAsia="en-US"/>
        </w:rPr>
        <w:t xml:space="preserve"> we are guided by three strategic objectives: Connecting Australians; Enriching our Communities; and Empowering our Regions. We provide strategic policy advice to government, fit-for-purpose regulation, and delivery of programs, projects and services in the major infrastructure, transport, communications and arts sectors,</w:t>
      </w:r>
      <w:r>
        <w:rPr>
          <w:rFonts w:eastAsia="Calibri"/>
          <w:lang w:eastAsia="en-US"/>
        </w:rPr>
        <w:t xml:space="preserve"> </w:t>
      </w:r>
      <w:r w:rsidRPr="000555C9">
        <w:rPr>
          <w:rFonts w:eastAsia="Calibri"/>
          <w:lang w:eastAsia="en-US"/>
        </w:rPr>
        <w:t>and in</w:t>
      </w:r>
      <w:r w:rsidRPr="009D610B">
        <w:rPr>
          <w:rFonts w:eastAsia="Calibri"/>
          <w:lang w:eastAsia="en-US"/>
        </w:rPr>
        <w:t xml:space="preserve"> supporting our regions, cities and territories. </w:t>
      </w:r>
    </w:p>
    <w:p w14:paraId="5709CF9E" w14:textId="77777777" w:rsidR="00B91F3E" w:rsidRPr="009D610B" w:rsidRDefault="00B91F3E" w:rsidP="00D10AB6">
      <w:pPr>
        <w:spacing w:line="240" w:lineRule="auto"/>
        <w:jc w:val="left"/>
        <w:rPr>
          <w:rFonts w:eastAsia="Calibri"/>
          <w:lang w:eastAsia="en-US"/>
        </w:rPr>
      </w:pPr>
      <w:r w:rsidRPr="009D610B">
        <w:rPr>
          <w:rFonts w:eastAsia="Calibri"/>
          <w:lang w:eastAsia="en-US"/>
        </w:rPr>
        <w:t xml:space="preserve">The continuing impacts of COVID-19, extreme weather events, natural disasters and other global shocks to freight and supply chains, continue to have a profound effect on Australian communities and our economy. We will take a consultative approach to continue to support the Australian Government’s recovery agenda. </w:t>
      </w:r>
    </w:p>
    <w:p w14:paraId="2E6EC57A" w14:textId="6CF1B9F3" w:rsidR="00B91F3E" w:rsidRPr="009D610B" w:rsidRDefault="00B91F3E" w:rsidP="00D10AB6">
      <w:pPr>
        <w:spacing w:line="240" w:lineRule="auto"/>
        <w:jc w:val="left"/>
        <w:rPr>
          <w:rFonts w:eastAsia="Calibri"/>
          <w:lang w:eastAsia="en-US"/>
        </w:rPr>
      </w:pPr>
      <w:r w:rsidRPr="009D610B">
        <w:rPr>
          <w:rFonts w:eastAsia="Calibri"/>
          <w:lang w:eastAsia="en-US"/>
        </w:rPr>
        <w:t>The need for connectivity remains strong and essential for Australia’s wellbeing and prosperity. We will continue to work on stewarding key markets to keep Australians connected to the world and to each other. This includes transport, communications and media markets</w:t>
      </w:r>
      <w:r w:rsidR="003C4CC6">
        <w:rPr>
          <w:rFonts w:eastAsia="Calibri"/>
          <w:lang w:eastAsia="en-US"/>
        </w:rPr>
        <w:t>,</w:t>
      </w:r>
      <w:r w:rsidRPr="009D610B">
        <w:rPr>
          <w:rFonts w:eastAsia="Calibri"/>
          <w:lang w:eastAsia="en-US"/>
        </w:rPr>
        <w:t xml:space="preserve"> as well as freight and postal markets. Sound infrastructure investment will deliver long-term productivity and social benefits that support efficient, sustainable, competitive, safe and secure transport systems for all Australians. Strong creative and cultural industries are critical to both economic growth and a cohesive society. We will continue to support inclusiveness and growth in Australia’s creative sector, protecting and promoting Australian content and culture that enriches our communities.</w:t>
      </w:r>
    </w:p>
    <w:p w14:paraId="6A9AB46E" w14:textId="1041F796" w:rsidR="00B91F3E" w:rsidRPr="003C4CC6" w:rsidRDefault="00B91F3E" w:rsidP="00D10AB6">
      <w:pPr>
        <w:spacing w:line="240" w:lineRule="auto"/>
        <w:jc w:val="left"/>
        <w:rPr>
          <w:rFonts w:eastAsia="Calibri"/>
          <w:lang w:eastAsia="en-US"/>
        </w:rPr>
      </w:pPr>
      <w:r w:rsidRPr="009D610B">
        <w:rPr>
          <w:rFonts w:eastAsia="Calibri"/>
          <w:lang w:eastAsia="en-US"/>
        </w:rPr>
        <w:t>From July 2021, we became responsible for Northern Australia policy and coordination. This</w:t>
      </w:r>
      <w:r w:rsidR="003C4CC6">
        <w:rPr>
          <w:rFonts w:eastAsia="Calibri"/>
          <w:lang w:eastAsia="en-US"/>
        </w:rPr>
        <w:t xml:space="preserve"> program is now included under O</w:t>
      </w:r>
      <w:r w:rsidRPr="009D610B">
        <w:rPr>
          <w:rFonts w:eastAsia="Calibri"/>
          <w:lang w:eastAsia="en-US"/>
        </w:rPr>
        <w:t>utcome 3, aligning directly to the Regional Development, northern Australia and Cities purpose statement. This progr</w:t>
      </w:r>
      <w:r w:rsidR="003C4CC6">
        <w:rPr>
          <w:rFonts w:eastAsia="Calibri"/>
          <w:lang w:eastAsia="en-US"/>
        </w:rPr>
        <w:t>am also closely aligns to both Outcomes 1 and 2</w:t>
      </w:r>
      <w:r w:rsidR="0064083D">
        <w:rPr>
          <w:rFonts w:eastAsia="Calibri"/>
          <w:lang w:eastAsia="en-US"/>
        </w:rPr>
        <w:t>:</w:t>
      </w:r>
      <w:r w:rsidR="003C4CC6">
        <w:rPr>
          <w:rFonts w:eastAsia="Calibri"/>
          <w:lang w:eastAsia="en-US"/>
        </w:rPr>
        <w:t xml:space="preserve"> i</w:t>
      </w:r>
      <w:r w:rsidRPr="003C4CC6">
        <w:rPr>
          <w:rFonts w:eastAsia="Calibri"/>
          <w:lang w:eastAsia="en-US"/>
        </w:rPr>
        <w:t>nvestment and coordination of transport and other infrastructure</w:t>
      </w:r>
      <w:r w:rsidR="0064083D">
        <w:rPr>
          <w:rFonts w:eastAsia="Calibri"/>
          <w:lang w:eastAsia="en-US"/>
        </w:rPr>
        <w:t>;</w:t>
      </w:r>
      <w:r w:rsidRPr="003C4CC6">
        <w:rPr>
          <w:rFonts w:eastAsia="Calibri"/>
          <w:lang w:eastAsia="en-US"/>
        </w:rPr>
        <w:t xml:space="preserve"> and supporting an efficient, sustainable, competitive, s</w:t>
      </w:r>
      <w:r w:rsidR="003C4CC6">
        <w:rPr>
          <w:rFonts w:eastAsia="Calibri"/>
          <w:lang w:eastAsia="en-US"/>
        </w:rPr>
        <w:t>afe and secure transport system</w:t>
      </w:r>
      <w:r w:rsidR="00563B4D">
        <w:rPr>
          <w:rFonts w:eastAsia="Calibri"/>
          <w:lang w:eastAsia="en-US"/>
        </w:rPr>
        <w:t>,</w:t>
      </w:r>
      <w:r w:rsidRPr="003C4CC6">
        <w:rPr>
          <w:rFonts w:eastAsia="Calibri"/>
          <w:lang w:eastAsia="en-US"/>
        </w:rPr>
        <w:t xml:space="preserve"> respectively. </w:t>
      </w:r>
    </w:p>
    <w:p w14:paraId="4C08DB5E" w14:textId="77777777" w:rsidR="00B91F3E" w:rsidRPr="009D610B" w:rsidRDefault="00B91F3E" w:rsidP="00D10AB6">
      <w:pPr>
        <w:spacing w:line="240" w:lineRule="auto"/>
        <w:jc w:val="left"/>
        <w:rPr>
          <w:rFonts w:eastAsia="Calibri"/>
          <w:lang w:eastAsia="en-US"/>
        </w:rPr>
      </w:pPr>
      <w:r w:rsidRPr="009D610B">
        <w:rPr>
          <w:rFonts w:eastAsia="Calibri"/>
          <w:lang w:eastAsia="en-US"/>
        </w:rPr>
        <w:t xml:space="preserve">We are committed to our role and contribution to delivering and designing the infrastructure response to the recovery agenda. This includes major transport, water and digital infrastructure and communications services. </w:t>
      </w:r>
      <w:r w:rsidRPr="000555C9">
        <w:rPr>
          <w:rFonts w:eastAsia="Calibri"/>
          <w:lang w:eastAsia="en-US"/>
        </w:rPr>
        <w:t>Through all of our activities we will deliver the support and services to ensure our cities and regions are liveable, inclusive and able to achieve their economic potential over the longer term.</w:t>
      </w:r>
    </w:p>
    <w:p w14:paraId="0F7267A0" w14:textId="77777777" w:rsidR="00D10AB6" w:rsidRDefault="00D10AB6">
      <w:pPr>
        <w:spacing w:after="0" w:line="240" w:lineRule="auto"/>
        <w:jc w:val="left"/>
        <w:rPr>
          <w:rFonts w:eastAsia="Calibri"/>
          <w:lang w:val="en-US" w:eastAsia="en-US"/>
        </w:rPr>
      </w:pPr>
      <w:r>
        <w:rPr>
          <w:rFonts w:eastAsia="Calibri"/>
          <w:lang w:val="en-US" w:eastAsia="en-US"/>
        </w:rPr>
        <w:br w:type="page"/>
      </w:r>
    </w:p>
    <w:p w14:paraId="0AD48536" w14:textId="552F3789" w:rsidR="00B91F3E" w:rsidRPr="009D610B" w:rsidRDefault="00B91F3E" w:rsidP="00D10AB6">
      <w:pPr>
        <w:spacing w:after="120" w:line="240" w:lineRule="auto"/>
        <w:jc w:val="left"/>
        <w:rPr>
          <w:rFonts w:eastAsia="Calibri"/>
          <w:lang w:val="en-US" w:eastAsia="en-US"/>
        </w:rPr>
      </w:pPr>
      <w:r w:rsidRPr="009D610B">
        <w:rPr>
          <w:rFonts w:eastAsia="Calibri"/>
          <w:lang w:val="en-US" w:eastAsia="en-US"/>
        </w:rPr>
        <w:lastRenderedPageBreak/>
        <w:t xml:space="preserve">We will monitor our progress, measure and deliver through our six purposes, which are: </w:t>
      </w:r>
    </w:p>
    <w:p w14:paraId="160716DA" w14:textId="4C6A0F8E" w:rsidR="00B91F3E" w:rsidRPr="009D610B" w:rsidRDefault="00B91F3E" w:rsidP="003926A3">
      <w:pPr>
        <w:numPr>
          <w:ilvl w:val="0"/>
          <w:numId w:val="12"/>
        </w:numPr>
        <w:spacing w:before="120" w:after="120" w:line="240" w:lineRule="auto"/>
        <w:jc w:val="left"/>
        <w:rPr>
          <w:rFonts w:eastAsia="Calibri"/>
          <w:lang w:val="en-US" w:eastAsia="en-US"/>
        </w:rPr>
      </w:pPr>
      <w:r w:rsidRPr="009D610B">
        <w:rPr>
          <w:rFonts w:eastAsia="Calibri"/>
          <w:b/>
          <w:lang w:val="en-US" w:eastAsia="en-US"/>
        </w:rPr>
        <w:t>Transport Connectivity</w:t>
      </w:r>
      <w:r w:rsidRPr="009D610B">
        <w:rPr>
          <w:rFonts w:eastAsia="Calibri"/>
          <w:lang w:val="en-US" w:eastAsia="en-US"/>
        </w:rPr>
        <w:br/>
        <w:t>Supporting an efficient, sustainable, competitive, accessible</w:t>
      </w:r>
      <w:r w:rsidR="00F96D8A">
        <w:rPr>
          <w:rFonts w:eastAsia="Calibri"/>
          <w:lang w:val="en-US" w:eastAsia="en-US"/>
        </w:rPr>
        <w:t>,</w:t>
      </w:r>
      <w:r w:rsidRPr="009D610B">
        <w:rPr>
          <w:rFonts w:eastAsia="Calibri"/>
          <w:lang w:val="en-US" w:eastAsia="en-US"/>
        </w:rPr>
        <w:t xml:space="preserve"> safe and secure transport system and supporting jobs through infrastructure investment</w:t>
      </w:r>
    </w:p>
    <w:p w14:paraId="29045F72" w14:textId="77777777" w:rsidR="00B91F3E" w:rsidRPr="009D610B" w:rsidRDefault="00B91F3E" w:rsidP="003926A3">
      <w:pPr>
        <w:numPr>
          <w:ilvl w:val="0"/>
          <w:numId w:val="12"/>
        </w:numPr>
        <w:spacing w:before="120" w:after="120" w:line="240" w:lineRule="auto"/>
        <w:ind w:left="357" w:hanging="357"/>
        <w:jc w:val="left"/>
        <w:rPr>
          <w:rFonts w:eastAsia="Calibri"/>
          <w:lang w:val="en-US" w:eastAsia="en-US"/>
        </w:rPr>
      </w:pPr>
      <w:r w:rsidRPr="009D610B">
        <w:rPr>
          <w:rFonts w:eastAsia="Calibri"/>
          <w:b/>
          <w:lang w:eastAsia="en-US"/>
        </w:rPr>
        <w:t>Regional Development, northern Australia and Cities</w:t>
      </w:r>
      <w:r w:rsidRPr="009D610B">
        <w:rPr>
          <w:rFonts w:eastAsia="Calibri"/>
          <w:lang w:eastAsia="en-US"/>
        </w:rPr>
        <w:br/>
        <w:t>Improving living standards and facilitating economic growth in cities and regions including northern Australia</w:t>
      </w:r>
    </w:p>
    <w:p w14:paraId="27CE5F5F" w14:textId="77777777" w:rsidR="00B91F3E" w:rsidRPr="009D610B" w:rsidRDefault="00B91F3E" w:rsidP="003926A3">
      <w:pPr>
        <w:numPr>
          <w:ilvl w:val="0"/>
          <w:numId w:val="12"/>
        </w:numPr>
        <w:spacing w:before="120" w:after="120" w:line="240" w:lineRule="auto"/>
        <w:ind w:left="357" w:hanging="357"/>
        <w:jc w:val="left"/>
        <w:rPr>
          <w:rFonts w:eastAsia="Calibri"/>
          <w:lang w:val="en-US" w:eastAsia="en-US"/>
        </w:rPr>
      </w:pPr>
      <w:r w:rsidRPr="009D610B">
        <w:rPr>
          <w:rFonts w:eastAsia="Calibri"/>
          <w:b/>
          <w:lang w:eastAsia="en-US"/>
        </w:rPr>
        <w:t>Water Infrastructure</w:t>
      </w:r>
      <w:r w:rsidRPr="009D610B">
        <w:rPr>
          <w:rFonts w:eastAsia="Calibri"/>
          <w:b/>
          <w:lang w:eastAsia="en-US"/>
        </w:rPr>
        <w:br/>
      </w:r>
      <w:r w:rsidRPr="009D610B">
        <w:rPr>
          <w:rFonts w:eastAsia="Calibri"/>
          <w:lang w:eastAsia="en-US"/>
        </w:rPr>
        <w:t>Supporting regional growth and resilience through building water infrastructure that improves water availability, connectivity, reliability and security for agricultural and other primary industry users</w:t>
      </w:r>
    </w:p>
    <w:p w14:paraId="332D99E0" w14:textId="77777777" w:rsidR="00B91F3E" w:rsidRPr="009D610B" w:rsidRDefault="00B91F3E" w:rsidP="003926A3">
      <w:pPr>
        <w:numPr>
          <w:ilvl w:val="0"/>
          <w:numId w:val="12"/>
        </w:numPr>
        <w:spacing w:before="120" w:after="120" w:line="240" w:lineRule="auto"/>
        <w:ind w:left="357" w:hanging="357"/>
        <w:jc w:val="left"/>
        <w:rPr>
          <w:rFonts w:eastAsia="Calibri"/>
          <w:lang w:eastAsia="en-US"/>
        </w:rPr>
      </w:pPr>
      <w:r w:rsidRPr="009D610B">
        <w:rPr>
          <w:rFonts w:eastAsia="Calibri"/>
          <w:b/>
          <w:lang w:eastAsia="en-US"/>
        </w:rPr>
        <w:t>Territories</w:t>
      </w:r>
      <w:r w:rsidRPr="009D610B">
        <w:rPr>
          <w:rFonts w:eastAsia="Calibri"/>
          <w:lang w:eastAsia="en-US"/>
        </w:rPr>
        <w:br/>
        <w:t>Providing governance frameworks and services to support communities in the territories</w:t>
      </w:r>
    </w:p>
    <w:p w14:paraId="77750275" w14:textId="77777777" w:rsidR="00B91F3E" w:rsidRPr="009D610B" w:rsidRDefault="00B91F3E" w:rsidP="003926A3">
      <w:pPr>
        <w:numPr>
          <w:ilvl w:val="0"/>
          <w:numId w:val="12"/>
        </w:numPr>
        <w:spacing w:before="120" w:after="120" w:line="240" w:lineRule="auto"/>
        <w:ind w:left="357" w:hanging="357"/>
        <w:jc w:val="left"/>
        <w:rPr>
          <w:rFonts w:eastAsia="Calibri"/>
          <w:lang w:eastAsia="en-US"/>
        </w:rPr>
      </w:pPr>
      <w:r w:rsidRPr="009D610B">
        <w:rPr>
          <w:rFonts w:eastAsia="Calibri"/>
          <w:b/>
          <w:lang w:eastAsia="en-US"/>
        </w:rPr>
        <w:t>Communications Connectivity</w:t>
      </w:r>
      <w:r w:rsidRPr="009D610B">
        <w:rPr>
          <w:rFonts w:eastAsia="Calibri"/>
          <w:lang w:eastAsia="en-US"/>
        </w:rPr>
        <w:br/>
        <w:t>Enabling people in Australia to connect to effective, safe communications services and enabling investment in communications technologies, for inclusiveness and sustainable economic growth</w:t>
      </w:r>
    </w:p>
    <w:p w14:paraId="5EEC4BC5" w14:textId="0CAC39A8" w:rsidR="00B91F3E" w:rsidRPr="009D610B" w:rsidRDefault="00B91F3E" w:rsidP="003926A3">
      <w:pPr>
        <w:numPr>
          <w:ilvl w:val="0"/>
          <w:numId w:val="12"/>
        </w:numPr>
        <w:spacing w:before="120" w:after="120" w:line="240" w:lineRule="auto"/>
        <w:ind w:left="357" w:hanging="357"/>
        <w:jc w:val="left"/>
        <w:rPr>
          <w:rFonts w:eastAsia="Calibri"/>
          <w:lang w:eastAsia="en-US"/>
        </w:rPr>
      </w:pPr>
      <w:r w:rsidRPr="009D610B">
        <w:rPr>
          <w:rFonts w:eastAsia="Calibri"/>
          <w:b/>
          <w:lang w:eastAsia="en-US"/>
        </w:rPr>
        <w:t>Creativity and culture</w:t>
      </w:r>
      <w:r w:rsidRPr="009D610B">
        <w:rPr>
          <w:rFonts w:eastAsia="Calibri"/>
          <w:lang w:eastAsia="en-US"/>
        </w:rPr>
        <w:br/>
        <w:t>Supporting sustainable and inclusive creative and cultural sectors, and protecting and promoting Australian content and culture</w:t>
      </w:r>
      <w:r w:rsidR="003C4CC6">
        <w:rPr>
          <w:rFonts w:eastAsia="Calibri"/>
          <w:lang w:eastAsia="en-US"/>
        </w:rPr>
        <w:t>.</w:t>
      </w:r>
    </w:p>
    <w:p w14:paraId="2A23BBC7" w14:textId="059C679D" w:rsidR="00B91F3E" w:rsidRPr="009D610B" w:rsidRDefault="00B91F3E" w:rsidP="00D10AB6">
      <w:pPr>
        <w:spacing w:before="120" w:line="240" w:lineRule="auto"/>
        <w:jc w:val="left"/>
        <w:rPr>
          <w:rFonts w:eastAsia="Calibri"/>
          <w:lang w:val="en-US" w:eastAsia="en-US"/>
        </w:rPr>
      </w:pPr>
      <w:r w:rsidRPr="009D610B">
        <w:rPr>
          <w:rFonts w:eastAsia="Calibri"/>
          <w:lang w:val="en-US" w:eastAsia="en-US"/>
        </w:rPr>
        <w:t xml:space="preserve">To achieve our purposes, we collaborate closely with others — </w:t>
      </w:r>
      <w:r w:rsidR="003C4CC6">
        <w:rPr>
          <w:rFonts w:eastAsia="Calibri"/>
          <w:lang w:val="en-US" w:eastAsia="en-US"/>
        </w:rPr>
        <w:t>Portfolio</w:t>
      </w:r>
      <w:r w:rsidRPr="009D610B">
        <w:rPr>
          <w:rFonts w:eastAsia="Calibri"/>
          <w:lang w:val="en-US" w:eastAsia="en-US"/>
        </w:rPr>
        <w:t xml:space="preserve"> entities, other governments, industry and the community</w:t>
      </w:r>
      <w:r w:rsidR="003C4CC6">
        <w:rPr>
          <w:rFonts w:eastAsia="Calibri"/>
          <w:lang w:val="en-US" w:eastAsia="en-US"/>
        </w:rPr>
        <w:t>,</w:t>
      </w:r>
      <w:r w:rsidRPr="009D610B">
        <w:rPr>
          <w:rFonts w:eastAsia="Calibri"/>
          <w:lang w:val="en-US" w:eastAsia="en-US"/>
        </w:rPr>
        <w:t xml:space="preserve"> as well as international organisations. Our policy advice is evidence-based and informed by research, consultation, analysis and broader government objectives.</w:t>
      </w:r>
    </w:p>
    <w:p w14:paraId="37E79AC2" w14:textId="5DC854EB" w:rsidR="00B91F3E" w:rsidRPr="00F96D8A" w:rsidRDefault="00B91F3E" w:rsidP="00B91F3E">
      <w:pPr>
        <w:spacing w:before="120" w:after="120" w:line="240" w:lineRule="auto"/>
        <w:jc w:val="left"/>
        <w:rPr>
          <w:rFonts w:eastAsia="Calibri"/>
          <w:lang w:eastAsia="en-US"/>
        </w:rPr>
      </w:pPr>
      <w:r w:rsidRPr="00F96D8A">
        <w:rPr>
          <w:rFonts w:eastAsia="Calibri"/>
          <w:lang w:eastAsia="en-US"/>
        </w:rPr>
        <w:t xml:space="preserve">For more </w:t>
      </w:r>
      <w:r w:rsidRPr="00F96D8A">
        <w:rPr>
          <w:rFonts w:eastAsia="Calibri"/>
          <w:lang w:val="en-US" w:eastAsia="en-US"/>
        </w:rPr>
        <w:t>information</w:t>
      </w:r>
      <w:r w:rsidRPr="00F96D8A">
        <w:rPr>
          <w:rFonts w:eastAsia="Calibri"/>
          <w:lang w:eastAsia="en-US"/>
        </w:rPr>
        <w:t xml:space="preserve"> on our strategic direction and performance, please refer to our Corporate Plan, online at: </w:t>
      </w:r>
      <w:r w:rsidRPr="00F96D8A">
        <w:rPr>
          <w:rFonts w:eastAsia="Calibri"/>
          <w:u w:val="single"/>
          <w:lang w:eastAsia="en-US"/>
        </w:rPr>
        <w:t>https://www.infrastructure.gov.au/</w:t>
      </w:r>
      <w:r w:rsidR="003C4CC6">
        <w:rPr>
          <w:rFonts w:eastAsia="Calibri"/>
          <w:u w:val="single"/>
          <w:lang w:eastAsia="en-US"/>
        </w:rPr>
        <w:t>Department</w:t>
      </w:r>
      <w:r w:rsidRPr="00F96D8A">
        <w:rPr>
          <w:rFonts w:eastAsia="Calibri"/>
          <w:u w:val="single"/>
          <w:lang w:eastAsia="en-US"/>
        </w:rPr>
        <w:t>/about/corporate-plan</w:t>
      </w:r>
      <w:r w:rsidRPr="00F96D8A">
        <w:rPr>
          <w:rFonts w:eastAsia="Calibri"/>
          <w:lang w:eastAsia="en-US"/>
        </w:rPr>
        <w:t>.</w:t>
      </w:r>
    </w:p>
    <w:p w14:paraId="4B28D9AB" w14:textId="77777777" w:rsidR="00B91F3E" w:rsidRDefault="00B91F3E" w:rsidP="00B91F3E">
      <w:pPr>
        <w:pStyle w:val="Heading3-DITRDC"/>
      </w:pPr>
      <w:r w:rsidRPr="0079797F">
        <w:br w:type="page"/>
      </w:r>
      <w:bookmarkStart w:id="11" w:name="_Toc444523510"/>
      <w:bookmarkStart w:id="12" w:name="_Toc99295945"/>
      <w:r>
        <w:lastRenderedPageBreak/>
        <w:t>1.2</w:t>
      </w:r>
      <w:r>
        <w:tab/>
        <w:t>Entity resource statement</w:t>
      </w:r>
      <w:bookmarkEnd w:id="9"/>
      <w:bookmarkEnd w:id="10"/>
      <w:bookmarkEnd w:id="11"/>
      <w:bookmarkEnd w:id="12"/>
    </w:p>
    <w:p w14:paraId="7933631D" w14:textId="46FB6E62" w:rsidR="00B91F3E" w:rsidRDefault="00B91F3E" w:rsidP="00B91F3E">
      <w:pPr>
        <w:jc w:val="left"/>
      </w:pPr>
      <w:bookmarkStart w:id="13" w:name="OLE_LINK11"/>
      <w:bookmarkStart w:id="14" w:name="OLE_LINK12"/>
      <w:r>
        <w:t>Table 1.1 shows the total funding fro</w:t>
      </w:r>
      <w:r w:rsidR="008D39B2">
        <w:t xml:space="preserve">m all sources available to the </w:t>
      </w:r>
      <w:r w:rsidR="003C4CC6">
        <w:t>Department</w:t>
      </w:r>
      <w:r>
        <w:t xml:space="preserve"> for its operations and to deliver programs and services on behalf of the Government.</w:t>
      </w:r>
    </w:p>
    <w:p w14:paraId="436E4240" w14:textId="44A57CEA" w:rsidR="00B91F3E" w:rsidRDefault="00B91F3E" w:rsidP="00B91F3E">
      <w:pPr>
        <w:jc w:val="left"/>
      </w:pPr>
      <w:r>
        <w:t>The table summarises how resources will be applied by outcome (government strategic policy objectives) and by administered (on behalf of the Government or the pub</w:t>
      </w:r>
      <w:r w:rsidR="008D39B2">
        <w:t xml:space="preserve">lic) and </w:t>
      </w:r>
      <w:r w:rsidR="00012C68">
        <w:t>d</w:t>
      </w:r>
      <w:r w:rsidR="003C4CC6">
        <w:t>epartment</w:t>
      </w:r>
      <w:r w:rsidR="008D39B2">
        <w:t xml:space="preserve">al (for the </w:t>
      </w:r>
      <w:r w:rsidR="003C4CC6">
        <w:t>Department</w:t>
      </w:r>
      <w:r>
        <w:t>’s operations) classification.</w:t>
      </w:r>
    </w:p>
    <w:p w14:paraId="77F06EAF" w14:textId="77777777" w:rsidR="00B91F3E" w:rsidRDefault="00B91F3E" w:rsidP="00B91F3E">
      <w:pPr>
        <w:jc w:val="left"/>
      </w:pPr>
      <w:r>
        <w:t xml:space="preserve">For more detailed information on special accounts and special appropriations, please refer to </w:t>
      </w:r>
      <w:r w:rsidRPr="00412C0B">
        <w:rPr>
          <w:i/>
        </w:rPr>
        <w:t>Budget Paper No. 4 – Agency Resourcing</w:t>
      </w:r>
      <w:r>
        <w:t>.</w:t>
      </w:r>
    </w:p>
    <w:p w14:paraId="5DD31CD1" w14:textId="77777777" w:rsidR="00B91F3E" w:rsidRDefault="00B91F3E" w:rsidP="00B91F3E">
      <w:pPr>
        <w:jc w:val="left"/>
      </w:pPr>
      <w:r>
        <w:t>Information in this table is presented on a resourcing (that is, appropriations/cash available) basis, whilst the ‘Budgeted expenses by Outcome’ tables in Section 2 and the financial statements in Section 3 are presented on an accrual basis.</w:t>
      </w:r>
    </w:p>
    <w:bookmarkEnd w:id="13"/>
    <w:bookmarkEnd w:id="14"/>
    <w:p w14:paraId="070577D7" w14:textId="156CDF83" w:rsidR="00B91F3E" w:rsidRPr="00E44F3D" w:rsidRDefault="00B91F3E" w:rsidP="00B91F3E">
      <w:pPr>
        <w:pStyle w:val="TableHeading"/>
        <w:rPr>
          <w:b w:val="0"/>
          <w:lang w:val="en-AU"/>
        </w:rPr>
      </w:pPr>
      <w:r w:rsidRPr="00D44150">
        <w:t xml:space="preserve">Table 1.1: </w:t>
      </w:r>
      <w:r w:rsidR="003C4CC6">
        <w:rPr>
          <w:lang w:val="en-US"/>
        </w:rPr>
        <w:t>Department</w:t>
      </w:r>
      <w:r>
        <w:rPr>
          <w:lang w:val="en-US"/>
        </w:rPr>
        <w:t xml:space="preserve"> of Infrastructure, Transport, Regional Development and Communications</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512" w:type="dxa"/>
        <w:tblLook w:val="04A0" w:firstRow="1" w:lastRow="0" w:firstColumn="1" w:lastColumn="0" w:noHBand="0" w:noVBand="1"/>
      </w:tblPr>
      <w:tblGrid>
        <w:gridCol w:w="5103"/>
        <w:gridCol w:w="1220"/>
        <w:gridCol w:w="1189"/>
      </w:tblGrid>
      <w:tr w:rsidR="00B91F3E" w:rsidRPr="00746703" w14:paraId="516BC397" w14:textId="77777777" w:rsidTr="00F96D8A">
        <w:trPr>
          <w:trHeight w:val="204"/>
        </w:trPr>
        <w:tc>
          <w:tcPr>
            <w:tcW w:w="5103" w:type="dxa"/>
            <w:tcBorders>
              <w:top w:val="single" w:sz="4" w:space="0" w:color="auto"/>
              <w:left w:val="nil"/>
              <w:bottom w:val="nil"/>
              <w:right w:val="nil"/>
            </w:tcBorders>
            <w:shd w:val="clear" w:color="auto" w:fill="auto"/>
            <w:noWrap/>
            <w:vAlign w:val="bottom"/>
            <w:hideMark/>
          </w:tcPr>
          <w:p w14:paraId="77D31485" w14:textId="77777777" w:rsidR="00B91F3E" w:rsidRPr="00746703" w:rsidRDefault="00B91F3E" w:rsidP="00F96D8A">
            <w:pPr>
              <w:spacing w:after="0" w:line="240" w:lineRule="auto"/>
              <w:jc w:val="left"/>
              <w:rPr>
                <w:rFonts w:ascii="Times New Roman" w:hAnsi="Times New Roman"/>
                <w:sz w:val="24"/>
                <w:szCs w:val="24"/>
              </w:rPr>
            </w:pPr>
          </w:p>
        </w:tc>
        <w:tc>
          <w:tcPr>
            <w:tcW w:w="1220" w:type="dxa"/>
            <w:tcBorders>
              <w:top w:val="single" w:sz="4" w:space="0" w:color="auto"/>
              <w:left w:val="nil"/>
              <w:bottom w:val="single" w:sz="4" w:space="0" w:color="auto"/>
              <w:right w:val="nil"/>
            </w:tcBorders>
            <w:shd w:val="clear" w:color="000000" w:fill="FFFFFF"/>
            <w:vAlign w:val="bottom"/>
            <w:hideMark/>
          </w:tcPr>
          <w:p w14:paraId="77C732F7" w14:textId="77777777" w:rsidR="00B91F3E" w:rsidRPr="004B59BE" w:rsidRDefault="00B91F3E" w:rsidP="00F96D8A">
            <w:pPr>
              <w:spacing w:after="0" w:line="240" w:lineRule="auto"/>
              <w:jc w:val="right"/>
              <w:rPr>
                <w:rFonts w:ascii="Arial" w:hAnsi="Arial" w:cs="Arial"/>
                <w:iCs/>
                <w:color w:val="000000"/>
                <w:sz w:val="16"/>
                <w:szCs w:val="16"/>
              </w:rPr>
            </w:pPr>
            <w:r w:rsidRPr="004B59BE">
              <w:rPr>
                <w:rFonts w:ascii="Arial" w:hAnsi="Arial" w:cs="Arial"/>
                <w:iCs/>
                <w:color w:val="000000"/>
                <w:sz w:val="16"/>
                <w:szCs w:val="16"/>
              </w:rPr>
              <w:t>2021-22</w:t>
            </w:r>
            <w:r w:rsidRPr="004B59BE">
              <w:rPr>
                <w:rFonts w:ascii="Arial" w:hAnsi="Arial" w:cs="Arial"/>
                <w:iCs/>
                <w:color w:val="000000"/>
                <w:sz w:val="16"/>
                <w:szCs w:val="16"/>
                <w:vertAlign w:val="superscript"/>
              </w:rPr>
              <w:t>(a)</w:t>
            </w:r>
            <w:r w:rsidRPr="004B59BE">
              <w:rPr>
                <w:rFonts w:ascii="Arial" w:hAnsi="Arial" w:cs="Arial"/>
                <w:iCs/>
                <w:color w:val="000000"/>
                <w:sz w:val="16"/>
                <w:szCs w:val="16"/>
              </w:rPr>
              <w:t xml:space="preserve"> Estimated actual</w:t>
            </w:r>
            <w:r w:rsidRPr="004B59BE">
              <w:rPr>
                <w:rFonts w:ascii="Arial" w:hAnsi="Arial" w:cs="Arial"/>
                <w:iCs/>
                <w:color w:val="000000"/>
                <w:sz w:val="16"/>
                <w:szCs w:val="16"/>
              </w:rPr>
              <w:br/>
              <w:t>$'000</w:t>
            </w:r>
          </w:p>
        </w:tc>
        <w:tc>
          <w:tcPr>
            <w:tcW w:w="1189" w:type="dxa"/>
            <w:tcBorders>
              <w:top w:val="single" w:sz="4" w:space="0" w:color="auto"/>
              <w:left w:val="nil"/>
              <w:bottom w:val="single" w:sz="4" w:space="0" w:color="auto"/>
              <w:right w:val="nil"/>
            </w:tcBorders>
            <w:shd w:val="clear" w:color="000000" w:fill="E6E6E6"/>
            <w:vAlign w:val="bottom"/>
            <w:hideMark/>
          </w:tcPr>
          <w:p w14:paraId="2FFB294A" w14:textId="77777777" w:rsidR="00B91F3E" w:rsidRPr="004B59BE" w:rsidRDefault="00B91F3E" w:rsidP="00F96D8A">
            <w:pPr>
              <w:spacing w:after="0" w:line="240" w:lineRule="auto"/>
              <w:jc w:val="right"/>
              <w:rPr>
                <w:rFonts w:ascii="Arial" w:hAnsi="Arial" w:cs="Arial"/>
                <w:color w:val="000000"/>
                <w:sz w:val="16"/>
                <w:szCs w:val="16"/>
              </w:rPr>
            </w:pPr>
            <w:r w:rsidRPr="004B59BE">
              <w:rPr>
                <w:rFonts w:ascii="Arial" w:hAnsi="Arial" w:cs="Arial"/>
                <w:color w:val="000000"/>
                <w:sz w:val="16"/>
                <w:szCs w:val="16"/>
              </w:rPr>
              <w:t>2022-23 Estimate</w:t>
            </w:r>
            <w:r w:rsidRPr="004B59BE">
              <w:rPr>
                <w:rFonts w:ascii="Arial" w:hAnsi="Arial" w:cs="Arial"/>
                <w:color w:val="000000"/>
                <w:sz w:val="16"/>
                <w:szCs w:val="16"/>
              </w:rPr>
              <w:br/>
            </w:r>
            <w:r w:rsidRPr="004B59BE">
              <w:rPr>
                <w:rFonts w:ascii="Arial" w:hAnsi="Arial" w:cs="Arial"/>
                <w:color w:val="000000"/>
                <w:sz w:val="16"/>
                <w:szCs w:val="16"/>
              </w:rPr>
              <w:br/>
              <w:t>$'000</w:t>
            </w:r>
          </w:p>
        </w:tc>
      </w:tr>
      <w:tr w:rsidR="00B91F3E" w:rsidRPr="00746703" w14:paraId="23EFA270" w14:textId="77777777" w:rsidTr="00F96D8A">
        <w:trPr>
          <w:trHeight w:val="204"/>
        </w:trPr>
        <w:tc>
          <w:tcPr>
            <w:tcW w:w="5103" w:type="dxa"/>
            <w:tcBorders>
              <w:top w:val="nil"/>
              <w:left w:val="nil"/>
              <w:bottom w:val="nil"/>
              <w:right w:val="nil"/>
            </w:tcBorders>
            <w:shd w:val="clear" w:color="auto" w:fill="auto"/>
            <w:noWrap/>
            <w:vAlign w:val="bottom"/>
            <w:hideMark/>
          </w:tcPr>
          <w:p w14:paraId="2E3B4B2D" w14:textId="56061BCC" w:rsidR="00B91F3E" w:rsidRPr="00746703" w:rsidRDefault="003C4CC6" w:rsidP="00F96D8A">
            <w:pPr>
              <w:spacing w:after="0" w:line="240" w:lineRule="auto"/>
              <w:jc w:val="left"/>
              <w:rPr>
                <w:rFonts w:ascii="Arial" w:hAnsi="Arial" w:cs="Arial"/>
                <w:b/>
                <w:bCs/>
                <w:sz w:val="16"/>
                <w:szCs w:val="16"/>
              </w:rPr>
            </w:pPr>
            <w:r>
              <w:rPr>
                <w:rFonts w:ascii="Arial" w:hAnsi="Arial" w:cs="Arial"/>
                <w:b/>
                <w:bCs/>
                <w:sz w:val="16"/>
                <w:szCs w:val="16"/>
              </w:rPr>
              <w:t>Department</w:t>
            </w:r>
            <w:r w:rsidR="00B91F3E" w:rsidRPr="00746703">
              <w:rPr>
                <w:rFonts w:ascii="Arial" w:hAnsi="Arial" w:cs="Arial"/>
                <w:b/>
                <w:bCs/>
                <w:sz w:val="16"/>
                <w:szCs w:val="16"/>
              </w:rPr>
              <w:t>al</w:t>
            </w:r>
          </w:p>
        </w:tc>
        <w:tc>
          <w:tcPr>
            <w:tcW w:w="1220" w:type="dxa"/>
            <w:tcBorders>
              <w:top w:val="nil"/>
              <w:left w:val="nil"/>
              <w:bottom w:val="nil"/>
              <w:right w:val="nil"/>
            </w:tcBorders>
            <w:shd w:val="clear" w:color="auto" w:fill="auto"/>
            <w:noWrap/>
            <w:hideMark/>
          </w:tcPr>
          <w:p w14:paraId="33BFD697" w14:textId="77777777" w:rsidR="00B91F3E" w:rsidRPr="004B59BE" w:rsidRDefault="00B91F3E" w:rsidP="00F96D8A">
            <w:pPr>
              <w:spacing w:after="0" w:line="240" w:lineRule="auto"/>
              <w:jc w:val="right"/>
              <w:rPr>
                <w:rFonts w:ascii="Arial" w:hAnsi="Arial" w:cs="Arial"/>
                <w:b/>
                <w:bCs/>
                <w:sz w:val="16"/>
                <w:szCs w:val="16"/>
              </w:rPr>
            </w:pPr>
          </w:p>
        </w:tc>
        <w:tc>
          <w:tcPr>
            <w:tcW w:w="1189" w:type="dxa"/>
            <w:tcBorders>
              <w:top w:val="nil"/>
              <w:left w:val="nil"/>
              <w:bottom w:val="nil"/>
              <w:right w:val="nil"/>
            </w:tcBorders>
            <w:shd w:val="clear" w:color="000000" w:fill="E6E6E6"/>
            <w:noWrap/>
            <w:hideMark/>
          </w:tcPr>
          <w:p w14:paraId="61981F24" w14:textId="77777777" w:rsidR="00B91F3E" w:rsidRPr="004B59BE" w:rsidRDefault="00B91F3E" w:rsidP="00F96D8A">
            <w:pPr>
              <w:spacing w:after="0" w:line="240" w:lineRule="auto"/>
              <w:jc w:val="right"/>
              <w:rPr>
                <w:rFonts w:ascii="Arial" w:hAnsi="Arial" w:cs="Arial"/>
                <w:sz w:val="16"/>
                <w:szCs w:val="16"/>
              </w:rPr>
            </w:pPr>
          </w:p>
        </w:tc>
      </w:tr>
      <w:tr w:rsidR="00B91F3E" w:rsidRPr="00746703" w14:paraId="4BB00AB2" w14:textId="77777777" w:rsidTr="00F96D8A">
        <w:trPr>
          <w:trHeight w:val="204"/>
        </w:trPr>
        <w:tc>
          <w:tcPr>
            <w:tcW w:w="5103" w:type="dxa"/>
            <w:tcBorders>
              <w:top w:val="nil"/>
              <w:left w:val="nil"/>
              <w:bottom w:val="nil"/>
              <w:right w:val="nil"/>
            </w:tcBorders>
            <w:shd w:val="clear" w:color="auto" w:fill="auto"/>
            <w:noWrap/>
            <w:vAlign w:val="bottom"/>
            <w:hideMark/>
          </w:tcPr>
          <w:p w14:paraId="3B376DEB" w14:textId="77777777" w:rsidR="00B91F3E" w:rsidRPr="00746703" w:rsidRDefault="00B91F3E" w:rsidP="00F96D8A">
            <w:pPr>
              <w:spacing w:after="0" w:line="240" w:lineRule="auto"/>
              <w:jc w:val="left"/>
              <w:rPr>
                <w:rFonts w:ascii="Arial" w:hAnsi="Arial" w:cs="Arial"/>
                <w:sz w:val="16"/>
                <w:szCs w:val="16"/>
              </w:rPr>
            </w:pPr>
            <w:r w:rsidRPr="00746703">
              <w:rPr>
                <w:rFonts w:ascii="Arial" w:hAnsi="Arial" w:cs="Arial"/>
                <w:sz w:val="16"/>
                <w:szCs w:val="16"/>
              </w:rPr>
              <w:t xml:space="preserve">Annual appropriations - ordinary annual services </w:t>
            </w:r>
            <w:r w:rsidRPr="00232D5E">
              <w:rPr>
                <w:rFonts w:ascii="Arial" w:hAnsi="Arial" w:cs="Arial"/>
                <w:sz w:val="16"/>
                <w:szCs w:val="16"/>
                <w:vertAlign w:val="superscript"/>
              </w:rPr>
              <w:t>(b)</w:t>
            </w:r>
          </w:p>
        </w:tc>
        <w:tc>
          <w:tcPr>
            <w:tcW w:w="1220" w:type="dxa"/>
            <w:tcBorders>
              <w:top w:val="nil"/>
              <w:left w:val="nil"/>
              <w:bottom w:val="nil"/>
              <w:right w:val="nil"/>
            </w:tcBorders>
            <w:shd w:val="clear" w:color="auto" w:fill="auto"/>
            <w:noWrap/>
            <w:hideMark/>
          </w:tcPr>
          <w:p w14:paraId="588091EF" w14:textId="77777777" w:rsidR="00B91F3E" w:rsidRPr="00F96D8A" w:rsidRDefault="00B91F3E" w:rsidP="00F96D8A">
            <w:pPr>
              <w:spacing w:after="0" w:line="240" w:lineRule="auto"/>
              <w:jc w:val="right"/>
              <w:rPr>
                <w:rFonts w:ascii="Arial" w:hAnsi="Arial" w:cs="Arial"/>
                <w:sz w:val="16"/>
                <w:szCs w:val="16"/>
              </w:rPr>
            </w:pPr>
          </w:p>
        </w:tc>
        <w:tc>
          <w:tcPr>
            <w:tcW w:w="1189" w:type="dxa"/>
            <w:tcBorders>
              <w:top w:val="nil"/>
              <w:left w:val="nil"/>
              <w:bottom w:val="nil"/>
              <w:right w:val="nil"/>
            </w:tcBorders>
            <w:shd w:val="clear" w:color="000000" w:fill="E6E6E6"/>
            <w:noWrap/>
            <w:hideMark/>
          </w:tcPr>
          <w:p w14:paraId="576B5531" w14:textId="77777777" w:rsidR="00B91F3E" w:rsidRPr="00F96D8A" w:rsidRDefault="00B91F3E" w:rsidP="00F96D8A">
            <w:pPr>
              <w:spacing w:after="0" w:line="240" w:lineRule="auto"/>
              <w:jc w:val="right"/>
              <w:rPr>
                <w:rFonts w:ascii="Arial" w:hAnsi="Arial" w:cs="Arial"/>
                <w:sz w:val="16"/>
                <w:szCs w:val="16"/>
              </w:rPr>
            </w:pPr>
          </w:p>
        </w:tc>
      </w:tr>
      <w:tr w:rsidR="00242378" w:rsidRPr="00746703" w14:paraId="0A7A557A" w14:textId="77777777" w:rsidTr="00F96D8A">
        <w:trPr>
          <w:trHeight w:val="204"/>
        </w:trPr>
        <w:tc>
          <w:tcPr>
            <w:tcW w:w="5103" w:type="dxa"/>
            <w:tcBorders>
              <w:top w:val="nil"/>
              <w:left w:val="nil"/>
              <w:bottom w:val="nil"/>
              <w:right w:val="nil"/>
            </w:tcBorders>
            <w:shd w:val="clear" w:color="auto" w:fill="auto"/>
            <w:noWrap/>
            <w:vAlign w:val="bottom"/>
            <w:hideMark/>
          </w:tcPr>
          <w:p w14:paraId="3B973CF6" w14:textId="77777777" w:rsidR="00242378" w:rsidRPr="00746703" w:rsidRDefault="00242378" w:rsidP="00242378">
            <w:pPr>
              <w:spacing w:after="0" w:line="240" w:lineRule="auto"/>
              <w:ind w:left="113"/>
              <w:jc w:val="left"/>
              <w:rPr>
                <w:rFonts w:ascii="Arial" w:hAnsi="Arial" w:cs="Arial"/>
                <w:sz w:val="16"/>
                <w:szCs w:val="16"/>
              </w:rPr>
            </w:pPr>
            <w:r w:rsidRPr="00746703">
              <w:rPr>
                <w:rFonts w:ascii="Arial" w:hAnsi="Arial" w:cs="Arial"/>
                <w:sz w:val="16"/>
                <w:szCs w:val="16"/>
              </w:rPr>
              <w:t xml:space="preserve">Prior year appropriations available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340A6B3B" w14:textId="68692AC8"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148,523 </w:t>
            </w:r>
          </w:p>
        </w:tc>
        <w:tc>
          <w:tcPr>
            <w:tcW w:w="1189" w:type="dxa"/>
            <w:tcBorders>
              <w:top w:val="nil"/>
              <w:left w:val="nil"/>
              <w:bottom w:val="nil"/>
              <w:right w:val="nil"/>
            </w:tcBorders>
            <w:shd w:val="clear" w:color="000000" w:fill="E6E6E6"/>
            <w:noWrap/>
            <w:vAlign w:val="bottom"/>
            <w:hideMark/>
          </w:tcPr>
          <w:p w14:paraId="0EC08350" w14:textId="4D2E329D"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148,523 </w:t>
            </w:r>
          </w:p>
        </w:tc>
      </w:tr>
      <w:tr w:rsidR="00242378" w:rsidRPr="00746703" w14:paraId="580DB6FE" w14:textId="77777777" w:rsidTr="00F96D8A">
        <w:trPr>
          <w:trHeight w:val="204"/>
        </w:trPr>
        <w:tc>
          <w:tcPr>
            <w:tcW w:w="5103" w:type="dxa"/>
            <w:tcBorders>
              <w:top w:val="nil"/>
              <w:left w:val="nil"/>
              <w:bottom w:val="nil"/>
              <w:right w:val="nil"/>
            </w:tcBorders>
            <w:shd w:val="clear" w:color="auto" w:fill="auto"/>
            <w:noWrap/>
            <w:vAlign w:val="bottom"/>
            <w:hideMark/>
          </w:tcPr>
          <w:p w14:paraId="122DF2C1" w14:textId="1D2BD29B" w:rsidR="00242378" w:rsidRPr="00746703" w:rsidRDefault="00242378" w:rsidP="00242378">
            <w:pPr>
              <w:spacing w:after="0" w:line="240" w:lineRule="auto"/>
              <w:ind w:left="113"/>
              <w:jc w:val="left"/>
              <w:rPr>
                <w:rFonts w:ascii="Arial" w:hAnsi="Arial" w:cs="Arial"/>
                <w:sz w:val="16"/>
                <w:szCs w:val="16"/>
              </w:rPr>
            </w:pPr>
            <w:r>
              <w:rPr>
                <w:rFonts w:ascii="Arial" w:hAnsi="Arial" w:cs="Arial"/>
                <w:sz w:val="16"/>
                <w:szCs w:val="16"/>
              </w:rPr>
              <w:t>Department</w:t>
            </w:r>
            <w:r w:rsidRPr="00746703">
              <w:rPr>
                <w:rFonts w:ascii="Arial" w:hAnsi="Arial" w:cs="Arial"/>
                <w:sz w:val="16"/>
                <w:szCs w:val="16"/>
              </w:rPr>
              <w:t xml:space="preserve">al appropriation </w:t>
            </w:r>
            <w:r w:rsidRPr="00232D5E">
              <w:rPr>
                <w:rFonts w:ascii="Arial" w:hAnsi="Arial" w:cs="Arial"/>
                <w:sz w:val="16"/>
                <w:szCs w:val="16"/>
                <w:vertAlign w:val="superscript"/>
              </w:rPr>
              <w:t>(d)</w:t>
            </w:r>
          </w:p>
        </w:tc>
        <w:tc>
          <w:tcPr>
            <w:tcW w:w="1220" w:type="dxa"/>
            <w:tcBorders>
              <w:top w:val="nil"/>
              <w:left w:val="nil"/>
              <w:bottom w:val="nil"/>
              <w:right w:val="nil"/>
            </w:tcBorders>
            <w:shd w:val="clear" w:color="auto" w:fill="auto"/>
            <w:noWrap/>
            <w:vAlign w:val="bottom"/>
            <w:hideMark/>
          </w:tcPr>
          <w:p w14:paraId="07C689E4" w14:textId="60757DCE"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404,778 </w:t>
            </w:r>
          </w:p>
        </w:tc>
        <w:tc>
          <w:tcPr>
            <w:tcW w:w="1189" w:type="dxa"/>
            <w:tcBorders>
              <w:top w:val="nil"/>
              <w:left w:val="nil"/>
              <w:bottom w:val="nil"/>
              <w:right w:val="nil"/>
            </w:tcBorders>
            <w:shd w:val="clear" w:color="000000" w:fill="E6E6E6"/>
            <w:noWrap/>
            <w:vAlign w:val="bottom"/>
            <w:hideMark/>
          </w:tcPr>
          <w:p w14:paraId="66A4B702" w14:textId="33B88BB8"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479,284 </w:t>
            </w:r>
          </w:p>
        </w:tc>
      </w:tr>
      <w:tr w:rsidR="00242378" w:rsidRPr="00746703" w14:paraId="79C7289B" w14:textId="77777777" w:rsidTr="00F96D8A">
        <w:trPr>
          <w:trHeight w:val="204"/>
        </w:trPr>
        <w:tc>
          <w:tcPr>
            <w:tcW w:w="5103" w:type="dxa"/>
            <w:tcBorders>
              <w:top w:val="nil"/>
              <w:left w:val="nil"/>
              <w:bottom w:val="nil"/>
              <w:right w:val="nil"/>
            </w:tcBorders>
            <w:shd w:val="clear" w:color="auto" w:fill="auto"/>
            <w:noWrap/>
            <w:vAlign w:val="bottom"/>
            <w:hideMark/>
          </w:tcPr>
          <w:p w14:paraId="2132245D" w14:textId="77777777" w:rsidR="00242378" w:rsidRPr="00746703" w:rsidRDefault="00242378" w:rsidP="00242378">
            <w:pPr>
              <w:spacing w:after="0" w:line="240" w:lineRule="auto"/>
              <w:ind w:left="113"/>
              <w:jc w:val="left"/>
              <w:rPr>
                <w:rFonts w:ascii="Arial" w:hAnsi="Arial" w:cs="Arial"/>
                <w:sz w:val="16"/>
                <w:szCs w:val="16"/>
              </w:rPr>
            </w:pPr>
            <w:r w:rsidRPr="00746703">
              <w:rPr>
                <w:rFonts w:ascii="Arial" w:hAnsi="Arial" w:cs="Arial"/>
                <w:sz w:val="16"/>
                <w:szCs w:val="16"/>
              </w:rPr>
              <w:t xml:space="preserve">s74 external revenue </w:t>
            </w:r>
            <w:r w:rsidRPr="00232D5E">
              <w:rPr>
                <w:rFonts w:ascii="Arial" w:hAnsi="Arial" w:cs="Arial"/>
                <w:sz w:val="16"/>
                <w:szCs w:val="16"/>
                <w:vertAlign w:val="superscript"/>
              </w:rPr>
              <w:t>(e)</w:t>
            </w:r>
          </w:p>
        </w:tc>
        <w:tc>
          <w:tcPr>
            <w:tcW w:w="1220" w:type="dxa"/>
            <w:tcBorders>
              <w:top w:val="nil"/>
              <w:left w:val="nil"/>
              <w:bottom w:val="nil"/>
              <w:right w:val="nil"/>
            </w:tcBorders>
            <w:shd w:val="clear" w:color="auto" w:fill="auto"/>
            <w:noWrap/>
            <w:vAlign w:val="bottom"/>
            <w:hideMark/>
          </w:tcPr>
          <w:p w14:paraId="1BA9C174" w14:textId="04BF1427"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7,608 </w:t>
            </w:r>
          </w:p>
        </w:tc>
        <w:tc>
          <w:tcPr>
            <w:tcW w:w="1189" w:type="dxa"/>
            <w:tcBorders>
              <w:top w:val="nil"/>
              <w:left w:val="nil"/>
              <w:bottom w:val="nil"/>
              <w:right w:val="nil"/>
            </w:tcBorders>
            <w:shd w:val="clear" w:color="000000" w:fill="E6E6E6"/>
            <w:noWrap/>
            <w:vAlign w:val="bottom"/>
            <w:hideMark/>
          </w:tcPr>
          <w:p w14:paraId="5A6F456C" w14:textId="681E0C52"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5,734 </w:t>
            </w:r>
          </w:p>
        </w:tc>
      </w:tr>
      <w:tr w:rsidR="00242378" w:rsidRPr="00746703" w14:paraId="412172CC" w14:textId="77777777" w:rsidTr="00F96D8A">
        <w:trPr>
          <w:trHeight w:val="204"/>
        </w:trPr>
        <w:tc>
          <w:tcPr>
            <w:tcW w:w="5103" w:type="dxa"/>
            <w:tcBorders>
              <w:top w:val="nil"/>
              <w:left w:val="nil"/>
              <w:bottom w:val="nil"/>
              <w:right w:val="nil"/>
            </w:tcBorders>
            <w:shd w:val="clear" w:color="auto" w:fill="auto"/>
            <w:noWrap/>
            <w:vAlign w:val="bottom"/>
            <w:hideMark/>
          </w:tcPr>
          <w:p w14:paraId="686DC37C" w14:textId="40C2F30C" w:rsidR="00242378" w:rsidRPr="00746703" w:rsidRDefault="00242378" w:rsidP="00242378">
            <w:pPr>
              <w:spacing w:after="0" w:line="240" w:lineRule="auto"/>
              <w:ind w:left="113"/>
              <w:jc w:val="left"/>
              <w:rPr>
                <w:rFonts w:ascii="Arial" w:hAnsi="Arial" w:cs="Arial"/>
                <w:sz w:val="16"/>
                <w:szCs w:val="16"/>
              </w:rPr>
            </w:pPr>
            <w:r>
              <w:rPr>
                <w:rFonts w:ascii="Arial" w:hAnsi="Arial" w:cs="Arial"/>
                <w:sz w:val="16"/>
                <w:szCs w:val="16"/>
              </w:rPr>
              <w:t>Department</w:t>
            </w:r>
            <w:r w:rsidRPr="00746703">
              <w:rPr>
                <w:rFonts w:ascii="Arial" w:hAnsi="Arial" w:cs="Arial"/>
                <w:sz w:val="16"/>
                <w:szCs w:val="16"/>
              </w:rPr>
              <w:t xml:space="preserve">al capital budget </w:t>
            </w:r>
            <w:r w:rsidRPr="00232D5E">
              <w:rPr>
                <w:rFonts w:ascii="Arial" w:hAnsi="Arial" w:cs="Arial"/>
                <w:sz w:val="16"/>
                <w:szCs w:val="16"/>
                <w:vertAlign w:val="superscript"/>
              </w:rPr>
              <w:t>(f)</w:t>
            </w:r>
          </w:p>
        </w:tc>
        <w:tc>
          <w:tcPr>
            <w:tcW w:w="1220" w:type="dxa"/>
            <w:tcBorders>
              <w:top w:val="nil"/>
              <w:left w:val="nil"/>
              <w:bottom w:val="nil"/>
              <w:right w:val="nil"/>
            </w:tcBorders>
            <w:shd w:val="clear" w:color="auto" w:fill="auto"/>
            <w:noWrap/>
            <w:vAlign w:val="bottom"/>
            <w:hideMark/>
          </w:tcPr>
          <w:p w14:paraId="55F14B94" w14:textId="1313FC55"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20,989 </w:t>
            </w:r>
          </w:p>
        </w:tc>
        <w:tc>
          <w:tcPr>
            <w:tcW w:w="1189" w:type="dxa"/>
            <w:tcBorders>
              <w:top w:val="nil"/>
              <w:left w:val="nil"/>
              <w:bottom w:val="nil"/>
              <w:right w:val="nil"/>
            </w:tcBorders>
            <w:shd w:val="clear" w:color="000000" w:fill="E6E6E6"/>
            <w:noWrap/>
            <w:vAlign w:val="bottom"/>
            <w:hideMark/>
          </w:tcPr>
          <w:p w14:paraId="24ED5D4F" w14:textId="7BCBA8AC"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10,182 </w:t>
            </w:r>
          </w:p>
        </w:tc>
      </w:tr>
      <w:tr w:rsidR="00242378" w:rsidRPr="00746703" w14:paraId="56435727" w14:textId="77777777" w:rsidTr="00F96D8A">
        <w:trPr>
          <w:trHeight w:val="204"/>
        </w:trPr>
        <w:tc>
          <w:tcPr>
            <w:tcW w:w="5103" w:type="dxa"/>
            <w:tcBorders>
              <w:top w:val="nil"/>
              <w:left w:val="nil"/>
              <w:bottom w:val="nil"/>
              <w:right w:val="nil"/>
            </w:tcBorders>
            <w:shd w:val="clear" w:color="auto" w:fill="auto"/>
            <w:noWrap/>
            <w:vAlign w:val="bottom"/>
            <w:hideMark/>
          </w:tcPr>
          <w:p w14:paraId="3B3DC072" w14:textId="2F269357" w:rsidR="00242378" w:rsidRPr="00746703" w:rsidRDefault="00242378" w:rsidP="00242378">
            <w:pPr>
              <w:spacing w:after="0" w:line="240" w:lineRule="auto"/>
              <w:jc w:val="left"/>
              <w:rPr>
                <w:rFonts w:ascii="Arial" w:hAnsi="Arial" w:cs="Arial"/>
                <w:sz w:val="16"/>
                <w:szCs w:val="16"/>
              </w:rPr>
            </w:pPr>
            <w:r w:rsidRPr="00746703">
              <w:rPr>
                <w:rFonts w:ascii="Arial" w:hAnsi="Arial" w:cs="Arial"/>
                <w:sz w:val="16"/>
                <w:szCs w:val="16"/>
              </w:rPr>
              <w:t xml:space="preserve">Total </w:t>
            </w:r>
            <w:r>
              <w:rPr>
                <w:rFonts w:ascii="Arial" w:hAnsi="Arial" w:cs="Arial"/>
                <w:sz w:val="16"/>
                <w:szCs w:val="16"/>
              </w:rPr>
              <w:t>Department</w:t>
            </w:r>
            <w:r w:rsidRPr="00746703">
              <w:rPr>
                <w:rFonts w:ascii="Arial" w:hAnsi="Arial" w:cs="Arial"/>
                <w:sz w:val="16"/>
                <w:szCs w:val="16"/>
              </w:rPr>
              <w:t>al annual appropriations</w:t>
            </w:r>
          </w:p>
        </w:tc>
        <w:tc>
          <w:tcPr>
            <w:tcW w:w="1220" w:type="dxa"/>
            <w:tcBorders>
              <w:top w:val="single" w:sz="4" w:space="0" w:color="auto"/>
              <w:left w:val="nil"/>
              <w:bottom w:val="single" w:sz="4" w:space="0" w:color="auto"/>
              <w:right w:val="nil"/>
            </w:tcBorders>
            <w:shd w:val="clear" w:color="auto" w:fill="auto"/>
            <w:noWrap/>
            <w:vAlign w:val="bottom"/>
            <w:hideMark/>
          </w:tcPr>
          <w:p w14:paraId="4B0CA211" w14:textId="1F9B92B5"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581,898 </w:t>
            </w:r>
          </w:p>
        </w:tc>
        <w:tc>
          <w:tcPr>
            <w:tcW w:w="1189" w:type="dxa"/>
            <w:tcBorders>
              <w:top w:val="single" w:sz="4" w:space="0" w:color="auto"/>
              <w:left w:val="nil"/>
              <w:bottom w:val="single" w:sz="4" w:space="0" w:color="auto"/>
              <w:right w:val="nil"/>
            </w:tcBorders>
            <w:shd w:val="clear" w:color="000000" w:fill="E6E6E6"/>
            <w:noWrap/>
            <w:vAlign w:val="bottom"/>
            <w:hideMark/>
          </w:tcPr>
          <w:p w14:paraId="3EB2390C" w14:textId="7FE822E6" w:rsidR="00242378" w:rsidRPr="00477933" w:rsidRDefault="00242378" w:rsidP="00242378">
            <w:pPr>
              <w:spacing w:after="0" w:line="240" w:lineRule="auto"/>
              <w:jc w:val="right"/>
              <w:rPr>
                <w:rFonts w:ascii="Arial" w:hAnsi="Arial" w:cs="Arial"/>
                <w:iCs/>
                <w:sz w:val="16"/>
                <w:szCs w:val="16"/>
              </w:rPr>
            </w:pPr>
            <w:r>
              <w:rPr>
                <w:rFonts w:ascii="Arial" w:hAnsi="Arial" w:cs="Arial"/>
                <w:i/>
                <w:iCs/>
                <w:sz w:val="16"/>
                <w:szCs w:val="16"/>
              </w:rPr>
              <w:t xml:space="preserve">643,723 </w:t>
            </w:r>
          </w:p>
        </w:tc>
      </w:tr>
      <w:tr w:rsidR="00242378" w:rsidRPr="00746703" w14:paraId="08F8BA48" w14:textId="77777777" w:rsidTr="00F96D8A">
        <w:trPr>
          <w:trHeight w:val="204"/>
        </w:trPr>
        <w:tc>
          <w:tcPr>
            <w:tcW w:w="5103" w:type="dxa"/>
            <w:tcBorders>
              <w:top w:val="nil"/>
              <w:left w:val="nil"/>
              <w:bottom w:val="nil"/>
              <w:right w:val="nil"/>
            </w:tcBorders>
            <w:shd w:val="clear" w:color="auto" w:fill="auto"/>
            <w:noWrap/>
            <w:vAlign w:val="bottom"/>
            <w:hideMark/>
          </w:tcPr>
          <w:p w14:paraId="70734C2E" w14:textId="77777777" w:rsidR="00242378" w:rsidRPr="00746703" w:rsidRDefault="00242378" w:rsidP="00242378">
            <w:pPr>
              <w:spacing w:after="0" w:line="240" w:lineRule="auto"/>
              <w:jc w:val="left"/>
              <w:rPr>
                <w:rFonts w:ascii="Arial" w:hAnsi="Arial" w:cs="Arial"/>
                <w:sz w:val="16"/>
                <w:szCs w:val="16"/>
              </w:rPr>
            </w:pPr>
            <w:r w:rsidRPr="00746703">
              <w:rPr>
                <w:rFonts w:ascii="Arial" w:hAnsi="Arial" w:cs="Arial"/>
                <w:sz w:val="16"/>
                <w:szCs w:val="16"/>
              </w:rPr>
              <w:t xml:space="preserve">Special accounts </w:t>
            </w:r>
          </w:p>
        </w:tc>
        <w:tc>
          <w:tcPr>
            <w:tcW w:w="1220" w:type="dxa"/>
            <w:tcBorders>
              <w:top w:val="nil"/>
              <w:left w:val="nil"/>
              <w:bottom w:val="nil"/>
              <w:right w:val="nil"/>
            </w:tcBorders>
            <w:shd w:val="clear" w:color="auto" w:fill="auto"/>
            <w:noWrap/>
            <w:vAlign w:val="bottom"/>
            <w:hideMark/>
          </w:tcPr>
          <w:p w14:paraId="123E78D3" w14:textId="77777777" w:rsidR="00242378" w:rsidRPr="00477933" w:rsidRDefault="00242378" w:rsidP="00242378">
            <w:pPr>
              <w:spacing w:after="0" w:line="240" w:lineRule="auto"/>
              <w:jc w:val="right"/>
              <w:rPr>
                <w:rFonts w:ascii="Arial" w:hAnsi="Arial" w:cs="Arial"/>
                <w:sz w:val="16"/>
                <w:szCs w:val="16"/>
              </w:rPr>
            </w:pPr>
          </w:p>
        </w:tc>
        <w:tc>
          <w:tcPr>
            <w:tcW w:w="1189" w:type="dxa"/>
            <w:tcBorders>
              <w:top w:val="nil"/>
              <w:left w:val="nil"/>
              <w:bottom w:val="nil"/>
              <w:right w:val="nil"/>
            </w:tcBorders>
            <w:shd w:val="clear" w:color="000000" w:fill="E6E6E6"/>
            <w:noWrap/>
            <w:vAlign w:val="bottom"/>
            <w:hideMark/>
          </w:tcPr>
          <w:p w14:paraId="01ADF0BA" w14:textId="3229FFEA"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w:t>
            </w:r>
          </w:p>
        </w:tc>
      </w:tr>
      <w:tr w:rsidR="00242378" w:rsidRPr="00746703" w14:paraId="3A8A0C92" w14:textId="77777777" w:rsidTr="00F96D8A">
        <w:trPr>
          <w:trHeight w:val="204"/>
        </w:trPr>
        <w:tc>
          <w:tcPr>
            <w:tcW w:w="5103" w:type="dxa"/>
            <w:tcBorders>
              <w:top w:val="nil"/>
              <w:left w:val="nil"/>
              <w:bottom w:val="nil"/>
              <w:right w:val="nil"/>
            </w:tcBorders>
            <w:shd w:val="clear" w:color="auto" w:fill="auto"/>
            <w:noWrap/>
            <w:vAlign w:val="bottom"/>
            <w:hideMark/>
          </w:tcPr>
          <w:p w14:paraId="490F242A" w14:textId="77777777" w:rsidR="00242378" w:rsidRPr="00746703" w:rsidRDefault="00242378" w:rsidP="00242378">
            <w:pPr>
              <w:spacing w:after="0" w:line="240" w:lineRule="auto"/>
              <w:ind w:left="113"/>
              <w:jc w:val="left"/>
              <w:rPr>
                <w:rFonts w:ascii="Arial" w:hAnsi="Arial" w:cs="Arial"/>
                <w:sz w:val="16"/>
                <w:szCs w:val="16"/>
              </w:rPr>
            </w:pPr>
            <w:r w:rsidRPr="00746703">
              <w:rPr>
                <w:rFonts w:ascii="Arial" w:hAnsi="Arial" w:cs="Arial"/>
                <w:sz w:val="16"/>
                <w:szCs w:val="16"/>
              </w:rPr>
              <w:t>Opening balance</w:t>
            </w:r>
          </w:p>
        </w:tc>
        <w:tc>
          <w:tcPr>
            <w:tcW w:w="1220" w:type="dxa"/>
            <w:tcBorders>
              <w:top w:val="nil"/>
              <w:left w:val="nil"/>
              <w:bottom w:val="nil"/>
              <w:right w:val="nil"/>
            </w:tcBorders>
            <w:shd w:val="clear" w:color="auto" w:fill="auto"/>
            <w:noWrap/>
            <w:vAlign w:val="bottom"/>
            <w:hideMark/>
          </w:tcPr>
          <w:p w14:paraId="64EB3F14" w14:textId="3A9F5142"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4,301 </w:t>
            </w:r>
          </w:p>
        </w:tc>
        <w:tc>
          <w:tcPr>
            <w:tcW w:w="1189" w:type="dxa"/>
            <w:tcBorders>
              <w:top w:val="nil"/>
              <w:left w:val="nil"/>
              <w:bottom w:val="nil"/>
              <w:right w:val="nil"/>
            </w:tcBorders>
            <w:shd w:val="clear" w:color="000000" w:fill="E6E6E6"/>
            <w:noWrap/>
            <w:vAlign w:val="bottom"/>
            <w:hideMark/>
          </w:tcPr>
          <w:p w14:paraId="2FDFDF66" w14:textId="6785C3EA"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6,263 </w:t>
            </w:r>
          </w:p>
        </w:tc>
      </w:tr>
      <w:tr w:rsidR="00242378" w:rsidRPr="00746703" w14:paraId="67200715" w14:textId="77777777" w:rsidTr="00F96D8A">
        <w:trPr>
          <w:trHeight w:val="204"/>
        </w:trPr>
        <w:tc>
          <w:tcPr>
            <w:tcW w:w="5103" w:type="dxa"/>
            <w:tcBorders>
              <w:top w:val="nil"/>
              <w:left w:val="nil"/>
              <w:bottom w:val="nil"/>
              <w:right w:val="nil"/>
            </w:tcBorders>
            <w:shd w:val="clear" w:color="auto" w:fill="auto"/>
            <w:noWrap/>
            <w:vAlign w:val="bottom"/>
            <w:hideMark/>
          </w:tcPr>
          <w:p w14:paraId="5D10FF93" w14:textId="77777777" w:rsidR="00242378" w:rsidRPr="00746703" w:rsidRDefault="00242378" w:rsidP="00242378">
            <w:pPr>
              <w:spacing w:after="0" w:line="240" w:lineRule="auto"/>
              <w:ind w:left="113"/>
              <w:jc w:val="left"/>
              <w:rPr>
                <w:rFonts w:ascii="Arial" w:hAnsi="Arial" w:cs="Arial"/>
                <w:sz w:val="16"/>
                <w:szCs w:val="16"/>
              </w:rPr>
            </w:pPr>
            <w:r w:rsidRPr="00746703">
              <w:rPr>
                <w:rFonts w:ascii="Arial" w:hAnsi="Arial" w:cs="Arial"/>
                <w:sz w:val="16"/>
                <w:szCs w:val="16"/>
              </w:rPr>
              <w:t>Appropriation receipts</w:t>
            </w:r>
          </w:p>
        </w:tc>
        <w:tc>
          <w:tcPr>
            <w:tcW w:w="1220" w:type="dxa"/>
            <w:tcBorders>
              <w:top w:val="nil"/>
              <w:left w:val="nil"/>
              <w:bottom w:val="nil"/>
              <w:right w:val="nil"/>
            </w:tcBorders>
            <w:shd w:val="clear" w:color="auto" w:fill="auto"/>
            <w:noWrap/>
            <w:vAlign w:val="bottom"/>
            <w:hideMark/>
          </w:tcPr>
          <w:p w14:paraId="70298FA1" w14:textId="21B56C52"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5,011 </w:t>
            </w:r>
          </w:p>
        </w:tc>
        <w:tc>
          <w:tcPr>
            <w:tcW w:w="1189" w:type="dxa"/>
            <w:tcBorders>
              <w:top w:val="nil"/>
              <w:left w:val="nil"/>
              <w:bottom w:val="nil"/>
              <w:right w:val="nil"/>
            </w:tcBorders>
            <w:shd w:val="clear" w:color="000000" w:fill="E6E6E6"/>
            <w:noWrap/>
            <w:vAlign w:val="bottom"/>
            <w:hideMark/>
          </w:tcPr>
          <w:p w14:paraId="0577FC8B" w14:textId="276D7A47"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4,948 </w:t>
            </w:r>
          </w:p>
        </w:tc>
      </w:tr>
      <w:tr w:rsidR="00242378" w:rsidRPr="00746703" w14:paraId="191D1885" w14:textId="77777777" w:rsidTr="00F96D8A">
        <w:trPr>
          <w:trHeight w:val="204"/>
        </w:trPr>
        <w:tc>
          <w:tcPr>
            <w:tcW w:w="5103" w:type="dxa"/>
            <w:tcBorders>
              <w:top w:val="nil"/>
              <w:left w:val="nil"/>
              <w:bottom w:val="nil"/>
              <w:right w:val="nil"/>
            </w:tcBorders>
            <w:shd w:val="clear" w:color="auto" w:fill="auto"/>
            <w:noWrap/>
            <w:vAlign w:val="bottom"/>
            <w:hideMark/>
          </w:tcPr>
          <w:p w14:paraId="52BC9F5F" w14:textId="77777777" w:rsidR="00242378" w:rsidRPr="00746703" w:rsidRDefault="00242378" w:rsidP="00242378">
            <w:pPr>
              <w:spacing w:after="0" w:line="240" w:lineRule="auto"/>
              <w:ind w:left="113"/>
              <w:jc w:val="left"/>
              <w:rPr>
                <w:rFonts w:ascii="Arial" w:hAnsi="Arial" w:cs="Arial"/>
                <w:sz w:val="16"/>
                <w:szCs w:val="16"/>
              </w:rPr>
            </w:pPr>
            <w:r w:rsidRPr="00746703">
              <w:rPr>
                <w:rFonts w:ascii="Arial" w:hAnsi="Arial" w:cs="Arial"/>
                <w:sz w:val="16"/>
                <w:szCs w:val="16"/>
              </w:rPr>
              <w:t>Non-appropriation receipts</w:t>
            </w:r>
          </w:p>
        </w:tc>
        <w:tc>
          <w:tcPr>
            <w:tcW w:w="1220" w:type="dxa"/>
            <w:tcBorders>
              <w:top w:val="nil"/>
              <w:left w:val="nil"/>
              <w:bottom w:val="nil"/>
              <w:right w:val="nil"/>
            </w:tcBorders>
            <w:shd w:val="clear" w:color="auto" w:fill="auto"/>
            <w:noWrap/>
            <w:vAlign w:val="bottom"/>
            <w:hideMark/>
          </w:tcPr>
          <w:p w14:paraId="293AEB2F" w14:textId="3C36F78D"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3,892 </w:t>
            </w:r>
          </w:p>
        </w:tc>
        <w:tc>
          <w:tcPr>
            <w:tcW w:w="1189" w:type="dxa"/>
            <w:tcBorders>
              <w:top w:val="nil"/>
              <w:left w:val="nil"/>
              <w:bottom w:val="nil"/>
              <w:right w:val="nil"/>
            </w:tcBorders>
            <w:shd w:val="clear" w:color="000000" w:fill="E6E6E6"/>
            <w:noWrap/>
            <w:vAlign w:val="bottom"/>
            <w:hideMark/>
          </w:tcPr>
          <w:p w14:paraId="545D4496" w14:textId="260CB6E9"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3,910 </w:t>
            </w:r>
          </w:p>
        </w:tc>
      </w:tr>
      <w:tr w:rsidR="00242378" w:rsidRPr="00746703" w14:paraId="143806CC" w14:textId="77777777" w:rsidTr="00F96D8A">
        <w:trPr>
          <w:trHeight w:val="204"/>
        </w:trPr>
        <w:tc>
          <w:tcPr>
            <w:tcW w:w="5103" w:type="dxa"/>
            <w:tcBorders>
              <w:top w:val="nil"/>
              <w:left w:val="nil"/>
              <w:bottom w:val="nil"/>
              <w:right w:val="nil"/>
            </w:tcBorders>
            <w:shd w:val="clear" w:color="auto" w:fill="auto"/>
            <w:noWrap/>
            <w:vAlign w:val="bottom"/>
            <w:hideMark/>
          </w:tcPr>
          <w:p w14:paraId="0C425A9F" w14:textId="77777777" w:rsidR="00242378" w:rsidRPr="00746703" w:rsidRDefault="00242378" w:rsidP="00242378">
            <w:pPr>
              <w:spacing w:after="0" w:line="240" w:lineRule="auto"/>
              <w:jc w:val="left"/>
              <w:rPr>
                <w:rFonts w:ascii="Arial" w:hAnsi="Arial" w:cs="Arial"/>
                <w:sz w:val="16"/>
                <w:szCs w:val="16"/>
              </w:rPr>
            </w:pPr>
            <w:r w:rsidRPr="00746703">
              <w:rPr>
                <w:rFonts w:ascii="Arial" w:hAnsi="Arial" w:cs="Arial"/>
                <w:sz w:val="16"/>
                <w:szCs w:val="16"/>
              </w:rPr>
              <w:t>Total special accounts</w:t>
            </w:r>
          </w:p>
        </w:tc>
        <w:tc>
          <w:tcPr>
            <w:tcW w:w="1220" w:type="dxa"/>
            <w:tcBorders>
              <w:top w:val="single" w:sz="4" w:space="0" w:color="auto"/>
              <w:left w:val="nil"/>
              <w:bottom w:val="single" w:sz="4" w:space="0" w:color="auto"/>
              <w:right w:val="nil"/>
            </w:tcBorders>
            <w:shd w:val="clear" w:color="auto" w:fill="auto"/>
            <w:noWrap/>
            <w:vAlign w:val="bottom"/>
            <w:hideMark/>
          </w:tcPr>
          <w:p w14:paraId="689B30FE" w14:textId="1A24D7AF"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13,204 </w:t>
            </w:r>
          </w:p>
        </w:tc>
        <w:tc>
          <w:tcPr>
            <w:tcW w:w="1189" w:type="dxa"/>
            <w:tcBorders>
              <w:top w:val="single" w:sz="4" w:space="0" w:color="auto"/>
              <w:left w:val="nil"/>
              <w:bottom w:val="single" w:sz="4" w:space="0" w:color="auto"/>
              <w:right w:val="nil"/>
            </w:tcBorders>
            <w:shd w:val="clear" w:color="000000" w:fill="E6E6E6"/>
            <w:noWrap/>
            <w:vAlign w:val="bottom"/>
            <w:hideMark/>
          </w:tcPr>
          <w:p w14:paraId="24B3790F" w14:textId="65BA61D8"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 xml:space="preserve">15,121 </w:t>
            </w:r>
          </w:p>
        </w:tc>
      </w:tr>
      <w:tr w:rsidR="00242378" w:rsidRPr="00746703" w14:paraId="77439E36" w14:textId="77777777" w:rsidTr="00F96D8A">
        <w:trPr>
          <w:trHeight w:val="204"/>
        </w:trPr>
        <w:tc>
          <w:tcPr>
            <w:tcW w:w="5103" w:type="dxa"/>
            <w:tcBorders>
              <w:top w:val="nil"/>
              <w:left w:val="nil"/>
              <w:bottom w:val="nil"/>
              <w:right w:val="nil"/>
            </w:tcBorders>
            <w:shd w:val="clear" w:color="auto" w:fill="auto"/>
            <w:vAlign w:val="bottom"/>
            <w:hideMark/>
          </w:tcPr>
          <w:p w14:paraId="44698B7D" w14:textId="74BAAF1B" w:rsidR="00242378" w:rsidRPr="0065791B" w:rsidRDefault="00242378" w:rsidP="00242378">
            <w:pPr>
              <w:spacing w:after="0" w:line="240" w:lineRule="auto"/>
              <w:ind w:left="113"/>
              <w:jc w:val="left"/>
              <w:rPr>
                <w:rFonts w:ascii="Arial" w:hAnsi="Arial" w:cs="Arial"/>
                <w:iCs/>
                <w:sz w:val="16"/>
                <w:szCs w:val="16"/>
              </w:rPr>
            </w:pPr>
            <w:r>
              <w:rPr>
                <w:rFonts w:ascii="Arial" w:hAnsi="Arial" w:cs="Arial"/>
                <w:iCs/>
                <w:sz w:val="16"/>
                <w:szCs w:val="16"/>
              </w:rPr>
              <w:t>less Department</w:t>
            </w:r>
            <w:r w:rsidRPr="0065791B">
              <w:rPr>
                <w:rFonts w:ascii="Arial" w:hAnsi="Arial" w:cs="Arial"/>
                <w:iCs/>
                <w:sz w:val="16"/>
                <w:szCs w:val="16"/>
              </w:rPr>
              <w:t>al appropriations drawn from annual/special appropriations and credited to special accounts</w:t>
            </w:r>
          </w:p>
        </w:tc>
        <w:tc>
          <w:tcPr>
            <w:tcW w:w="1220" w:type="dxa"/>
            <w:tcBorders>
              <w:top w:val="nil"/>
              <w:left w:val="nil"/>
              <w:bottom w:val="single" w:sz="4" w:space="0" w:color="auto"/>
              <w:right w:val="nil"/>
            </w:tcBorders>
            <w:shd w:val="clear" w:color="auto" w:fill="auto"/>
            <w:noWrap/>
            <w:vAlign w:val="bottom"/>
            <w:hideMark/>
          </w:tcPr>
          <w:p w14:paraId="201909E9" w14:textId="0C809E91" w:rsidR="00242378" w:rsidRPr="00477933" w:rsidRDefault="00242378" w:rsidP="00242378">
            <w:pPr>
              <w:spacing w:after="0" w:line="240" w:lineRule="auto"/>
              <w:jc w:val="right"/>
              <w:rPr>
                <w:rFonts w:ascii="Arial" w:hAnsi="Arial" w:cs="Arial"/>
                <w:iCs/>
                <w:sz w:val="16"/>
                <w:szCs w:val="16"/>
              </w:rPr>
            </w:pPr>
            <w:r>
              <w:rPr>
                <w:rFonts w:ascii="Arial" w:hAnsi="Arial" w:cs="Arial"/>
                <w:sz w:val="16"/>
                <w:szCs w:val="16"/>
              </w:rPr>
              <w:t>(5,011)</w:t>
            </w:r>
          </w:p>
        </w:tc>
        <w:tc>
          <w:tcPr>
            <w:tcW w:w="1189" w:type="dxa"/>
            <w:tcBorders>
              <w:top w:val="nil"/>
              <w:left w:val="nil"/>
              <w:bottom w:val="nil"/>
              <w:right w:val="nil"/>
            </w:tcBorders>
            <w:shd w:val="clear" w:color="000000" w:fill="E6E6E6"/>
            <w:noWrap/>
            <w:vAlign w:val="bottom"/>
            <w:hideMark/>
          </w:tcPr>
          <w:p w14:paraId="7B9DFEC4" w14:textId="3D05F142" w:rsidR="00242378" w:rsidRPr="00477933" w:rsidRDefault="00242378" w:rsidP="00242378">
            <w:pPr>
              <w:spacing w:after="0" w:line="240" w:lineRule="auto"/>
              <w:jc w:val="right"/>
              <w:rPr>
                <w:rFonts w:ascii="Arial" w:hAnsi="Arial" w:cs="Arial"/>
                <w:sz w:val="16"/>
                <w:szCs w:val="16"/>
              </w:rPr>
            </w:pPr>
            <w:r>
              <w:rPr>
                <w:rFonts w:ascii="Arial" w:hAnsi="Arial" w:cs="Arial"/>
                <w:sz w:val="16"/>
                <w:szCs w:val="16"/>
              </w:rPr>
              <w:t>(4,948)</w:t>
            </w:r>
          </w:p>
        </w:tc>
      </w:tr>
      <w:tr w:rsidR="00242378" w:rsidRPr="00746703" w14:paraId="4C600725" w14:textId="77777777" w:rsidTr="00F96D8A">
        <w:trPr>
          <w:trHeight w:val="204"/>
        </w:trPr>
        <w:tc>
          <w:tcPr>
            <w:tcW w:w="5103" w:type="dxa"/>
            <w:tcBorders>
              <w:top w:val="nil"/>
              <w:left w:val="nil"/>
              <w:bottom w:val="single" w:sz="4" w:space="0" w:color="auto"/>
              <w:right w:val="nil"/>
            </w:tcBorders>
            <w:shd w:val="clear" w:color="auto" w:fill="auto"/>
            <w:noWrap/>
            <w:vAlign w:val="bottom"/>
            <w:hideMark/>
          </w:tcPr>
          <w:p w14:paraId="781964F1" w14:textId="0054A44B" w:rsidR="00242378" w:rsidRPr="00746703" w:rsidRDefault="00242378" w:rsidP="00242378">
            <w:pPr>
              <w:spacing w:after="0" w:line="240" w:lineRule="auto"/>
              <w:jc w:val="left"/>
              <w:rPr>
                <w:rFonts w:ascii="Arial" w:hAnsi="Arial" w:cs="Arial"/>
                <w:b/>
                <w:bCs/>
                <w:sz w:val="16"/>
                <w:szCs w:val="16"/>
              </w:rPr>
            </w:pPr>
            <w:r>
              <w:rPr>
                <w:rFonts w:ascii="Arial" w:hAnsi="Arial" w:cs="Arial"/>
                <w:b/>
                <w:bCs/>
                <w:sz w:val="16"/>
                <w:szCs w:val="16"/>
              </w:rPr>
              <w:t>Total Department</w:t>
            </w:r>
            <w:r w:rsidRPr="00746703">
              <w:rPr>
                <w:rFonts w:ascii="Arial" w:hAnsi="Arial" w:cs="Arial"/>
                <w:b/>
                <w:bCs/>
                <w:sz w:val="16"/>
                <w:szCs w:val="16"/>
              </w:rPr>
              <w:t>al resourcing</w:t>
            </w:r>
          </w:p>
        </w:tc>
        <w:tc>
          <w:tcPr>
            <w:tcW w:w="1220" w:type="dxa"/>
            <w:tcBorders>
              <w:top w:val="nil"/>
              <w:left w:val="nil"/>
              <w:bottom w:val="single" w:sz="4" w:space="0" w:color="auto"/>
              <w:right w:val="nil"/>
            </w:tcBorders>
            <w:shd w:val="clear" w:color="auto" w:fill="auto"/>
            <w:noWrap/>
            <w:vAlign w:val="bottom"/>
            <w:hideMark/>
          </w:tcPr>
          <w:p w14:paraId="01425DFA" w14:textId="6F81152C" w:rsidR="00242378" w:rsidRPr="00477933" w:rsidRDefault="00242378" w:rsidP="00242378">
            <w:pPr>
              <w:spacing w:after="0" w:line="240" w:lineRule="auto"/>
              <w:jc w:val="right"/>
              <w:rPr>
                <w:rFonts w:ascii="Arial" w:hAnsi="Arial" w:cs="Arial"/>
                <w:b/>
                <w:bCs/>
                <w:iCs/>
                <w:sz w:val="16"/>
                <w:szCs w:val="16"/>
              </w:rPr>
            </w:pPr>
            <w:r>
              <w:rPr>
                <w:rFonts w:ascii="Arial" w:hAnsi="Arial" w:cs="Arial"/>
                <w:b/>
                <w:bCs/>
                <w:sz w:val="16"/>
                <w:szCs w:val="16"/>
              </w:rPr>
              <w:t xml:space="preserve">590,091 </w:t>
            </w:r>
          </w:p>
        </w:tc>
        <w:tc>
          <w:tcPr>
            <w:tcW w:w="1189" w:type="dxa"/>
            <w:tcBorders>
              <w:top w:val="single" w:sz="4" w:space="0" w:color="auto"/>
              <w:left w:val="nil"/>
              <w:bottom w:val="single" w:sz="4" w:space="0" w:color="auto"/>
              <w:right w:val="nil"/>
            </w:tcBorders>
            <w:shd w:val="clear" w:color="000000" w:fill="E6E6E6"/>
            <w:noWrap/>
            <w:vAlign w:val="bottom"/>
            <w:hideMark/>
          </w:tcPr>
          <w:p w14:paraId="6A1BED00" w14:textId="59D9C36F" w:rsidR="00242378" w:rsidRPr="00477933" w:rsidRDefault="00242378" w:rsidP="00242378">
            <w:pPr>
              <w:spacing w:after="0" w:line="240" w:lineRule="auto"/>
              <w:jc w:val="right"/>
              <w:rPr>
                <w:rFonts w:ascii="Arial" w:hAnsi="Arial" w:cs="Arial"/>
                <w:b/>
                <w:bCs/>
                <w:sz w:val="16"/>
                <w:szCs w:val="16"/>
              </w:rPr>
            </w:pPr>
            <w:r>
              <w:rPr>
                <w:rFonts w:ascii="Arial" w:hAnsi="Arial" w:cs="Arial"/>
                <w:b/>
                <w:bCs/>
                <w:sz w:val="16"/>
                <w:szCs w:val="16"/>
              </w:rPr>
              <w:t xml:space="preserve">653,896 </w:t>
            </w:r>
          </w:p>
        </w:tc>
      </w:tr>
    </w:tbl>
    <w:p w14:paraId="1AFEFC32" w14:textId="77777777" w:rsidR="00B91F3E" w:rsidRPr="00746703" w:rsidRDefault="00B91F3E" w:rsidP="00B91F3E"/>
    <w:p w14:paraId="431DD744" w14:textId="1AE12BF2" w:rsidR="00B91F3E" w:rsidRPr="00632EEF" w:rsidRDefault="00B91F3E" w:rsidP="00B91F3E">
      <w:pPr>
        <w:pStyle w:val="TableHeading"/>
        <w:rPr>
          <w:lang w:val="en-AU"/>
        </w:rPr>
      </w:pPr>
      <w:r>
        <w:br w:type="page"/>
      </w:r>
      <w:r w:rsidRPr="00D44150">
        <w:lastRenderedPageBreak/>
        <w:t xml:space="preserve">Table 1.1: </w:t>
      </w:r>
      <w:r w:rsidR="003C4CC6">
        <w:rPr>
          <w:lang w:val="en-US"/>
        </w:rPr>
        <w:t>Department</w:t>
      </w:r>
      <w:r>
        <w:rPr>
          <w:lang w:val="en-US"/>
        </w:rPr>
        <w:t xml:space="preserve"> of Infrastructure, Transport, Regional Development and Communications</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 2022 (continued)</w:t>
      </w:r>
    </w:p>
    <w:tbl>
      <w:tblPr>
        <w:tblW w:w="0" w:type="auto"/>
        <w:tblLayout w:type="fixed"/>
        <w:tblLook w:val="04A0" w:firstRow="1" w:lastRow="0" w:firstColumn="1" w:lastColumn="0" w:noHBand="0" w:noVBand="1"/>
      </w:tblPr>
      <w:tblGrid>
        <w:gridCol w:w="5387"/>
        <w:gridCol w:w="1220"/>
        <w:gridCol w:w="1080"/>
      </w:tblGrid>
      <w:tr w:rsidR="00B91F3E" w:rsidRPr="00E44F3D" w14:paraId="244BB5A9" w14:textId="77777777" w:rsidTr="00F96D8A">
        <w:trPr>
          <w:trHeight w:val="204"/>
        </w:trPr>
        <w:tc>
          <w:tcPr>
            <w:tcW w:w="5387" w:type="dxa"/>
            <w:tcBorders>
              <w:top w:val="single" w:sz="4" w:space="0" w:color="auto"/>
              <w:left w:val="nil"/>
              <w:bottom w:val="nil"/>
              <w:right w:val="nil"/>
            </w:tcBorders>
            <w:shd w:val="clear" w:color="auto" w:fill="auto"/>
            <w:noWrap/>
            <w:vAlign w:val="bottom"/>
            <w:hideMark/>
          </w:tcPr>
          <w:p w14:paraId="6AD82205" w14:textId="77777777" w:rsidR="00B91F3E" w:rsidRPr="00E44F3D" w:rsidRDefault="00B91F3E" w:rsidP="00F96D8A">
            <w:pPr>
              <w:spacing w:after="0" w:line="240" w:lineRule="auto"/>
              <w:jc w:val="left"/>
              <w:rPr>
                <w:rFonts w:ascii="Arial" w:hAnsi="Arial" w:cs="Arial"/>
                <w:sz w:val="18"/>
                <w:szCs w:val="18"/>
              </w:rPr>
            </w:pPr>
            <w:r w:rsidRPr="00E44F3D">
              <w:rPr>
                <w:rFonts w:ascii="Arial" w:hAnsi="Arial" w:cs="Arial"/>
                <w:sz w:val="18"/>
                <w:szCs w:val="18"/>
              </w:rPr>
              <w:t> </w:t>
            </w:r>
          </w:p>
        </w:tc>
        <w:tc>
          <w:tcPr>
            <w:tcW w:w="1220" w:type="dxa"/>
            <w:tcBorders>
              <w:top w:val="single" w:sz="4" w:space="0" w:color="auto"/>
              <w:left w:val="nil"/>
              <w:bottom w:val="single" w:sz="4" w:space="0" w:color="auto"/>
              <w:right w:val="nil"/>
            </w:tcBorders>
            <w:shd w:val="clear" w:color="000000" w:fill="FFFFFF"/>
            <w:vAlign w:val="bottom"/>
            <w:hideMark/>
          </w:tcPr>
          <w:p w14:paraId="009DFD40" w14:textId="2012970E" w:rsidR="00B91F3E" w:rsidRPr="004B59BE" w:rsidRDefault="00B91F3E" w:rsidP="00D10AB6">
            <w:pPr>
              <w:spacing w:after="0" w:line="240" w:lineRule="auto"/>
              <w:jc w:val="right"/>
              <w:rPr>
                <w:rFonts w:ascii="Arial" w:hAnsi="Arial" w:cs="Arial"/>
                <w:iCs/>
                <w:color w:val="000000"/>
                <w:sz w:val="16"/>
                <w:szCs w:val="16"/>
              </w:rPr>
            </w:pPr>
            <w:r w:rsidRPr="004B59BE">
              <w:rPr>
                <w:rFonts w:ascii="Arial" w:hAnsi="Arial" w:cs="Arial"/>
                <w:iCs/>
                <w:color w:val="000000"/>
                <w:sz w:val="16"/>
                <w:szCs w:val="16"/>
              </w:rPr>
              <w:t>2021-22</w:t>
            </w:r>
            <w:r w:rsidR="00D10AB6" w:rsidRPr="004B59BE">
              <w:rPr>
                <w:rFonts w:ascii="Arial" w:hAnsi="Arial" w:cs="Arial"/>
                <w:iCs/>
                <w:color w:val="000000"/>
                <w:sz w:val="16"/>
                <w:szCs w:val="16"/>
                <w:vertAlign w:val="superscript"/>
              </w:rPr>
              <w:t>(a)</w:t>
            </w:r>
            <w:r w:rsidR="00D10AB6" w:rsidRPr="004B59BE">
              <w:rPr>
                <w:rFonts w:ascii="Arial" w:hAnsi="Arial" w:cs="Arial"/>
                <w:iCs/>
                <w:color w:val="000000"/>
                <w:sz w:val="16"/>
                <w:szCs w:val="16"/>
              </w:rPr>
              <w:t xml:space="preserve"> </w:t>
            </w:r>
            <w:r w:rsidRPr="004B59BE">
              <w:rPr>
                <w:rFonts w:ascii="Arial" w:hAnsi="Arial" w:cs="Arial"/>
                <w:iCs/>
                <w:color w:val="000000"/>
                <w:sz w:val="16"/>
                <w:szCs w:val="16"/>
              </w:rPr>
              <w:t>Estimated actual</w:t>
            </w:r>
            <w:r w:rsidRPr="004B59BE">
              <w:rPr>
                <w:rFonts w:ascii="Arial" w:hAnsi="Arial" w:cs="Arial"/>
                <w:iCs/>
                <w:color w:val="000000"/>
                <w:sz w:val="16"/>
                <w:szCs w:val="16"/>
              </w:rPr>
              <w:br/>
              <w:t>$'000</w:t>
            </w:r>
          </w:p>
        </w:tc>
        <w:tc>
          <w:tcPr>
            <w:tcW w:w="1080" w:type="dxa"/>
            <w:tcBorders>
              <w:top w:val="single" w:sz="4" w:space="0" w:color="auto"/>
              <w:left w:val="nil"/>
              <w:bottom w:val="single" w:sz="4" w:space="0" w:color="auto"/>
              <w:right w:val="nil"/>
            </w:tcBorders>
            <w:shd w:val="clear" w:color="000000" w:fill="E6E6E6"/>
            <w:vAlign w:val="bottom"/>
            <w:hideMark/>
          </w:tcPr>
          <w:p w14:paraId="48093539" w14:textId="77777777" w:rsidR="00B91F3E" w:rsidRPr="00E44F3D" w:rsidRDefault="00B91F3E" w:rsidP="00F96D8A">
            <w:pPr>
              <w:spacing w:after="0" w:line="240" w:lineRule="auto"/>
              <w:jc w:val="right"/>
              <w:rPr>
                <w:rFonts w:ascii="Arial" w:hAnsi="Arial" w:cs="Arial"/>
                <w:color w:val="000000"/>
                <w:sz w:val="16"/>
                <w:szCs w:val="16"/>
              </w:rPr>
            </w:pPr>
            <w:r w:rsidRPr="00E44F3D">
              <w:rPr>
                <w:rFonts w:ascii="Arial" w:hAnsi="Arial" w:cs="Arial"/>
                <w:color w:val="000000"/>
                <w:sz w:val="16"/>
                <w:szCs w:val="16"/>
              </w:rPr>
              <w:t>2022-23 Estimate</w:t>
            </w:r>
            <w:r w:rsidRPr="00E44F3D">
              <w:rPr>
                <w:rFonts w:ascii="Arial" w:hAnsi="Arial" w:cs="Arial"/>
                <w:color w:val="000000"/>
                <w:sz w:val="16"/>
                <w:szCs w:val="16"/>
              </w:rPr>
              <w:br/>
            </w:r>
            <w:r w:rsidRPr="00E44F3D">
              <w:rPr>
                <w:rFonts w:ascii="Arial" w:hAnsi="Arial" w:cs="Arial"/>
                <w:color w:val="000000"/>
                <w:sz w:val="16"/>
                <w:szCs w:val="16"/>
              </w:rPr>
              <w:br/>
              <w:t>$'000</w:t>
            </w:r>
          </w:p>
        </w:tc>
      </w:tr>
      <w:tr w:rsidR="00B91F3E" w:rsidRPr="00232D5E" w14:paraId="52E2995A" w14:textId="77777777" w:rsidTr="00F96D8A">
        <w:trPr>
          <w:trHeight w:val="204"/>
        </w:trPr>
        <w:tc>
          <w:tcPr>
            <w:tcW w:w="5387" w:type="dxa"/>
            <w:tcBorders>
              <w:top w:val="nil"/>
              <w:left w:val="nil"/>
              <w:bottom w:val="nil"/>
              <w:right w:val="nil"/>
            </w:tcBorders>
            <w:shd w:val="clear" w:color="auto" w:fill="auto"/>
            <w:noWrap/>
            <w:vAlign w:val="bottom"/>
            <w:hideMark/>
          </w:tcPr>
          <w:p w14:paraId="0784CD32" w14:textId="77777777" w:rsidR="00B91F3E" w:rsidRPr="00232D5E" w:rsidRDefault="00B91F3E" w:rsidP="00F96D8A">
            <w:pPr>
              <w:spacing w:after="0" w:line="240" w:lineRule="auto"/>
              <w:jc w:val="left"/>
              <w:rPr>
                <w:rFonts w:ascii="Arial" w:hAnsi="Arial" w:cs="Arial"/>
                <w:b/>
                <w:bCs/>
                <w:sz w:val="16"/>
                <w:szCs w:val="16"/>
              </w:rPr>
            </w:pPr>
            <w:r w:rsidRPr="00232D5E">
              <w:rPr>
                <w:rFonts w:ascii="Arial" w:hAnsi="Arial" w:cs="Arial"/>
                <w:b/>
                <w:bCs/>
                <w:sz w:val="16"/>
                <w:szCs w:val="16"/>
              </w:rPr>
              <w:t>Administered</w:t>
            </w:r>
          </w:p>
        </w:tc>
        <w:tc>
          <w:tcPr>
            <w:tcW w:w="1220" w:type="dxa"/>
            <w:tcBorders>
              <w:top w:val="nil"/>
              <w:left w:val="nil"/>
              <w:bottom w:val="nil"/>
              <w:right w:val="nil"/>
            </w:tcBorders>
            <w:shd w:val="clear" w:color="auto" w:fill="auto"/>
            <w:noWrap/>
            <w:vAlign w:val="bottom"/>
            <w:hideMark/>
          </w:tcPr>
          <w:p w14:paraId="0CC09E81" w14:textId="77777777" w:rsidR="00B91F3E" w:rsidRPr="004B59BE" w:rsidRDefault="00B91F3E" w:rsidP="00F96D8A">
            <w:pPr>
              <w:spacing w:after="0" w:line="240" w:lineRule="auto"/>
              <w:jc w:val="right"/>
              <w:rPr>
                <w:rFonts w:ascii="Arial" w:hAnsi="Arial" w:cs="Arial"/>
                <w:b/>
                <w:bCs/>
                <w:sz w:val="16"/>
                <w:szCs w:val="16"/>
              </w:rPr>
            </w:pPr>
          </w:p>
        </w:tc>
        <w:tc>
          <w:tcPr>
            <w:tcW w:w="1080" w:type="dxa"/>
            <w:tcBorders>
              <w:top w:val="nil"/>
              <w:left w:val="nil"/>
              <w:bottom w:val="nil"/>
              <w:right w:val="nil"/>
            </w:tcBorders>
            <w:shd w:val="clear" w:color="000000" w:fill="E6E6E6"/>
            <w:noWrap/>
            <w:vAlign w:val="bottom"/>
            <w:hideMark/>
          </w:tcPr>
          <w:p w14:paraId="548D7C33" w14:textId="77777777" w:rsidR="00B91F3E" w:rsidRPr="00232D5E" w:rsidRDefault="00B91F3E" w:rsidP="00F96D8A">
            <w:pPr>
              <w:spacing w:after="0" w:line="240" w:lineRule="auto"/>
              <w:jc w:val="right"/>
              <w:rPr>
                <w:rFonts w:ascii="Arial" w:hAnsi="Arial" w:cs="Arial"/>
                <w:sz w:val="18"/>
                <w:szCs w:val="18"/>
              </w:rPr>
            </w:pPr>
          </w:p>
        </w:tc>
      </w:tr>
      <w:tr w:rsidR="00B91F3E" w:rsidRPr="00232D5E" w14:paraId="695B593D" w14:textId="77777777" w:rsidTr="00F96D8A">
        <w:trPr>
          <w:trHeight w:val="204"/>
        </w:trPr>
        <w:tc>
          <w:tcPr>
            <w:tcW w:w="5387" w:type="dxa"/>
            <w:tcBorders>
              <w:top w:val="nil"/>
              <w:left w:val="nil"/>
              <w:bottom w:val="nil"/>
              <w:right w:val="nil"/>
            </w:tcBorders>
            <w:shd w:val="clear" w:color="auto" w:fill="auto"/>
            <w:noWrap/>
            <w:vAlign w:val="bottom"/>
            <w:hideMark/>
          </w:tcPr>
          <w:p w14:paraId="5A21EFF4" w14:textId="77777777" w:rsidR="00B91F3E" w:rsidRPr="00232D5E" w:rsidRDefault="00B91F3E" w:rsidP="00F96D8A">
            <w:pPr>
              <w:spacing w:after="0" w:line="240" w:lineRule="auto"/>
              <w:jc w:val="left"/>
              <w:rPr>
                <w:rFonts w:ascii="Arial" w:hAnsi="Arial" w:cs="Arial"/>
                <w:sz w:val="16"/>
                <w:szCs w:val="16"/>
              </w:rPr>
            </w:pPr>
            <w:r w:rsidRPr="00232D5E">
              <w:rPr>
                <w:rFonts w:ascii="Arial" w:hAnsi="Arial" w:cs="Arial"/>
                <w:sz w:val="16"/>
                <w:szCs w:val="16"/>
              </w:rPr>
              <w:t xml:space="preserve">Annual appropriations - ordinary annual services </w:t>
            </w:r>
            <w:r w:rsidRPr="00232D5E">
              <w:rPr>
                <w:rFonts w:ascii="Arial" w:hAnsi="Arial" w:cs="Arial"/>
                <w:sz w:val="16"/>
                <w:szCs w:val="16"/>
                <w:vertAlign w:val="superscript"/>
              </w:rPr>
              <w:t>(b)</w:t>
            </w:r>
          </w:p>
        </w:tc>
        <w:tc>
          <w:tcPr>
            <w:tcW w:w="1220" w:type="dxa"/>
            <w:tcBorders>
              <w:top w:val="nil"/>
              <w:left w:val="nil"/>
              <w:bottom w:val="nil"/>
              <w:right w:val="nil"/>
            </w:tcBorders>
            <w:shd w:val="clear" w:color="auto" w:fill="auto"/>
            <w:noWrap/>
            <w:vAlign w:val="bottom"/>
            <w:hideMark/>
          </w:tcPr>
          <w:p w14:paraId="62FF50CF" w14:textId="77777777" w:rsidR="00B91F3E" w:rsidRPr="004B59BE" w:rsidRDefault="00B91F3E" w:rsidP="00F96D8A">
            <w:pPr>
              <w:spacing w:after="0" w:line="240" w:lineRule="auto"/>
              <w:jc w:val="right"/>
              <w:rPr>
                <w:rFonts w:ascii="Arial" w:hAnsi="Arial" w:cs="Arial"/>
                <w:sz w:val="16"/>
                <w:szCs w:val="16"/>
              </w:rPr>
            </w:pPr>
          </w:p>
        </w:tc>
        <w:tc>
          <w:tcPr>
            <w:tcW w:w="1080" w:type="dxa"/>
            <w:tcBorders>
              <w:top w:val="nil"/>
              <w:left w:val="nil"/>
              <w:bottom w:val="nil"/>
              <w:right w:val="nil"/>
            </w:tcBorders>
            <w:shd w:val="clear" w:color="000000" w:fill="E6E6E6"/>
            <w:noWrap/>
            <w:vAlign w:val="bottom"/>
            <w:hideMark/>
          </w:tcPr>
          <w:p w14:paraId="77CC07FC" w14:textId="77777777" w:rsidR="00B91F3E" w:rsidRPr="00232D5E" w:rsidRDefault="00B91F3E" w:rsidP="00F96D8A">
            <w:pPr>
              <w:spacing w:after="0" w:line="240" w:lineRule="auto"/>
              <w:jc w:val="right"/>
              <w:rPr>
                <w:rFonts w:ascii="Arial" w:hAnsi="Arial" w:cs="Arial"/>
                <w:sz w:val="16"/>
                <w:szCs w:val="16"/>
              </w:rPr>
            </w:pPr>
          </w:p>
        </w:tc>
      </w:tr>
      <w:tr w:rsidR="00242378" w:rsidRPr="00232D5E" w14:paraId="3BD6B10D" w14:textId="77777777" w:rsidTr="00F96D8A">
        <w:trPr>
          <w:trHeight w:val="204"/>
        </w:trPr>
        <w:tc>
          <w:tcPr>
            <w:tcW w:w="5387" w:type="dxa"/>
            <w:tcBorders>
              <w:top w:val="nil"/>
              <w:left w:val="nil"/>
              <w:bottom w:val="nil"/>
              <w:right w:val="nil"/>
            </w:tcBorders>
            <w:shd w:val="clear" w:color="auto" w:fill="auto"/>
            <w:noWrap/>
            <w:vAlign w:val="bottom"/>
            <w:hideMark/>
          </w:tcPr>
          <w:p w14:paraId="707B5B63"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Prior year appropriations available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476DEA30" w14:textId="2665A223"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1,378,934 </w:t>
            </w:r>
          </w:p>
        </w:tc>
        <w:tc>
          <w:tcPr>
            <w:tcW w:w="1080" w:type="dxa"/>
            <w:tcBorders>
              <w:top w:val="nil"/>
              <w:left w:val="nil"/>
              <w:bottom w:val="nil"/>
              <w:right w:val="nil"/>
            </w:tcBorders>
            <w:shd w:val="clear" w:color="000000" w:fill="E6E6E6"/>
            <w:noWrap/>
            <w:vAlign w:val="bottom"/>
            <w:hideMark/>
          </w:tcPr>
          <w:p w14:paraId="5EBE0BC7" w14:textId="29EACE72"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1,976,260 </w:t>
            </w:r>
          </w:p>
        </w:tc>
      </w:tr>
      <w:tr w:rsidR="00242378" w:rsidRPr="00232D5E" w14:paraId="0A53299C" w14:textId="77777777" w:rsidTr="00F96D8A">
        <w:trPr>
          <w:trHeight w:val="204"/>
        </w:trPr>
        <w:tc>
          <w:tcPr>
            <w:tcW w:w="5387" w:type="dxa"/>
            <w:tcBorders>
              <w:top w:val="nil"/>
              <w:left w:val="nil"/>
              <w:bottom w:val="nil"/>
              <w:right w:val="nil"/>
            </w:tcBorders>
            <w:shd w:val="clear" w:color="auto" w:fill="auto"/>
            <w:noWrap/>
            <w:vAlign w:val="bottom"/>
            <w:hideMark/>
          </w:tcPr>
          <w:p w14:paraId="36531ECF"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1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2DD1B1EF" w14:textId="5A17A4E9"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346,788 </w:t>
            </w:r>
          </w:p>
        </w:tc>
        <w:tc>
          <w:tcPr>
            <w:tcW w:w="1080" w:type="dxa"/>
            <w:tcBorders>
              <w:top w:val="nil"/>
              <w:left w:val="nil"/>
              <w:bottom w:val="nil"/>
              <w:right w:val="nil"/>
            </w:tcBorders>
            <w:shd w:val="clear" w:color="000000" w:fill="E6E6E6"/>
            <w:noWrap/>
            <w:vAlign w:val="bottom"/>
            <w:hideMark/>
          </w:tcPr>
          <w:p w14:paraId="60A3E348" w14:textId="22C8E57E"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202,611 </w:t>
            </w:r>
          </w:p>
        </w:tc>
      </w:tr>
      <w:tr w:rsidR="00242378" w:rsidRPr="00232D5E" w14:paraId="51EDFEE9" w14:textId="77777777" w:rsidTr="00F96D8A">
        <w:trPr>
          <w:trHeight w:val="204"/>
        </w:trPr>
        <w:tc>
          <w:tcPr>
            <w:tcW w:w="5387" w:type="dxa"/>
            <w:tcBorders>
              <w:top w:val="nil"/>
              <w:left w:val="nil"/>
              <w:bottom w:val="nil"/>
              <w:right w:val="nil"/>
            </w:tcBorders>
            <w:shd w:val="clear" w:color="auto" w:fill="auto"/>
            <w:noWrap/>
            <w:vAlign w:val="bottom"/>
            <w:hideMark/>
          </w:tcPr>
          <w:p w14:paraId="33700117"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2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6AE6AAC4" w14:textId="256869A9"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1,104,484 </w:t>
            </w:r>
          </w:p>
        </w:tc>
        <w:tc>
          <w:tcPr>
            <w:tcW w:w="1080" w:type="dxa"/>
            <w:tcBorders>
              <w:top w:val="nil"/>
              <w:left w:val="nil"/>
              <w:bottom w:val="nil"/>
              <w:right w:val="nil"/>
            </w:tcBorders>
            <w:shd w:val="clear" w:color="000000" w:fill="E6E6E6"/>
            <w:noWrap/>
            <w:vAlign w:val="bottom"/>
            <w:hideMark/>
          </w:tcPr>
          <w:p w14:paraId="2E32121F" w14:textId="6AA0C1D1"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345,652 </w:t>
            </w:r>
          </w:p>
        </w:tc>
      </w:tr>
      <w:tr w:rsidR="00242378" w:rsidRPr="00232D5E" w14:paraId="6420C8BD" w14:textId="77777777" w:rsidTr="00F96D8A">
        <w:trPr>
          <w:trHeight w:val="204"/>
        </w:trPr>
        <w:tc>
          <w:tcPr>
            <w:tcW w:w="5387" w:type="dxa"/>
            <w:tcBorders>
              <w:top w:val="nil"/>
              <w:left w:val="nil"/>
              <w:bottom w:val="nil"/>
              <w:right w:val="nil"/>
            </w:tcBorders>
            <w:shd w:val="clear" w:color="auto" w:fill="auto"/>
            <w:noWrap/>
            <w:vAlign w:val="bottom"/>
            <w:hideMark/>
          </w:tcPr>
          <w:p w14:paraId="32590DB5" w14:textId="77777777" w:rsidR="00242378" w:rsidRPr="000555C9" w:rsidRDefault="00242378" w:rsidP="00242378">
            <w:pPr>
              <w:spacing w:after="0" w:line="240" w:lineRule="auto"/>
              <w:ind w:firstLineChars="100" w:firstLine="160"/>
              <w:jc w:val="left"/>
              <w:rPr>
                <w:rFonts w:ascii="Arial" w:hAnsi="Arial" w:cs="Arial"/>
                <w:sz w:val="16"/>
                <w:szCs w:val="16"/>
              </w:rPr>
            </w:pPr>
            <w:r w:rsidRPr="000555C9">
              <w:rPr>
                <w:rFonts w:ascii="Arial" w:hAnsi="Arial" w:cs="Arial"/>
                <w:sz w:val="16"/>
                <w:szCs w:val="16"/>
              </w:rPr>
              <w:t xml:space="preserve">Outcome 3 </w:t>
            </w:r>
            <w:r w:rsidRPr="000555C9">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1D6FA329" w14:textId="7131F782"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637,924 </w:t>
            </w:r>
          </w:p>
        </w:tc>
        <w:tc>
          <w:tcPr>
            <w:tcW w:w="1080" w:type="dxa"/>
            <w:tcBorders>
              <w:top w:val="nil"/>
              <w:left w:val="nil"/>
              <w:bottom w:val="nil"/>
              <w:right w:val="nil"/>
            </w:tcBorders>
            <w:shd w:val="clear" w:color="000000" w:fill="E6E6E6"/>
            <w:noWrap/>
            <w:vAlign w:val="bottom"/>
            <w:hideMark/>
          </w:tcPr>
          <w:p w14:paraId="5ED31D88" w14:textId="50949BD1"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1,636,448 </w:t>
            </w:r>
          </w:p>
        </w:tc>
      </w:tr>
      <w:tr w:rsidR="00242378" w:rsidRPr="00232D5E" w14:paraId="2B1C5946" w14:textId="77777777" w:rsidTr="00F96D8A">
        <w:trPr>
          <w:trHeight w:val="204"/>
        </w:trPr>
        <w:tc>
          <w:tcPr>
            <w:tcW w:w="5387" w:type="dxa"/>
            <w:tcBorders>
              <w:top w:val="nil"/>
              <w:left w:val="nil"/>
              <w:bottom w:val="nil"/>
              <w:right w:val="nil"/>
            </w:tcBorders>
            <w:shd w:val="clear" w:color="auto" w:fill="auto"/>
            <w:noWrap/>
            <w:vAlign w:val="bottom"/>
            <w:hideMark/>
          </w:tcPr>
          <w:p w14:paraId="58C1EECC"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4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22F2F6C8" w14:textId="29751A36"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175,709 </w:t>
            </w:r>
          </w:p>
        </w:tc>
        <w:tc>
          <w:tcPr>
            <w:tcW w:w="1080" w:type="dxa"/>
            <w:tcBorders>
              <w:top w:val="nil"/>
              <w:left w:val="nil"/>
              <w:bottom w:val="nil"/>
              <w:right w:val="nil"/>
            </w:tcBorders>
            <w:shd w:val="clear" w:color="000000" w:fill="E6E6E6"/>
            <w:noWrap/>
            <w:vAlign w:val="bottom"/>
            <w:hideMark/>
          </w:tcPr>
          <w:p w14:paraId="5DF214FF" w14:textId="73729EE2"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193,064 </w:t>
            </w:r>
          </w:p>
        </w:tc>
      </w:tr>
      <w:tr w:rsidR="00242378" w:rsidRPr="00232D5E" w14:paraId="1CEB13CA" w14:textId="77777777" w:rsidTr="00F96D8A">
        <w:trPr>
          <w:trHeight w:val="204"/>
        </w:trPr>
        <w:tc>
          <w:tcPr>
            <w:tcW w:w="5387" w:type="dxa"/>
            <w:tcBorders>
              <w:top w:val="nil"/>
              <w:left w:val="nil"/>
              <w:bottom w:val="nil"/>
              <w:right w:val="nil"/>
            </w:tcBorders>
            <w:shd w:val="clear" w:color="auto" w:fill="auto"/>
            <w:noWrap/>
            <w:vAlign w:val="bottom"/>
            <w:hideMark/>
          </w:tcPr>
          <w:p w14:paraId="799995B6"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5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14116BAB" w14:textId="121F5F78"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309,369 </w:t>
            </w:r>
          </w:p>
        </w:tc>
        <w:tc>
          <w:tcPr>
            <w:tcW w:w="1080" w:type="dxa"/>
            <w:tcBorders>
              <w:top w:val="nil"/>
              <w:left w:val="nil"/>
              <w:bottom w:val="nil"/>
              <w:right w:val="nil"/>
            </w:tcBorders>
            <w:shd w:val="clear" w:color="000000" w:fill="E6E6E6"/>
            <w:noWrap/>
            <w:vAlign w:val="bottom"/>
            <w:hideMark/>
          </w:tcPr>
          <w:p w14:paraId="7B5C3F08" w14:textId="4B15AA21"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434,348 </w:t>
            </w:r>
          </w:p>
        </w:tc>
      </w:tr>
      <w:tr w:rsidR="00242378" w:rsidRPr="00232D5E" w14:paraId="762C9694" w14:textId="77777777" w:rsidTr="00F96D8A">
        <w:trPr>
          <w:trHeight w:val="204"/>
        </w:trPr>
        <w:tc>
          <w:tcPr>
            <w:tcW w:w="5387" w:type="dxa"/>
            <w:tcBorders>
              <w:top w:val="nil"/>
              <w:left w:val="nil"/>
              <w:bottom w:val="nil"/>
              <w:right w:val="nil"/>
            </w:tcBorders>
            <w:shd w:val="clear" w:color="auto" w:fill="auto"/>
            <w:noWrap/>
            <w:vAlign w:val="bottom"/>
            <w:hideMark/>
          </w:tcPr>
          <w:p w14:paraId="0162E5DB"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6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4A18C23F" w14:textId="5D63AE86"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430,263 </w:t>
            </w:r>
          </w:p>
        </w:tc>
        <w:tc>
          <w:tcPr>
            <w:tcW w:w="1080" w:type="dxa"/>
            <w:tcBorders>
              <w:top w:val="nil"/>
              <w:left w:val="nil"/>
              <w:bottom w:val="nil"/>
              <w:right w:val="nil"/>
            </w:tcBorders>
            <w:shd w:val="clear" w:color="000000" w:fill="E6E6E6"/>
            <w:noWrap/>
            <w:vAlign w:val="bottom"/>
            <w:hideMark/>
          </w:tcPr>
          <w:p w14:paraId="32E0D3DD" w14:textId="16447292"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299,163 </w:t>
            </w:r>
          </w:p>
        </w:tc>
      </w:tr>
      <w:tr w:rsidR="00242378" w:rsidRPr="00232D5E" w14:paraId="0F282FC3" w14:textId="77777777" w:rsidTr="00F96D8A">
        <w:trPr>
          <w:trHeight w:val="204"/>
        </w:trPr>
        <w:tc>
          <w:tcPr>
            <w:tcW w:w="5387" w:type="dxa"/>
            <w:tcBorders>
              <w:top w:val="nil"/>
              <w:left w:val="nil"/>
              <w:bottom w:val="nil"/>
              <w:right w:val="nil"/>
            </w:tcBorders>
            <w:shd w:val="clear" w:color="auto" w:fill="auto"/>
            <w:noWrap/>
            <w:vAlign w:val="bottom"/>
            <w:hideMark/>
          </w:tcPr>
          <w:p w14:paraId="2799AF0B"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Administered capital budget </w:t>
            </w:r>
            <w:r>
              <w:rPr>
                <w:rFonts w:ascii="Arial" w:hAnsi="Arial" w:cs="Arial"/>
                <w:sz w:val="16"/>
                <w:szCs w:val="16"/>
                <w:vertAlign w:val="superscript"/>
              </w:rPr>
              <w:t>(g</w:t>
            </w:r>
            <w:r w:rsidRPr="00232D5E">
              <w:rPr>
                <w:rFonts w:ascii="Arial" w:hAnsi="Arial" w:cs="Arial"/>
                <w:sz w:val="16"/>
                <w:szCs w:val="16"/>
                <w:vertAlign w:val="superscript"/>
              </w:rPr>
              <w:t>)</w:t>
            </w:r>
          </w:p>
        </w:tc>
        <w:tc>
          <w:tcPr>
            <w:tcW w:w="1220" w:type="dxa"/>
            <w:tcBorders>
              <w:top w:val="nil"/>
              <w:left w:val="nil"/>
              <w:bottom w:val="nil"/>
              <w:right w:val="nil"/>
            </w:tcBorders>
            <w:shd w:val="clear" w:color="auto" w:fill="auto"/>
            <w:noWrap/>
            <w:vAlign w:val="bottom"/>
            <w:hideMark/>
          </w:tcPr>
          <w:p w14:paraId="4DDCF576" w14:textId="29734C6E"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17,758 </w:t>
            </w:r>
          </w:p>
        </w:tc>
        <w:tc>
          <w:tcPr>
            <w:tcW w:w="1080" w:type="dxa"/>
            <w:tcBorders>
              <w:top w:val="nil"/>
              <w:left w:val="nil"/>
              <w:bottom w:val="nil"/>
              <w:right w:val="nil"/>
            </w:tcBorders>
            <w:shd w:val="clear" w:color="000000" w:fill="E6E6E6"/>
            <w:noWrap/>
            <w:vAlign w:val="bottom"/>
            <w:hideMark/>
          </w:tcPr>
          <w:p w14:paraId="30C1A01C" w14:textId="2BE9501B"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39,244 </w:t>
            </w:r>
          </w:p>
        </w:tc>
      </w:tr>
      <w:tr w:rsidR="00242378" w:rsidRPr="00232D5E" w14:paraId="3F1F8299" w14:textId="77777777" w:rsidTr="00F96D8A">
        <w:trPr>
          <w:trHeight w:val="204"/>
        </w:trPr>
        <w:tc>
          <w:tcPr>
            <w:tcW w:w="5387" w:type="dxa"/>
            <w:tcBorders>
              <w:top w:val="nil"/>
              <w:left w:val="nil"/>
              <w:bottom w:val="nil"/>
              <w:right w:val="nil"/>
            </w:tcBorders>
            <w:shd w:val="clear" w:color="auto" w:fill="auto"/>
            <w:noWrap/>
            <w:vAlign w:val="bottom"/>
            <w:hideMark/>
          </w:tcPr>
          <w:p w14:paraId="13BCFA4C"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Payments to corporate entities </w:t>
            </w:r>
            <w:r>
              <w:rPr>
                <w:rFonts w:ascii="Arial" w:hAnsi="Arial" w:cs="Arial"/>
                <w:sz w:val="16"/>
                <w:szCs w:val="16"/>
                <w:vertAlign w:val="superscript"/>
              </w:rPr>
              <w:t>(h</w:t>
            </w:r>
            <w:r w:rsidRPr="00232D5E">
              <w:rPr>
                <w:rFonts w:ascii="Arial" w:hAnsi="Arial" w:cs="Arial"/>
                <w:sz w:val="16"/>
                <w:szCs w:val="16"/>
                <w:vertAlign w:val="superscript"/>
              </w:rPr>
              <w:t>)</w:t>
            </w:r>
          </w:p>
        </w:tc>
        <w:tc>
          <w:tcPr>
            <w:tcW w:w="1220" w:type="dxa"/>
            <w:tcBorders>
              <w:top w:val="nil"/>
              <w:left w:val="nil"/>
              <w:bottom w:val="nil"/>
              <w:right w:val="nil"/>
            </w:tcBorders>
            <w:shd w:val="clear" w:color="auto" w:fill="auto"/>
            <w:noWrap/>
            <w:vAlign w:val="bottom"/>
            <w:hideMark/>
          </w:tcPr>
          <w:p w14:paraId="53DB00C3" w14:textId="5AEBA578"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2,116,638 </w:t>
            </w:r>
          </w:p>
        </w:tc>
        <w:tc>
          <w:tcPr>
            <w:tcW w:w="1080" w:type="dxa"/>
            <w:tcBorders>
              <w:top w:val="nil"/>
              <w:left w:val="nil"/>
              <w:bottom w:val="nil"/>
              <w:right w:val="nil"/>
            </w:tcBorders>
            <w:shd w:val="clear" w:color="000000" w:fill="E6E6E6"/>
            <w:noWrap/>
            <w:vAlign w:val="bottom"/>
            <w:hideMark/>
          </w:tcPr>
          <w:p w14:paraId="13B919CD" w14:textId="01C6EADA"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2,115,617 </w:t>
            </w:r>
          </w:p>
        </w:tc>
      </w:tr>
      <w:tr w:rsidR="00242378" w:rsidRPr="00232D5E" w14:paraId="47A0DC34" w14:textId="77777777" w:rsidTr="00F96D8A">
        <w:trPr>
          <w:trHeight w:val="204"/>
        </w:trPr>
        <w:tc>
          <w:tcPr>
            <w:tcW w:w="5387" w:type="dxa"/>
            <w:tcBorders>
              <w:top w:val="nil"/>
              <w:left w:val="nil"/>
              <w:bottom w:val="nil"/>
              <w:right w:val="nil"/>
            </w:tcBorders>
            <w:shd w:val="clear" w:color="auto" w:fill="auto"/>
            <w:noWrap/>
            <w:vAlign w:val="bottom"/>
            <w:hideMark/>
          </w:tcPr>
          <w:p w14:paraId="36E1F91B" w14:textId="507DD087" w:rsidR="00242378" w:rsidRPr="00232D5E" w:rsidRDefault="00242378" w:rsidP="00242378">
            <w:pPr>
              <w:spacing w:after="0" w:line="240" w:lineRule="auto"/>
              <w:jc w:val="left"/>
              <w:rPr>
                <w:rFonts w:ascii="Arial" w:hAnsi="Arial" w:cs="Arial"/>
                <w:sz w:val="16"/>
                <w:szCs w:val="16"/>
              </w:rPr>
            </w:pPr>
            <w:r w:rsidRPr="00232D5E">
              <w:rPr>
                <w:rFonts w:ascii="Arial" w:hAnsi="Arial" w:cs="Arial"/>
                <w:sz w:val="16"/>
                <w:szCs w:val="16"/>
              </w:rPr>
              <w:t xml:space="preserve">Annual appropriations - other services - non-operating </w:t>
            </w:r>
            <w:r>
              <w:rPr>
                <w:rFonts w:ascii="Arial" w:hAnsi="Arial" w:cs="Arial"/>
                <w:sz w:val="16"/>
                <w:szCs w:val="16"/>
                <w:vertAlign w:val="superscript"/>
              </w:rPr>
              <w:t>(i</w:t>
            </w:r>
            <w:r w:rsidRPr="00232D5E">
              <w:rPr>
                <w:rFonts w:ascii="Arial" w:hAnsi="Arial" w:cs="Arial"/>
                <w:sz w:val="16"/>
                <w:szCs w:val="16"/>
                <w:vertAlign w:val="superscript"/>
              </w:rPr>
              <w:t>)</w:t>
            </w:r>
          </w:p>
        </w:tc>
        <w:tc>
          <w:tcPr>
            <w:tcW w:w="1220" w:type="dxa"/>
            <w:tcBorders>
              <w:top w:val="nil"/>
              <w:left w:val="nil"/>
              <w:bottom w:val="nil"/>
              <w:right w:val="nil"/>
            </w:tcBorders>
            <w:shd w:val="clear" w:color="auto" w:fill="auto"/>
            <w:noWrap/>
            <w:vAlign w:val="bottom"/>
            <w:hideMark/>
          </w:tcPr>
          <w:p w14:paraId="161E4C44" w14:textId="77777777" w:rsidR="00242378" w:rsidRPr="00824611" w:rsidRDefault="00242378" w:rsidP="00242378">
            <w:pPr>
              <w:spacing w:after="0" w:line="240" w:lineRule="auto"/>
              <w:jc w:val="right"/>
              <w:rPr>
                <w:rFonts w:ascii="Arial" w:hAnsi="Arial" w:cs="Arial"/>
                <w:sz w:val="16"/>
                <w:szCs w:val="16"/>
              </w:rPr>
            </w:pPr>
          </w:p>
        </w:tc>
        <w:tc>
          <w:tcPr>
            <w:tcW w:w="1080" w:type="dxa"/>
            <w:tcBorders>
              <w:top w:val="nil"/>
              <w:left w:val="nil"/>
              <w:bottom w:val="nil"/>
              <w:right w:val="nil"/>
            </w:tcBorders>
            <w:shd w:val="clear" w:color="000000" w:fill="E6E6E6"/>
            <w:noWrap/>
            <w:vAlign w:val="bottom"/>
            <w:hideMark/>
          </w:tcPr>
          <w:p w14:paraId="23607CCF" w14:textId="0B23E812"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w:t>
            </w:r>
          </w:p>
        </w:tc>
      </w:tr>
      <w:tr w:rsidR="00242378" w:rsidRPr="00232D5E" w14:paraId="0F1EB04E" w14:textId="77777777" w:rsidTr="00F96D8A">
        <w:trPr>
          <w:trHeight w:val="204"/>
        </w:trPr>
        <w:tc>
          <w:tcPr>
            <w:tcW w:w="5387" w:type="dxa"/>
            <w:tcBorders>
              <w:top w:val="nil"/>
              <w:left w:val="nil"/>
              <w:bottom w:val="nil"/>
              <w:right w:val="nil"/>
            </w:tcBorders>
            <w:shd w:val="clear" w:color="auto" w:fill="auto"/>
            <w:noWrap/>
            <w:vAlign w:val="bottom"/>
            <w:hideMark/>
          </w:tcPr>
          <w:p w14:paraId="012C89EA"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Prior year appropriations available </w:t>
            </w:r>
            <w:r w:rsidRPr="00232D5E">
              <w:rPr>
                <w:rFonts w:ascii="Arial" w:hAnsi="Arial" w:cs="Arial"/>
                <w:sz w:val="16"/>
                <w:szCs w:val="16"/>
                <w:vertAlign w:val="superscript"/>
              </w:rPr>
              <w:t>(c)</w:t>
            </w:r>
          </w:p>
        </w:tc>
        <w:tc>
          <w:tcPr>
            <w:tcW w:w="1220" w:type="dxa"/>
            <w:tcBorders>
              <w:top w:val="nil"/>
              <w:left w:val="nil"/>
              <w:bottom w:val="nil"/>
              <w:right w:val="nil"/>
            </w:tcBorders>
            <w:shd w:val="clear" w:color="auto" w:fill="auto"/>
            <w:noWrap/>
            <w:vAlign w:val="bottom"/>
            <w:hideMark/>
          </w:tcPr>
          <w:p w14:paraId="24B39360" w14:textId="111D6E52"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1,263,223 </w:t>
            </w:r>
          </w:p>
        </w:tc>
        <w:tc>
          <w:tcPr>
            <w:tcW w:w="1080" w:type="dxa"/>
            <w:tcBorders>
              <w:top w:val="nil"/>
              <w:left w:val="nil"/>
              <w:bottom w:val="nil"/>
              <w:right w:val="nil"/>
            </w:tcBorders>
            <w:shd w:val="clear" w:color="000000" w:fill="E6E6E6"/>
            <w:noWrap/>
            <w:vAlign w:val="bottom"/>
            <w:hideMark/>
          </w:tcPr>
          <w:p w14:paraId="18299AA7" w14:textId="64B9CCFF"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2,397,825 </w:t>
            </w:r>
          </w:p>
        </w:tc>
      </w:tr>
      <w:tr w:rsidR="00242378" w:rsidRPr="00232D5E" w14:paraId="4EA06CEC" w14:textId="77777777" w:rsidTr="00F96D8A">
        <w:trPr>
          <w:trHeight w:val="204"/>
        </w:trPr>
        <w:tc>
          <w:tcPr>
            <w:tcW w:w="5387" w:type="dxa"/>
            <w:tcBorders>
              <w:top w:val="nil"/>
              <w:left w:val="nil"/>
              <w:bottom w:val="nil"/>
              <w:right w:val="nil"/>
            </w:tcBorders>
            <w:shd w:val="clear" w:color="auto" w:fill="auto"/>
            <w:noWrap/>
            <w:vAlign w:val="bottom"/>
            <w:hideMark/>
          </w:tcPr>
          <w:p w14:paraId="275E61F0" w14:textId="6C53A67B"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Administered assets and liabilities</w:t>
            </w:r>
            <w:r>
              <w:rPr>
                <w:rFonts w:ascii="Arial" w:hAnsi="Arial" w:cs="Arial"/>
                <w:sz w:val="16"/>
                <w:szCs w:val="16"/>
              </w:rPr>
              <w:t xml:space="preserve"> </w:t>
            </w:r>
            <w:r>
              <w:rPr>
                <w:rFonts w:ascii="Arial" w:hAnsi="Arial" w:cs="Arial"/>
                <w:sz w:val="16"/>
                <w:szCs w:val="16"/>
                <w:vertAlign w:val="superscript"/>
              </w:rPr>
              <w:t>(i</w:t>
            </w:r>
            <w:r w:rsidRPr="00232D5E">
              <w:rPr>
                <w:rFonts w:ascii="Arial" w:hAnsi="Arial" w:cs="Arial"/>
                <w:sz w:val="16"/>
                <w:szCs w:val="16"/>
                <w:vertAlign w:val="superscript"/>
              </w:rPr>
              <w:t>)</w:t>
            </w:r>
          </w:p>
        </w:tc>
        <w:tc>
          <w:tcPr>
            <w:tcW w:w="1220" w:type="dxa"/>
            <w:tcBorders>
              <w:top w:val="nil"/>
              <w:left w:val="nil"/>
              <w:bottom w:val="nil"/>
              <w:right w:val="nil"/>
            </w:tcBorders>
            <w:shd w:val="clear" w:color="auto" w:fill="auto"/>
            <w:noWrap/>
            <w:vAlign w:val="bottom"/>
            <w:hideMark/>
          </w:tcPr>
          <w:p w14:paraId="6ADFFBDB" w14:textId="06835641"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2,065,192 </w:t>
            </w:r>
          </w:p>
        </w:tc>
        <w:tc>
          <w:tcPr>
            <w:tcW w:w="1080" w:type="dxa"/>
            <w:tcBorders>
              <w:top w:val="nil"/>
              <w:left w:val="nil"/>
              <w:bottom w:val="nil"/>
              <w:right w:val="nil"/>
            </w:tcBorders>
            <w:shd w:val="clear" w:color="000000" w:fill="E6E6E6"/>
            <w:noWrap/>
            <w:vAlign w:val="bottom"/>
            <w:hideMark/>
          </w:tcPr>
          <w:p w14:paraId="2DCDE394" w14:textId="05C4C995"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5,191,453 </w:t>
            </w:r>
          </w:p>
        </w:tc>
      </w:tr>
      <w:tr w:rsidR="00242378" w:rsidRPr="00232D5E" w14:paraId="70E85D07" w14:textId="77777777" w:rsidTr="00F96D8A">
        <w:trPr>
          <w:trHeight w:val="204"/>
        </w:trPr>
        <w:tc>
          <w:tcPr>
            <w:tcW w:w="5387" w:type="dxa"/>
            <w:tcBorders>
              <w:top w:val="nil"/>
              <w:left w:val="nil"/>
              <w:bottom w:val="nil"/>
              <w:right w:val="nil"/>
            </w:tcBorders>
            <w:shd w:val="clear" w:color="auto" w:fill="auto"/>
            <w:noWrap/>
            <w:vAlign w:val="bottom"/>
            <w:hideMark/>
          </w:tcPr>
          <w:p w14:paraId="7B7F707F"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Payments to corporate entities </w:t>
            </w:r>
            <w:r w:rsidRPr="00232D5E">
              <w:rPr>
                <w:rFonts w:ascii="Arial" w:hAnsi="Arial" w:cs="Arial"/>
                <w:sz w:val="16"/>
                <w:szCs w:val="16"/>
                <w:vertAlign w:val="superscript"/>
              </w:rPr>
              <w:t>(</w:t>
            </w:r>
            <w:r>
              <w:rPr>
                <w:rFonts w:ascii="Arial" w:hAnsi="Arial" w:cs="Arial"/>
                <w:sz w:val="16"/>
                <w:szCs w:val="16"/>
                <w:vertAlign w:val="superscript"/>
              </w:rPr>
              <w:t>h</w:t>
            </w:r>
            <w:r w:rsidRPr="00232D5E">
              <w:rPr>
                <w:rFonts w:ascii="Arial" w:hAnsi="Arial" w:cs="Arial"/>
                <w:sz w:val="16"/>
                <w:szCs w:val="16"/>
                <w:vertAlign w:val="superscript"/>
              </w:rPr>
              <w:t>)</w:t>
            </w:r>
          </w:p>
        </w:tc>
        <w:tc>
          <w:tcPr>
            <w:tcW w:w="1220" w:type="dxa"/>
            <w:tcBorders>
              <w:top w:val="nil"/>
              <w:left w:val="nil"/>
              <w:bottom w:val="nil"/>
              <w:right w:val="nil"/>
            </w:tcBorders>
            <w:shd w:val="clear" w:color="auto" w:fill="auto"/>
            <w:noWrap/>
            <w:vAlign w:val="bottom"/>
            <w:hideMark/>
          </w:tcPr>
          <w:p w14:paraId="630BC560" w14:textId="6FC5F3E0"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75,717 </w:t>
            </w:r>
          </w:p>
        </w:tc>
        <w:tc>
          <w:tcPr>
            <w:tcW w:w="1080" w:type="dxa"/>
            <w:tcBorders>
              <w:top w:val="nil"/>
              <w:left w:val="nil"/>
              <w:bottom w:val="nil"/>
              <w:right w:val="nil"/>
            </w:tcBorders>
            <w:shd w:val="clear" w:color="000000" w:fill="E6E6E6"/>
            <w:noWrap/>
            <w:vAlign w:val="bottom"/>
            <w:hideMark/>
          </w:tcPr>
          <w:p w14:paraId="559FDCD9" w14:textId="17A8C00D"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39,156 </w:t>
            </w:r>
          </w:p>
        </w:tc>
      </w:tr>
      <w:tr w:rsidR="00242378" w:rsidRPr="00232D5E" w14:paraId="55B9006A" w14:textId="77777777" w:rsidTr="00F96D8A">
        <w:trPr>
          <w:trHeight w:val="204"/>
        </w:trPr>
        <w:tc>
          <w:tcPr>
            <w:tcW w:w="5387" w:type="dxa"/>
            <w:tcBorders>
              <w:top w:val="nil"/>
              <w:left w:val="nil"/>
              <w:bottom w:val="nil"/>
              <w:right w:val="nil"/>
            </w:tcBorders>
            <w:shd w:val="clear" w:color="auto" w:fill="auto"/>
            <w:vAlign w:val="bottom"/>
            <w:hideMark/>
          </w:tcPr>
          <w:p w14:paraId="1D45BA79" w14:textId="041202B5" w:rsidR="00242378" w:rsidRPr="00232D5E" w:rsidRDefault="00242378" w:rsidP="00242378">
            <w:pPr>
              <w:spacing w:after="0" w:line="240" w:lineRule="auto"/>
              <w:jc w:val="left"/>
              <w:rPr>
                <w:rFonts w:ascii="Arial" w:hAnsi="Arial" w:cs="Arial"/>
                <w:sz w:val="16"/>
                <w:szCs w:val="16"/>
              </w:rPr>
            </w:pPr>
            <w:r w:rsidRPr="00232D5E">
              <w:rPr>
                <w:rFonts w:ascii="Arial" w:hAnsi="Arial" w:cs="Arial"/>
                <w:sz w:val="16"/>
                <w:szCs w:val="16"/>
              </w:rPr>
              <w:t>Annual appropriations - other s</w:t>
            </w:r>
            <w:r>
              <w:rPr>
                <w:rFonts w:ascii="Arial" w:hAnsi="Arial" w:cs="Arial"/>
                <w:sz w:val="16"/>
                <w:szCs w:val="16"/>
              </w:rPr>
              <w:t>ervices - specific payments to s</w:t>
            </w:r>
            <w:r w:rsidRPr="00232D5E">
              <w:rPr>
                <w:rFonts w:ascii="Arial" w:hAnsi="Arial" w:cs="Arial"/>
                <w:sz w:val="16"/>
                <w:szCs w:val="16"/>
              </w:rPr>
              <w:t xml:space="preserve">tates, ACT, NT and local government </w:t>
            </w:r>
            <w:r>
              <w:rPr>
                <w:rFonts w:ascii="Arial" w:hAnsi="Arial" w:cs="Arial"/>
                <w:sz w:val="16"/>
                <w:szCs w:val="16"/>
                <w:vertAlign w:val="superscript"/>
              </w:rPr>
              <w:t>(i</w:t>
            </w:r>
            <w:r w:rsidRPr="00232D5E">
              <w:rPr>
                <w:rFonts w:ascii="Arial" w:hAnsi="Arial" w:cs="Arial"/>
                <w:sz w:val="16"/>
                <w:szCs w:val="16"/>
                <w:vertAlign w:val="superscript"/>
              </w:rPr>
              <w:t>)</w:t>
            </w:r>
          </w:p>
        </w:tc>
        <w:tc>
          <w:tcPr>
            <w:tcW w:w="1220" w:type="dxa"/>
            <w:tcBorders>
              <w:top w:val="nil"/>
              <w:left w:val="nil"/>
              <w:bottom w:val="nil"/>
              <w:right w:val="nil"/>
            </w:tcBorders>
            <w:shd w:val="clear" w:color="auto" w:fill="auto"/>
            <w:vAlign w:val="bottom"/>
            <w:hideMark/>
          </w:tcPr>
          <w:p w14:paraId="170F8136" w14:textId="77777777" w:rsidR="00242378" w:rsidRPr="00824611" w:rsidRDefault="00242378" w:rsidP="00242378">
            <w:pPr>
              <w:spacing w:after="0" w:line="240" w:lineRule="auto"/>
              <w:jc w:val="right"/>
              <w:rPr>
                <w:rFonts w:ascii="Arial" w:hAnsi="Arial" w:cs="Arial"/>
                <w:sz w:val="16"/>
                <w:szCs w:val="16"/>
              </w:rPr>
            </w:pPr>
          </w:p>
        </w:tc>
        <w:tc>
          <w:tcPr>
            <w:tcW w:w="1080" w:type="dxa"/>
            <w:tcBorders>
              <w:top w:val="nil"/>
              <w:left w:val="nil"/>
              <w:bottom w:val="nil"/>
              <w:right w:val="nil"/>
            </w:tcBorders>
            <w:shd w:val="clear" w:color="000000" w:fill="E6E6E6"/>
            <w:vAlign w:val="bottom"/>
            <w:hideMark/>
          </w:tcPr>
          <w:p w14:paraId="48DCB282" w14:textId="06C7D301"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w:t>
            </w:r>
          </w:p>
        </w:tc>
      </w:tr>
      <w:tr w:rsidR="00242378" w:rsidRPr="00232D5E" w14:paraId="04EB8739" w14:textId="77777777" w:rsidTr="00F96D8A">
        <w:trPr>
          <w:trHeight w:val="204"/>
        </w:trPr>
        <w:tc>
          <w:tcPr>
            <w:tcW w:w="5387" w:type="dxa"/>
            <w:tcBorders>
              <w:top w:val="nil"/>
              <w:left w:val="nil"/>
              <w:bottom w:val="nil"/>
              <w:right w:val="nil"/>
            </w:tcBorders>
            <w:shd w:val="clear" w:color="auto" w:fill="auto"/>
            <w:noWrap/>
            <w:vAlign w:val="bottom"/>
            <w:hideMark/>
          </w:tcPr>
          <w:p w14:paraId="3551BE85"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1 </w:t>
            </w:r>
            <w:r w:rsidRPr="00232D5E">
              <w:rPr>
                <w:rFonts w:ascii="Arial" w:hAnsi="Arial" w:cs="Arial"/>
                <w:sz w:val="16"/>
                <w:szCs w:val="16"/>
                <w:vertAlign w:val="superscript"/>
              </w:rPr>
              <w:t>(j)</w:t>
            </w:r>
          </w:p>
        </w:tc>
        <w:tc>
          <w:tcPr>
            <w:tcW w:w="1220" w:type="dxa"/>
            <w:tcBorders>
              <w:top w:val="nil"/>
              <w:left w:val="nil"/>
              <w:bottom w:val="nil"/>
              <w:right w:val="nil"/>
            </w:tcBorders>
            <w:shd w:val="clear" w:color="auto" w:fill="auto"/>
            <w:noWrap/>
            <w:vAlign w:val="bottom"/>
            <w:hideMark/>
          </w:tcPr>
          <w:p w14:paraId="1C06D042" w14:textId="1C01BD91"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499,495 </w:t>
            </w:r>
          </w:p>
        </w:tc>
        <w:tc>
          <w:tcPr>
            <w:tcW w:w="1080" w:type="dxa"/>
            <w:tcBorders>
              <w:top w:val="nil"/>
              <w:left w:val="nil"/>
              <w:bottom w:val="nil"/>
              <w:right w:val="nil"/>
            </w:tcBorders>
            <w:shd w:val="clear" w:color="000000" w:fill="E6E6E6"/>
            <w:noWrap/>
            <w:vAlign w:val="bottom"/>
            <w:hideMark/>
          </w:tcPr>
          <w:p w14:paraId="4C702295" w14:textId="5E3EC8C6"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490,881 </w:t>
            </w:r>
          </w:p>
        </w:tc>
      </w:tr>
      <w:tr w:rsidR="00242378" w:rsidRPr="00232D5E" w14:paraId="610AAE7A" w14:textId="77777777" w:rsidTr="00F96D8A">
        <w:trPr>
          <w:trHeight w:val="204"/>
        </w:trPr>
        <w:tc>
          <w:tcPr>
            <w:tcW w:w="5387" w:type="dxa"/>
            <w:tcBorders>
              <w:top w:val="nil"/>
              <w:left w:val="nil"/>
              <w:bottom w:val="nil"/>
              <w:right w:val="nil"/>
            </w:tcBorders>
            <w:shd w:val="clear" w:color="auto" w:fill="auto"/>
            <w:noWrap/>
            <w:vAlign w:val="bottom"/>
            <w:hideMark/>
          </w:tcPr>
          <w:p w14:paraId="5AAF480F" w14:textId="77777777" w:rsidR="00242378" w:rsidRPr="00232D5E" w:rsidRDefault="00242378" w:rsidP="00242378">
            <w:pPr>
              <w:spacing w:after="0" w:line="240" w:lineRule="auto"/>
              <w:ind w:firstLineChars="100" w:firstLine="160"/>
              <w:jc w:val="left"/>
              <w:rPr>
                <w:rFonts w:ascii="Arial" w:hAnsi="Arial" w:cs="Arial"/>
                <w:sz w:val="16"/>
                <w:szCs w:val="16"/>
              </w:rPr>
            </w:pPr>
            <w:r w:rsidRPr="00232D5E">
              <w:rPr>
                <w:rFonts w:ascii="Arial" w:hAnsi="Arial" w:cs="Arial"/>
                <w:sz w:val="16"/>
                <w:szCs w:val="16"/>
              </w:rPr>
              <w:t xml:space="preserve">Outcome 3 </w:t>
            </w:r>
            <w:r w:rsidRPr="00232D5E">
              <w:rPr>
                <w:rFonts w:ascii="Arial" w:hAnsi="Arial" w:cs="Arial"/>
                <w:sz w:val="16"/>
                <w:szCs w:val="16"/>
                <w:vertAlign w:val="superscript"/>
              </w:rPr>
              <w:t>(k)</w:t>
            </w:r>
          </w:p>
        </w:tc>
        <w:tc>
          <w:tcPr>
            <w:tcW w:w="1220" w:type="dxa"/>
            <w:tcBorders>
              <w:top w:val="nil"/>
              <w:left w:val="nil"/>
              <w:bottom w:val="nil"/>
              <w:right w:val="nil"/>
            </w:tcBorders>
            <w:shd w:val="clear" w:color="auto" w:fill="auto"/>
            <w:noWrap/>
            <w:vAlign w:val="bottom"/>
            <w:hideMark/>
          </w:tcPr>
          <w:p w14:paraId="116C43B0" w14:textId="5E33235C"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991,227 </w:t>
            </w:r>
          </w:p>
        </w:tc>
        <w:tc>
          <w:tcPr>
            <w:tcW w:w="1080" w:type="dxa"/>
            <w:tcBorders>
              <w:top w:val="nil"/>
              <w:left w:val="nil"/>
              <w:bottom w:val="nil"/>
              <w:right w:val="nil"/>
            </w:tcBorders>
            <w:shd w:val="clear" w:color="000000" w:fill="E6E6E6"/>
            <w:noWrap/>
            <w:vAlign w:val="bottom"/>
            <w:hideMark/>
          </w:tcPr>
          <w:p w14:paraId="016D816C" w14:textId="400CBECF"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669,330 </w:t>
            </w:r>
          </w:p>
        </w:tc>
      </w:tr>
      <w:tr w:rsidR="00242378" w:rsidRPr="00232D5E" w14:paraId="0290D6C4" w14:textId="77777777" w:rsidTr="00F96D8A">
        <w:trPr>
          <w:trHeight w:val="204"/>
        </w:trPr>
        <w:tc>
          <w:tcPr>
            <w:tcW w:w="5387" w:type="dxa"/>
            <w:tcBorders>
              <w:top w:val="nil"/>
              <w:left w:val="nil"/>
              <w:bottom w:val="nil"/>
              <w:right w:val="nil"/>
            </w:tcBorders>
            <w:shd w:val="clear" w:color="auto" w:fill="auto"/>
            <w:noWrap/>
            <w:vAlign w:val="bottom"/>
            <w:hideMark/>
          </w:tcPr>
          <w:p w14:paraId="71D45888" w14:textId="37D89699" w:rsidR="00242378" w:rsidRPr="00232D5E" w:rsidRDefault="00242378" w:rsidP="00242378">
            <w:pPr>
              <w:spacing w:after="0" w:line="240" w:lineRule="auto"/>
              <w:jc w:val="left"/>
              <w:rPr>
                <w:rFonts w:ascii="Arial" w:hAnsi="Arial" w:cs="Arial"/>
                <w:sz w:val="16"/>
                <w:szCs w:val="16"/>
              </w:rPr>
            </w:pPr>
            <w:r w:rsidRPr="00232D5E">
              <w:rPr>
                <w:rFonts w:ascii="Arial" w:hAnsi="Arial" w:cs="Arial"/>
                <w:sz w:val="16"/>
                <w:szCs w:val="16"/>
              </w:rPr>
              <w:t>Total</w:t>
            </w:r>
            <w:r>
              <w:rPr>
                <w:rFonts w:ascii="Arial" w:hAnsi="Arial" w:cs="Arial"/>
                <w:sz w:val="16"/>
                <w:szCs w:val="16"/>
              </w:rPr>
              <w:t xml:space="preserve"> A</w:t>
            </w:r>
            <w:r w:rsidRPr="00232D5E">
              <w:rPr>
                <w:rFonts w:ascii="Arial" w:hAnsi="Arial" w:cs="Arial"/>
                <w:sz w:val="16"/>
                <w:szCs w:val="16"/>
              </w:rPr>
              <w:t>dministered annual appropriations</w:t>
            </w:r>
          </w:p>
        </w:tc>
        <w:tc>
          <w:tcPr>
            <w:tcW w:w="1220" w:type="dxa"/>
            <w:tcBorders>
              <w:top w:val="single" w:sz="4" w:space="0" w:color="auto"/>
              <w:left w:val="nil"/>
              <w:bottom w:val="single" w:sz="4" w:space="0" w:color="auto"/>
              <w:right w:val="nil"/>
            </w:tcBorders>
            <w:shd w:val="clear" w:color="auto" w:fill="auto"/>
            <w:noWrap/>
            <w:vAlign w:val="bottom"/>
            <w:hideMark/>
          </w:tcPr>
          <w:p w14:paraId="7A555961" w14:textId="701D90C9" w:rsidR="00242378" w:rsidRPr="00824611" w:rsidRDefault="00242378" w:rsidP="00242378">
            <w:pPr>
              <w:spacing w:after="0" w:line="240" w:lineRule="auto"/>
              <w:jc w:val="right"/>
              <w:rPr>
                <w:rFonts w:ascii="Arial" w:hAnsi="Arial" w:cs="Arial"/>
                <w:iCs/>
                <w:color w:val="000000"/>
                <w:sz w:val="16"/>
                <w:szCs w:val="16"/>
              </w:rPr>
            </w:pPr>
            <w:r>
              <w:rPr>
                <w:rFonts w:ascii="Arial" w:hAnsi="Arial" w:cs="Arial"/>
                <w:color w:val="000000"/>
                <w:sz w:val="16"/>
                <w:szCs w:val="16"/>
              </w:rPr>
              <w:t xml:space="preserve">11,412,721 </w:t>
            </w:r>
          </w:p>
        </w:tc>
        <w:tc>
          <w:tcPr>
            <w:tcW w:w="1080" w:type="dxa"/>
            <w:tcBorders>
              <w:top w:val="single" w:sz="4" w:space="0" w:color="auto"/>
              <w:left w:val="nil"/>
              <w:bottom w:val="single" w:sz="4" w:space="0" w:color="auto"/>
              <w:right w:val="nil"/>
            </w:tcBorders>
            <w:shd w:val="clear" w:color="000000" w:fill="E6E6E6"/>
            <w:noWrap/>
            <w:vAlign w:val="bottom"/>
            <w:hideMark/>
          </w:tcPr>
          <w:p w14:paraId="3752E7BC" w14:textId="2AFC6E2A"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16,031,052 </w:t>
            </w:r>
          </w:p>
        </w:tc>
      </w:tr>
      <w:tr w:rsidR="00242378" w:rsidRPr="00232D5E" w14:paraId="6DD83BAB" w14:textId="77777777" w:rsidTr="00F96D8A">
        <w:trPr>
          <w:trHeight w:val="204"/>
        </w:trPr>
        <w:tc>
          <w:tcPr>
            <w:tcW w:w="5387" w:type="dxa"/>
            <w:tcBorders>
              <w:top w:val="nil"/>
              <w:left w:val="nil"/>
              <w:bottom w:val="nil"/>
              <w:right w:val="nil"/>
            </w:tcBorders>
            <w:shd w:val="clear" w:color="auto" w:fill="auto"/>
            <w:noWrap/>
            <w:vAlign w:val="bottom"/>
            <w:hideMark/>
          </w:tcPr>
          <w:p w14:paraId="098BCAEA" w14:textId="3E9AA524" w:rsidR="00242378" w:rsidRPr="00232D5E" w:rsidRDefault="00242378" w:rsidP="00242378">
            <w:pPr>
              <w:spacing w:after="0" w:line="240" w:lineRule="auto"/>
              <w:jc w:val="left"/>
              <w:rPr>
                <w:rFonts w:ascii="Arial" w:hAnsi="Arial" w:cs="Arial"/>
                <w:sz w:val="16"/>
                <w:szCs w:val="16"/>
              </w:rPr>
            </w:pPr>
            <w:r>
              <w:rPr>
                <w:rFonts w:ascii="Arial" w:hAnsi="Arial" w:cs="Arial"/>
                <w:sz w:val="16"/>
                <w:szCs w:val="16"/>
              </w:rPr>
              <w:t>Total A</w:t>
            </w:r>
            <w:r w:rsidRPr="00232D5E">
              <w:rPr>
                <w:rFonts w:ascii="Arial" w:hAnsi="Arial" w:cs="Arial"/>
                <w:sz w:val="16"/>
                <w:szCs w:val="16"/>
              </w:rPr>
              <w:t>dministered special appropriations</w:t>
            </w:r>
            <w:r>
              <w:rPr>
                <w:rFonts w:ascii="Arial" w:hAnsi="Arial" w:cs="Arial"/>
                <w:sz w:val="16"/>
                <w:szCs w:val="16"/>
              </w:rPr>
              <w:t xml:space="preserve"> </w:t>
            </w:r>
            <w:r w:rsidRPr="000B1D82">
              <w:rPr>
                <w:rFonts w:ascii="Arial" w:hAnsi="Arial" w:cs="Arial"/>
                <w:sz w:val="16"/>
                <w:szCs w:val="16"/>
                <w:vertAlign w:val="superscript"/>
              </w:rPr>
              <w:t>(l)</w:t>
            </w:r>
          </w:p>
        </w:tc>
        <w:tc>
          <w:tcPr>
            <w:tcW w:w="1220" w:type="dxa"/>
            <w:tcBorders>
              <w:top w:val="nil"/>
              <w:left w:val="nil"/>
              <w:bottom w:val="single" w:sz="4" w:space="0" w:color="auto"/>
              <w:right w:val="nil"/>
            </w:tcBorders>
            <w:shd w:val="clear" w:color="auto" w:fill="auto"/>
            <w:noWrap/>
            <w:vAlign w:val="bottom"/>
            <w:hideMark/>
          </w:tcPr>
          <w:p w14:paraId="52F41ED8" w14:textId="72B87BA1" w:rsidR="00242378" w:rsidRPr="00824611" w:rsidRDefault="00242378" w:rsidP="00242378">
            <w:pPr>
              <w:spacing w:after="0" w:line="240" w:lineRule="auto"/>
              <w:jc w:val="right"/>
              <w:rPr>
                <w:rFonts w:ascii="Arial" w:hAnsi="Arial" w:cs="Arial"/>
                <w:iCs/>
                <w:sz w:val="16"/>
                <w:szCs w:val="16"/>
              </w:rPr>
            </w:pPr>
            <w:r>
              <w:rPr>
                <w:rFonts w:ascii="Arial" w:hAnsi="Arial" w:cs="Arial"/>
                <w:sz w:val="16"/>
                <w:szCs w:val="16"/>
              </w:rPr>
              <w:t xml:space="preserve">3,514,860 </w:t>
            </w:r>
          </w:p>
        </w:tc>
        <w:tc>
          <w:tcPr>
            <w:tcW w:w="1080" w:type="dxa"/>
            <w:tcBorders>
              <w:top w:val="nil"/>
              <w:left w:val="nil"/>
              <w:bottom w:val="single" w:sz="4" w:space="0" w:color="auto"/>
              <w:right w:val="nil"/>
            </w:tcBorders>
            <w:shd w:val="clear" w:color="000000" w:fill="E6E6E6"/>
            <w:noWrap/>
            <w:vAlign w:val="bottom"/>
            <w:hideMark/>
          </w:tcPr>
          <w:p w14:paraId="7A5018E6" w14:textId="03763D5D" w:rsidR="00242378" w:rsidRPr="00824611" w:rsidRDefault="00242378" w:rsidP="00242378">
            <w:pPr>
              <w:spacing w:after="0" w:line="240" w:lineRule="auto"/>
              <w:jc w:val="right"/>
              <w:rPr>
                <w:rFonts w:ascii="Arial" w:hAnsi="Arial" w:cs="Arial"/>
                <w:sz w:val="16"/>
                <w:szCs w:val="16"/>
              </w:rPr>
            </w:pPr>
            <w:r>
              <w:rPr>
                <w:rFonts w:ascii="Arial" w:hAnsi="Arial" w:cs="Arial"/>
                <w:sz w:val="16"/>
                <w:szCs w:val="16"/>
              </w:rPr>
              <w:t xml:space="preserve">2,798,531 </w:t>
            </w:r>
          </w:p>
        </w:tc>
      </w:tr>
      <w:tr w:rsidR="00B91F3E" w:rsidRPr="00737F3A" w14:paraId="650F280C" w14:textId="77777777" w:rsidTr="00F96D8A">
        <w:trPr>
          <w:trHeight w:val="204"/>
        </w:trPr>
        <w:tc>
          <w:tcPr>
            <w:tcW w:w="5387" w:type="dxa"/>
            <w:tcBorders>
              <w:top w:val="nil"/>
              <w:left w:val="nil"/>
              <w:bottom w:val="nil"/>
              <w:right w:val="nil"/>
            </w:tcBorders>
            <w:shd w:val="clear" w:color="auto" w:fill="auto"/>
            <w:noWrap/>
            <w:vAlign w:val="bottom"/>
            <w:hideMark/>
          </w:tcPr>
          <w:p w14:paraId="1B7602BD" w14:textId="77777777" w:rsidR="00B91F3E" w:rsidRPr="00737F3A" w:rsidRDefault="00B91F3E" w:rsidP="00F96D8A">
            <w:pPr>
              <w:spacing w:after="0" w:line="240" w:lineRule="auto"/>
              <w:jc w:val="left"/>
              <w:rPr>
                <w:rFonts w:ascii="Arial" w:hAnsi="Arial" w:cs="Arial"/>
                <w:sz w:val="16"/>
                <w:szCs w:val="16"/>
              </w:rPr>
            </w:pPr>
            <w:r w:rsidRPr="00737F3A">
              <w:rPr>
                <w:rFonts w:ascii="Arial" w:hAnsi="Arial" w:cs="Arial"/>
                <w:sz w:val="16"/>
                <w:szCs w:val="16"/>
              </w:rPr>
              <w:t xml:space="preserve">Special accounts </w:t>
            </w:r>
            <w:r>
              <w:rPr>
                <w:rFonts w:ascii="Arial" w:hAnsi="Arial" w:cs="Arial"/>
                <w:sz w:val="16"/>
                <w:szCs w:val="16"/>
                <w:vertAlign w:val="superscript"/>
              </w:rPr>
              <w:t>(l</w:t>
            </w:r>
            <w:r w:rsidRPr="00737F3A">
              <w:rPr>
                <w:rFonts w:ascii="Arial" w:hAnsi="Arial" w:cs="Arial"/>
                <w:sz w:val="16"/>
                <w:szCs w:val="16"/>
                <w:vertAlign w:val="superscript"/>
              </w:rPr>
              <w:t>)</w:t>
            </w:r>
            <w:r>
              <w:rPr>
                <w:rFonts w:ascii="Arial" w:hAnsi="Arial" w:cs="Arial"/>
                <w:sz w:val="16"/>
                <w:szCs w:val="16"/>
                <w:vertAlign w:val="superscript"/>
              </w:rPr>
              <w:t xml:space="preserve"> (m)</w:t>
            </w:r>
          </w:p>
        </w:tc>
        <w:tc>
          <w:tcPr>
            <w:tcW w:w="1220" w:type="dxa"/>
            <w:tcBorders>
              <w:top w:val="nil"/>
              <w:left w:val="nil"/>
              <w:bottom w:val="nil"/>
              <w:right w:val="nil"/>
            </w:tcBorders>
            <w:shd w:val="clear" w:color="auto" w:fill="auto"/>
            <w:noWrap/>
            <w:vAlign w:val="bottom"/>
            <w:hideMark/>
          </w:tcPr>
          <w:p w14:paraId="1953CAA1" w14:textId="77777777" w:rsidR="00B91F3E" w:rsidRPr="00F96D8A" w:rsidRDefault="00B91F3E" w:rsidP="00F96D8A">
            <w:pPr>
              <w:spacing w:after="0" w:line="240" w:lineRule="auto"/>
              <w:jc w:val="right"/>
              <w:rPr>
                <w:rFonts w:ascii="Arial" w:hAnsi="Arial" w:cs="Arial"/>
                <w:sz w:val="16"/>
                <w:szCs w:val="16"/>
              </w:rPr>
            </w:pPr>
          </w:p>
        </w:tc>
        <w:tc>
          <w:tcPr>
            <w:tcW w:w="1080" w:type="dxa"/>
            <w:tcBorders>
              <w:top w:val="nil"/>
              <w:left w:val="nil"/>
              <w:bottom w:val="nil"/>
              <w:right w:val="nil"/>
            </w:tcBorders>
            <w:shd w:val="clear" w:color="000000" w:fill="E6E6E6"/>
            <w:noWrap/>
            <w:vAlign w:val="bottom"/>
            <w:hideMark/>
          </w:tcPr>
          <w:p w14:paraId="3E913E48" w14:textId="77777777" w:rsidR="00B91F3E" w:rsidRPr="00F96D8A" w:rsidRDefault="00B91F3E" w:rsidP="00F96D8A">
            <w:pPr>
              <w:spacing w:after="0" w:line="240" w:lineRule="auto"/>
              <w:jc w:val="right"/>
              <w:rPr>
                <w:rFonts w:ascii="Arial" w:hAnsi="Arial" w:cs="Arial"/>
                <w:sz w:val="16"/>
                <w:szCs w:val="16"/>
              </w:rPr>
            </w:pPr>
          </w:p>
        </w:tc>
      </w:tr>
      <w:tr w:rsidR="00242378" w:rsidRPr="00737F3A" w14:paraId="36A55170" w14:textId="77777777" w:rsidTr="00F96D8A">
        <w:trPr>
          <w:trHeight w:val="204"/>
        </w:trPr>
        <w:tc>
          <w:tcPr>
            <w:tcW w:w="5387" w:type="dxa"/>
            <w:tcBorders>
              <w:top w:val="nil"/>
              <w:left w:val="nil"/>
              <w:bottom w:val="nil"/>
              <w:right w:val="nil"/>
            </w:tcBorders>
            <w:shd w:val="clear" w:color="auto" w:fill="auto"/>
            <w:noWrap/>
            <w:vAlign w:val="bottom"/>
            <w:hideMark/>
          </w:tcPr>
          <w:p w14:paraId="118030AD" w14:textId="77777777" w:rsidR="00242378" w:rsidRPr="00737F3A" w:rsidRDefault="00242378" w:rsidP="00242378">
            <w:pPr>
              <w:spacing w:after="0" w:line="240" w:lineRule="auto"/>
              <w:ind w:firstLineChars="100" w:firstLine="160"/>
              <w:jc w:val="left"/>
              <w:rPr>
                <w:rFonts w:ascii="Arial" w:hAnsi="Arial" w:cs="Arial"/>
                <w:sz w:val="16"/>
                <w:szCs w:val="16"/>
              </w:rPr>
            </w:pPr>
            <w:r w:rsidRPr="00737F3A">
              <w:rPr>
                <w:rFonts w:ascii="Arial" w:hAnsi="Arial" w:cs="Arial"/>
                <w:sz w:val="16"/>
                <w:szCs w:val="16"/>
              </w:rPr>
              <w:t>Opening balance</w:t>
            </w:r>
          </w:p>
        </w:tc>
        <w:tc>
          <w:tcPr>
            <w:tcW w:w="1220" w:type="dxa"/>
            <w:tcBorders>
              <w:top w:val="nil"/>
              <w:left w:val="nil"/>
              <w:bottom w:val="nil"/>
              <w:right w:val="nil"/>
            </w:tcBorders>
            <w:shd w:val="clear" w:color="auto" w:fill="auto"/>
            <w:noWrap/>
            <w:vAlign w:val="bottom"/>
            <w:hideMark/>
          </w:tcPr>
          <w:p w14:paraId="7DD807EE" w14:textId="37ECA84B" w:rsidR="00242378" w:rsidRPr="0064083D" w:rsidRDefault="00242378" w:rsidP="00242378">
            <w:pPr>
              <w:spacing w:after="0" w:line="240" w:lineRule="auto"/>
              <w:jc w:val="right"/>
              <w:rPr>
                <w:rFonts w:ascii="Arial" w:hAnsi="Arial" w:cs="Arial"/>
                <w:iCs/>
                <w:sz w:val="16"/>
                <w:szCs w:val="16"/>
              </w:rPr>
            </w:pPr>
            <w:r>
              <w:rPr>
                <w:rFonts w:ascii="Arial" w:hAnsi="Arial" w:cs="Arial"/>
                <w:sz w:val="16"/>
                <w:szCs w:val="16"/>
              </w:rPr>
              <w:t xml:space="preserve">42,234 </w:t>
            </w:r>
          </w:p>
        </w:tc>
        <w:tc>
          <w:tcPr>
            <w:tcW w:w="1080" w:type="dxa"/>
            <w:tcBorders>
              <w:top w:val="nil"/>
              <w:left w:val="nil"/>
              <w:bottom w:val="nil"/>
              <w:right w:val="nil"/>
            </w:tcBorders>
            <w:shd w:val="clear" w:color="000000" w:fill="E6E6E6"/>
            <w:noWrap/>
            <w:vAlign w:val="bottom"/>
            <w:hideMark/>
          </w:tcPr>
          <w:p w14:paraId="63B5204F" w14:textId="7F012170" w:rsidR="00242378" w:rsidRPr="00F96D8A" w:rsidRDefault="00242378" w:rsidP="00242378">
            <w:pPr>
              <w:spacing w:after="0" w:line="240" w:lineRule="auto"/>
              <w:jc w:val="right"/>
              <w:rPr>
                <w:rFonts w:ascii="Arial" w:hAnsi="Arial" w:cs="Arial"/>
                <w:sz w:val="16"/>
                <w:szCs w:val="16"/>
              </w:rPr>
            </w:pPr>
            <w:r>
              <w:rPr>
                <w:rFonts w:ascii="Arial" w:hAnsi="Arial" w:cs="Arial"/>
                <w:sz w:val="16"/>
                <w:szCs w:val="16"/>
              </w:rPr>
              <w:t xml:space="preserve">43,680 </w:t>
            </w:r>
          </w:p>
        </w:tc>
      </w:tr>
      <w:tr w:rsidR="00242378" w:rsidRPr="00737F3A" w14:paraId="567F8DA9" w14:textId="77777777" w:rsidTr="00F96D8A">
        <w:trPr>
          <w:trHeight w:val="204"/>
        </w:trPr>
        <w:tc>
          <w:tcPr>
            <w:tcW w:w="5387" w:type="dxa"/>
            <w:tcBorders>
              <w:top w:val="nil"/>
              <w:left w:val="nil"/>
              <w:bottom w:val="nil"/>
              <w:right w:val="nil"/>
            </w:tcBorders>
            <w:shd w:val="clear" w:color="auto" w:fill="auto"/>
            <w:noWrap/>
            <w:vAlign w:val="bottom"/>
            <w:hideMark/>
          </w:tcPr>
          <w:p w14:paraId="7F320E40" w14:textId="77777777" w:rsidR="00242378" w:rsidRPr="00737F3A" w:rsidRDefault="00242378" w:rsidP="00242378">
            <w:pPr>
              <w:spacing w:after="0" w:line="240" w:lineRule="auto"/>
              <w:ind w:firstLineChars="100" w:firstLine="160"/>
              <w:jc w:val="left"/>
              <w:rPr>
                <w:rFonts w:ascii="Arial" w:hAnsi="Arial" w:cs="Arial"/>
                <w:sz w:val="16"/>
                <w:szCs w:val="16"/>
              </w:rPr>
            </w:pPr>
            <w:r w:rsidRPr="00737F3A">
              <w:rPr>
                <w:rFonts w:ascii="Arial" w:hAnsi="Arial" w:cs="Arial"/>
                <w:sz w:val="16"/>
                <w:szCs w:val="16"/>
              </w:rPr>
              <w:t xml:space="preserve">Appropriation receipts </w:t>
            </w:r>
            <w:r w:rsidRPr="00737F3A">
              <w:rPr>
                <w:rFonts w:ascii="Arial" w:hAnsi="Arial" w:cs="Arial"/>
                <w:sz w:val="16"/>
                <w:szCs w:val="16"/>
                <w:vertAlign w:val="superscript"/>
              </w:rPr>
              <w:t>(</w:t>
            </w:r>
            <w:r>
              <w:rPr>
                <w:rFonts w:ascii="Arial" w:hAnsi="Arial" w:cs="Arial"/>
                <w:sz w:val="16"/>
                <w:szCs w:val="16"/>
                <w:vertAlign w:val="superscript"/>
              </w:rPr>
              <w:t>n</w:t>
            </w:r>
            <w:r w:rsidRPr="00737F3A">
              <w:rPr>
                <w:rFonts w:ascii="Arial" w:hAnsi="Arial" w:cs="Arial"/>
                <w:sz w:val="16"/>
                <w:szCs w:val="16"/>
                <w:vertAlign w:val="superscript"/>
              </w:rPr>
              <w:t>)</w:t>
            </w:r>
          </w:p>
        </w:tc>
        <w:tc>
          <w:tcPr>
            <w:tcW w:w="1220" w:type="dxa"/>
            <w:tcBorders>
              <w:top w:val="nil"/>
              <w:left w:val="nil"/>
              <w:bottom w:val="nil"/>
              <w:right w:val="nil"/>
            </w:tcBorders>
            <w:shd w:val="clear" w:color="auto" w:fill="auto"/>
            <w:noWrap/>
            <w:vAlign w:val="bottom"/>
            <w:hideMark/>
          </w:tcPr>
          <w:p w14:paraId="3E59A1EA" w14:textId="0AD425E4" w:rsidR="00242378" w:rsidRPr="0064083D" w:rsidRDefault="00242378" w:rsidP="00242378">
            <w:pPr>
              <w:spacing w:after="0" w:line="240" w:lineRule="auto"/>
              <w:jc w:val="right"/>
              <w:rPr>
                <w:rFonts w:ascii="Arial" w:hAnsi="Arial" w:cs="Arial"/>
                <w:iCs/>
                <w:sz w:val="16"/>
                <w:szCs w:val="16"/>
              </w:rPr>
            </w:pPr>
            <w:r>
              <w:rPr>
                <w:rFonts w:ascii="Arial" w:hAnsi="Arial" w:cs="Arial"/>
                <w:sz w:val="16"/>
                <w:szCs w:val="16"/>
              </w:rPr>
              <w:t xml:space="preserve">338,194 </w:t>
            </w:r>
          </w:p>
        </w:tc>
        <w:tc>
          <w:tcPr>
            <w:tcW w:w="1080" w:type="dxa"/>
            <w:tcBorders>
              <w:top w:val="nil"/>
              <w:left w:val="nil"/>
              <w:bottom w:val="nil"/>
              <w:right w:val="nil"/>
            </w:tcBorders>
            <w:shd w:val="clear" w:color="000000" w:fill="E6E6E6"/>
            <w:noWrap/>
            <w:vAlign w:val="bottom"/>
            <w:hideMark/>
          </w:tcPr>
          <w:p w14:paraId="0FA560CF" w14:textId="2D0EBCD3" w:rsidR="00242378" w:rsidRPr="00F96D8A" w:rsidRDefault="00242378" w:rsidP="00242378">
            <w:pPr>
              <w:spacing w:after="0" w:line="240" w:lineRule="auto"/>
              <w:jc w:val="right"/>
              <w:rPr>
                <w:rFonts w:ascii="Arial" w:hAnsi="Arial" w:cs="Arial"/>
                <w:sz w:val="16"/>
                <w:szCs w:val="16"/>
              </w:rPr>
            </w:pPr>
            <w:r>
              <w:rPr>
                <w:rFonts w:ascii="Arial" w:hAnsi="Arial" w:cs="Arial"/>
                <w:sz w:val="16"/>
                <w:szCs w:val="16"/>
              </w:rPr>
              <w:t xml:space="preserve">336,748 </w:t>
            </w:r>
          </w:p>
        </w:tc>
      </w:tr>
      <w:tr w:rsidR="00242378" w:rsidRPr="00737F3A" w14:paraId="6AB7A382" w14:textId="77777777" w:rsidTr="00F96D8A">
        <w:trPr>
          <w:trHeight w:val="204"/>
        </w:trPr>
        <w:tc>
          <w:tcPr>
            <w:tcW w:w="5387" w:type="dxa"/>
            <w:tcBorders>
              <w:top w:val="nil"/>
              <w:left w:val="nil"/>
              <w:bottom w:val="nil"/>
              <w:right w:val="nil"/>
            </w:tcBorders>
            <w:shd w:val="clear" w:color="auto" w:fill="auto"/>
            <w:noWrap/>
            <w:vAlign w:val="bottom"/>
            <w:hideMark/>
          </w:tcPr>
          <w:p w14:paraId="766A6987" w14:textId="77777777" w:rsidR="00242378" w:rsidRPr="00737F3A" w:rsidRDefault="00242378" w:rsidP="00242378">
            <w:pPr>
              <w:spacing w:after="0" w:line="240" w:lineRule="auto"/>
              <w:ind w:firstLineChars="100" w:firstLine="160"/>
              <w:jc w:val="left"/>
              <w:rPr>
                <w:rFonts w:ascii="Arial" w:hAnsi="Arial" w:cs="Arial"/>
                <w:sz w:val="16"/>
                <w:szCs w:val="16"/>
              </w:rPr>
            </w:pPr>
            <w:r w:rsidRPr="00737F3A">
              <w:rPr>
                <w:rFonts w:ascii="Arial" w:hAnsi="Arial" w:cs="Arial"/>
                <w:sz w:val="16"/>
                <w:szCs w:val="16"/>
              </w:rPr>
              <w:t>Non-appropriation receipts</w:t>
            </w:r>
          </w:p>
        </w:tc>
        <w:tc>
          <w:tcPr>
            <w:tcW w:w="1220" w:type="dxa"/>
            <w:tcBorders>
              <w:top w:val="nil"/>
              <w:left w:val="nil"/>
              <w:bottom w:val="nil"/>
              <w:right w:val="nil"/>
            </w:tcBorders>
            <w:shd w:val="clear" w:color="auto" w:fill="auto"/>
            <w:noWrap/>
            <w:vAlign w:val="bottom"/>
            <w:hideMark/>
          </w:tcPr>
          <w:p w14:paraId="6B5F57C7" w14:textId="18E24E0B" w:rsidR="00242378" w:rsidRPr="0064083D" w:rsidRDefault="00242378" w:rsidP="00242378">
            <w:pPr>
              <w:spacing w:after="0" w:line="240" w:lineRule="auto"/>
              <w:jc w:val="right"/>
              <w:rPr>
                <w:rFonts w:ascii="Arial" w:hAnsi="Arial" w:cs="Arial"/>
                <w:iCs/>
                <w:sz w:val="16"/>
                <w:szCs w:val="16"/>
              </w:rPr>
            </w:pPr>
            <w:r>
              <w:rPr>
                <w:rFonts w:ascii="Arial" w:hAnsi="Arial" w:cs="Arial"/>
                <w:sz w:val="16"/>
                <w:szCs w:val="16"/>
              </w:rPr>
              <w:t xml:space="preserve">19,425 </w:t>
            </w:r>
          </w:p>
        </w:tc>
        <w:tc>
          <w:tcPr>
            <w:tcW w:w="1080" w:type="dxa"/>
            <w:tcBorders>
              <w:top w:val="nil"/>
              <w:left w:val="nil"/>
              <w:bottom w:val="nil"/>
              <w:right w:val="nil"/>
            </w:tcBorders>
            <w:shd w:val="clear" w:color="000000" w:fill="E6E6E6"/>
            <w:noWrap/>
            <w:vAlign w:val="bottom"/>
            <w:hideMark/>
          </w:tcPr>
          <w:p w14:paraId="43B75153" w14:textId="627F87B8" w:rsidR="00242378" w:rsidRPr="00F96D8A" w:rsidRDefault="00242378" w:rsidP="00242378">
            <w:pPr>
              <w:spacing w:after="0" w:line="240" w:lineRule="auto"/>
              <w:jc w:val="right"/>
              <w:rPr>
                <w:rFonts w:ascii="Arial" w:hAnsi="Arial" w:cs="Arial"/>
                <w:sz w:val="16"/>
                <w:szCs w:val="16"/>
              </w:rPr>
            </w:pPr>
            <w:r>
              <w:rPr>
                <w:rFonts w:ascii="Arial" w:hAnsi="Arial" w:cs="Arial"/>
                <w:sz w:val="16"/>
                <w:szCs w:val="16"/>
              </w:rPr>
              <w:t xml:space="preserve">19,934 </w:t>
            </w:r>
          </w:p>
        </w:tc>
      </w:tr>
      <w:tr w:rsidR="00242378" w:rsidRPr="00737F3A" w14:paraId="1E562A21" w14:textId="77777777" w:rsidTr="00F96D8A">
        <w:trPr>
          <w:trHeight w:val="204"/>
        </w:trPr>
        <w:tc>
          <w:tcPr>
            <w:tcW w:w="5387" w:type="dxa"/>
            <w:tcBorders>
              <w:top w:val="nil"/>
              <w:left w:val="nil"/>
              <w:bottom w:val="nil"/>
              <w:right w:val="nil"/>
            </w:tcBorders>
            <w:shd w:val="clear" w:color="auto" w:fill="auto"/>
            <w:noWrap/>
            <w:vAlign w:val="bottom"/>
            <w:hideMark/>
          </w:tcPr>
          <w:p w14:paraId="2208A192" w14:textId="77777777" w:rsidR="00242378" w:rsidRPr="00737F3A" w:rsidRDefault="00242378" w:rsidP="00242378">
            <w:pPr>
              <w:spacing w:after="0" w:line="240" w:lineRule="auto"/>
              <w:jc w:val="left"/>
              <w:rPr>
                <w:rFonts w:ascii="Arial" w:hAnsi="Arial" w:cs="Arial"/>
                <w:sz w:val="16"/>
                <w:szCs w:val="16"/>
              </w:rPr>
            </w:pPr>
            <w:r w:rsidRPr="00737F3A">
              <w:rPr>
                <w:rFonts w:ascii="Arial" w:hAnsi="Arial" w:cs="Arial"/>
                <w:sz w:val="16"/>
                <w:szCs w:val="16"/>
              </w:rPr>
              <w:t>Total special accounts receipts</w:t>
            </w:r>
          </w:p>
        </w:tc>
        <w:tc>
          <w:tcPr>
            <w:tcW w:w="1220" w:type="dxa"/>
            <w:tcBorders>
              <w:top w:val="single" w:sz="4" w:space="0" w:color="auto"/>
              <w:left w:val="nil"/>
              <w:bottom w:val="single" w:sz="4" w:space="0" w:color="auto"/>
              <w:right w:val="nil"/>
            </w:tcBorders>
            <w:shd w:val="clear" w:color="auto" w:fill="auto"/>
            <w:noWrap/>
            <w:vAlign w:val="bottom"/>
            <w:hideMark/>
          </w:tcPr>
          <w:p w14:paraId="402B34BB" w14:textId="3079116D" w:rsidR="00242378" w:rsidRPr="0064083D" w:rsidRDefault="00242378" w:rsidP="00242378">
            <w:pPr>
              <w:spacing w:after="0" w:line="240" w:lineRule="auto"/>
              <w:jc w:val="right"/>
              <w:rPr>
                <w:rFonts w:ascii="Arial" w:hAnsi="Arial" w:cs="Arial"/>
                <w:iCs/>
                <w:sz w:val="16"/>
                <w:szCs w:val="16"/>
              </w:rPr>
            </w:pPr>
            <w:r>
              <w:rPr>
                <w:rFonts w:ascii="Arial" w:hAnsi="Arial" w:cs="Arial"/>
                <w:sz w:val="16"/>
                <w:szCs w:val="16"/>
              </w:rPr>
              <w:t xml:space="preserve">399,853 </w:t>
            </w:r>
          </w:p>
        </w:tc>
        <w:tc>
          <w:tcPr>
            <w:tcW w:w="1080" w:type="dxa"/>
            <w:tcBorders>
              <w:top w:val="single" w:sz="4" w:space="0" w:color="auto"/>
              <w:left w:val="nil"/>
              <w:bottom w:val="single" w:sz="4" w:space="0" w:color="auto"/>
              <w:right w:val="nil"/>
            </w:tcBorders>
            <w:shd w:val="clear" w:color="000000" w:fill="E6E6E6"/>
            <w:noWrap/>
            <w:vAlign w:val="bottom"/>
            <w:hideMark/>
          </w:tcPr>
          <w:p w14:paraId="5492C9D7" w14:textId="6789BAA9" w:rsidR="00242378" w:rsidRPr="00F96D8A" w:rsidRDefault="00242378" w:rsidP="00242378">
            <w:pPr>
              <w:spacing w:after="0" w:line="240" w:lineRule="auto"/>
              <w:jc w:val="right"/>
              <w:rPr>
                <w:rFonts w:ascii="Arial" w:hAnsi="Arial" w:cs="Arial"/>
                <w:sz w:val="16"/>
                <w:szCs w:val="16"/>
              </w:rPr>
            </w:pPr>
            <w:r>
              <w:rPr>
                <w:rFonts w:ascii="Arial" w:hAnsi="Arial" w:cs="Arial"/>
                <w:sz w:val="16"/>
                <w:szCs w:val="16"/>
              </w:rPr>
              <w:t xml:space="preserve">400,362 </w:t>
            </w:r>
          </w:p>
        </w:tc>
      </w:tr>
      <w:tr w:rsidR="00242378" w:rsidRPr="00737F3A" w14:paraId="2FEFC6BB" w14:textId="77777777" w:rsidTr="00F96D8A">
        <w:trPr>
          <w:trHeight w:val="204"/>
        </w:trPr>
        <w:tc>
          <w:tcPr>
            <w:tcW w:w="5387" w:type="dxa"/>
            <w:tcBorders>
              <w:top w:val="nil"/>
              <w:left w:val="nil"/>
              <w:bottom w:val="nil"/>
              <w:right w:val="nil"/>
            </w:tcBorders>
            <w:shd w:val="clear" w:color="auto" w:fill="auto"/>
            <w:vAlign w:val="bottom"/>
            <w:hideMark/>
          </w:tcPr>
          <w:p w14:paraId="6A9AF27A" w14:textId="0EF089BB" w:rsidR="00242378" w:rsidRPr="00472C97" w:rsidRDefault="00242378" w:rsidP="00242378">
            <w:pPr>
              <w:spacing w:after="0" w:line="240" w:lineRule="auto"/>
              <w:ind w:left="113"/>
              <w:jc w:val="left"/>
              <w:rPr>
                <w:rFonts w:ascii="Arial" w:hAnsi="Arial" w:cs="Arial"/>
                <w:iCs/>
                <w:sz w:val="16"/>
                <w:szCs w:val="16"/>
              </w:rPr>
            </w:pPr>
            <w:r>
              <w:rPr>
                <w:rFonts w:ascii="Arial" w:hAnsi="Arial" w:cs="Arial"/>
                <w:iCs/>
                <w:sz w:val="16"/>
                <w:szCs w:val="16"/>
              </w:rPr>
              <w:t>less A</w:t>
            </w:r>
            <w:r w:rsidRPr="00472C97">
              <w:rPr>
                <w:rFonts w:ascii="Arial" w:hAnsi="Arial" w:cs="Arial"/>
                <w:iCs/>
                <w:sz w:val="16"/>
                <w:szCs w:val="16"/>
              </w:rPr>
              <w:t>dministered appropriations drawn from annual/ special appropriations and credited to special accounts</w:t>
            </w:r>
          </w:p>
        </w:tc>
        <w:tc>
          <w:tcPr>
            <w:tcW w:w="1220" w:type="dxa"/>
            <w:tcBorders>
              <w:top w:val="nil"/>
              <w:left w:val="nil"/>
              <w:right w:val="nil"/>
            </w:tcBorders>
            <w:shd w:val="clear" w:color="auto" w:fill="auto"/>
            <w:noWrap/>
            <w:vAlign w:val="bottom"/>
            <w:hideMark/>
          </w:tcPr>
          <w:p w14:paraId="55551EE4" w14:textId="66FF59F4" w:rsidR="00242378" w:rsidRPr="0064083D" w:rsidRDefault="00242378" w:rsidP="00242378">
            <w:pPr>
              <w:spacing w:after="0" w:line="240" w:lineRule="auto"/>
              <w:jc w:val="right"/>
              <w:rPr>
                <w:rFonts w:ascii="Arial" w:hAnsi="Arial" w:cs="Arial"/>
                <w:iCs/>
                <w:sz w:val="16"/>
                <w:szCs w:val="16"/>
              </w:rPr>
            </w:pPr>
            <w:r>
              <w:rPr>
                <w:rFonts w:ascii="Arial" w:hAnsi="Arial" w:cs="Arial"/>
                <w:sz w:val="16"/>
                <w:szCs w:val="16"/>
              </w:rPr>
              <w:t>(338,194)</w:t>
            </w:r>
          </w:p>
        </w:tc>
        <w:tc>
          <w:tcPr>
            <w:tcW w:w="1080" w:type="dxa"/>
            <w:tcBorders>
              <w:top w:val="nil"/>
              <w:left w:val="nil"/>
              <w:right w:val="nil"/>
            </w:tcBorders>
            <w:shd w:val="clear" w:color="000000" w:fill="E6E6E6"/>
            <w:noWrap/>
            <w:vAlign w:val="bottom"/>
            <w:hideMark/>
          </w:tcPr>
          <w:p w14:paraId="3D8EF23C" w14:textId="1C42C062" w:rsidR="00242378" w:rsidRPr="00F96D8A" w:rsidRDefault="00242378" w:rsidP="00242378">
            <w:pPr>
              <w:spacing w:after="0" w:line="240" w:lineRule="auto"/>
              <w:jc w:val="right"/>
              <w:rPr>
                <w:rFonts w:ascii="Arial" w:hAnsi="Arial" w:cs="Arial"/>
                <w:sz w:val="16"/>
                <w:szCs w:val="16"/>
              </w:rPr>
            </w:pPr>
            <w:r>
              <w:rPr>
                <w:rFonts w:ascii="Arial" w:hAnsi="Arial" w:cs="Arial"/>
                <w:sz w:val="16"/>
                <w:szCs w:val="16"/>
              </w:rPr>
              <w:t>(336,748)</w:t>
            </w:r>
          </w:p>
        </w:tc>
      </w:tr>
      <w:tr w:rsidR="00242378" w:rsidRPr="00737F3A" w14:paraId="4A932EDD" w14:textId="77777777" w:rsidTr="00F96D8A">
        <w:trPr>
          <w:trHeight w:val="204"/>
        </w:trPr>
        <w:tc>
          <w:tcPr>
            <w:tcW w:w="5387" w:type="dxa"/>
            <w:tcBorders>
              <w:top w:val="nil"/>
              <w:left w:val="nil"/>
              <w:bottom w:val="nil"/>
              <w:right w:val="nil"/>
            </w:tcBorders>
            <w:shd w:val="clear" w:color="auto" w:fill="auto"/>
            <w:vAlign w:val="bottom"/>
            <w:hideMark/>
          </w:tcPr>
          <w:p w14:paraId="1CA7D318" w14:textId="77777777" w:rsidR="00242378" w:rsidRPr="00472C97" w:rsidRDefault="00242378" w:rsidP="00242378">
            <w:pPr>
              <w:spacing w:after="0" w:line="240" w:lineRule="auto"/>
              <w:ind w:left="113"/>
              <w:jc w:val="left"/>
              <w:rPr>
                <w:rFonts w:ascii="Arial" w:hAnsi="Arial" w:cs="Arial"/>
                <w:iCs/>
                <w:sz w:val="16"/>
                <w:szCs w:val="16"/>
              </w:rPr>
            </w:pPr>
            <w:r w:rsidRPr="00472C97">
              <w:rPr>
                <w:rFonts w:ascii="Arial" w:hAnsi="Arial" w:cs="Arial"/>
                <w:iCs/>
                <w:sz w:val="16"/>
                <w:szCs w:val="16"/>
              </w:rPr>
              <w:t>less payments to corporate entities from annual/special appropriations</w:t>
            </w:r>
          </w:p>
        </w:tc>
        <w:tc>
          <w:tcPr>
            <w:tcW w:w="1220" w:type="dxa"/>
            <w:tcBorders>
              <w:top w:val="nil"/>
              <w:left w:val="nil"/>
              <w:bottom w:val="single" w:sz="4" w:space="0" w:color="auto"/>
              <w:right w:val="nil"/>
            </w:tcBorders>
            <w:shd w:val="clear" w:color="auto" w:fill="auto"/>
            <w:noWrap/>
            <w:vAlign w:val="bottom"/>
            <w:hideMark/>
          </w:tcPr>
          <w:p w14:paraId="6D5A0D6B" w14:textId="3FDA258A" w:rsidR="00242378" w:rsidRPr="0064083D" w:rsidRDefault="00242378" w:rsidP="00242378">
            <w:pPr>
              <w:spacing w:after="0" w:line="240" w:lineRule="auto"/>
              <w:jc w:val="right"/>
              <w:rPr>
                <w:rFonts w:ascii="Arial" w:hAnsi="Arial" w:cs="Arial"/>
                <w:iCs/>
                <w:sz w:val="16"/>
                <w:szCs w:val="16"/>
              </w:rPr>
            </w:pPr>
            <w:r>
              <w:rPr>
                <w:rFonts w:ascii="Arial" w:hAnsi="Arial" w:cs="Arial"/>
                <w:sz w:val="16"/>
                <w:szCs w:val="16"/>
              </w:rPr>
              <w:t>(2,403,406)</w:t>
            </w:r>
          </w:p>
        </w:tc>
        <w:tc>
          <w:tcPr>
            <w:tcW w:w="1080" w:type="dxa"/>
            <w:tcBorders>
              <w:top w:val="nil"/>
              <w:left w:val="nil"/>
              <w:bottom w:val="single" w:sz="4" w:space="0" w:color="auto"/>
              <w:right w:val="nil"/>
            </w:tcBorders>
            <w:shd w:val="clear" w:color="000000" w:fill="E6E6E6"/>
            <w:noWrap/>
            <w:vAlign w:val="bottom"/>
            <w:hideMark/>
          </w:tcPr>
          <w:p w14:paraId="32C1A993" w14:textId="37A3E0ED" w:rsidR="00242378" w:rsidRPr="00F96D8A" w:rsidRDefault="00242378" w:rsidP="00242378">
            <w:pPr>
              <w:spacing w:after="0" w:line="240" w:lineRule="auto"/>
              <w:jc w:val="right"/>
              <w:rPr>
                <w:rFonts w:ascii="Arial" w:hAnsi="Arial" w:cs="Arial"/>
                <w:sz w:val="16"/>
                <w:szCs w:val="16"/>
              </w:rPr>
            </w:pPr>
            <w:r>
              <w:rPr>
                <w:rFonts w:ascii="Arial" w:hAnsi="Arial" w:cs="Arial"/>
                <w:sz w:val="16"/>
                <w:szCs w:val="16"/>
              </w:rPr>
              <w:t>(2,377,200)</w:t>
            </w:r>
          </w:p>
        </w:tc>
      </w:tr>
      <w:tr w:rsidR="00242378" w:rsidRPr="00737F3A" w14:paraId="668D1E30" w14:textId="77777777" w:rsidTr="00F96D8A">
        <w:trPr>
          <w:trHeight w:val="204"/>
        </w:trPr>
        <w:tc>
          <w:tcPr>
            <w:tcW w:w="5387" w:type="dxa"/>
            <w:tcBorders>
              <w:top w:val="nil"/>
              <w:left w:val="nil"/>
              <w:bottom w:val="nil"/>
              <w:right w:val="nil"/>
            </w:tcBorders>
            <w:shd w:val="clear" w:color="auto" w:fill="auto"/>
            <w:noWrap/>
            <w:vAlign w:val="bottom"/>
            <w:hideMark/>
          </w:tcPr>
          <w:p w14:paraId="0B79B28C" w14:textId="5BF0A9B7" w:rsidR="00242378" w:rsidRPr="00737F3A" w:rsidRDefault="00242378" w:rsidP="00242378">
            <w:pPr>
              <w:spacing w:after="0" w:line="240" w:lineRule="auto"/>
              <w:jc w:val="left"/>
              <w:rPr>
                <w:rFonts w:ascii="Arial" w:hAnsi="Arial" w:cs="Arial"/>
                <w:b/>
                <w:bCs/>
                <w:sz w:val="16"/>
                <w:szCs w:val="16"/>
              </w:rPr>
            </w:pPr>
            <w:r>
              <w:rPr>
                <w:rFonts w:ascii="Arial" w:hAnsi="Arial" w:cs="Arial"/>
                <w:b/>
                <w:bCs/>
                <w:sz w:val="16"/>
                <w:szCs w:val="16"/>
              </w:rPr>
              <w:t>Total A</w:t>
            </w:r>
            <w:r w:rsidRPr="00737F3A">
              <w:rPr>
                <w:rFonts w:ascii="Arial" w:hAnsi="Arial" w:cs="Arial"/>
                <w:b/>
                <w:bCs/>
                <w:sz w:val="16"/>
                <w:szCs w:val="16"/>
              </w:rPr>
              <w:t>dministered resourcing</w:t>
            </w:r>
          </w:p>
        </w:tc>
        <w:tc>
          <w:tcPr>
            <w:tcW w:w="1220" w:type="dxa"/>
            <w:tcBorders>
              <w:top w:val="single" w:sz="4" w:space="0" w:color="auto"/>
              <w:left w:val="nil"/>
              <w:bottom w:val="single" w:sz="4" w:space="0" w:color="auto"/>
              <w:right w:val="nil"/>
            </w:tcBorders>
            <w:shd w:val="clear" w:color="auto" w:fill="auto"/>
            <w:noWrap/>
            <w:vAlign w:val="bottom"/>
            <w:hideMark/>
          </w:tcPr>
          <w:p w14:paraId="56C36BAA" w14:textId="76D7A3A1" w:rsidR="00242378" w:rsidRPr="0064083D" w:rsidRDefault="00242378" w:rsidP="00242378">
            <w:pPr>
              <w:spacing w:after="0" w:line="240" w:lineRule="auto"/>
              <w:jc w:val="right"/>
              <w:rPr>
                <w:rFonts w:ascii="Arial" w:hAnsi="Arial" w:cs="Arial"/>
                <w:b/>
                <w:bCs/>
                <w:iCs/>
                <w:sz w:val="16"/>
                <w:szCs w:val="16"/>
              </w:rPr>
            </w:pPr>
            <w:r>
              <w:rPr>
                <w:rFonts w:ascii="Arial" w:hAnsi="Arial" w:cs="Arial"/>
                <w:b/>
                <w:bCs/>
                <w:sz w:val="16"/>
                <w:szCs w:val="16"/>
              </w:rPr>
              <w:t xml:space="preserve">12,585,834 </w:t>
            </w:r>
          </w:p>
        </w:tc>
        <w:tc>
          <w:tcPr>
            <w:tcW w:w="1080" w:type="dxa"/>
            <w:tcBorders>
              <w:top w:val="single" w:sz="4" w:space="0" w:color="auto"/>
              <w:left w:val="nil"/>
              <w:bottom w:val="single" w:sz="4" w:space="0" w:color="auto"/>
              <w:right w:val="nil"/>
            </w:tcBorders>
            <w:shd w:val="clear" w:color="000000" w:fill="E6E6E6"/>
            <w:noWrap/>
            <w:vAlign w:val="bottom"/>
            <w:hideMark/>
          </w:tcPr>
          <w:p w14:paraId="22064B8D" w14:textId="1B06E7AB" w:rsidR="00242378" w:rsidRPr="00F96D8A" w:rsidRDefault="00242378" w:rsidP="00242378">
            <w:pPr>
              <w:spacing w:after="0" w:line="240" w:lineRule="auto"/>
              <w:jc w:val="right"/>
              <w:rPr>
                <w:rFonts w:ascii="Arial" w:hAnsi="Arial" w:cs="Arial"/>
                <w:b/>
                <w:bCs/>
                <w:sz w:val="16"/>
                <w:szCs w:val="16"/>
              </w:rPr>
            </w:pPr>
            <w:r>
              <w:rPr>
                <w:rFonts w:ascii="Arial" w:hAnsi="Arial" w:cs="Arial"/>
                <w:b/>
                <w:bCs/>
                <w:sz w:val="16"/>
                <w:szCs w:val="16"/>
              </w:rPr>
              <w:t xml:space="preserve">16,515,997 </w:t>
            </w:r>
          </w:p>
        </w:tc>
      </w:tr>
      <w:tr w:rsidR="00242378" w:rsidRPr="00737F3A" w14:paraId="5444307F" w14:textId="77777777" w:rsidTr="00F96D8A">
        <w:trPr>
          <w:trHeight w:val="227"/>
        </w:trPr>
        <w:tc>
          <w:tcPr>
            <w:tcW w:w="5387" w:type="dxa"/>
            <w:tcBorders>
              <w:top w:val="nil"/>
              <w:left w:val="nil"/>
              <w:bottom w:val="single" w:sz="4" w:space="0" w:color="auto"/>
              <w:right w:val="nil"/>
            </w:tcBorders>
            <w:shd w:val="clear" w:color="auto" w:fill="auto"/>
            <w:noWrap/>
            <w:vAlign w:val="bottom"/>
            <w:hideMark/>
          </w:tcPr>
          <w:p w14:paraId="4ECBF998" w14:textId="77777777" w:rsidR="00242378" w:rsidRPr="00737F3A" w:rsidRDefault="00242378" w:rsidP="00242378">
            <w:pPr>
              <w:spacing w:after="0" w:line="240" w:lineRule="auto"/>
              <w:jc w:val="left"/>
              <w:rPr>
                <w:rFonts w:ascii="Arial" w:hAnsi="Arial" w:cs="Arial"/>
                <w:b/>
                <w:bCs/>
                <w:sz w:val="16"/>
                <w:szCs w:val="16"/>
              </w:rPr>
            </w:pPr>
            <w:r>
              <w:rPr>
                <w:rFonts w:ascii="Arial" w:hAnsi="Arial" w:cs="Arial"/>
                <w:b/>
                <w:bCs/>
                <w:sz w:val="16"/>
                <w:szCs w:val="16"/>
              </w:rPr>
              <w:t>Total resourcing</w:t>
            </w:r>
          </w:p>
        </w:tc>
        <w:tc>
          <w:tcPr>
            <w:tcW w:w="1220" w:type="dxa"/>
            <w:tcBorders>
              <w:top w:val="nil"/>
              <w:left w:val="nil"/>
              <w:bottom w:val="single" w:sz="4" w:space="0" w:color="auto"/>
              <w:right w:val="nil"/>
            </w:tcBorders>
            <w:shd w:val="clear" w:color="auto" w:fill="auto"/>
            <w:noWrap/>
            <w:vAlign w:val="bottom"/>
            <w:hideMark/>
          </w:tcPr>
          <w:p w14:paraId="0233141D" w14:textId="567735CA" w:rsidR="00242378" w:rsidRPr="0064083D" w:rsidRDefault="00242378" w:rsidP="00242378">
            <w:pPr>
              <w:spacing w:after="0" w:line="240" w:lineRule="auto"/>
              <w:jc w:val="right"/>
              <w:rPr>
                <w:rFonts w:ascii="Arial" w:hAnsi="Arial" w:cs="Arial"/>
                <w:b/>
                <w:bCs/>
                <w:sz w:val="16"/>
                <w:szCs w:val="16"/>
              </w:rPr>
            </w:pPr>
            <w:r>
              <w:rPr>
                <w:rFonts w:ascii="Arial" w:hAnsi="Arial" w:cs="Arial"/>
                <w:b/>
                <w:bCs/>
                <w:sz w:val="16"/>
                <w:szCs w:val="16"/>
              </w:rPr>
              <w:t xml:space="preserve">13,175,925 </w:t>
            </w:r>
          </w:p>
        </w:tc>
        <w:tc>
          <w:tcPr>
            <w:tcW w:w="1080" w:type="dxa"/>
            <w:tcBorders>
              <w:top w:val="nil"/>
              <w:left w:val="nil"/>
              <w:bottom w:val="single" w:sz="4" w:space="0" w:color="auto"/>
              <w:right w:val="nil"/>
            </w:tcBorders>
            <w:shd w:val="clear" w:color="000000" w:fill="E6E6E6"/>
            <w:noWrap/>
            <w:vAlign w:val="bottom"/>
            <w:hideMark/>
          </w:tcPr>
          <w:p w14:paraId="7C97527B" w14:textId="5454D6E0" w:rsidR="00242378" w:rsidRPr="00F96D8A" w:rsidRDefault="00242378" w:rsidP="00242378">
            <w:pPr>
              <w:spacing w:after="0" w:line="240" w:lineRule="auto"/>
              <w:jc w:val="right"/>
              <w:rPr>
                <w:rFonts w:ascii="Arial" w:hAnsi="Arial" w:cs="Arial"/>
                <w:b/>
                <w:bCs/>
                <w:sz w:val="16"/>
                <w:szCs w:val="16"/>
              </w:rPr>
            </w:pPr>
            <w:r>
              <w:rPr>
                <w:rFonts w:ascii="Arial" w:hAnsi="Arial" w:cs="Arial"/>
                <w:b/>
                <w:bCs/>
                <w:sz w:val="16"/>
                <w:szCs w:val="16"/>
              </w:rPr>
              <w:t xml:space="preserve">17,169,893 </w:t>
            </w:r>
          </w:p>
        </w:tc>
      </w:tr>
    </w:tbl>
    <w:p w14:paraId="570553A0" w14:textId="77777777" w:rsidR="00B91F3E" w:rsidRDefault="00B91F3E" w:rsidP="00B91F3E">
      <w:pPr>
        <w:spacing w:after="0"/>
      </w:pPr>
    </w:p>
    <w:tbl>
      <w:tblPr>
        <w:tblW w:w="0" w:type="auto"/>
        <w:tblLayout w:type="fixed"/>
        <w:tblLook w:val="04A0" w:firstRow="1" w:lastRow="0" w:firstColumn="1" w:lastColumn="0" w:noHBand="0" w:noVBand="1"/>
      </w:tblPr>
      <w:tblGrid>
        <w:gridCol w:w="5387"/>
        <w:gridCol w:w="1220"/>
        <w:gridCol w:w="1080"/>
      </w:tblGrid>
      <w:tr w:rsidR="00B91F3E" w:rsidRPr="00F96D8A" w14:paraId="0DBA6AEC" w14:textId="77777777" w:rsidTr="00F96D8A">
        <w:trPr>
          <w:trHeight w:val="204"/>
        </w:trPr>
        <w:tc>
          <w:tcPr>
            <w:tcW w:w="5387" w:type="dxa"/>
            <w:tcBorders>
              <w:top w:val="single" w:sz="4" w:space="0" w:color="auto"/>
              <w:left w:val="nil"/>
              <w:bottom w:val="nil"/>
              <w:right w:val="nil"/>
            </w:tcBorders>
            <w:shd w:val="clear" w:color="auto" w:fill="auto"/>
            <w:noWrap/>
            <w:vAlign w:val="bottom"/>
            <w:hideMark/>
          </w:tcPr>
          <w:p w14:paraId="0265F2A7" w14:textId="77777777" w:rsidR="00B91F3E" w:rsidRPr="00F96D8A" w:rsidRDefault="00B91F3E" w:rsidP="00F96D8A">
            <w:pPr>
              <w:spacing w:after="0" w:line="240" w:lineRule="auto"/>
              <w:jc w:val="left"/>
              <w:rPr>
                <w:rFonts w:ascii="Times New Roman" w:hAnsi="Times New Roman"/>
                <w:sz w:val="24"/>
                <w:szCs w:val="24"/>
              </w:rPr>
            </w:pPr>
          </w:p>
        </w:tc>
        <w:tc>
          <w:tcPr>
            <w:tcW w:w="1220" w:type="dxa"/>
            <w:tcBorders>
              <w:top w:val="single" w:sz="4" w:space="0" w:color="auto"/>
              <w:left w:val="nil"/>
              <w:bottom w:val="single" w:sz="4" w:space="0" w:color="auto"/>
              <w:right w:val="nil"/>
            </w:tcBorders>
            <w:shd w:val="clear" w:color="auto" w:fill="auto"/>
            <w:vAlign w:val="bottom"/>
            <w:hideMark/>
          </w:tcPr>
          <w:p w14:paraId="1C1A95C3" w14:textId="77777777" w:rsidR="00B91F3E" w:rsidRPr="00F96D8A" w:rsidRDefault="00B91F3E" w:rsidP="00F96D8A">
            <w:pPr>
              <w:spacing w:after="0" w:line="240" w:lineRule="auto"/>
              <w:jc w:val="right"/>
              <w:rPr>
                <w:rFonts w:ascii="Arial" w:hAnsi="Arial" w:cs="Arial"/>
                <w:iCs/>
                <w:sz w:val="16"/>
                <w:szCs w:val="16"/>
              </w:rPr>
            </w:pPr>
            <w:r w:rsidRPr="00F96D8A">
              <w:rPr>
                <w:rFonts w:ascii="Arial" w:hAnsi="Arial" w:cs="Arial"/>
                <w:iCs/>
                <w:sz w:val="16"/>
                <w:szCs w:val="16"/>
              </w:rPr>
              <w:t>2021-22</w:t>
            </w:r>
          </w:p>
        </w:tc>
        <w:tc>
          <w:tcPr>
            <w:tcW w:w="1080" w:type="dxa"/>
            <w:tcBorders>
              <w:top w:val="single" w:sz="4" w:space="0" w:color="auto"/>
              <w:left w:val="nil"/>
              <w:bottom w:val="single" w:sz="4" w:space="0" w:color="auto"/>
              <w:right w:val="nil"/>
            </w:tcBorders>
            <w:shd w:val="clear" w:color="000000" w:fill="E6E6E6"/>
            <w:vAlign w:val="bottom"/>
            <w:hideMark/>
          </w:tcPr>
          <w:p w14:paraId="42F009F2" w14:textId="77777777" w:rsidR="00B91F3E" w:rsidRPr="00F96D8A" w:rsidRDefault="00B91F3E" w:rsidP="00F96D8A">
            <w:pPr>
              <w:spacing w:after="0" w:line="240" w:lineRule="auto"/>
              <w:jc w:val="right"/>
              <w:rPr>
                <w:rFonts w:ascii="Arial" w:hAnsi="Arial" w:cs="Arial"/>
                <w:sz w:val="16"/>
                <w:szCs w:val="16"/>
              </w:rPr>
            </w:pPr>
            <w:r w:rsidRPr="00F96D8A">
              <w:rPr>
                <w:rFonts w:ascii="Arial" w:hAnsi="Arial" w:cs="Arial"/>
                <w:sz w:val="16"/>
                <w:szCs w:val="16"/>
              </w:rPr>
              <w:t>2022-23</w:t>
            </w:r>
          </w:p>
        </w:tc>
      </w:tr>
      <w:tr w:rsidR="00824611" w:rsidRPr="00F96D8A" w14:paraId="7656487B" w14:textId="77777777" w:rsidTr="00F96D8A">
        <w:trPr>
          <w:trHeight w:val="204"/>
        </w:trPr>
        <w:tc>
          <w:tcPr>
            <w:tcW w:w="5387" w:type="dxa"/>
            <w:tcBorders>
              <w:top w:val="nil"/>
              <w:left w:val="nil"/>
              <w:bottom w:val="single" w:sz="4" w:space="0" w:color="auto"/>
              <w:right w:val="nil"/>
            </w:tcBorders>
            <w:shd w:val="clear" w:color="auto" w:fill="auto"/>
            <w:noWrap/>
            <w:vAlign w:val="bottom"/>
            <w:hideMark/>
          </w:tcPr>
          <w:p w14:paraId="43A4A9B0" w14:textId="77777777" w:rsidR="00824611" w:rsidRPr="00F96D8A" w:rsidRDefault="00824611" w:rsidP="00824611">
            <w:pPr>
              <w:spacing w:after="0" w:line="240" w:lineRule="auto"/>
              <w:jc w:val="left"/>
              <w:rPr>
                <w:rFonts w:ascii="Arial" w:hAnsi="Arial" w:cs="Arial"/>
                <w:b/>
                <w:bCs/>
                <w:sz w:val="16"/>
                <w:szCs w:val="16"/>
              </w:rPr>
            </w:pPr>
            <w:r w:rsidRPr="00F96D8A">
              <w:rPr>
                <w:rFonts w:ascii="Arial" w:hAnsi="Arial" w:cs="Arial"/>
                <w:b/>
                <w:bCs/>
                <w:sz w:val="16"/>
                <w:szCs w:val="16"/>
              </w:rPr>
              <w:t>Average staffing level (number)</w:t>
            </w:r>
          </w:p>
        </w:tc>
        <w:tc>
          <w:tcPr>
            <w:tcW w:w="1220" w:type="dxa"/>
            <w:tcBorders>
              <w:top w:val="nil"/>
              <w:left w:val="nil"/>
              <w:bottom w:val="single" w:sz="4" w:space="0" w:color="auto"/>
              <w:right w:val="nil"/>
            </w:tcBorders>
            <w:shd w:val="clear" w:color="auto" w:fill="auto"/>
            <w:noWrap/>
            <w:vAlign w:val="bottom"/>
            <w:hideMark/>
          </w:tcPr>
          <w:p w14:paraId="1F0EA97E" w14:textId="03B70E33" w:rsidR="00824611" w:rsidRPr="00824611" w:rsidRDefault="00824611" w:rsidP="00824611">
            <w:pPr>
              <w:spacing w:after="0" w:line="240" w:lineRule="auto"/>
              <w:jc w:val="right"/>
              <w:rPr>
                <w:rFonts w:ascii="Arial" w:hAnsi="Arial" w:cs="Arial"/>
                <w:iCs/>
                <w:sz w:val="16"/>
                <w:szCs w:val="16"/>
              </w:rPr>
            </w:pPr>
            <w:r w:rsidRPr="00824611">
              <w:rPr>
                <w:rFonts w:ascii="Arial" w:hAnsi="Arial" w:cs="Arial"/>
                <w:iCs/>
                <w:sz w:val="16"/>
                <w:szCs w:val="16"/>
              </w:rPr>
              <w:t>1,708</w:t>
            </w:r>
          </w:p>
        </w:tc>
        <w:tc>
          <w:tcPr>
            <w:tcW w:w="1080" w:type="dxa"/>
            <w:tcBorders>
              <w:top w:val="nil"/>
              <w:left w:val="nil"/>
              <w:bottom w:val="single" w:sz="4" w:space="0" w:color="auto"/>
              <w:right w:val="nil"/>
            </w:tcBorders>
            <w:shd w:val="clear" w:color="000000" w:fill="E6E6E6"/>
            <w:noWrap/>
            <w:vAlign w:val="bottom"/>
            <w:hideMark/>
          </w:tcPr>
          <w:p w14:paraId="10891779" w14:textId="79FEB676" w:rsidR="00824611" w:rsidRPr="00824611" w:rsidRDefault="00824611" w:rsidP="00D10AB6">
            <w:pPr>
              <w:spacing w:after="0" w:line="240" w:lineRule="auto"/>
              <w:jc w:val="right"/>
              <w:rPr>
                <w:rFonts w:ascii="Arial" w:hAnsi="Arial" w:cs="Arial"/>
                <w:sz w:val="16"/>
                <w:szCs w:val="16"/>
              </w:rPr>
            </w:pPr>
            <w:r w:rsidRPr="00824611">
              <w:rPr>
                <w:rFonts w:ascii="Arial" w:hAnsi="Arial" w:cs="Arial"/>
                <w:sz w:val="16"/>
                <w:szCs w:val="16"/>
              </w:rPr>
              <w:t>1,7</w:t>
            </w:r>
            <w:r w:rsidR="00D10AB6">
              <w:rPr>
                <w:rFonts w:ascii="Arial" w:hAnsi="Arial" w:cs="Arial"/>
                <w:sz w:val="16"/>
                <w:szCs w:val="16"/>
              </w:rPr>
              <w:t>6</w:t>
            </w:r>
            <w:r w:rsidRPr="00824611">
              <w:rPr>
                <w:rFonts w:ascii="Arial" w:hAnsi="Arial" w:cs="Arial"/>
                <w:sz w:val="16"/>
                <w:szCs w:val="16"/>
              </w:rPr>
              <w:t>4</w:t>
            </w:r>
          </w:p>
        </w:tc>
      </w:tr>
    </w:tbl>
    <w:p w14:paraId="67279A7B" w14:textId="77777777" w:rsidR="00B91F3E" w:rsidRPr="00F96D8A" w:rsidRDefault="00B91F3E" w:rsidP="00B91F3E"/>
    <w:p w14:paraId="755E4E00" w14:textId="77777777" w:rsidR="00B91F3E" w:rsidRDefault="00B91F3E" w:rsidP="00B91F3E">
      <w:pPr>
        <w:pStyle w:val="TableHeading"/>
      </w:pPr>
      <w:r>
        <w:br w:type="page"/>
      </w:r>
    </w:p>
    <w:p w14:paraId="34B6F6BD" w14:textId="77777777" w:rsidR="00D10AB6" w:rsidRPr="00632EEF" w:rsidRDefault="00B91F3E" w:rsidP="00D10AB6">
      <w:pPr>
        <w:pStyle w:val="TableHeading"/>
        <w:rPr>
          <w:lang w:val="en-AU"/>
        </w:rPr>
      </w:pPr>
      <w:r w:rsidRPr="00897F19">
        <w:lastRenderedPageBreak/>
        <w:t xml:space="preserve">Table 1.1: </w:t>
      </w:r>
      <w:r w:rsidR="003C4CC6">
        <w:t>Department</w:t>
      </w:r>
      <w:r w:rsidRPr="00897F19">
        <w:t xml:space="preserve"> of Infrastructure, Transport, Regional Development and Com</w:t>
      </w:r>
      <w:r>
        <w:t>munications resource statement –</w:t>
      </w:r>
      <w:r w:rsidRPr="00897F19">
        <w:t xml:space="preserve"> </w:t>
      </w:r>
      <w:r w:rsidR="00D10AB6">
        <w:t xml:space="preserve">Budget estimates for </w:t>
      </w:r>
      <w:r w:rsidR="00D10AB6">
        <w:rPr>
          <w:lang w:val="en-AU"/>
        </w:rPr>
        <w:t>2022-23</w:t>
      </w:r>
      <w:r w:rsidR="00D10AB6">
        <w:t xml:space="preserve"> </w:t>
      </w:r>
      <w:r w:rsidR="00D10AB6" w:rsidRPr="00D44150">
        <w:t xml:space="preserve">as at Budget </w:t>
      </w:r>
      <w:r w:rsidR="00D10AB6">
        <w:rPr>
          <w:lang w:val="en-AU"/>
        </w:rPr>
        <w:t>March 2022 (continued)</w:t>
      </w:r>
    </w:p>
    <w:p w14:paraId="5582F9CE" w14:textId="77777777" w:rsidR="00B91F3E" w:rsidRDefault="00B91F3E" w:rsidP="00B91F3E">
      <w:pPr>
        <w:pStyle w:val="TableHeading"/>
        <w:spacing w:before="120"/>
      </w:pPr>
      <w:r w:rsidRPr="005C4BEE">
        <w:t xml:space="preserve">Third party payments from and on behalf of other </w:t>
      </w:r>
      <w:r>
        <w:t>entities</w:t>
      </w:r>
    </w:p>
    <w:tbl>
      <w:tblPr>
        <w:tblW w:w="0" w:type="auto"/>
        <w:tblLayout w:type="fixed"/>
        <w:tblLook w:val="04A0" w:firstRow="1" w:lastRow="0" w:firstColumn="1" w:lastColumn="0" w:noHBand="0" w:noVBand="1"/>
      </w:tblPr>
      <w:tblGrid>
        <w:gridCol w:w="5245"/>
        <w:gridCol w:w="1301"/>
        <w:gridCol w:w="1109"/>
      </w:tblGrid>
      <w:tr w:rsidR="00B91F3E" w:rsidRPr="00217781" w14:paraId="58D382C5" w14:textId="77777777" w:rsidTr="00F96D8A">
        <w:trPr>
          <w:trHeight w:val="204"/>
        </w:trPr>
        <w:tc>
          <w:tcPr>
            <w:tcW w:w="5245" w:type="dxa"/>
            <w:tcBorders>
              <w:top w:val="single" w:sz="4" w:space="0" w:color="auto"/>
              <w:left w:val="nil"/>
              <w:bottom w:val="nil"/>
              <w:right w:val="nil"/>
            </w:tcBorders>
            <w:shd w:val="clear" w:color="auto" w:fill="auto"/>
            <w:noWrap/>
            <w:vAlign w:val="bottom"/>
            <w:hideMark/>
          </w:tcPr>
          <w:p w14:paraId="1CB644AE" w14:textId="77777777" w:rsidR="00B91F3E" w:rsidRPr="00217781" w:rsidRDefault="00B91F3E" w:rsidP="00F96D8A">
            <w:pPr>
              <w:spacing w:after="0" w:line="240" w:lineRule="auto"/>
              <w:jc w:val="left"/>
              <w:rPr>
                <w:rFonts w:ascii="Times New Roman" w:hAnsi="Times New Roman"/>
                <w:sz w:val="24"/>
                <w:szCs w:val="24"/>
              </w:rPr>
            </w:pPr>
            <w:bookmarkStart w:id="15" w:name="_Toc190682311"/>
            <w:bookmarkStart w:id="16" w:name="_Toc190682529"/>
          </w:p>
        </w:tc>
        <w:tc>
          <w:tcPr>
            <w:tcW w:w="1301" w:type="dxa"/>
            <w:tcBorders>
              <w:top w:val="single" w:sz="4" w:space="0" w:color="auto"/>
              <w:left w:val="nil"/>
              <w:bottom w:val="single" w:sz="4" w:space="0" w:color="auto"/>
              <w:right w:val="nil"/>
            </w:tcBorders>
            <w:shd w:val="clear" w:color="auto" w:fill="auto"/>
            <w:vAlign w:val="bottom"/>
            <w:hideMark/>
          </w:tcPr>
          <w:p w14:paraId="17758FD2" w14:textId="77777777" w:rsidR="00B91F3E" w:rsidRPr="004B59BE" w:rsidRDefault="00B91F3E" w:rsidP="00F96D8A">
            <w:pPr>
              <w:spacing w:after="0" w:line="240" w:lineRule="auto"/>
              <w:jc w:val="right"/>
              <w:rPr>
                <w:rFonts w:ascii="Arial" w:hAnsi="Arial" w:cs="Arial"/>
                <w:iCs/>
                <w:sz w:val="16"/>
                <w:szCs w:val="16"/>
              </w:rPr>
            </w:pPr>
            <w:r w:rsidRPr="004B59BE">
              <w:rPr>
                <w:rFonts w:ascii="Arial" w:hAnsi="Arial" w:cs="Arial"/>
                <w:iCs/>
                <w:sz w:val="16"/>
                <w:szCs w:val="16"/>
              </w:rPr>
              <w:t>2021-22</w:t>
            </w:r>
            <w:r w:rsidRPr="004B59BE">
              <w:rPr>
                <w:rFonts w:ascii="Arial" w:hAnsi="Arial" w:cs="Arial"/>
                <w:iCs/>
                <w:sz w:val="16"/>
                <w:szCs w:val="16"/>
                <w:vertAlign w:val="superscript"/>
              </w:rPr>
              <w:t>(a)</w:t>
            </w:r>
          </w:p>
          <w:p w14:paraId="141B1F24" w14:textId="77777777" w:rsidR="00B91F3E" w:rsidRPr="004B59BE" w:rsidRDefault="00B91F3E" w:rsidP="00F96D8A">
            <w:pPr>
              <w:spacing w:after="0" w:line="240" w:lineRule="auto"/>
              <w:jc w:val="right"/>
              <w:rPr>
                <w:rFonts w:ascii="Arial" w:hAnsi="Arial" w:cs="Arial"/>
                <w:iCs/>
                <w:sz w:val="16"/>
                <w:szCs w:val="16"/>
              </w:rPr>
            </w:pPr>
            <w:r w:rsidRPr="004B59BE">
              <w:rPr>
                <w:rFonts w:ascii="Arial" w:hAnsi="Arial" w:cs="Arial"/>
                <w:iCs/>
                <w:sz w:val="16"/>
                <w:szCs w:val="16"/>
              </w:rPr>
              <w:t>Estimated</w:t>
            </w:r>
          </w:p>
          <w:p w14:paraId="6F86763A" w14:textId="77777777" w:rsidR="00B91F3E" w:rsidRPr="004B59BE" w:rsidRDefault="00B91F3E" w:rsidP="00F96D8A">
            <w:pPr>
              <w:spacing w:after="0" w:line="240" w:lineRule="auto"/>
              <w:jc w:val="right"/>
              <w:rPr>
                <w:rFonts w:ascii="Arial" w:hAnsi="Arial" w:cs="Arial"/>
                <w:iCs/>
                <w:sz w:val="16"/>
                <w:szCs w:val="16"/>
              </w:rPr>
            </w:pPr>
            <w:r w:rsidRPr="004B59BE">
              <w:rPr>
                <w:rFonts w:ascii="Arial" w:hAnsi="Arial" w:cs="Arial"/>
                <w:iCs/>
                <w:sz w:val="16"/>
                <w:szCs w:val="16"/>
              </w:rPr>
              <w:t>Actual</w:t>
            </w:r>
          </w:p>
          <w:p w14:paraId="14727A39" w14:textId="77777777" w:rsidR="00B91F3E" w:rsidRPr="004B59BE" w:rsidRDefault="00B91F3E" w:rsidP="00F96D8A">
            <w:pPr>
              <w:spacing w:after="0" w:line="240" w:lineRule="auto"/>
              <w:jc w:val="right"/>
              <w:rPr>
                <w:rFonts w:ascii="Arial" w:hAnsi="Arial" w:cs="Arial"/>
                <w:iCs/>
                <w:sz w:val="16"/>
                <w:szCs w:val="16"/>
              </w:rPr>
            </w:pPr>
            <w:r w:rsidRPr="004B59BE">
              <w:rPr>
                <w:rFonts w:ascii="Arial" w:hAnsi="Arial" w:cs="Arial"/>
                <w:iCs/>
                <w:sz w:val="16"/>
                <w:szCs w:val="16"/>
              </w:rPr>
              <w:t>$'000</w:t>
            </w:r>
          </w:p>
        </w:tc>
        <w:tc>
          <w:tcPr>
            <w:tcW w:w="1109" w:type="dxa"/>
            <w:tcBorders>
              <w:top w:val="single" w:sz="4" w:space="0" w:color="auto"/>
              <w:left w:val="nil"/>
              <w:bottom w:val="single" w:sz="4" w:space="0" w:color="auto"/>
              <w:right w:val="nil"/>
            </w:tcBorders>
            <w:shd w:val="clear" w:color="000000" w:fill="E6E6E6"/>
            <w:vAlign w:val="bottom"/>
            <w:hideMark/>
          </w:tcPr>
          <w:p w14:paraId="06C78699" w14:textId="77777777" w:rsidR="00B91F3E" w:rsidRDefault="00B91F3E" w:rsidP="00F96D8A">
            <w:pPr>
              <w:spacing w:after="0" w:line="240" w:lineRule="auto"/>
              <w:jc w:val="right"/>
              <w:rPr>
                <w:rFonts w:ascii="Arial" w:hAnsi="Arial" w:cs="Arial"/>
                <w:sz w:val="16"/>
                <w:szCs w:val="16"/>
              </w:rPr>
            </w:pPr>
            <w:r w:rsidRPr="00217781">
              <w:rPr>
                <w:rFonts w:ascii="Arial" w:hAnsi="Arial" w:cs="Arial"/>
                <w:sz w:val="16"/>
                <w:szCs w:val="16"/>
              </w:rPr>
              <w:t>2022-23</w:t>
            </w:r>
          </w:p>
          <w:p w14:paraId="2F833D4D" w14:textId="77777777" w:rsidR="00B91F3E" w:rsidRPr="00217781" w:rsidRDefault="00B91F3E" w:rsidP="00F96D8A">
            <w:pPr>
              <w:spacing w:after="0" w:line="240" w:lineRule="auto"/>
              <w:jc w:val="right"/>
              <w:rPr>
                <w:rFonts w:ascii="Arial" w:hAnsi="Arial" w:cs="Arial"/>
                <w:sz w:val="16"/>
                <w:szCs w:val="16"/>
              </w:rPr>
            </w:pPr>
            <w:r w:rsidRPr="00217781">
              <w:rPr>
                <w:rFonts w:ascii="Arial" w:hAnsi="Arial" w:cs="Arial"/>
                <w:sz w:val="16"/>
                <w:szCs w:val="16"/>
              </w:rPr>
              <w:t>Estimate</w:t>
            </w:r>
            <w:r w:rsidRPr="00217781">
              <w:rPr>
                <w:rFonts w:ascii="Arial" w:hAnsi="Arial" w:cs="Arial"/>
                <w:sz w:val="16"/>
                <w:szCs w:val="16"/>
              </w:rPr>
              <w:br/>
            </w:r>
            <w:r w:rsidRPr="00217781">
              <w:rPr>
                <w:rFonts w:ascii="Arial" w:hAnsi="Arial" w:cs="Arial"/>
                <w:sz w:val="16"/>
                <w:szCs w:val="16"/>
              </w:rPr>
              <w:br/>
              <w:t>$'000</w:t>
            </w:r>
          </w:p>
        </w:tc>
      </w:tr>
      <w:tr w:rsidR="00B91F3E" w:rsidRPr="00217781" w14:paraId="4C813911" w14:textId="77777777" w:rsidTr="00F96D8A">
        <w:trPr>
          <w:trHeight w:val="204"/>
        </w:trPr>
        <w:tc>
          <w:tcPr>
            <w:tcW w:w="5245" w:type="dxa"/>
            <w:tcBorders>
              <w:top w:val="nil"/>
              <w:left w:val="nil"/>
              <w:bottom w:val="nil"/>
              <w:right w:val="nil"/>
            </w:tcBorders>
            <w:shd w:val="clear" w:color="auto" w:fill="auto"/>
            <w:vAlign w:val="bottom"/>
            <w:hideMark/>
          </w:tcPr>
          <w:p w14:paraId="454CAA90" w14:textId="77777777" w:rsidR="00B91F3E" w:rsidRPr="00217781" w:rsidRDefault="00B91F3E" w:rsidP="00F96D8A">
            <w:pPr>
              <w:spacing w:after="0" w:line="240" w:lineRule="auto"/>
              <w:jc w:val="left"/>
              <w:rPr>
                <w:rFonts w:ascii="Arial" w:hAnsi="Arial" w:cs="Arial"/>
                <w:sz w:val="16"/>
                <w:szCs w:val="16"/>
              </w:rPr>
            </w:pPr>
            <w:r w:rsidRPr="00217781">
              <w:rPr>
                <w:rFonts w:ascii="Arial" w:hAnsi="Arial" w:cs="Arial"/>
                <w:sz w:val="16"/>
                <w:szCs w:val="16"/>
              </w:rPr>
              <w:t xml:space="preserve">Receipts received from other entities for the provision of services (disclosed above in s74 external revenue section above) </w:t>
            </w:r>
          </w:p>
        </w:tc>
        <w:tc>
          <w:tcPr>
            <w:tcW w:w="1301" w:type="dxa"/>
            <w:tcBorders>
              <w:top w:val="nil"/>
              <w:left w:val="nil"/>
              <w:bottom w:val="nil"/>
              <w:right w:val="nil"/>
            </w:tcBorders>
            <w:shd w:val="clear" w:color="auto" w:fill="auto"/>
            <w:vAlign w:val="bottom"/>
            <w:hideMark/>
          </w:tcPr>
          <w:p w14:paraId="29383ED7" w14:textId="77777777" w:rsidR="00B91F3E" w:rsidRPr="004B59BE" w:rsidRDefault="00B91F3E" w:rsidP="00F96D8A">
            <w:pPr>
              <w:spacing w:after="0" w:line="240" w:lineRule="auto"/>
              <w:jc w:val="right"/>
              <w:rPr>
                <w:rFonts w:ascii="Arial" w:hAnsi="Arial" w:cs="Arial"/>
                <w:color w:val="000000" w:themeColor="text1"/>
                <w:sz w:val="16"/>
                <w:szCs w:val="16"/>
              </w:rPr>
            </w:pPr>
          </w:p>
        </w:tc>
        <w:tc>
          <w:tcPr>
            <w:tcW w:w="1109" w:type="dxa"/>
            <w:tcBorders>
              <w:top w:val="nil"/>
              <w:left w:val="nil"/>
              <w:bottom w:val="nil"/>
              <w:right w:val="nil"/>
            </w:tcBorders>
            <w:shd w:val="clear" w:color="000000" w:fill="E6E6E6"/>
            <w:vAlign w:val="bottom"/>
            <w:hideMark/>
          </w:tcPr>
          <w:p w14:paraId="6DCF807D" w14:textId="77777777" w:rsidR="00B91F3E" w:rsidRPr="00217781" w:rsidRDefault="00B91F3E" w:rsidP="00F96D8A">
            <w:pPr>
              <w:spacing w:after="0" w:line="240" w:lineRule="auto"/>
              <w:jc w:val="right"/>
              <w:rPr>
                <w:rFonts w:ascii="Arial" w:hAnsi="Arial" w:cs="Arial"/>
                <w:color w:val="000000" w:themeColor="text1"/>
                <w:sz w:val="16"/>
                <w:szCs w:val="16"/>
              </w:rPr>
            </w:pPr>
          </w:p>
        </w:tc>
      </w:tr>
      <w:tr w:rsidR="00477933" w:rsidRPr="00217781" w14:paraId="30E1DA88" w14:textId="77777777" w:rsidTr="00F96D8A">
        <w:trPr>
          <w:trHeight w:val="204"/>
        </w:trPr>
        <w:tc>
          <w:tcPr>
            <w:tcW w:w="5245" w:type="dxa"/>
            <w:tcBorders>
              <w:top w:val="nil"/>
              <w:left w:val="nil"/>
              <w:bottom w:val="nil"/>
              <w:right w:val="nil"/>
            </w:tcBorders>
            <w:shd w:val="clear" w:color="auto" w:fill="auto"/>
            <w:noWrap/>
            <w:vAlign w:val="bottom"/>
            <w:hideMark/>
          </w:tcPr>
          <w:p w14:paraId="14770C2F"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Australian Transport Safety Bureau</w:t>
            </w:r>
          </w:p>
        </w:tc>
        <w:tc>
          <w:tcPr>
            <w:tcW w:w="1301" w:type="dxa"/>
            <w:tcBorders>
              <w:top w:val="nil"/>
              <w:left w:val="nil"/>
              <w:bottom w:val="nil"/>
              <w:right w:val="nil"/>
            </w:tcBorders>
            <w:shd w:val="clear" w:color="auto" w:fill="auto"/>
            <w:noWrap/>
            <w:vAlign w:val="bottom"/>
            <w:hideMark/>
          </w:tcPr>
          <w:p w14:paraId="361B13BB" w14:textId="13F8DD8A"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1,782 </w:t>
            </w:r>
          </w:p>
        </w:tc>
        <w:tc>
          <w:tcPr>
            <w:tcW w:w="1109" w:type="dxa"/>
            <w:tcBorders>
              <w:top w:val="nil"/>
              <w:left w:val="nil"/>
              <w:bottom w:val="nil"/>
              <w:right w:val="nil"/>
            </w:tcBorders>
            <w:shd w:val="clear" w:color="000000" w:fill="E6E6E6"/>
            <w:noWrap/>
            <w:vAlign w:val="bottom"/>
            <w:hideMark/>
          </w:tcPr>
          <w:p w14:paraId="47D0D0AA" w14:textId="3727B51F"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1,782 </w:t>
            </w:r>
          </w:p>
        </w:tc>
      </w:tr>
      <w:tr w:rsidR="00477933" w:rsidRPr="00217781" w14:paraId="60EBE1F5" w14:textId="77777777" w:rsidTr="00F96D8A">
        <w:trPr>
          <w:trHeight w:val="204"/>
        </w:trPr>
        <w:tc>
          <w:tcPr>
            <w:tcW w:w="5245" w:type="dxa"/>
            <w:tcBorders>
              <w:top w:val="nil"/>
              <w:left w:val="nil"/>
              <w:bottom w:val="nil"/>
              <w:right w:val="nil"/>
            </w:tcBorders>
            <w:shd w:val="clear" w:color="auto" w:fill="auto"/>
            <w:vAlign w:val="bottom"/>
            <w:hideMark/>
          </w:tcPr>
          <w:p w14:paraId="638965E7" w14:textId="087371A9" w:rsidR="00477933" w:rsidRPr="00217781" w:rsidRDefault="00477933" w:rsidP="00477933">
            <w:pPr>
              <w:spacing w:after="0" w:line="240" w:lineRule="auto"/>
              <w:jc w:val="left"/>
              <w:rPr>
                <w:rFonts w:ascii="Arial" w:hAnsi="Arial" w:cs="Arial"/>
                <w:sz w:val="16"/>
                <w:szCs w:val="16"/>
              </w:rPr>
            </w:pPr>
            <w:r w:rsidRPr="00217781">
              <w:rPr>
                <w:rFonts w:ascii="Arial" w:hAnsi="Arial" w:cs="Arial"/>
                <w:sz w:val="16"/>
                <w:szCs w:val="16"/>
              </w:rPr>
              <w:t xml:space="preserve">Payments made by other entities on behalf of the </w:t>
            </w:r>
            <w:r>
              <w:rPr>
                <w:rFonts w:ascii="Arial" w:hAnsi="Arial" w:cs="Arial"/>
                <w:sz w:val="16"/>
                <w:szCs w:val="16"/>
              </w:rPr>
              <w:t>Department</w:t>
            </w:r>
            <w:r w:rsidRPr="00217781">
              <w:rPr>
                <w:rFonts w:ascii="Arial" w:hAnsi="Arial" w:cs="Arial"/>
                <w:sz w:val="16"/>
                <w:szCs w:val="16"/>
              </w:rPr>
              <w:t xml:space="preserve"> (disclosed above within administered appropriations)</w:t>
            </w:r>
          </w:p>
        </w:tc>
        <w:tc>
          <w:tcPr>
            <w:tcW w:w="1301" w:type="dxa"/>
            <w:tcBorders>
              <w:top w:val="nil"/>
              <w:left w:val="nil"/>
              <w:bottom w:val="nil"/>
              <w:right w:val="nil"/>
            </w:tcBorders>
            <w:shd w:val="clear" w:color="auto" w:fill="auto"/>
            <w:vAlign w:val="bottom"/>
            <w:hideMark/>
          </w:tcPr>
          <w:p w14:paraId="2917283C" w14:textId="77777777" w:rsidR="00477933" w:rsidRPr="00772526" w:rsidRDefault="00477933" w:rsidP="00477933">
            <w:pPr>
              <w:spacing w:after="0" w:line="240" w:lineRule="auto"/>
              <w:jc w:val="right"/>
              <w:rPr>
                <w:rFonts w:ascii="Arial" w:hAnsi="Arial" w:cs="Arial"/>
                <w:color w:val="000000" w:themeColor="text1"/>
                <w:sz w:val="16"/>
                <w:szCs w:val="16"/>
              </w:rPr>
            </w:pPr>
          </w:p>
        </w:tc>
        <w:tc>
          <w:tcPr>
            <w:tcW w:w="1109" w:type="dxa"/>
            <w:tcBorders>
              <w:top w:val="nil"/>
              <w:left w:val="nil"/>
              <w:bottom w:val="nil"/>
              <w:right w:val="nil"/>
            </w:tcBorders>
            <w:shd w:val="clear" w:color="000000" w:fill="E6E6E6"/>
            <w:vAlign w:val="bottom"/>
            <w:hideMark/>
          </w:tcPr>
          <w:p w14:paraId="786F4D0D" w14:textId="30F78F6F"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color w:val="FF0000"/>
                <w:sz w:val="16"/>
                <w:szCs w:val="16"/>
              </w:rPr>
              <w:t> </w:t>
            </w:r>
          </w:p>
        </w:tc>
      </w:tr>
      <w:tr w:rsidR="00477933" w:rsidRPr="00217781" w14:paraId="6E050296" w14:textId="77777777" w:rsidTr="00F96D8A">
        <w:trPr>
          <w:trHeight w:val="204"/>
        </w:trPr>
        <w:tc>
          <w:tcPr>
            <w:tcW w:w="5245" w:type="dxa"/>
            <w:tcBorders>
              <w:top w:val="nil"/>
              <w:left w:val="nil"/>
              <w:bottom w:val="nil"/>
              <w:right w:val="nil"/>
            </w:tcBorders>
            <w:shd w:val="clear" w:color="auto" w:fill="auto"/>
            <w:noWrap/>
            <w:vAlign w:val="bottom"/>
            <w:hideMark/>
          </w:tcPr>
          <w:p w14:paraId="5448661E"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 xml:space="preserve">Services Australia </w:t>
            </w:r>
            <w:r>
              <w:rPr>
                <w:rFonts w:ascii="Arial" w:hAnsi="Arial" w:cs="Arial"/>
                <w:sz w:val="16"/>
                <w:szCs w:val="16"/>
                <w:vertAlign w:val="superscript"/>
              </w:rPr>
              <w:t>(o</w:t>
            </w:r>
            <w:r w:rsidRPr="00217781">
              <w:rPr>
                <w:rFonts w:ascii="Arial" w:hAnsi="Arial" w:cs="Arial"/>
                <w:sz w:val="16"/>
                <w:szCs w:val="16"/>
                <w:vertAlign w:val="superscript"/>
              </w:rPr>
              <w:t>)</w:t>
            </w:r>
          </w:p>
        </w:tc>
        <w:tc>
          <w:tcPr>
            <w:tcW w:w="1301" w:type="dxa"/>
            <w:tcBorders>
              <w:top w:val="nil"/>
              <w:left w:val="nil"/>
              <w:bottom w:val="nil"/>
              <w:right w:val="nil"/>
            </w:tcBorders>
            <w:shd w:val="clear" w:color="auto" w:fill="auto"/>
            <w:noWrap/>
            <w:vAlign w:val="bottom"/>
            <w:hideMark/>
          </w:tcPr>
          <w:p w14:paraId="78827F3C" w14:textId="3871E5FD"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229,186 </w:t>
            </w:r>
          </w:p>
        </w:tc>
        <w:tc>
          <w:tcPr>
            <w:tcW w:w="1109" w:type="dxa"/>
            <w:tcBorders>
              <w:top w:val="nil"/>
              <w:left w:val="nil"/>
              <w:bottom w:val="nil"/>
              <w:right w:val="nil"/>
            </w:tcBorders>
            <w:shd w:val="clear" w:color="000000" w:fill="E6E6E6"/>
            <w:noWrap/>
            <w:vAlign w:val="bottom"/>
            <w:hideMark/>
          </w:tcPr>
          <w:p w14:paraId="4158280B" w14:textId="476942AA"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232,456 </w:t>
            </w:r>
          </w:p>
        </w:tc>
      </w:tr>
      <w:tr w:rsidR="00477933" w:rsidRPr="00217781" w14:paraId="1E5BEA95" w14:textId="77777777" w:rsidTr="00F96D8A">
        <w:trPr>
          <w:trHeight w:val="204"/>
        </w:trPr>
        <w:tc>
          <w:tcPr>
            <w:tcW w:w="5245" w:type="dxa"/>
            <w:tcBorders>
              <w:top w:val="nil"/>
              <w:left w:val="nil"/>
              <w:bottom w:val="nil"/>
              <w:right w:val="nil"/>
            </w:tcBorders>
            <w:shd w:val="clear" w:color="auto" w:fill="auto"/>
            <w:vAlign w:val="bottom"/>
            <w:hideMark/>
          </w:tcPr>
          <w:p w14:paraId="51413777" w14:textId="5085E724" w:rsidR="00477933" w:rsidRPr="00217781" w:rsidRDefault="00477933" w:rsidP="00477933">
            <w:pPr>
              <w:spacing w:after="0" w:line="240" w:lineRule="auto"/>
              <w:jc w:val="left"/>
              <w:rPr>
                <w:rFonts w:ascii="Arial" w:hAnsi="Arial" w:cs="Arial"/>
                <w:sz w:val="16"/>
                <w:szCs w:val="16"/>
              </w:rPr>
            </w:pPr>
            <w:r w:rsidRPr="00217781">
              <w:rPr>
                <w:rFonts w:ascii="Arial" w:hAnsi="Arial" w:cs="Arial"/>
                <w:sz w:val="16"/>
                <w:szCs w:val="16"/>
              </w:rPr>
              <w:t>Payments made to</w:t>
            </w:r>
            <w:r>
              <w:rPr>
                <w:rFonts w:ascii="Arial" w:hAnsi="Arial" w:cs="Arial"/>
                <w:sz w:val="16"/>
                <w:szCs w:val="16"/>
              </w:rPr>
              <w:t xml:space="preserve"> corporate entities within the Portfolio</w:t>
            </w:r>
            <w:r w:rsidRPr="00217781">
              <w:rPr>
                <w:rFonts w:ascii="Arial" w:hAnsi="Arial" w:cs="Arial"/>
                <w:sz w:val="16"/>
                <w:szCs w:val="16"/>
              </w:rPr>
              <w:t xml:space="preserve"> </w:t>
            </w:r>
          </w:p>
        </w:tc>
        <w:tc>
          <w:tcPr>
            <w:tcW w:w="1301" w:type="dxa"/>
            <w:tcBorders>
              <w:top w:val="nil"/>
              <w:left w:val="nil"/>
              <w:bottom w:val="nil"/>
              <w:right w:val="nil"/>
            </w:tcBorders>
            <w:shd w:val="clear" w:color="auto" w:fill="auto"/>
            <w:noWrap/>
            <w:vAlign w:val="bottom"/>
            <w:hideMark/>
          </w:tcPr>
          <w:p w14:paraId="4DF9BD8D" w14:textId="77777777" w:rsidR="00477933" w:rsidRPr="00772526" w:rsidRDefault="00477933" w:rsidP="00477933">
            <w:pPr>
              <w:spacing w:after="0" w:line="240" w:lineRule="auto"/>
              <w:jc w:val="right"/>
              <w:rPr>
                <w:rFonts w:ascii="Arial" w:hAnsi="Arial" w:cs="Arial"/>
                <w:color w:val="000000" w:themeColor="text1"/>
                <w:sz w:val="16"/>
                <w:szCs w:val="16"/>
              </w:rPr>
            </w:pPr>
          </w:p>
        </w:tc>
        <w:tc>
          <w:tcPr>
            <w:tcW w:w="1109" w:type="dxa"/>
            <w:tcBorders>
              <w:top w:val="nil"/>
              <w:left w:val="nil"/>
              <w:bottom w:val="nil"/>
              <w:right w:val="nil"/>
            </w:tcBorders>
            <w:shd w:val="clear" w:color="000000" w:fill="E6E6E6"/>
            <w:noWrap/>
            <w:vAlign w:val="bottom"/>
            <w:hideMark/>
          </w:tcPr>
          <w:p w14:paraId="00E9A497" w14:textId="2DC677FF"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w:t>
            </w:r>
          </w:p>
        </w:tc>
      </w:tr>
      <w:tr w:rsidR="00477933" w:rsidRPr="00217781" w14:paraId="770A5A76" w14:textId="77777777" w:rsidTr="00F96D8A">
        <w:trPr>
          <w:trHeight w:val="204"/>
        </w:trPr>
        <w:tc>
          <w:tcPr>
            <w:tcW w:w="5245" w:type="dxa"/>
            <w:tcBorders>
              <w:top w:val="nil"/>
              <w:left w:val="nil"/>
              <w:bottom w:val="nil"/>
              <w:right w:val="nil"/>
            </w:tcBorders>
            <w:shd w:val="clear" w:color="auto" w:fill="auto"/>
            <w:noWrap/>
            <w:vAlign w:val="bottom"/>
            <w:hideMark/>
          </w:tcPr>
          <w:p w14:paraId="474312AC"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Australia Council</w:t>
            </w:r>
          </w:p>
        </w:tc>
        <w:tc>
          <w:tcPr>
            <w:tcW w:w="1301" w:type="dxa"/>
            <w:tcBorders>
              <w:top w:val="nil"/>
              <w:left w:val="nil"/>
              <w:bottom w:val="nil"/>
              <w:right w:val="nil"/>
            </w:tcBorders>
            <w:shd w:val="clear" w:color="auto" w:fill="auto"/>
            <w:noWrap/>
            <w:vAlign w:val="bottom"/>
            <w:hideMark/>
          </w:tcPr>
          <w:p w14:paraId="73302CD5" w14:textId="4F6CE7FE"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219,794 </w:t>
            </w:r>
          </w:p>
        </w:tc>
        <w:tc>
          <w:tcPr>
            <w:tcW w:w="1109" w:type="dxa"/>
            <w:tcBorders>
              <w:top w:val="nil"/>
              <w:left w:val="nil"/>
              <w:bottom w:val="nil"/>
              <w:right w:val="nil"/>
            </w:tcBorders>
            <w:shd w:val="clear" w:color="000000" w:fill="E6E6E6"/>
            <w:noWrap/>
            <w:vAlign w:val="bottom"/>
            <w:hideMark/>
          </w:tcPr>
          <w:p w14:paraId="1A34CF88" w14:textId="29EDAD77"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220,531 </w:t>
            </w:r>
          </w:p>
        </w:tc>
      </w:tr>
      <w:tr w:rsidR="00477933" w:rsidRPr="00217781" w14:paraId="5842637F" w14:textId="77777777" w:rsidTr="00F96D8A">
        <w:trPr>
          <w:trHeight w:val="204"/>
        </w:trPr>
        <w:tc>
          <w:tcPr>
            <w:tcW w:w="5245" w:type="dxa"/>
            <w:tcBorders>
              <w:top w:val="nil"/>
              <w:left w:val="nil"/>
              <w:bottom w:val="nil"/>
              <w:right w:val="nil"/>
            </w:tcBorders>
            <w:shd w:val="clear" w:color="auto" w:fill="auto"/>
            <w:noWrap/>
            <w:vAlign w:val="bottom"/>
            <w:hideMark/>
          </w:tcPr>
          <w:p w14:paraId="633D5AB3"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Australian Broadcasting Corporation</w:t>
            </w:r>
          </w:p>
        </w:tc>
        <w:tc>
          <w:tcPr>
            <w:tcW w:w="1301" w:type="dxa"/>
            <w:tcBorders>
              <w:top w:val="nil"/>
              <w:left w:val="nil"/>
              <w:bottom w:val="nil"/>
              <w:right w:val="nil"/>
            </w:tcBorders>
            <w:shd w:val="clear" w:color="auto" w:fill="auto"/>
            <w:noWrap/>
            <w:vAlign w:val="bottom"/>
            <w:hideMark/>
          </w:tcPr>
          <w:p w14:paraId="43CD6C5B" w14:textId="76631BCD"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1,070,097 </w:t>
            </w:r>
          </w:p>
        </w:tc>
        <w:tc>
          <w:tcPr>
            <w:tcW w:w="1109" w:type="dxa"/>
            <w:tcBorders>
              <w:top w:val="nil"/>
              <w:left w:val="nil"/>
              <w:bottom w:val="nil"/>
              <w:right w:val="nil"/>
            </w:tcBorders>
            <w:shd w:val="clear" w:color="000000" w:fill="E6E6E6"/>
            <w:noWrap/>
            <w:vAlign w:val="bottom"/>
            <w:hideMark/>
          </w:tcPr>
          <w:p w14:paraId="3AC2A50B" w14:textId="3854A969"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1,077,733 </w:t>
            </w:r>
          </w:p>
        </w:tc>
      </w:tr>
      <w:tr w:rsidR="00477933" w:rsidRPr="00217781" w14:paraId="63E2C7BA" w14:textId="77777777" w:rsidTr="00F96D8A">
        <w:trPr>
          <w:trHeight w:val="204"/>
        </w:trPr>
        <w:tc>
          <w:tcPr>
            <w:tcW w:w="5245" w:type="dxa"/>
            <w:tcBorders>
              <w:top w:val="nil"/>
              <w:left w:val="nil"/>
              <w:bottom w:val="nil"/>
              <w:right w:val="nil"/>
            </w:tcBorders>
            <w:shd w:val="clear" w:color="auto" w:fill="auto"/>
            <w:noWrap/>
            <w:vAlign w:val="bottom"/>
            <w:hideMark/>
          </w:tcPr>
          <w:p w14:paraId="05EFEA70"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Australian Film, Television and Radio School</w:t>
            </w:r>
          </w:p>
        </w:tc>
        <w:tc>
          <w:tcPr>
            <w:tcW w:w="1301" w:type="dxa"/>
            <w:tcBorders>
              <w:top w:val="nil"/>
              <w:left w:val="nil"/>
              <w:bottom w:val="nil"/>
              <w:right w:val="nil"/>
            </w:tcBorders>
            <w:shd w:val="clear" w:color="auto" w:fill="auto"/>
            <w:noWrap/>
            <w:vAlign w:val="bottom"/>
            <w:hideMark/>
          </w:tcPr>
          <w:p w14:paraId="6001825C" w14:textId="029D61FE"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22,738 </w:t>
            </w:r>
          </w:p>
        </w:tc>
        <w:tc>
          <w:tcPr>
            <w:tcW w:w="1109" w:type="dxa"/>
            <w:tcBorders>
              <w:top w:val="nil"/>
              <w:left w:val="nil"/>
              <w:bottom w:val="nil"/>
              <w:right w:val="nil"/>
            </w:tcBorders>
            <w:shd w:val="clear" w:color="000000" w:fill="E6E6E6"/>
            <w:noWrap/>
            <w:vAlign w:val="bottom"/>
            <w:hideMark/>
          </w:tcPr>
          <w:p w14:paraId="34F2DBB0" w14:textId="2405288E"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22,997 </w:t>
            </w:r>
          </w:p>
        </w:tc>
      </w:tr>
      <w:tr w:rsidR="00477933" w:rsidRPr="00217781" w14:paraId="32D682FF" w14:textId="77777777" w:rsidTr="00F96D8A">
        <w:trPr>
          <w:trHeight w:val="204"/>
        </w:trPr>
        <w:tc>
          <w:tcPr>
            <w:tcW w:w="5245" w:type="dxa"/>
            <w:tcBorders>
              <w:top w:val="nil"/>
              <w:left w:val="nil"/>
              <w:bottom w:val="nil"/>
              <w:right w:val="nil"/>
            </w:tcBorders>
            <w:shd w:val="clear" w:color="auto" w:fill="auto"/>
            <w:noWrap/>
            <w:vAlign w:val="bottom"/>
            <w:hideMark/>
          </w:tcPr>
          <w:p w14:paraId="0E150DC7"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Australian Maritime Safety Authority</w:t>
            </w:r>
          </w:p>
        </w:tc>
        <w:tc>
          <w:tcPr>
            <w:tcW w:w="1301" w:type="dxa"/>
            <w:tcBorders>
              <w:top w:val="nil"/>
              <w:left w:val="nil"/>
              <w:bottom w:val="nil"/>
              <w:right w:val="nil"/>
            </w:tcBorders>
            <w:shd w:val="clear" w:color="auto" w:fill="auto"/>
            <w:noWrap/>
            <w:vAlign w:val="bottom"/>
            <w:hideMark/>
          </w:tcPr>
          <w:p w14:paraId="58BE51A6" w14:textId="7196BEF6"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215,002 </w:t>
            </w:r>
          </w:p>
        </w:tc>
        <w:tc>
          <w:tcPr>
            <w:tcW w:w="1109" w:type="dxa"/>
            <w:tcBorders>
              <w:top w:val="nil"/>
              <w:left w:val="nil"/>
              <w:bottom w:val="nil"/>
              <w:right w:val="nil"/>
            </w:tcBorders>
            <w:shd w:val="clear" w:color="000000" w:fill="E6E6E6"/>
            <w:noWrap/>
            <w:vAlign w:val="bottom"/>
            <w:hideMark/>
          </w:tcPr>
          <w:p w14:paraId="184F3CA7" w14:textId="1F44A310"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227,535 </w:t>
            </w:r>
          </w:p>
        </w:tc>
      </w:tr>
      <w:tr w:rsidR="00477933" w:rsidRPr="00217781" w14:paraId="2A2D6069" w14:textId="77777777" w:rsidTr="00F96D8A">
        <w:trPr>
          <w:trHeight w:val="204"/>
        </w:trPr>
        <w:tc>
          <w:tcPr>
            <w:tcW w:w="5245" w:type="dxa"/>
            <w:tcBorders>
              <w:top w:val="nil"/>
              <w:left w:val="nil"/>
              <w:bottom w:val="nil"/>
              <w:right w:val="nil"/>
            </w:tcBorders>
            <w:shd w:val="clear" w:color="auto" w:fill="auto"/>
            <w:noWrap/>
            <w:vAlign w:val="bottom"/>
            <w:hideMark/>
          </w:tcPr>
          <w:p w14:paraId="6A6C508B"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Australian National Maritime Museum</w:t>
            </w:r>
          </w:p>
        </w:tc>
        <w:tc>
          <w:tcPr>
            <w:tcW w:w="1301" w:type="dxa"/>
            <w:tcBorders>
              <w:top w:val="nil"/>
              <w:left w:val="nil"/>
              <w:bottom w:val="nil"/>
              <w:right w:val="nil"/>
            </w:tcBorders>
            <w:shd w:val="clear" w:color="auto" w:fill="auto"/>
            <w:noWrap/>
            <w:vAlign w:val="bottom"/>
            <w:hideMark/>
          </w:tcPr>
          <w:p w14:paraId="585AD184" w14:textId="06E071E4"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25,820 </w:t>
            </w:r>
          </w:p>
        </w:tc>
        <w:tc>
          <w:tcPr>
            <w:tcW w:w="1109" w:type="dxa"/>
            <w:tcBorders>
              <w:top w:val="nil"/>
              <w:left w:val="nil"/>
              <w:bottom w:val="nil"/>
              <w:right w:val="nil"/>
            </w:tcBorders>
            <w:shd w:val="clear" w:color="000000" w:fill="E6E6E6"/>
            <w:noWrap/>
            <w:vAlign w:val="bottom"/>
            <w:hideMark/>
          </w:tcPr>
          <w:p w14:paraId="2F2499CF" w14:textId="57F849AC"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25,734 </w:t>
            </w:r>
          </w:p>
        </w:tc>
      </w:tr>
      <w:tr w:rsidR="00477933" w:rsidRPr="00217781" w14:paraId="06C3A657" w14:textId="77777777" w:rsidTr="00F96D8A">
        <w:trPr>
          <w:trHeight w:val="204"/>
        </w:trPr>
        <w:tc>
          <w:tcPr>
            <w:tcW w:w="5245" w:type="dxa"/>
            <w:tcBorders>
              <w:top w:val="nil"/>
              <w:left w:val="nil"/>
              <w:bottom w:val="nil"/>
              <w:right w:val="nil"/>
            </w:tcBorders>
            <w:shd w:val="clear" w:color="auto" w:fill="auto"/>
            <w:noWrap/>
            <w:vAlign w:val="bottom"/>
            <w:hideMark/>
          </w:tcPr>
          <w:p w14:paraId="29D85731" w14:textId="7E371985"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Civil Aviation Safety Authority</w:t>
            </w:r>
            <w:r>
              <w:rPr>
                <w:rFonts w:ascii="Arial" w:hAnsi="Arial" w:cs="Arial"/>
                <w:sz w:val="16"/>
                <w:szCs w:val="16"/>
              </w:rPr>
              <w:t xml:space="preserve"> </w:t>
            </w:r>
            <w:r w:rsidRPr="00824611">
              <w:rPr>
                <w:rFonts w:ascii="Arial" w:hAnsi="Arial" w:cs="Arial"/>
                <w:sz w:val="16"/>
                <w:szCs w:val="16"/>
                <w:vertAlign w:val="superscript"/>
              </w:rPr>
              <w:t>(p)</w:t>
            </w:r>
          </w:p>
        </w:tc>
        <w:tc>
          <w:tcPr>
            <w:tcW w:w="1301" w:type="dxa"/>
            <w:tcBorders>
              <w:top w:val="nil"/>
              <w:left w:val="nil"/>
              <w:bottom w:val="nil"/>
              <w:right w:val="nil"/>
            </w:tcBorders>
            <w:shd w:val="clear" w:color="auto" w:fill="auto"/>
            <w:noWrap/>
            <w:vAlign w:val="bottom"/>
            <w:hideMark/>
          </w:tcPr>
          <w:p w14:paraId="6B95AB5F" w14:textId="0BCBA66A"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206,130 </w:t>
            </w:r>
          </w:p>
        </w:tc>
        <w:tc>
          <w:tcPr>
            <w:tcW w:w="1109" w:type="dxa"/>
            <w:tcBorders>
              <w:top w:val="nil"/>
              <w:left w:val="nil"/>
              <w:bottom w:val="nil"/>
              <w:right w:val="nil"/>
            </w:tcBorders>
            <w:shd w:val="clear" w:color="000000" w:fill="E6E6E6"/>
            <w:noWrap/>
            <w:vAlign w:val="bottom"/>
            <w:hideMark/>
          </w:tcPr>
          <w:p w14:paraId="67DC3AAB" w14:textId="274EA16E"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180,429 </w:t>
            </w:r>
          </w:p>
        </w:tc>
      </w:tr>
      <w:tr w:rsidR="00477933" w:rsidRPr="00217781" w14:paraId="7A31AE6B" w14:textId="77777777" w:rsidTr="00F96D8A">
        <w:trPr>
          <w:trHeight w:val="204"/>
        </w:trPr>
        <w:tc>
          <w:tcPr>
            <w:tcW w:w="5245" w:type="dxa"/>
            <w:tcBorders>
              <w:top w:val="nil"/>
              <w:left w:val="nil"/>
              <w:bottom w:val="nil"/>
              <w:right w:val="nil"/>
            </w:tcBorders>
            <w:shd w:val="clear" w:color="auto" w:fill="auto"/>
            <w:noWrap/>
            <w:vAlign w:val="bottom"/>
            <w:hideMark/>
          </w:tcPr>
          <w:p w14:paraId="1AD10085"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Infrastructure Australia</w:t>
            </w:r>
          </w:p>
        </w:tc>
        <w:tc>
          <w:tcPr>
            <w:tcW w:w="1301" w:type="dxa"/>
            <w:tcBorders>
              <w:top w:val="nil"/>
              <w:left w:val="nil"/>
              <w:bottom w:val="nil"/>
              <w:right w:val="nil"/>
            </w:tcBorders>
            <w:shd w:val="clear" w:color="auto" w:fill="auto"/>
            <w:noWrap/>
            <w:vAlign w:val="bottom"/>
            <w:hideMark/>
          </w:tcPr>
          <w:p w14:paraId="5F0DA889" w14:textId="55C62E44"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12,853 </w:t>
            </w:r>
          </w:p>
        </w:tc>
        <w:tc>
          <w:tcPr>
            <w:tcW w:w="1109" w:type="dxa"/>
            <w:tcBorders>
              <w:top w:val="nil"/>
              <w:left w:val="nil"/>
              <w:bottom w:val="nil"/>
              <w:right w:val="nil"/>
            </w:tcBorders>
            <w:shd w:val="clear" w:color="000000" w:fill="E6E6E6"/>
            <w:noWrap/>
            <w:vAlign w:val="bottom"/>
            <w:hideMark/>
          </w:tcPr>
          <w:p w14:paraId="2A076EC8" w14:textId="5C8038A5"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12,733 </w:t>
            </w:r>
          </w:p>
        </w:tc>
      </w:tr>
      <w:tr w:rsidR="00477933" w:rsidRPr="00217781" w14:paraId="7BEC26C0" w14:textId="77777777" w:rsidTr="00F96D8A">
        <w:trPr>
          <w:trHeight w:val="204"/>
        </w:trPr>
        <w:tc>
          <w:tcPr>
            <w:tcW w:w="5245" w:type="dxa"/>
            <w:tcBorders>
              <w:top w:val="nil"/>
              <w:left w:val="nil"/>
              <w:bottom w:val="nil"/>
              <w:right w:val="nil"/>
            </w:tcBorders>
            <w:shd w:val="clear" w:color="auto" w:fill="auto"/>
            <w:noWrap/>
            <w:vAlign w:val="bottom"/>
            <w:hideMark/>
          </w:tcPr>
          <w:p w14:paraId="5EFD2ED0" w14:textId="59CDD651"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National Film and Sound Archive of Australia</w:t>
            </w:r>
            <w:r>
              <w:rPr>
                <w:rFonts w:ascii="Arial" w:hAnsi="Arial" w:cs="Arial"/>
                <w:sz w:val="16"/>
                <w:szCs w:val="16"/>
              </w:rPr>
              <w:t xml:space="preserve"> </w:t>
            </w:r>
            <w:r w:rsidRPr="00824611">
              <w:rPr>
                <w:rFonts w:ascii="Arial" w:hAnsi="Arial" w:cs="Arial"/>
                <w:sz w:val="16"/>
                <w:szCs w:val="16"/>
                <w:vertAlign w:val="superscript"/>
              </w:rPr>
              <w:t>(p)</w:t>
            </w:r>
          </w:p>
        </w:tc>
        <w:tc>
          <w:tcPr>
            <w:tcW w:w="1301" w:type="dxa"/>
            <w:tcBorders>
              <w:top w:val="nil"/>
              <w:left w:val="nil"/>
              <w:bottom w:val="nil"/>
              <w:right w:val="nil"/>
            </w:tcBorders>
            <w:shd w:val="clear" w:color="auto" w:fill="auto"/>
            <w:noWrap/>
            <w:vAlign w:val="bottom"/>
            <w:hideMark/>
          </w:tcPr>
          <w:p w14:paraId="31F9C9CA" w14:textId="1EA9DDB1"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32,353 </w:t>
            </w:r>
          </w:p>
        </w:tc>
        <w:tc>
          <w:tcPr>
            <w:tcW w:w="1109" w:type="dxa"/>
            <w:tcBorders>
              <w:top w:val="nil"/>
              <w:left w:val="nil"/>
              <w:bottom w:val="nil"/>
              <w:right w:val="nil"/>
            </w:tcBorders>
            <w:shd w:val="clear" w:color="000000" w:fill="E6E6E6"/>
            <w:noWrap/>
            <w:vAlign w:val="bottom"/>
            <w:hideMark/>
          </w:tcPr>
          <w:p w14:paraId="56BF1742" w14:textId="2B3F48C2"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38,107 </w:t>
            </w:r>
          </w:p>
        </w:tc>
      </w:tr>
      <w:tr w:rsidR="00477933" w:rsidRPr="00217781" w14:paraId="358D22F6" w14:textId="77777777" w:rsidTr="00F96D8A">
        <w:trPr>
          <w:trHeight w:val="204"/>
        </w:trPr>
        <w:tc>
          <w:tcPr>
            <w:tcW w:w="5245" w:type="dxa"/>
            <w:tcBorders>
              <w:top w:val="nil"/>
              <w:left w:val="nil"/>
              <w:bottom w:val="nil"/>
              <w:right w:val="nil"/>
            </w:tcBorders>
            <w:shd w:val="clear" w:color="auto" w:fill="auto"/>
            <w:noWrap/>
            <w:vAlign w:val="bottom"/>
            <w:hideMark/>
          </w:tcPr>
          <w:p w14:paraId="2D97838B"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National Gallery of Australia</w:t>
            </w:r>
          </w:p>
        </w:tc>
        <w:tc>
          <w:tcPr>
            <w:tcW w:w="1301" w:type="dxa"/>
            <w:tcBorders>
              <w:top w:val="nil"/>
              <w:left w:val="nil"/>
              <w:bottom w:val="nil"/>
              <w:right w:val="nil"/>
            </w:tcBorders>
            <w:shd w:val="clear" w:color="auto" w:fill="auto"/>
            <w:noWrap/>
            <w:vAlign w:val="bottom"/>
            <w:hideMark/>
          </w:tcPr>
          <w:p w14:paraId="289E45A3" w14:textId="139B627C"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107,407 </w:t>
            </w:r>
          </w:p>
        </w:tc>
        <w:tc>
          <w:tcPr>
            <w:tcW w:w="1109" w:type="dxa"/>
            <w:tcBorders>
              <w:top w:val="nil"/>
              <w:left w:val="nil"/>
              <w:bottom w:val="nil"/>
              <w:right w:val="nil"/>
            </w:tcBorders>
            <w:shd w:val="clear" w:color="000000" w:fill="E6E6E6"/>
            <w:noWrap/>
            <w:vAlign w:val="bottom"/>
            <w:hideMark/>
          </w:tcPr>
          <w:p w14:paraId="5AE24565" w14:textId="569EA84C"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65,088 </w:t>
            </w:r>
          </w:p>
        </w:tc>
      </w:tr>
      <w:tr w:rsidR="00477933" w:rsidRPr="00217781" w14:paraId="359EC557" w14:textId="77777777" w:rsidTr="00F96D8A">
        <w:trPr>
          <w:trHeight w:val="204"/>
        </w:trPr>
        <w:tc>
          <w:tcPr>
            <w:tcW w:w="5245" w:type="dxa"/>
            <w:tcBorders>
              <w:top w:val="nil"/>
              <w:left w:val="nil"/>
              <w:bottom w:val="nil"/>
              <w:right w:val="nil"/>
            </w:tcBorders>
            <w:shd w:val="clear" w:color="auto" w:fill="auto"/>
            <w:noWrap/>
            <w:vAlign w:val="bottom"/>
            <w:hideMark/>
          </w:tcPr>
          <w:p w14:paraId="02830718" w14:textId="535B5FDA"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National Library of Australia</w:t>
            </w:r>
            <w:r>
              <w:rPr>
                <w:rFonts w:ascii="Arial" w:hAnsi="Arial" w:cs="Arial"/>
                <w:sz w:val="16"/>
                <w:szCs w:val="16"/>
              </w:rPr>
              <w:t xml:space="preserve"> </w:t>
            </w:r>
            <w:r w:rsidRPr="00824611">
              <w:rPr>
                <w:rFonts w:ascii="Arial" w:hAnsi="Arial" w:cs="Arial"/>
                <w:sz w:val="16"/>
                <w:szCs w:val="16"/>
                <w:vertAlign w:val="superscript"/>
              </w:rPr>
              <w:t>(p)</w:t>
            </w:r>
          </w:p>
        </w:tc>
        <w:tc>
          <w:tcPr>
            <w:tcW w:w="1301" w:type="dxa"/>
            <w:tcBorders>
              <w:top w:val="nil"/>
              <w:left w:val="nil"/>
              <w:bottom w:val="nil"/>
              <w:right w:val="nil"/>
            </w:tcBorders>
            <w:shd w:val="clear" w:color="auto" w:fill="auto"/>
            <w:noWrap/>
            <w:vAlign w:val="bottom"/>
            <w:hideMark/>
          </w:tcPr>
          <w:p w14:paraId="77B3E162" w14:textId="089F9DF0"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67,059 </w:t>
            </w:r>
          </w:p>
        </w:tc>
        <w:tc>
          <w:tcPr>
            <w:tcW w:w="1109" w:type="dxa"/>
            <w:tcBorders>
              <w:top w:val="nil"/>
              <w:left w:val="nil"/>
              <w:bottom w:val="nil"/>
              <w:right w:val="nil"/>
            </w:tcBorders>
            <w:shd w:val="clear" w:color="000000" w:fill="E6E6E6"/>
            <w:noWrap/>
            <w:vAlign w:val="bottom"/>
            <w:hideMark/>
          </w:tcPr>
          <w:p w14:paraId="4ADA5940" w14:textId="71C1AFA8"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70,639 </w:t>
            </w:r>
          </w:p>
        </w:tc>
      </w:tr>
      <w:tr w:rsidR="00477933" w:rsidRPr="00217781" w14:paraId="7CBEDEC8" w14:textId="77777777" w:rsidTr="00F96D8A">
        <w:trPr>
          <w:trHeight w:val="204"/>
        </w:trPr>
        <w:tc>
          <w:tcPr>
            <w:tcW w:w="5245" w:type="dxa"/>
            <w:tcBorders>
              <w:top w:val="nil"/>
              <w:left w:val="nil"/>
              <w:bottom w:val="nil"/>
              <w:right w:val="nil"/>
            </w:tcBorders>
            <w:shd w:val="clear" w:color="auto" w:fill="auto"/>
            <w:noWrap/>
            <w:vAlign w:val="bottom"/>
            <w:hideMark/>
          </w:tcPr>
          <w:p w14:paraId="27057353"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National Museum of Australia</w:t>
            </w:r>
          </w:p>
        </w:tc>
        <w:tc>
          <w:tcPr>
            <w:tcW w:w="1301" w:type="dxa"/>
            <w:tcBorders>
              <w:top w:val="nil"/>
              <w:left w:val="nil"/>
              <w:bottom w:val="nil"/>
              <w:right w:val="nil"/>
            </w:tcBorders>
            <w:shd w:val="clear" w:color="auto" w:fill="auto"/>
            <w:noWrap/>
            <w:vAlign w:val="bottom"/>
            <w:hideMark/>
          </w:tcPr>
          <w:p w14:paraId="1725ED07" w14:textId="7EAEC02B"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43,307 </w:t>
            </w:r>
          </w:p>
        </w:tc>
        <w:tc>
          <w:tcPr>
            <w:tcW w:w="1109" w:type="dxa"/>
            <w:tcBorders>
              <w:top w:val="nil"/>
              <w:left w:val="nil"/>
              <w:bottom w:val="nil"/>
              <w:right w:val="nil"/>
            </w:tcBorders>
            <w:shd w:val="clear" w:color="000000" w:fill="E6E6E6"/>
            <w:noWrap/>
            <w:vAlign w:val="bottom"/>
            <w:hideMark/>
          </w:tcPr>
          <w:p w14:paraId="2502F006" w14:textId="0C707A93"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52,860 </w:t>
            </w:r>
          </w:p>
        </w:tc>
      </w:tr>
      <w:tr w:rsidR="00477933" w:rsidRPr="00217781" w14:paraId="5166C6E9" w14:textId="77777777" w:rsidTr="00F96D8A">
        <w:trPr>
          <w:trHeight w:val="204"/>
        </w:trPr>
        <w:tc>
          <w:tcPr>
            <w:tcW w:w="5245" w:type="dxa"/>
            <w:tcBorders>
              <w:top w:val="nil"/>
              <w:left w:val="nil"/>
              <w:bottom w:val="nil"/>
              <w:right w:val="nil"/>
            </w:tcBorders>
            <w:shd w:val="clear" w:color="auto" w:fill="auto"/>
            <w:noWrap/>
            <w:vAlign w:val="bottom"/>
            <w:hideMark/>
          </w:tcPr>
          <w:p w14:paraId="41759F3C"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National Portrait Gallery of Australia</w:t>
            </w:r>
          </w:p>
        </w:tc>
        <w:tc>
          <w:tcPr>
            <w:tcW w:w="1301" w:type="dxa"/>
            <w:tcBorders>
              <w:top w:val="nil"/>
              <w:left w:val="nil"/>
              <w:bottom w:val="nil"/>
              <w:right w:val="nil"/>
            </w:tcBorders>
            <w:shd w:val="clear" w:color="auto" w:fill="auto"/>
            <w:noWrap/>
            <w:vAlign w:val="bottom"/>
            <w:hideMark/>
          </w:tcPr>
          <w:p w14:paraId="586A8EF2" w14:textId="75C962E1"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12,668 </w:t>
            </w:r>
          </w:p>
        </w:tc>
        <w:tc>
          <w:tcPr>
            <w:tcW w:w="1109" w:type="dxa"/>
            <w:tcBorders>
              <w:top w:val="nil"/>
              <w:left w:val="nil"/>
              <w:bottom w:val="nil"/>
              <w:right w:val="nil"/>
            </w:tcBorders>
            <w:shd w:val="clear" w:color="000000" w:fill="E6E6E6"/>
            <w:noWrap/>
            <w:vAlign w:val="bottom"/>
            <w:hideMark/>
          </w:tcPr>
          <w:p w14:paraId="0AFAC511" w14:textId="2CCEEA23"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12,809 </w:t>
            </w:r>
          </w:p>
        </w:tc>
      </w:tr>
      <w:tr w:rsidR="00477933" w:rsidRPr="00217781" w14:paraId="25ED59F1" w14:textId="77777777" w:rsidTr="00F96D8A">
        <w:trPr>
          <w:trHeight w:val="204"/>
        </w:trPr>
        <w:tc>
          <w:tcPr>
            <w:tcW w:w="5245" w:type="dxa"/>
            <w:tcBorders>
              <w:top w:val="nil"/>
              <w:left w:val="nil"/>
              <w:bottom w:val="nil"/>
              <w:right w:val="nil"/>
            </w:tcBorders>
            <w:shd w:val="clear" w:color="auto" w:fill="auto"/>
            <w:noWrap/>
            <w:vAlign w:val="bottom"/>
            <w:hideMark/>
          </w:tcPr>
          <w:p w14:paraId="6EE9B926" w14:textId="17CDC2FC"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National Transport Commission</w:t>
            </w:r>
            <w:r>
              <w:rPr>
                <w:rFonts w:ascii="Arial" w:hAnsi="Arial" w:cs="Arial"/>
                <w:sz w:val="16"/>
                <w:szCs w:val="16"/>
              </w:rPr>
              <w:t xml:space="preserve"> </w:t>
            </w:r>
            <w:r w:rsidRPr="00824611">
              <w:rPr>
                <w:rFonts w:ascii="Arial" w:hAnsi="Arial" w:cs="Arial"/>
                <w:sz w:val="16"/>
                <w:szCs w:val="16"/>
                <w:vertAlign w:val="superscript"/>
              </w:rPr>
              <w:t>(p)</w:t>
            </w:r>
          </w:p>
        </w:tc>
        <w:tc>
          <w:tcPr>
            <w:tcW w:w="1301" w:type="dxa"/>
            <w:tcBorders>
              <w:top w:val="nil"/>
              <w:left w:val="nil"/>
              <w:bottom w:val="nil"/>
              <w:right w:val="nil"/>
            </w:tcBorders>
            <w:shd w:val="clear" w:color="auto" w:fill="auto"/>
            <w:noWrap/>
            <w:vAlign w:val="bottom"/>
            <w:hideMark/>
          </w:tcPr>
          <w:p w14:paraId="1770E536" w14:textId="2271E554"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4,464 </w:t>
            </w:r>
          </w:p>
        </w:tc>
        <w:tc>
          <w:tcPr>
            <w:tcW w:w="1109" w:type="dxa"/>
            <w:tcBorders>
              <w:top w:val="nil"/>
              <w:left w:val="nil"/>
              <w:bottom w:val="nil"/>
              <w:right w:val="nil"/>
            </w:tcBorders>
            <w:shd w:val="clear" w:color="000000" w:fill="E6E6E6"/>
            <w:noWrap/>
            <w:vAlign w:val="bottom"/>
            <w:hideMark/>
          </w:tcPr>
          <w:p w14:paraId="61160C93" w14:textId="31FB0555"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4,427 </w:t>
            </w:r>
          </w:p>
        </w:tc>
      </w:tr>
      <w:tr w:rsidR="00477933" w:rsidRPr="00217781" w14:paraId="0C0976A5" w14:textId="77777777" w:rsidTr="00F96D8A">
        <w:trPr>
          <w:trHeight w:val="204"/>
        </w:trPr>
        <w:tc>
          <w:tcPr>
            <w:tcW w:w="5245" w:type="dxa"/>
            <w:tcBorders>
              <w:top w:val="nil"/>
              <w:left w:val="nil"/>
              <w:bottom w:val="nil"/>
              <w:right w:val="nil"/>
            </w:tcBorders>
            <w:shd w:val="clear" w:color="auto" w:fill="auto"/>
            <w:noWrap/>
            <w:vAlign w:val="bottom"/>
            <w:hideMark/>
          </w:tcPr>
          <w:p w14:paraId="1DA033AA" w14:textId="762794CE"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Northern Australia Infrastructure Facility</w:t>
            </w:r>
            <w:r>
              <w:rPr>
                <w:rFonts w:ascii="Arial" w:hAnsi="Arial" w:cs="Arial"/>
                <w:sz w:val="16"/>
                <w:szCs w:val="16"/>
              </w:rPr>
              <w:t xml:space="preserve"> </w:t>
            </w:r>
            <w:r>
              <w:rPr>
                <w:rFonts w:ascii="Arial" w:hAnsi="Arial" w:cs="Arial"/>
                <w:sz w:val="16"/>
                <w:szCs w:val="16"/>
                <w:vertAlign w:val="superscript"/>
              </w:rPr>
              <w:t>(q</w:t>
            </w:r>
            <w:r w:rsidRPr="004370AD">
              <w:rPr>
                <w:rFonts w:ascii="Arial" w:hAnsi="Arial" w:cs="Arial"/>
                <w:sz w:val="16"/>
                <w:szCs w:val="16"/>
                <w:vertAlign w:val="superscript"/>
              </w:rPr>
              <w:t>)</w:t>
            </w:r>
          </w:p>
        </w:tc>
        <w:tc>
          <w:tcPr>
            <w:tcW w:w="1301" w:type="dxa"/>
            <w:tcBorders>
              <w:top w:val="nil"/>
              <w:left w:val="nil"/>
              <w:bottom w:val="nil"/>
              <w:right w:val="nil"/>
            </w:tcBorders>
            <w:shd w:val="clear" w:color="auto" w:fill="auto"/>
            <w:noWrap/>
            <w:vAlign w:val="bottom"/>
            <w:hideMark/>
          </w:tcPr>
          <w:p w14:paraId="25EAD4AE" w14:textId="0AA2797A"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14,227 </w:t>
            </w:r>
          </w:p>
        </w:tc>
        <w:tc>
          <w:tcPr>
            <w:tcW w:w="1109" w:type="dxa"/>
            <w:tcBorders>
              <w:top w:val="nil"/>
              <w:left w:val="nil"/>
              <w:bottom w:val="nil"/>
              <w:right w:val="nil"/>
            </w:tcBorders>
            <w:shd w:val="clear" w:color="000000" w:fill="E6E6E6"/>
            <w:noWrap/>
            <w:vAlign w:val="bottom"/>
            <w:hideMark/>
          </w:tcPr>
          <w:p w14:paraId="3CEDDB79" w14:textId="2412E295"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20,939 </w:t>
            </w:r>
          </w:p>
        </w:tc>
      </w:tr>
      <w:tr w:rsidR="00477933" w:rsidRPr="00217781" w14:paraId="33746510" w14:textId="77777777" w:rsidTr="00F96D8A">
        <w:trPr>
          <w:trHeight w:val="204"/>
        </w:trPr>
        <w:tc>
          <w:tcPr>
            <w:tcW w:w="5245" w:type="dxa"/>
            <w:tcBorders>
              <w:top w:val="nil"/>
              <w:left w:val="nil"/>
              <w:bottom w:val="nil"/>
              <w:right w:val="nil"/>
            </w:tcBorders>
            <w:shd w:val="clear" w:color="auto" w:fill="auto"/>
            <w:noWrap/>
            <w:vAlign w:val="bottom"/>
            <w:hideMark/>
          </w:tcPr>
          <w:p w14:paraId="62194891"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Screen Australia</w:t>
            </w:r>
          </w:p>
        </w:tc>
        <w:tc>
          <w:tcPr>
            <w:tcW w:w="1301" w:type="dxa"/>
            <w:tcBorders>
              <w:top w:val="nil"/>
              <w:left w:val="nil"/>
              <w:bottom w:val="nil"/>
              <w:right w:val="nil"/>
            </w:tcBorders>
            <w:shd w:val="clear" w:color="auto" w:fill="auto"/>
            <w:noWrap/>
            <w:vAlign w:val="bottom"/>
            <w:hideMark/>
          </w:tcPr>
          <w:p w14:paraId="7F01DE74" w14:textId="0F9CFA8E"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39,466 </w:t>
            </w:r>
          </w:p>
        </w:tc>
        <w:tc>
          <w:tcPr>
            <w:tcW w:w="1109" w:type="dxa"/>
            <w:tcBorders>
              <w:top w:val="nil"/>
              <w:left w:val="nil"/>
              <w:bottom w:val="nil"/>
              <w:right w:val="nil"/>
            </w:tcBorders>
            <w:shd w:val="clear" w:color="000000" w:fill="E6E6E6"/>
            <w:noWrap/>
            <w:vAlign w:val="bottom"/>
            <w:hideMark/>
          </w:tcPr>
          <w:p w14:paraId="05C00B0B" w14:textId="30EB746C"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27,834 </w:t>
            </w:r>
          </w:p>
        </w:tc>
      </w:tr>
      <w:tr w:rsidR="00477933" w:rsidRPr="00217781" w14:paraId="6F168E79" w14:textId="77777777" w:rsidTr="00F96D8A">
        <w:trPr>
          <w:trHeight w:val="204"/>
        </w:trPr>
        <w:tc>
          <w:tcPr>
            <w:tcW w:w="5245" w:type="dxa"/>
            <w:tcBorders>
              <w:top w:val="nil"/>
              <w:left w:val="nil"/>
              <w:bottom w:val="nil"/>
              <w:right w:val="nil"/>
            </w:tcBorders>
            <w:shd w:val="clear" w:color="auto" w:fill="auto"/>
            <w:noWrap/>
            <w:vAlign w:val="bottom"/>
            <w:hideMark/>
          </w:tcPr>
          <w:p w14:paraId="1355D5E8" w14:textId="77777777" w:rsidR="00477933" w:rsidRPr="00217781" w:rsidRDefault="00477933" w:rsidP="00477933">
            <w:pPr>
              <w:spacing w:after="0" w:line="240" w:lineRule="auto"/>
              <w:ind w:left="113"/>
              <w:jc w:val="left"/>
              <w:rPr>
                <w:rFonts w:ascii="Arial" w:hAnsi="Arial" w:cs="Arial"/>
                <w:sz w:val="16"/>
                <w:szCs w:val="16"/>
              </w:rPr>
            </w:pPr>
            <w:r w:rsidRPr="00217781">
              <w:rPr>
                <w:rFonts w:ascii="Arial" w:hAnsi="Arial" w:cs="Arial"/>
                <w:sz w:val="16"/>
                <w:szCs w:val="16"/>
              </w:rPr>
              <w:t>Special Broadcasting Service Corporation</w:t>
            </w:r>
          </w:p>
        </w:tc>
        <w:tc>
          <w:tcPr>
            <w:tcW w:w="1301" w:type="dxa"/>
            <w:tcBorders>
              <w:top w:val="nil"/>
              <w:left w:val="nil"/>
              <w:bottom w:val="nil"/>
              <w:right w:val="nil"/>
            </w:tcBorders>
            <w:shd w:val="clear" w:color="auto" w:fill="auto"/>
            <w:noWrap/>
            <w:vAlign w:val="bottom"/>
            <w:hideMark/>
          </w:tcPr>
          <w:p w14:paraId="5EFBD682" w14:textId="0B99B8EB" w:rsidR="00477933" w:rsidRPr="00772526" w:rsidRDefault="00477933" w:rsidP="00477933">
            <w:pPr>
              <w:spacing w:after="0" w:line="240" w:lineRule="auto"/>
              <w:jc w:val="right"/>
              <w:rPr>
                <w:rFonts w:ascii="Arial" w:hAnsi="Arial" w:cs="Arial"/>
                <w:iCs/>
                <w:color w:val="000000" w:themeColor="text1"/>
                <w:sz w:val="16"/>
                <w:szCs w:val="16"/>
              </w:rPr>
            </w:pPr>
            <w:r>
              <w:rPr>
                <w:rFonts w:ascii="Arial" w:hAnsi="Arial" w:cs="Arial"/>
                <w:sz w:val="16"/>
                <w:szCs w:val="16"/>
              </w:rPr>
              <w:t xml:space="preserve">310,021 </w:t>
            </w:r>
          </w:p>
        </w:tc>
        <w:tc>
          <w:tcPr>
            <w:tcW w:w="1109" w:type="dxa"/>
            <w:tcBorders>
              <w:top w:val="nil"/>
              <w:left w:val="nil"/>
              <w:bottom w:val="nil"/>
              <w:right w:val="nil"/>
            </w:tcBorders>
            <w:shd w:val="clear" w:color="000000" w:fill="E6E6E6"/>
            <w:noWrap/>
            <w:vAlign w:val="bottom"/>
            <w:hideMark/>
          </w:tcPr>
          <w:p w14:paraId="7E612006" w14:textId="77344383" w:rsidR="00477933" w:rsidRPr="00772526" w:rsidRDefault="00477933" w:rsidP="00477933">
            <w:pPr>
              <w:spacing w:after="0" w:line="240" w:lineRule="auto"/>
              <w:jc w:val="right"/>
              <w:rPr>
                <w:rFonts w:ascii="Arial" w:hAnsi="Arial" w:cs="Arial"/>
                <w:color w:val="000000" w:themeColor="text1"/>
                <w:sz w:val="16"/>
                <w:szCs w:val="16"/>
              </w:rPr>
            </w:pPr>
            <w:r>
              <w:rPr>
                <w:rFonts w:ascii="Arial" w:hAnsi="Arial" w:cs="Arial"/>
                <w:sz w:val="16"/>
                <w:szCs w:val="16"/>
              </w:rPr>
              <w:t xml:space="preserve">316,805 </w:t>
            </w:r>
          </w:p>
        </w:tc>
      </w:tr>
      <w:tr w:rsidR="00477933" w:rsidRPr="00217781" w14:paraId="4C7708A6" w14:textId="77777777" w:rsidTr="00F96D8A">
        <w:trPr>
          <w:trHeight w:val="204"/>
        </w:trPr>
        <w:tc>
          <w:tcPr>
            <w:tcW w:w="5245" w:type="dxa"/>
            <w:tcBorders>
              <w:top w:val="nil"/>
              <w:left w:val="nil"/>
              <w:bottom w:val="single" w:sz="4" w:space="0" w:color="auto"/>
              <w:right w:val="nil"/>
            </w:tcBorders>
            <w:shd w:val="clear" w:color="auto" w:fill="auto"/>
            <w:noWrap/>
            <w:vAlign w:val="bottom"/>
            <w:hideMark/>
          </w:tcPr>
          <w:p w14:paraId="4F64A161" w14:textId="77777777" w:rsidR="00477933" w:rsidRPr="00217781" w:rsidRDefault="00477933" w:rsidP="00477933">
            <w:pPr>
              <w:spacing w:after="0" w:line="240" w:lineRule="auto"/>
              <w:jc w:val="left"/>
              <w:rPr>
                <w:rFonts w:ascii="Arial" w:hAnsi="Arial" w:cs="Arial"/>
                <w:b/>
                <w:bCs/>
                <w:sz w:val="16"/>
                <w:szCs w:val="16"/>
              </w:rPr>
            </w:pPr>
            <w:r w:rsidRPr="00217781">
              <w:rPr>
                <w:rFonts w:ascii="Arial" w:hAnsi="Arial" w:cs="Arial"/>
                <w:b/>
                <w:bCs/>
                <w:sz w:val="16"/>
                <w:szCs w:val="16"/>
              </w:rPr>
              <w:t>Total payments to corporate entities</w:t>
            </w:r>
          </w:p>
        </w:tc>
        <w:tc>
          <w:tcPr>
            <w:tcW w:w="1301" w:type="dxa"/>
            <w:tcBorders>
              <w:top w:val="single" w:sz="4" w:space="0" w:color="auto"/>
              <w:left w:val="nil"/>
              <w:bottom w:val="single" w:sz="4" w:space="0" w:color="auto"/>
              <w:right w:val="nil"/>
            </w:tcBorders>
            <w:shd w:val="clear" w:color="auto" w:fill="auto"/>
            <w:noWrap/>
            <w:vAlign w:val="bottom"/>
            <w:hideMark/>
          </w:tcPr>
          <w:p w14:paraId="628FF5F4" w14:textId="7726842E" w:rsidR="00477933" w:rsidRPr="00772526" w:rsidRDefault="00477933" w:rsidP="00477933">
            <w:pPr>
              <w:spacing w:after="0" w:line="240" w:lineRule="auto"/>
              <w:jc w:val="right"/>
              <w:rPr>
                <w:rFonts w:ascii="Arial" w:hAnsi="Arial" w:cs="Arial"/>
                <w:b/>
                <w:bCs/>
                <w:iCs/>
                <w:color w:val="000000" w:themeColor="text1"/>
                <w:sz w:val="16"/>
                <w:szCs w:val="16"/>
              </w:rPr>
            </w:pPr>
            <w:r>
              <w:rPr>
                <w:rFonts w:ascii="Arial" w:hAnsi="Arial" w:cs="Arial"/>
                <w:b/>
                <w:bCs/>
                <w:sz w:val="16"/>
                <w:szCs w:val="16"/>
              </w:rPr>
              <w:t xml:space="preserve">2,403,406 </w:t>
            </w:r>
          </w:p>
        </w:tc>
        <w:tc>
          <w:tcPr>
            <w:tcW w:w="1109" w:type="dxa"/>
            <w:tcBorders>
              <w:top w:val="single" w:sz="4" w:space="0" w:color="auto"/>
              <w:left w:val="nil"/>
              <w:bottom w:val="single" w:sz="4" w:space="0" w:color="auto"/>
              <w:right w:val="nil"/>
            </w:tcBorders>
            <w:shd w:val="clear" w:color="000000" w:fill="E7E6E6"/>
            <w:noWrap/>
            <w:vAlign w:val="bottom"/>
            <w:hideMark/>
          </w:tcPr>
          <w:p w14:paraId="47DB8B2D" w14:textId="5B051C95" w:rsidR="00477933" w:rsidRPr="00772526" w:rsidRDefault="00477933" w:rsidP="00477933">
            <w:pPr>
              <w:spacing w:after="0" w:line="240" w:lineRule="auto"/>
              <w:jc w:val="right"/>
              <w:rPr>
                <w:rFonts w:ascii="Arial" w:hAnsi="Arial" w:cs="Arial"/>
                <w:b/>
                <w:bCs/>
                <w:color w:val="000000" w:themeColor="text1"/>
                <w:sz w:val="16"/>
                <w:szCs w:val="16"/>
              </w:rPr>
            </w:pPr>
            <w:r>
              <w:rPr>
                <w:rFonts w:ascii="Arial" w:hAnsi="Arial" w:cs="Arial"/>
                <w:b/>
                <w:bCs/>
                <w:sz w:val="16"/>
                <w:szCs w:val="16"/>
              </w:rPr>
              <w:t xml:space="preserve">2,377,200 </w:t>
            </w:r>
          </w:p>
        </w:tc>
      </w:tr>
    </w:tbl>
    <w:p w14:paraId="0D93B734" w14:textId="77777777" w:rsidR="00B91F3E" w:rsidRDefault="00B91F3E" w:rsidP="00B91F3E">
      <w:pPr>
        <w:pStyle w:val="ChartandTableFootnote"/>
        <w:spacing w:before="60"/>
        <w:jc w:val="left"/>
      </w:pPr>
      <w:r>
        <w:t>Prepared on a resourcing (</w:t>
      </w:r>
      <w:r>
        <w:rPr>
          <w:lang w:val="en-AU"/>
        </w:rPr>
        <w:t>that is,</w:t>
      </w:r>
      <w:r>
        <w:t xml:space="preserve"> appropriations available) basis.</w:t>
      </w:r>
    </w:p>
    <w:p w14:paraId="2D926ED8" w14:textId="77777777" w:rsidR="00333C84" w:rsidRPr="009500C5" w:rsidRDefault="00333C84" w:rsidP="00824611">
      <w:pPr>
        <w:pStyle w:val="ChartandTableFootnote"/>
        <w:jc w:val="left"/>
      </w:pPr>
      <w:r w:rsidRPr="009500C5">
        <w:t>All figures shown above are GST exclusive - these may not match figures in the cash flow statement.</w:t>
      </w:r>
    </w:p>
    <w:p w14:paraId="65B315BB" w14:textId="6EB1AD70" w:rsidR="00333C84" w:rsidRPr="009500C5" w:rsidRDefault="00333C84" w:rsidP="00824611">
      <w:pPr>
        <w:pStyle w:val="ChartandTableFootnoteAlpha"/>
        <w:jc w:val="left"/>
      </w:pPr>
      <w:r w:rsidRPr="009500C5">
        <w:t>Annual appropriation amounts appearing for 2021-22 do not include the Appropriation Bills (No. 3) and (No. 4) 2021-22, as they had not been enacted at the time of publication.</w:t>
      </w:r>
    </w:p>
    <w:p w14:paraId="225588CB" w14:textId="7DA37380" w:rsidR="00333C84" w:rsidRPr="009500C5" w:rsidRDefault="00333C84" w:rsidP="00824611">
      <w:pPr>
        <w:pStyle w:val="ChartandTableFootnoteAlpha"/>
        <w:jc w:val="left"/>
      </w:pPr>
      <w:r w:rsidRPr="009500C5">
        <w:t>Appropriation Act (No. 1) 2022</w:t>
      </w:r>
      <w:r w:rsidR="00ED46E0">
        <w:t>-23</w:t>
      </w:r>
      <w:r w:rsidRPr="009500C5">
        <w:t>.</w:t>
      </w:r>
    </w:p>
    <w:p w14:paraId="466D8FC3" w14:textId="46CE1C62" w:rsidR="00333C84" w:rsidRPr="009500C5" w:rsidRDefault="00333C84" w:rsidP="00824611">
      <w:pPr>
        <w:pStyle w:val="ChartandTableFootnoteAlpha"/>
        <w:jc w:val="left"/>
      </w:pPr>
      <w:r w:rsidRPr="009500C5">
        <w:t xml:space="preserve">Excludes amounts subject to administrative quarantine by the </w:t>
      </w:r>
      <w:r w:rsidR="003C4CC6">
        <w:t>Department</w:t>
      </w:r>
      <w:r w:rsidRPr="009500C5">
        <w:t xml:space="preserve"> of Finance or withheld under section 51 of the </w:t>
      </w:r>
      <w:r w:rsidRPr="009500C5">
        <w:rPr>
          <w:i/>
          <w:iCs/>
        </w:rPr>
        <w:t>Public Governance, Performance and Accountability Act 2013</w:t>
      </w:r>
      <w:r w:rsidRPr="009500C5">
        <w:t xml:space="preserve"> (PGPA Act).</w:t>
      </w:r>
    </w:p>
    <w:p w14:paraId="743118A2" w14:textId="33DD003A" w:rsidR="00333C84" w:rsidRPr="009500C5" w:rsidRDefault="00333C84" w:rsidP="00824611">
      <w:pPr>
        <w:pStyle w:val="ChartandTableFootnoteAlpha"/>
        <w:jc w:val="left"/>
      </w:pPr>
      <w:r w:rsidRPr="009500C5">
        <w:t xml:space="preserve">Excludes </w:t>
      </w:r>
      <w:r w:rsidR="003C4CC6">
        <w:t>Department</w:t>
      </w:r>
      <w:r w:rsidRPr="009500C5">
        <w:t>al capital budget (DCB).</w:t>
      </w:r>
    </w:p>
    <w:p w14:paraId="1A8AF52A" w14:textId="77777777" w:rsidR="00333C84" w:rsidRPr="009500C5" w:rsidRDefault="00333C84" w:rsidP="00824611">
      <w:pPr>
        <w:pStyle w:val="ChartandTableFootnoteAlpha"/>
        <w:jc w:val="left"/>
      </w:pPr>
      <w:r w:rsidRPr="009500C5">
        <w:t>Estimated External Revenue receipts under section 74 of the PGPA Act.</w:t>
      </w:r>
    </w:p>
    <w:p w14:paraId="5FEC1EE7" w14:textId="06FB1333" w:rsidR="00333C84" w:rsidRPr="009500C5" w:rsidRDefault="003C4CC6" w:rsidP="00824611">
      <w:pPr>
        <w:pStyle w:val="ChartandTableFootnoteAlpha"/>
        <w:jc w:val="left"/>
      </w:pPr>
      <w:r>
        <w:t>Department</w:t>
      </w:r>
      <w:r w:rsidR="00333C84" w:rsidRPr="009500C5">
        <w:t>al capital budgets are not separately identified in Appropriation Bill (No. 1) and form part of ordinary annual services items. Please refer to Table 3.5 for further details. For accounting purposes, this amount has been designated as a 'contribution by owner'.</w:t>
      </w:r>
    </w:p>
    <w:p w14:paraId="006A6B2C" w14:textId="77777777" w:rsidR="00333C84" w:rsidRPr="009500C5" w:rsidRDefault="00333C84" w:rsidP="00824611">
      <w:pPr>
        <w:pStyle w:val="ChartandTableFootnoteAlpha"/>
        <w:jc w:val="left"/>
      </w:pPr>
      <w:r w:rsidRPr="009500C5">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0D9E3601" w14:textId="77777777" w:rsidR="00333C84" w:rsidRPr="009500C5" w:rsidRDefault="00333C84" w:rsidP="00824611">
      <w:pPr>
        <w:pStyle w:val="ChartandTableFootnoteAlpha"/>
        <w:jc w:val="left"/>
      </w:pPr>
      <w:r w:rsidRPr="009500C5">
        <w:t>'Corporate entities' are Corporate Commonwealth Entities and Commonwealth Companies as defined under the PGPA Act.</w:t>
      </w:r>
    </w:p>
    <w:p w14:paraId="098A6EA1" w14:textId="3369406D" w:rsidR="00333C84" w:rsidRPr="009500C5" w:rsidRDefault="00ED46E0" w:rsidP="00824611">
      <w:pPr>
        <w:pStyle w:val="ChartandTableFootnoteAlpha"/>
        <w:jc w:val="left"/>
      </w:pPr>
      <w:r>
        <w:t>Appropriation Act (No. 2) 2022</w:t>
      </w:r>
      <w:r w:rsidR="00333C84" w:rsidRPr="009500C5">
        <w:t>-2</w:t>
      </w:r>
      <w:r>
        <w:t>3</w:t>
      </w:r>
      <w:r w:rsidR="00333C84" w:rsidRPr="009500C5">
        <w:t>.</w:t>
      </w:r>
    </w:p>
    <w:p w14:paraId="1EC2C030" w14:textId="73217049" w:rsidR="00333C84" w:rsidRPr="009500C5" w:rsidRDefault="00333C84" w:rsidP="00824611">
      <w:pPr>
        <w:pStyle w:val="ChartandTableFootnoteAlpha"/>
        <w:jc w:val="left"/>
        <w:rPr>
          <w:u w:val="single"/>
        </w:rPr>
      </w:pPr>
      <w:r w:rsidRPr="009500C5">
        <w:t xml:space="preserve">Relates to appropriations sought for payment to the states, ACT, NT and local governments in Appropriation Bill </w:t>
      </w:r>
      <w:r w:rsidR="0064083D">
        <w:t>(</w:t>
      </w:r>
      <w:r w:rsidRPr="009500C5">
        <w:t>No.</w:t>
      </w:r>
      <w:r w:rsidR="0064083D">
        <w:t> </w:t>
      </w:r>
      <w:r w:rsidRPr="009500C5">
        <w:t>2</w:t>
      </w:r>
      <w:r w:rsidR="0064083D">
        <w:t>)</w:t>
      </w:r>
      <w:r w:rsidRPr="009500C5">
        <w:t xml:space="preserve"> 202</w:t>
      </w:r>
      <w:r w:rsidR="00ED46E0">
        <w:t>2</w:t>
      </w:r>
      <w:r w:rsidRPr="009500C5">
        <w:t>-2</w:t>
      </w:r>
      <w:r w:rsidR="00ED46E0">
        <w:t>3</w:t>
      </w:r>
      <w:r w:rsidRPr="009500C5">
        <w:t xml:space="preserve">. Outcome 1 – Program 1.1: Infrastructure Investment includes the Roads to Recovery program under the Roads to Recovery Funding Conditions 2014. Information on the terms and conditions can be found in the determination, Roads to Recovery funding Conditions 2014 at </w:t>
      </w:r>
      <w:hyperlink r:id="rId18" w:history="1">
        <w:r w:rsidRPr="00ED46E0">
          <w:rPr>
            <w:rStyle w:val="Hyperlink"/>
            <w:u w:val="single"/>
          </w:rPr>
          <w:t>https://investment.infrastructure.gov.au/files/roads_to_recovery_funding_conditions/R2R_Funding</w:t>
        </w:r>
      </w:hyperlink>
      <w:r w:rsidRPr="00ED46E0">
        <w:rPr>
          <w:u w:val="single"/>
        </w:rPr>
        <w:t xml:space="preserve"> Conditions_November_2019.pdf</w:t>
      </w:r>
      <w:r w:rsidRPr="009500C5">
        <w:rPr>
          <w:u w:val="single"/>
        </w:rPr>
        <w:t>.</w:t>
      </w:r>
      <w:r w:rsidRPr="009500C5">
        <w:t xml:space="preserve"> For state splits please refer to </w:t>
      </w:r>
      <w:r w:rsidRPr="009500C5">
        <w:rPr>
          <w:i/>
          <w:iCs/>
        </w:rPr>
        <w:t>Budget Paper 3 2022-23</w:t>
      </w:r>
      <w:r w:rsidRPr="009500C5">
        <w:t xml:space="preserve"> at </w:t>
      </w:r>
      <w:hyperlink r:id="rId19" w:history="1">
        <w:r w:rsidRPr="00ED46E0">
          <w:rPr>
            <w:rStyle w:val="Hyperlink"/>
            <w:u w:val="single"/>
          </w:rPr>
          <w:t>https://budget.gov.au/2022-23/content/bp3/index.htm</w:t>
        </w:r>
      </w:hyperlink>
      <w:r w:rsidRPr="009500C5">
        <w:t xml:space="preserve">. </w:t>
      </w:r>
    </w:p>
    <w:p w14:paraId="3053BB48" w14:textId="64DDA07F" w:rsidR="00333C84" w:rsidRPr="009500C5" w:rsidRDefault="00333C84" w:rsidP="00824611">
      <w:pPr>
        <w:pStyle w:val="ChartandTableFootnoteAlpha"/>
        <w:jc w:val="left"/>
        <w:rPr>
          <w:u w:val="single"/>
        </w:rPr>
      </w:pPr>
      <w:r w:rsidRPr="009500C5">
        <w:t xml:space="preserve">Relates to appropriations sought for payment to the states, ACT, NT and local governments in Appropriation Bill </w:t>
      </w:r>
      <w:r w:rsidR="000B1D82">
        <w:t>(</w:t>
      </w:r>
      <w:r w:rsidRPr="009500C5">
        <w:t>No.</w:t>
      </w:r>
      <w:r w:rsidR="000B1D82">
        <w:t> </w:t>
      </w:r>
      <w:r w:rsidRPr="009500C5">
        <w:t>2</w:t>
      </w:r>
      <w:r w:rsidR="000B1D82">
        <w:t>)</w:t>
      </w:r>
      <w:r w:rsidRPr="009500C5">
        <w:t xml:space="preserve"> 202</w:t>
      </w:r>
      <w:r w:rsidR="000B1D82">
        <w:t>2-23</w:t>
      </w:r>
      <w:r w:rsidRPr="009500C5">
        <w:t xml:space="preserve">. Outcome 3 – Program 3.1: Regional Development includes the Drought Communities Programme and Program 3.2: Local Government includes Local Roads and </w:t>
      </w:r>
      <w:r w:rsidRPr="009500C5">
        <w:lastRenderedPageBreak/>
        <w:t xml:space="preserve">Community Infrastructure. For state splits please refer </w:t>
      </w:r>
      <w:r w:rsidRPr="009500C5">
        <w:rPr>
          <w:i/>
          <w:iCs/>
        </w:rPr>
        <w:t>Budget Paper 3 2022-23</w:t>
      </w:r>
      <w:r w:rsidRPr="009500C5">
        <w:t xml:space="preserve"> at </w:t>
      </w:r>
      <w:hyperlink r:id="rId20" w:history="1">
        <w:r w:rsidRPr="00ED46E0">
          <w:rPr>
            <w:rStyle w:val="Hyperlink"/>
            <w:u w:val="single"/>
          </w:rPr>
          <w:t>https://budget.gov.au/2022-23/content/bp3/index.htm</w:t>
        </w:r>
      </w:hyperlink>
      <w:r w:rsidRPr="009500C5">
        <w:t xml:space="preserve">. </w:t>
      </w:r>
    </w:p>
    <w:p w14:paraId="17448014" w14:textId="7FF6EC79" w:rsidR="00333C84" w:rsidRPr="009500C5" w:rsidRDefault="00333C84" w:rsidP="00824611">
      <w:pPr>
        <w:pStyle w:val="ChartandTableFootnoteAlpha"/>
        <w:jc w:val="left"/>
      </w:pPr>
      <w:r w:rsidRPr="009500C5">
        <w:t xml:space="preserve">For further information on special appropriations and special accounts, please refer to </w:t>
      </w:r>
      <w:r w:rsidRPr="009500C5">
        <w:rPr>
          <w:i/>
          <w:iCs/>
        </w:rPr>
        <w:t>Budget Paper No.</w:t>
      </w:r>
      <w:r w:rsidR="00ED46E0">
        <w:rPr>
          <w:i/>
          <w:iCs/>
        </w:rPr>
        <w:t> </w:t>
      </w:r>
      <w:r w:rsidRPr="009500C5">
        <w:rPr>
          <w:i/>
          <w:iCs/>
        </w:rPr>
        <w:t xml:space="preserve">4 – Agency </w:t>
      </w:r>
      <w:r w:rsidRPr="009500C5">
        <w:t>Resourcing. Please also see Section 2 for further information on outcome and program expenses broken down by various funding sources, for example annual appropriations, special appropriations and special accounts.</w:t>
      </w:r>
    </w:p>
    <w:p w14:paraId="39F242F7" w14:textId="77777777" w:rsidR="00333C84" w:rsidRPr="009500C5" w:rsidRDefault="00333C84" w:rsidP="00824611">
      <w:pPr>
        <w:pStyle w:val="ChartandTableFootnoteAlpha"/>
        <w:jc w:val="left"/>
      </w:pPr>
      <w:r w:rsidRPr="009500C5">
        <w:t>Excludes trust moneys held in Services for Other Entities and Trust Moneys (SOETM) and other special accounts.</w:t>
      </w:r>
    </w:p>
    <w:p w14:paraId="1DFFC8B3" w14:textId="77777777" w:rsidR="00333C84" w:rsidRPr="009500C5" w:rsidRDefault="00333C84" w:rsidP="00824611">
      <w:pPr>
        <w:pStyle w:val="ChartandTableFootnoteAlpha"/>
        <w:jc w:val="left"/>
      </w:pPr>
      <w:r w:rsidRPr="009500C5">
        <w:t>Amounts credited to the special accounts from annual and special appropriations.</w:t>
      </w:r>
    </w:p>
    <w:p w14:paraId="272F2219" w14:textId="77777777" w:rsidR="00824611" w:rsidRDefault="00333C84" w:rsidP="00824611">
      <w:pPr>
        <w:pStyle w:val="ChartandTableFootnoteAlpha"/>
        <w:jc w:val="left"/>
      </w:pPr>
      <w:r w:rsidRPr="009500C5">
        <w:t>Payments relate to the Tasmanian Freight Equalisation Scheme and the Bass Strait Passenger Vehicle Equalisation Scheme administered items.</w:t>
      </w:r>
    </w:p>
    <w:p w14:paraId="4FB45872" w14:textId="7D1D453A" w:rsidR="00824611" w:rsidRPr="00824611" w:rsidRDefault="00824611" w:rsidP="00824611">
      <w:pPr>
        <w:pStyle w:val="ChartandTableFootnoteAlpha"/>
        <w:jc w:val="left"/>
      </w:pPr>
      <w:r w:rsidRPr="00824611">
        <w:t>2021-22 payment estimates include corporate entities' Appropriation Bills (No. 3) and (No. 4)</w:t>
      </w:r>
      <w:r w:rsidR="0064083D">
        <w:t xml:space="preserve"> 2021-22, which are yet to receive Royal Assent.</w:t>
      </w:r>
    </w:p>
    <w:p w14:paraId="3A638639" w14:textId="541C6993" w:rsidR="00333C84" w:rsidRDefault="00333C84" w:rsidP="00824611">
      <w:pPr>
        <w:pStyle w:val="ChartandTableFootnoteAlpha"/>
        <w:jc w:val="left"/>
      </w:pPr>
      <w:r w:rsidRPr="009500C5">
        <w:t>This reflects</w:t>
      </w:r>
      <w:r>
        <w:t xml:space="preserve"> the transfer of responsibility for the Northern Australia Infrastructure Facility from the Industry, Science, Energy and Resources </w:t>
      </w:r>
      <w:r w:rsidR="003C4CC6">
        <w:t>Portfolio</w:t>
      </w:r>
      <w:r>
        <w:t xml:space="preserve"> to the Infrastructure, Transport, Regional Development and Communications </w:t>
      </w:r>
      <w:r w:rsidR="003C4CC6">
        <w:t>Portfolio</w:t>
      </w:r>
      <w:r>
        <w:t xml:space="preserve"> resulting from the Administrative Arrangement Orders of 2 July 2021.</w:t>
      </w:r>
    </w:p>
    <w:p w14:paraId="1C8351D3" w14:textId="77777777" w:rsidR="00B91F3E" w:rsidRPr="005A7C0B" w:rsidRDefault="00B91F3E" w:rsidP="00B91F3E">
      <w:pPr>
        <w:pStyle w:val="Heading3-DITRDC"/>
      </w:pPr>
      <w:r>
        <w:br w:type="page"/>
      </w:r>
      <w:bookmarkStart w:id="17" w:name="_Toc444523511"/>
      <w:bookmarkStart w:id="18" w:name="_Toc99295946"/>
      <w:r w:rsidRPr="005A7C0B">
        <w:lastRenderedPageBreak/>
        <w:t>1.3</w:t>
      </w:r>
      <w:r w:rsidRPr="005A7C0B">
        <w:tab/>
        <w:t>Budget measures</w:t>
      </w:r>
      <w:bookmarkEnd w:id="15"/>
      <w:bookmarkEnd w:id="16"/>
      <w:bookmarkEnd w:id="17"/>
      <w:bookmarkEnd w:id="18"/>
    </w:p>
    <w:p w14:paraId="74E6C771" w14:textId="3999FACC" w:rsidR="00B91F3E" w:rsidRDefault="00B91F3E" w:rsidP="00B91F3E">
      <w:pPr>
        <w:jc w:val="left"/>
      </w:pPr>
      <w:r w:rsidRPr="00DC32EC">
        <w:t xml:space="preserve">Budget measures </w:t>
      </w:r>
      <w:r>
        <w:t xml:space="preserve">in Part 1 </w:t>
      </w:r>
      <w:r w:rsidRPr="00DC32EC">
        <w:t>relating to</w:t>
      </w:r>
      <w:r>
        <w:t xml:space="preserve"> the </w:t>
      </w:r>
      <w:r w:rsidR="003C4CC6">
        <w:t>Department</w:t>
      </w:r>
      <w:r w:rsidRPr="00DC32EC">
        <w:t xml:space="preserve"> a</w:t>
      </w:r>
      <w:r>
        <w:t>re detailed in Budget Paper No. </w:t>
      </w:r>
      <w:r w:rsidRPr="00DC32EC">
        <w:t>2</w:t>
      </w:r>
      <w:r>
        <w:t xml:space="preserve"> and are summarised below.</w:t>
      </w:r>
    </w:p>
    <w:p w14:paraId="547E384E" w14:textId="58FFE892" w:rsidR="00B91F3E" w:rsidRPr="009A40DD" w:rsidRDefault="00B91F3E" w:rsidP="00B91F3E">
      <w:pPr>
        <w:pStyle w:val="TableHeading"/>
      </w:pPr>
      <w:r w:rsidRPr="009A40DD">
        <w:t xml:space="preserve">Table 1.2: </w:t>
      </w:r>
      <w:r w:rsidR="003C4CC6">
        <w:rPr>
          <w:lang w:val="en-US"/>
        </w:rPr>
        <w:t>Department</w:t>
      </w:r>
      <w:r>
        <w:rPr>
          <w:lang w:val="en-US"/>
        </w:rPr>
        <w:t xml:space="preserve"> of Infrastructure, Transport, Regional Development and Communications</w:t>
      </w:r>
      <w:r w:rsidRPr="009A40DD">
        <w:t xml:space="preserve"> </w:t>
      </w:r>
      <w:r>
        <w:rPr>
          <w:lang w:val="en-AU"/>
        </w:rPr>
        <w:t xml:space="preserve">2022-23 </w:t>
      </w:r>
      <w:r w:rsidRPr="009A40DD">
        <w:t>Budget measures</w:t>
      </w:r>
    </w:p>
    <w:p w14:paraId="0942E4BA" w14:textId="3F0BA720" w:rsidR="00B91F3E" w:rsidRDefault="00B91F3E" w:rsidP="00B91F3E">
      <w:pPr>
        <w:pStyle w:val="TableGraphic"/>
        <w:jc w:val="left"/>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w:t>
      </w:r>
      <w:r w:rsidR="00542B1B">
        <w:rPr>
          <w:rFonts w:ascii="Arial Bold" w:hAnsi="Arial Bold"/>
          <w:b/>
        </w:rPr>
        <w:t>omic and Fiscal Outlook (MYEFO)</w:t>
      </w:r>
    </w:p>
    <w:tbl>
      <w:tblPr>
        <w:tblW w:w="7371" w:type="dxa"/>
        <w:tblLook w:val="04A0" w:firstRow="1" w:lastRow="0" w:firstColumn="1" w:lastColumn="0" w:noHBand="0" w:noVBand="1"/>
      </w:tblPr>
      <w:tblGrid>
        <w:gridCol w:w="2268"/>
        <w:gridCol w:w="851"/>
        <w:gridCol w:w="850"/>
        <w:gridCol w:w="851"/>
        <w:gridCol w:w="850"/>
        <w:gridCol w:w="851"/>
        <w:gridCol w:w="850"/>
      </w:tblGrid>
      <w:tr w:rsidR="00AB2612" w:rsidRPr="00AB2612" w14:paraId="49752E72" w14:textId="77777777" w:rsidTr="00AB2612">
        <w:trPr>
          <w:trHeight w:val="204"/>
        </w:trPr>
        <w:tc>
          <w:tcPr>
            <w:tcW w:w="2268" w:type="dxa"/>
            <w:tcBorders>
              <w:top w:val="single" w:sz="4" w:space="0" w:color="auto"/>
              <w:left w:val="nil"/>
              <w:bottom w:val="nil"/>
              <w:right w:val="nil"/>
            </w:tcBorders>
            <w:shd w:val="clear" w:color="auto" w:fill="auto"/>
            <w:noWrap/>
            <w:vAlign w:val="bottom"/>
            <w:hideMark/>
          </w:tcPr>
          <w:p w14:paraId="3C7C4220" w14:textId="77777777" w:rsidR="00AB2612" w:rsidRPr="00AB2612" w:rsidRDefault="00AB2612" w:rsidP="00AB2612">
            <w:pPr>
              <w:spacing w:after="0" w:line="240" w:lineRule="auto"/>
              <w:jc w:val="center"/>
              <w:rPr>
                <w:rFonts w:ascii="Arial" w:hAnsi="Arial" w:cs="Arial"/>
                <w:sz w:val="18"/>
                <w:szCs w:val="18"/>
              </w:rPr>
            </w:pPr>
            <w:r w:rsidRPr="00AB2612">
              <w:rPr>
                <w:rFonts w:ascii="Arial" w:hAnsi="Arial" w:cs="Arial"/>
                <w:sz w:val="18"/>
                <w:szCs w:val="18"/>
              </w:rPr>
              <w:t> </w:t>
            </w:r>
          </w:p>
        </w:tc>
        <w:tc>
          <w:tcPr>
            <w:tcW w:w="851" w:type="dxa"/>
            <w:tcBorders>
              <w:top w:val="single" w:sz="4" w:space="0" w:color="auto"/>
              <w:left w:val="nil"/>
              <w:bottom w:val="single" w:sz="4" w:space="0" w:color="auto"/>
              <w:right w:val="nil"/>
            </w:tcBorders>
            <w:shd w:val="clear" w:color="auto" w:fill="auto"/>
            <w:vAlign w:val="bottom"/>
            <w:hideMark/>
          </w:tcPr>
          <w:p w14:paraId="060191AE" w14:textId="77777777" w:rsidR="00AB2612" w:rsidRPr="00AB2612" w:rsidRDefault="00AB2612" w:rsidP="00AB2612">
            <w:pPr>
              <w:spacing w:after="0" w:line="240" w:lineRule="auto"/>
              <w:jc w:val="center"/>
              <w:rPr>
                <w:rFonts w:ascii="Arial" w:hAnsi="Arial" w:cs="Arial"/>
                <w:sz w:val="16"/>
                <w:szCs w:val="16"/>
              </w:rPr>
            </w:pPr>
            <w:r w:rsidRPr="00AB2612">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053E81B4"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2021-22</w:t>
            </w:r>
            <w:r w:rsidRPr="00AB2612">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4A02806D"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2022-23</w:t>
            </w:r>
            <w:r w:rsidRPr="00AB261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5D05AB9D"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2023-24</w:t>
            </w:r>
            <w:r w:rsidRPr="00AB2612">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D9593F5"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2024-25</w:t>
            </w:r>
            <w:r w:rsidRPr="00AB261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2E59E364"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2025-26</w:t>
            </w:r>
            <w:r w:rsidRPr="00AB2612">
              <w:rPr>
                <w:rFonts w:ascii="Arial" w:hAnsi="Arial" w:cs="Arial"/>
                <w:sz w:val="16"/>
                <w:szCs w:val="16"/>
              </w:rPr>
              <w:br/>
              <w:t>$'000</w:t>
            </w:r>
          </w:p>
        </w:tc>
      </w:tr>
      <w:tr w:rsidR="00AB2612" w:rsidRPr="00AB2612" w14:paraId="1E1A6B3B" w14:textId="77777777" w:rsidTr="00AB2612">
        <w:trPr>
          <w:trHeight w:val="204"/>
        </w:trPr>
        <w:tc>
          <w:tcPr>
            <w:tcW w:w="2268" w:type="dxa"/>
            <w:tcBorders>
              <w:top w:val="nil"/>
              <w:left w:val="nil"/>
              <w:bottom w:val="nil"/>
              <w:right w:val="nil"/>
            </w:tcBorders>
            <w:shd w:val="clear" w:color="auto" w:fill="auto"/>
            <w:noWrap/>
            <w:vAlign w:val="bottom"/>
            <w:hideMark/>
          </w:tcPr>
          <w:p w14:paraId="2F83B151" w14:textId="77777777" w:rsidR="00AB2612" w:rsidRPr="00AB2612" w:rsidRDefault="00AB2612" w:rsidP="00AB2612">
            <w:pPr>
              <w:spacing w:after="0" w:line="240" w:lineRule="auto"/>
              <w:jc w:val="left"/>
              <w:rPr>
                <w:rFonts w:ascii="Arial" w:hAnsi="Arial" w:cs="Arial"/>
                <w:b/>
                <w:bCs/>
                <w:sz w:val="16"/>
                <w:szCs w:val="16"/>
              </w:rPr>
            </w:pPr>
            <w:r w:rsidRPr="00AB2612">
              <w:rPr>
                <w:rFonts w:ascii="Arial" w:hAnsi="Arial" w:cs="Arial"/>
                <w:b/>
                <w:bCs/>
                <w:sz w:val="16"/>
                <w:szCs w:val="16"/>
              </w:rPr>
              <w:t>Receipt measures</w:t>
            </w:r>
          </w:p>
        </w:tc>
        <w:tc>
          <w:tcPr>
            <w:tcW w:w="851" w:type="dxa"/>
            <w:tcBorders>
              <w:top w:val="nil"/>
              <w:left w:val="nil"/>
              <w:bottom w:val="nil"/>
              <w:right w:val="nil"/>
            </w:tcBorders>
            <w:shd w:val="clear" w:color="auto" w:fill="auto"/>
            <w:noWrap/>
            <w:vAlign w:val="bottom"/>
            <w:hideMark/>
          </w:tcPr>
          <w:p w14:paraId="6A364B76" w14:textId="77777777" w:rsidR="00AB2612" w:rsidRPr="00DD4118" w:rsidRDefault="00AB2612"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FF9E24E" w14:textId="454B2054" w:rsidR="00AB2612" w:rsidRPr="000B1D82" w:rsidRDefault="00AB2612" w:rsidP="00AB261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06BAE83" w14:textId="77777777" w:rsidR="00AB2612" w:rsidRPr="000B1D82" w:rsidRDefault="00AB2612" w:rsidP="00AB2612">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E12D22C" w14:textId="6E2410E0" w:rsidR="00AB2612" w:rsidRPr="000B1D82" w:rsidRDefault="00AB2612" w:rsidP="00AB261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315C21E" w14:textId="77777777" w:rsidR="00AB2612" w:rsidRPr="000B1D82" w:rsidRDefault="00AB2612" w:rsidP="00AB2612">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4C4D489" w14:textId="78A863D2" w:rsidR="00AB2612" w:rsidRPr="000B1D82" w:rsidRDefault="00AB2612" w:rsidP="00AB2612">
            <w:pPr>
              <w:spacing w:after="0" w:line="240" w:lineRule="auto"/>
              <w:jc w:val="right"/>
              <w:rPr>
                <w:rFonts w:ascii="Arial" w:hAnsi="Arial" w:cs="Arial"/>
                <w:sz w:val="16"/>
                <w:szCs w:val="16"/>
              </w:rPr>
            </w:pPr>
          </w:p>
        </w:tc>
      </w:tr>
      <w:tr w:rsidR="000B1D82" w:rsidRPr="00AB2612" w14:paraId="7CD3ACC1" w14:textId="77777777" w:rsidTr="00CD0EDE">
        <w:trPr>
          <w:trHeight w:val="204"/>
        </w:trPr>
        <w:tc>
          <w:tcPr>
            <w:tcW w:w="2268" w:type="dxa"/>
            <w:tcBorders>
              <w:top w:val="nil"/>
              <w:left w:val="nil"/>
              <w:bottom w:val="nil"/>
              <w:right w:val="nil"/>
            </w:tcBorders>
            <w:shd w:val="clear" w:color="auto" w:fill="auto"/>
            <w:vAlign w:val="bottom"/>
            <w:hideMark/>
          </w:tcPr>
          <w:p w14:paraId="769079A4" w14:textId="74DE5326" w:rsidR="000B1D82" w:rsidRPr="00AB2612" w:rsidRDefault="000B1D82" w:rsidP="000B1D82">
            <w:pPr>
              <w:spacing w:after="0" w:line="240" w:lineRule="auto"/>
              <w:jc w:val="left"/>
              <w:rPr>
                <w:rFonts w:ascii="Arial" w:hAnsi="Arial" w:cs="Arial"/>
                <w:sz w:val="16"/>
                <w:szCs w:val="16"/>
              </w:rPr>
            </w:pPr>
            <w:r>
              <w:rPr>
                <w:rFonts w:ascii="Arial" w:hAnsi="Arial" w:cs="Arial"/>
                <w:sz w:val="16"/>
                <w:szCs w:val="16"/>
              </w:rPr>
              <w:t xml:space="preserve">Airport Building Controller and Airport Environmental Officer Functions - additional funding </w:t>
            </w:r>
          </w:p>
        </w:tc>
        <w:tc>
          <w:tcPr>
            <w:tcW w:w="851" w:type="dxa"/>
            <w:tcBorders>
              <w:top w:val="nil"/>
              <w:left w:val="nil"/>
              <w:bottom w:val="nil"/>
              <w:right w:val="nil"/>
            </w:tcBorders>
            <w:shd w:val="clear" w:color="auto" w:fill="auto"/>
            <w:noWrap/>
            <w:hideMark/>
          </w:tcPr>
          <w:p w14:paraId="1F978629" w14:textId="0853C7E9" w:rsidR="000B1D82" w:rsidRPr="00AB2612" w:rsidRDefault="000B1D82" w:rsidP="00DD4118">
            <w:pPr>
              <w:spacing w:after="0" w:line="240" w:lineRule="auto"/>
              <w:jc w:val="center"/>
              <w:outlineLvl w:val="0"/>
              <w:rPr>
                <w:rFonts w:ascii="Arial" w:hAnsi="Arial" w:cs="Arial"/>
                <w:sz w:val="16"/>
                <w:szCs w:val="16"/>
              </w:rPr>
            </w:pPr>
            <w:r>
              <w:rPr>
                <w:rFonts w:ascii="Arial" w:hAnsi="Arial" w:cs="Arial"/>
                <w:sz w:val="16"/>
                <w:szCs w:val="16"/>
              </w:rPr>
              <w:t>2.4</w:t>
            </w:r>
          </w:p>
        </w:tc>
        <w:tc>
          <w:tcPr>
            <w:tcW w:w="850" w:type="dxa"/>
            <w:tcBorders>
              <w:top w:val="nil"/>
              <w:left w:val="nil"/>
              <w:bottom w:val="nil"/>
              <w:right w:val="nil"/>
            </w:tcBorders>
            <w:shd w:val="clear" w:color="000000" w:fill="E6E6E6"/>
            <w:noWrap/>
            <w:vAlign w:val="bottom"/>
            <w:hideMark/>
          </w:tcPr>
          <w:p w14:paraId="130296DC" w14:textId="1128EE98"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65621FBB" w14:textId="77777777" w:rsidR="000B1D82" w:rsidRPr="000B1D82" w:rsidRDefault="000B1D82" w:rsidP="000B1D82">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068306A" w14:textId="6A55F27E"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8160011" w14:textId="77777777" w:rsidR="000B1D82" w:rsidRPr="000B1D82" w:rsidRDefault="000B1D82" w:rsidP="000B1D82">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F0D5070" w14:textId="7E44AB3B"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r>
      <w:tr w:rsidR="000B1D82" w:rsidRPr="00AB2612" w14:paraId="1EE2950D" w14:textId="77777777" w:rsidTr="00CD0EDE">
        <w:trPr>
          <w:trHeight w:val="204"/>
        </w:trPr>
        <w:tc>
          <w:tcPr>
            <w:tcW w:w="2268" w:type="dxa"/>
            <w:tcBorders>
              <w:top w:val="nil"/>
              <w:left w:val="nil"/>
              <w:bottom w:val="nil"/>
              <w:right w:val="nil"/>
            </w:tcBorders>
            <w:shd w:val="clear" w:color="auto" w:fill="auto"/>
            <w:vAlign w:val="bottom"/>
            <w:hideMark/>
          </w:tcPr>
          <w:p w14:paraId="5F9760AC" w14:textId="17C38405" w:rsidR="000B1D82" w:rsidRPr="00AB2612" w:rsidRDefault="000B1D82" w:rsidP="000B1D82">
            <w:pPr>
              <w:spacing w:after="0" w:line="240" w:lineRule="auto"/>
              <w:ind w:left="113"/>
              <w:jc w:val="left"/>
              <w:rPr>
                <w:rFonts w:ascii="Arial" w:hAnsi="Arial" w:cs="Arial"/>
                <w:sz w:val="16"/>
                <w:szCs w:val="16"/>
              </w:rPr>
            </w:pPr>
            <w:r>
              <w:rPr>
                <w:rFonts w:ascii="Arial" w:hAnsi="Arial" w:cs="Arial"/>
                <w:sz w:val="16"/>
                <w:szCs w:val="16"/>
              </w:rPr>
              <w:t>Departmental receipts</w:t>
            </w:r>
          </w:p>
        </w:tc>
        <w:tc>
          <w:tcPr>
            <w:tcW w:w="851" w:type="dxa"/>
            <w:tcBorders>
              <w:top w:val="nil"/>
              <w:left w:val="nil"/>
              <w:bottom w:val="nil"/>
              <w:right w:val="nil"/>
            </w:tcBorders>
            <w:shd w:val="clear" w:color="auto" w:fill="auto"/>
            <w:noWrap/>
            <w:hideMark/>
          </w:tcPr>
          <w:p w14:paraId="4D648A5D" w14:textId="77777777" w:rsidR="000B1D82" w:rsidRPr="00AB2612" w:rsidRDefault="000B1D82"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51CF07F" w14:textId="6E873170"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2430264" w14:textId="035CE7AF"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700 </w:t>
            </w:r>
          </w:p>
        </w:tc>
        <w:tc>
          <w:tcPr>
            <w:tcW w:w="850" w:type="dxa"/>
            <w:tcBorders>
              <w:top w:val="nil"/>
              <w:left w:val="nil"/>
              <w:bottom w:val="nil"/>
              <w:right w:val="nil"/>
            </w:tcBorders>
            <w:shd w:val="clear" w:color="000000" w:fill="E6E6E6"/>
            <w:noWrap/>
            <w:vAlign w:val="bottom"/>
            <w:hideMark/>
          </w:tcPr>
          <w:p w14:paraId="3FBF9064" w14:textId="54614AEF"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700 </w:t>
            </w:r>
          </w:p>
        </w:tc>
        <w:tc>
          <w:tcPr>
            <w:tcW w:w="851" w:type="dxa"/>
            <w:tcBorders>
              <w:top w:val="nil"/>
              <w:left w:val="nil"/>
              <w:bottom w:val="nil"/>
              <w:right w:val="nil"/>
            </w:tcBorders>
            <w:shd w:val="clear" w:color="auto" w:fill="auto"/>
            <w:noWrap/>
            <w:vAlign w:val="bottom"/>
            <w:hideMark/>
          </w:tcPr>
          <w:p w14:paraId="331332E8" w14:textId="01E0E73B"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0294BB50" w14:textId="0300CD6A"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r>
      <w:tr w:rsidR="000B1D82" w:rsidRPr="00AB2612" w14:paraId="053C4DF1" w14:textId="77777777" w:rsidTr="00CD0EDE">
        <w:trPr>
          <w:trHeight w:val="204"/>
        </w:trPr>
        <w:tc>
          <w:tcPr>
            <w:tcW w:w="2268" w:type="dxa"/>
            <w:tcBorders>
              <w:top w:val="nil"/>
              <w:left w:val="nil"/>
              <w:bottom w:val="nil"/>
              <w:right w:val="nil"/>
            </w:tcBorders>
            <w:shd w:val="clear" w:color="auto" w:fill="auto"/>
            <w:vAlign w:val="bottom"/>
            <w:hideMark/>
          </w:tcPr>
          <w:p w14:paraId="757CD4E9" w14:textId="1AD49265" w:rsidR="000B1D82" w:rsidRPr="00AB2612" w:rsidRDefault="000B1D82" w:rsidP="000B1D82">
            <w:pPr>
              <w:spacing w:after="0" w:line="240" w:lineRule="auto"/>
              <w:jc w:val="left"/>
              <w:rPr>
                <w:rFonts w:ascii="Arial" w:hAnsi="Arial" w:cs="Arial"/>
                <w:b/>
                <w:bCs/>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hideMark/>
          </w:tcPr>
          <w:p w14:paraId="5100E089" w14:textId="77777777" w:rsidR="000B1D82" w:rsidRPr="00DD4118" w:rsidRDefault="000B1D82" w:rsidP="00DD4118">
            <w:pPr>
              <w:spacing w:after="0" w:line="240" w:lineRule="auto"/>
              <w:jc w:val="center"/>
              <w:outlineLvl w:val="0"/>
              <w:rPr>
                <w:rFonts w:ascii="Arial" w:hAnsi="Arial" w:cs="Arial"/>
                <w:sz w:val="16"/>
                <w:szCs w:val="16"/>
              </w:rPr>
            </w:pPr>
          </w:p>
        </w:tc>
        <w:tc>
          <w:tcPr>
            <w:tcW w:w="850" w:type="dxa"/>
            <w:tcBorders>
              <w:top w:val="nil"/>
              <w:left w:val="nil"/>
              <w:right w:val="nil"/>
            </w:tcBorders>
            <w:shd w:val="clear" w:color="000000" w:fill="E6E6E6"/>
            <w:noWrap/>
            <w:vAlign w:val="bottom"/>
            <w:hideMark/>
          </w:tcPr>
          <w:p w14:paraId="29B2C535" w14:textId="046E05C1" w:rsidR="000B1D82" w:rsidRPr="000B1D82" w:rsidRDefault="000B1D82" w:rsidP="000B1D82">
            <w:pPr>
              <w:spacing w:after="0" w:line="240" w:lineRule="auto"/>
              <w:jc w:val="right"/>
              <w:rPr>
                <w:rFonts w:ascii="Arial" w:hAnsi="Arial" w:cs="Arial"/>
                <w:b/>
                <w:bCs/>
                <w:sz w:val="16"/>
                <w:szCs w:val="16"/>
              </w:rPr>
            </w:pPr>
            <w:r w:rsidRPr="000B1D82">
              <w:rPr>
                <w:rFonts w:ascii="Arial" w:hAnsi="Arial" w:cs="Arial"/>
                <w:b/>
                <w:bCs/>
                <w:sz w:val="16"/>
                <w:szCs w:val="16"/>
              </w:rPr>
              <w:t xml:space="preserve">- </w:t>
            </w:r>
          </w:p>
        </w:tc>
        <w:tc>
          <w:tcPr>
            <w:tcW w:w="851" w:type="dxa"/>
            <w:tcBorders>
              <w:top w:val="nil"/>
              <w:left w:val="nil"/>
              <w:right w:val="nil"/>
            </w:tcBorders>
            <w:shd w:val="clear" w:color="auto" w:fill="auto"/>
            <w:noWrap/>
            <w:vAlign w:val="bottom"/>
            <w:hideMark/>
          </w:tcPr>
          <w:p w14:paraId="4A444923" w14:textId="161A4097" w:rsidR="000B1D82" w:rsidRPr="000B1D82" w:rsidRDefault="000B1D82" w:rsidP="000B1D82">
            <w:pPr>
              <w:spacing w:after="0" w:line="240" w:lineRule="auto"/>
              <w:jc w:val="right"/>
              <w:rPr>
                <w:rFonts w:ascii="Arial" w:hAnsi="Arial" w:cs="Arial"/>
                <w:b/>
                <w:bCs/>
                <w:sz w:val="16"/>
                <w:szCs w:val="16"/>
              </w:rPr>
            </w:pPr>
            <w:r w:rsidRPr="000B1D82">
              <w:rPr>
                <w:rFonts w:ascii="Arial" w:hAnsi="Arial" w:cs="Arial"/>
                <w:b/>
                <w:bCs/>
                <w:sz w:val="16"/>
                <w:szCs w:val="16"/>
              </w:rPr>
              <w:t xml:space="preserve">700 </w:t>
            </w:r>
          </w:p>
        </w:tc>
        <w:tc>
          <w:tcPr>
            <w:tcW w:w="850" w:type="dxa"/>
            <w:tcBorders>
              <w:top w:val="nil"/>
              <w:left w:val="nil"/>
              <w:right w:val="nil"/>
            </w:tcBorders>
            <w:shd w:val="clear" w:color="000000" w:fill="E6E6E6"/>
            <w:noWrap/>
            <w:vAlign w:val="bottom"/>
            <w:hideMark/>
          </w:tcPr>
          <w:p w14:paraId="38B6971C" w14:textId="336E1998" w:rsidR="000B1D82" w:rsidRPr="000B1D82" w:rsidRDefault="000B1D82" w:rsidP="000B1D82">
            <w:pPr>
              <w:spacing w:after="0" w:line="240" w:lineRule="auto"/>
              <w:jc w:val="right"/>
              <w:rPr>
                <w:rFonts w:ascii="Arial" w:hAnsi="Arial" w:cs="Arial"/>
                <w:b/>
                <w:bCs/>
                <w:sz w:val="16"/>
                <w:szCs w:val="16"/>
              </w:rPr>
            </w:pPr>
            <w:r w:rsidRPr="000B1D82">
              <w:rPr>
                <w:rFonts w:ascii="Arial" w:hAnsi="Arial" w:cs="Arial"/>
                <w:b/>
                <w:bCs/>
                <w:sz w:val="16"/>
                <w:szCs w:val="16"/>
              </w:rPr>
              <w:t xml:space="preserve">700 </w:t>
            </w:r>
          </w:p>
        </w:tc>
        <w:tc>
          <w:tcPr>
            <w:tcW w:w="851" w:type="dxa"/>
            <w:tcBorders>
              <w:top w:val="nil"/>
              <w:left w:val="nil"/>
              <w:right w:val="nil"/>
            </w:tcBorders>
            <w:shd w:val="clear" w:color="auto" w:fill="auto"/>
            <w:noWrap/>
            <w:vAlign w:val="bottom"/>
            <w:hideMark/>
          </w:tcPr>
          <w:p w14:paraId="4FCFED61" w14:textId="0D860066" w:rsidR="000B1D82" w:rsidRPr="000B1D82" w:rsidRDefault="000B1D82" w:rsidP="000B1D82">
            <w:pPr>
              <w:spacing w:after="0" w:line="240" w:lineRule="auto"/>
              <w:jc w:val="right"/>
              <w:rPr>
                <w:rFonts w:ascii="Arial" w:hAnsi="Arial" w:cs="Arial"/>
                <w:b/>
                <w:bCs/>
                <w:sz w:val="16"/>
                <w:szCs w:val="16"/>
              </w:rPr>
            </w:pPr>
            <w:r w:rsidRPr="000B1D82">
              <w:rPr>
                <w:rFonts w:ascii="Arial" w:hAnsi="Arial" w:cs="Arial"/>
                <w:b/>
                <w:bCs/>
                <w:sz w:val="16"/>
                <w:szCs w:val="16"/>
              </w:rPr>
              <w:t xml:space="preserve">- </w:t>
            </w:r>
          </w:p>
        </w:tc>
        <w:tc>
          <w:tcPr>
            <w:tcW w:w="850" w:type="dxa"/>
            <w:tcBorders>
              <w:top w:val="nil"/>
              <w:left w:val="nil"/>
              <w:right w:val="nil"/>
            </w:tcBorders>
            <w:shd w:val="clear" w:color="000000" w:fill="E6E6E6"/>
            <w:noWrap/>
            <w:vAlign w:val="bottom"/>
            <w:hideMark/>
          </w:tcPr>
          <w:p w14:paraId="76D284C4" w14:textId="276E24A4" w:rsidR="000B1D82" w:rsidRPr="000B1D82" w:rsidRDefault="000B1D82" w:rsidP="000B1D82">
            <w:pPr>
              <w:spacing w:after="0" w:line="240" w:lineRule="auto"/>
              <w:jc w:val="right"/>
              <w:rPr>
                <w:rFonts w:ascii="Arial" w:hAnsi="Arial" w:cs="Arial"/>
                <w:b/>
                <w:bCs/>
                <w:sz w:val="16"/>
                <w:szCs w:val="16"/>
              </w:rPr>
            </w:pPr>
            <w:r w:rsidRPr="000B1D82">
              <w:rPr>
                <w:rFonts w:ascii="Arial" w:hAnsi="Arial" w:cs="Arial"/>
                <w:b/>
                <w:bCs/>
                <w:sz w:val="16"/>
                <w:szCs w:val="16"/>
              </w:rPr>
              <w:t xml:space="preserve">- </w:t>
            </w:r>
          </w:p>
        </w:tc>
      </w:tr>
      <w:tr w:rsidR="000B1D82" w:rsidRPr="00211B04" w14:paraId="365BFECA" w14:textId="77777777" w:rsidTr="00CD0EDE">
        <w:trPr>
          <w:trHeight w:val="204"/>
        </w:trPr>
        <w:tc>
          <w:tcPr>
            <w:tcW w:w="2268" w:type="dxa"/>
            <w:tcBorders>
              <w:top w:val="nil"/>
              <w:left w:val="nil"/>
              <w:bottom w:val="nil"/>
              <w:right w:val="nil"/>
            </w:tcBorders>
            <w:shd w:val="clear" w:color="auto" w:fill="auto"/>
            <w:vAlign w:val="bottom"/>
          </w:tcPr>
          <w:p w14:paraId="5A73FF13" w14:textId="25AFF18A" w:rsidR="000B1D82" w:rsidRPr="00211B04" w:rsidRDefault="000B1D82" w:rsidP="000B1D82">
            <w:pPr>
              <w:spacing w:after="0" w:line="240" w:lineRule="auto"/>
              <w:jc w:val="left"/>
              <w:rPr>
                <w:rFonts w:ascii="Arial" w:hAnsi="Arial" w:cs="Arial"/>
                <w:bCs/>
                <w:sz w:val="16"/>
                <w:szCs w:val="16"/>
              </w:rPr>
            </w:pPr>
            <w:r>
              <w:rPr>
                <w:rFonts w:ascii="Arial" w:hAnsi="Arial" w:cs="Arial"/>
                <w:sz w:val="16"/>
                <w:szCs w:val="16"/>
              </w:rPr>
              <w:t xml:space="preserve">Northern Australia Infrastructure Facility - increased funding and expansion </w:t>
            </w:r>
            <w:r>
              <w:rPr>
                <w:rFonts w:ascii="Arial" w:hAnsi="Arial" w:cs="Arial"/>
                <w:sz w:val="16"/>
                <w:szCs w:val="16"/>
                <w:vertAlign w:val="superscript"/>
              </w:rPr>
              <w:t>(a)</w:t>
            </w:r>
          </w:p>
        </w:tc>
        <w:tc>
          <w:tcPr>
            <w:tcW w:w="851" w:type="dxa"/>
            <w:tcBorders>
              <w:top w:val="nil"/>
              <w:left w:val="nil"/>
              <w:bottom w:val="nil"/>
              <w:right w:val="nil"/>
            </w:tcBorders>
            <w:shd w:val="clear" w:color="auto" w:fill="auto"/>
            <w:noWrap/>
          </w:tcPr>
          <w:p w14:paraId="2F0D706B" w14:textId="391161EF" w:rsidR="000B1D82" w:rsidRPr="00DD4118" w:rsidRDefault="000B1D82" w:rsidP="00DD4118">
            <w:pPr>
              <w:spacing w:after="0" w:line="240" w:lineRule="auto"/>
              <w:jc w:val="center"/>
              <w:outlineLvl w:val="0"/>
              <w:rPr>
                <w:rFonts w:ascii="Arial" w:hAnsi="Arial" w:cs="Arial"/>
                <w:sz w:val="16"/>
                <w:szCs w:val="16"/>
              </w:rPr>
            </w:pPr>
            <w:r>
              <w:rPr>
                <w:rFonts w:ascii="Arial" w:hAnsi="Arial" w:cs="Arial"/>
                <w:sz w:val="16"/>
                <w:szCs w:val="16"/>
              </w:rPr>
              <w:t>3.4</w:t>
            </w:r>
          </w:p>
        </w:tc>
        <w:tc>
          <w:tcPr>
            <w:tcW w:w="850" w:type="dxa"/>
            <w:tcBorders>
              <w:top w:val="nil"/>
              <w:left w:val="nil"/>
              <w:right w:val="nil"/>
            </w:tcBorders>
            <w:shd w:val="clear" w:color="000000" w:fill="E6E6E6"/>
            <w:noWrap/>
            <w:vAlign w:val="bottom"/>
          </w:tcPr>
          <w:p w14:paraId="319E7DA8" w14:textId="6AE6EAE2" w:rsidR="000B1D82" w:rsidRPr="000B1D82" w:rsidRDefault="000B1D82" w:rsidP="000B1D82">
            <w:pPr>
              <w:spacing w:after="0" w:line="240" w:lineRule="auto"/>
              <w:jc w:val="right"/>
              <w:rPr>
                <w:rFonts w:ascii="Arial" w:hAnsi="Arial" w:cs="Arial"/>
                <w:bCs/>
                <w:sz w:val="16"/>
                <w:szCs w:val="16"/>
              </w:rPr>
            </w:pPr>
            <w:r w:rsidRPr="000B1D82">
              <w:rPr>
                <w:rFonts w:ascii="Arial" w:hAnsi="Arial" w:cs="Arial"/>
                <w:sz w:val="16"/>
                <w:szCs w:val="16"/>
              </w:rPr>
              <w:t> </w:t>
            </w:r>
          </w:p>
        </w:tc>
        <w:tc>
          <w:tcPr>
            <w:tcW w:w="851" w:type="dxa"/>
            <w:tcBorders>
              <w:top w:val="nil"/>
              <w:left w:val="nil"/>
              <w:right w:val="nil"/>
            </w:tcBorders>
            <w:shd w:val="clear" w:color="auto" w:fill="auto"/>
            <w:noWrap/>
            <w:vAlign w:val="bottom"/>
          </w:tcPr>
          <w:p w14:paraId="28476622" w14:textId="77777777" w:rsidR="000B1D82" w:rsidRPr="000B1D82" w:rsidRDefault="000B1D82" w:rsidP="000B1D82">
            <w:pPr>
              <w:spacing w:after="0" w:line="240" w:lineRule="auto"/>
              <w:jc w:val="right"/>
              <w:rPr>
                <w:rFonts w:ascii="Arial" w:hAnsi="Arial" w:cs="Arial"/>
                <w:bCs/>
                <w:sz w:val="16"/>
                <w:szCs w:val="16"/>
              </w:rPr>
            </w:pPr>
          </w:p>
        </w:tc>
        <w:tc>
          <w:tcPr>
            <w:tcW w:w="850" w:type="dxa"/>
            <w:tcBorders>
              <w:top w:val="nil"/>
              <w:left w:val="nil"/>
              <w:right w:val="nil"/>
            </w:tcBorders>
            <w:shd w:val="clear" w:color="000000" w:fill="E6E6E6"/>
            <w:noWrap/>
            <w:vAlign w:val="bottom"/>
          </w:tcPr>
          <w:p w14:paraId="5625E07F" w14:textId="37CDD0DF" w:rsidR="000B1D82" w:rsidRPr="000B1D82" w:rsidRDefault="000B1D82" w:rsidP="000B1D82">
            <w:pPr>
              <w:spacing w:after="0" w:line="240" w:lineRule="auto"/>
              <w:jc w:val="right"/>
              <w:rPr>
                <w:rFonts w:ascii="Arial" w:hAnsi="Arial" w:cs="Arial"/>
                <w:bCs/>
                <w:sz w:val="16"/>
                <w:szCs w:val="16"/>
              </w:rPr>
            </w:pPr>
            <w:r w:rsidRPr="000B1D82">
              <w:rPr>
                <w:rFonts w:ascii="Arial" w:hAnsi="Arial" w:cs="Arial"/>
                <w:sz w:val="16"/>
                <w:szCs w:val="16"/>
              </w:rPr>
              <w:t> </w:t>
            </w:r>
          </w:p>
        </w:tc>
        <w:tc>
          <w:tcPr>
            <w:tcW w:w="851" w:type="dxa"/>
            <w:tcBorders>
              <w:top w:val="nil"/>
              <w:left w:val="nil"/>
              <w:right w:val="nil"/>
            </w:tcBorders>
            <w:shd w:val="clear" w:color="auto" w:fill="auto"/>
            <w:noWrap/>
            <w:vAlign w:val="bottom"/>
          </w:tcPr>
          <w:p w14:paraId="0622402E" w14:textId="77777777" w:rsidR="000B1D82" w:rsidRPr="000B1D82" w:rsidRDefault="000B1D82" w:rsidP="000B1D82">
            <w:pPr>
              <w:spacing w:after="0" w:line="240" w:lineRule="auto"/>
              <w:jc w:val="right"/>
              <w:rPr>
                <w:rFonts w:ascii="Arial" w:hAnsi="Arial" w:cs="Arial"/>
                <w:bCs/>
                <w:sz w:val="16"/>
                <w:szCs w:val="16"/>
              </w:rPr>
            </w:pPr>
          </w:p>
        </w:tc>
        <w:tc>
          <w:tcPr>
            <w:tcW w:w="850" w:type="dxa"/>
            <w:tcBorders>
              <w:top w:val="nil"/>
              <w:left w:val="nil"/>
              <w:right w:val="nil"/>
            </w:tcBorders>
            <w:shd w:val="clear" w:color="000000" w:fill="E6E6E6"/>
            <w:noWrap/>
            <w:vAlign w:val="bottom"/>
          </w:tcPr>
          <w:p w14:paraId="6B04E898" w14:textId="6DD2BCB9" w:rsidR="000B1D82" w:rsidRPr="000B1D82" w:rsidRDefault="000B1D82" w:rsidP="000B1D82">
            <w:pPr>
              <w:spacing w:after="0" w:line="240" w:lineRule="auto"/>
              <w:jc w:val="right"/>
              <w:rPr>
                <w:rFonts w:ascii="Arial" w:hAnsi="Arial" w:cs="Arial"/>
                <w:bCs/>
                <w:sz w:val="16"/>
                <w:szCs w:val="16"/>
              </w:rPr>
            </w:pPr>
            <w:r w:rsidRPr="000B1D82">
              <w:rPr>
                <w:rFonts w:ascii="Arial" w:hAnsi="Arial" w:cs="Arial"/>
                <w:sz w:val="16"/>
                <w:szCs w:val="16"/>
              </w:rPr>
              <w:t> </w:t>
            </w:r>
          </w:p>
        </w:tc>
      </w:tr>
      <w:tr w:rsidR="000B1D82" w:rsidRPr="00AB2612" w14:paraId="10FA6EF6" w14:textId="77777777" w:rsidTr="00CD0EDE">
        <w:trPr>
          <w:trHeight w:val="204"/>
        </w:trPr>
        <w:tc>
          <w:tcPr>
            <w:tcW w:w="2268" w:type="dxa"/>
            <w:tcBorders>
              <w:top w:val="nil"/>
              <w:left w:val="nil"/>
              <w:bottom w:val="nil"/>
              <w:right w:val="nil"/>
            </w:tcBorders>
            <w:shd w:val="clear" w:color="auto" w:fill="auto"/>
            <w:vAlign w:val="bottom"/>
          </w:tcPr>
          <w:p w14:paraId="25B502ED" w14:textId="13976D3F" w:rsidR="000B1D82" w:rsidRPr="00AB2612" w:rsidRDefault="000B1D82" w:rsidP="000B1D82">
            <w:pPr>
              <w:spacing w:after="0" w:line="240" w:lineRule="auto"/>
              <w:ind w:left="113"/>
              <w:jc w:val="left"/>
              <w:rPr>
                <w:rFonts w:ascii="Arial" w:hAnsi="Arial" w:cs="Arial"/>
                <w:b/>
                <w:bCs/>
                <w:sz w:val="16"/>
                <w:szCs w:val="16"/>
              </w:rPr>
            </w:pPr>
            <w:r>
              <w:rPr>
                <w:rFonts w:ascii="Arial" w:hAnsi="Arial" w:cs="Arial"/>
                <w:sz w:val="16"/>
                <w:szCs w:val="16"/>
              </w:rPr>
              <w:t>Administered receipts</w:t>
            </w:r>
          </w:p>
        </w:tc>
        <w:tc>
          <w:tcPr>
            <w:tcW w:w="851" w:type="dxa"/>
            <w:tcBorders>
              <w:top w:val="nil"/>
              <w:left w:val="nil"/>
              <w:bottom w:val="nil"/>
              <w:right w:val="nil"/>
            </w:tcBorders>
            <w:shd w:val="clear" w:color="auto" w:fill="auto"/>
            <w:noWrap/>
          </w:tcPr>
          <w:p w14:paraId="2C3E00C9" w14:textId="77777777" w:rsidR="000B1D82" w:rsidRPr="00DD4118" w:rsidRDefault="000B1D82" w:rsidP="00DD4118">
            <w:pPr>
              <w:spacing w:after="0" w:line="240" w:lineRule="auto"/>
              <w:jc w:val="center"/>
              <w:outlineLvl w:val="0"/>
              <w:rPr>
                <w:rFonts w:ascii="Arial" w:hAnsi="Arial" w:cs="Arial"/>
                <w:sz w:val="16"/>
                <w:szCs w:val="16"/>
              </w:rPr>
            </w:pPr>
          </w:p>
        </w:tc>
        <w:tc>
          <w:tcPr>
            <w:tcW w:w="850" w:type="dxa"/>
            <w:tcBorders>
              <w:left w:val="nil"/>
              <w:right w:val="nil"/>
            </w:tcBorders>
            <w:shd w:val="clear" w:color="000000" w:fill="E6E6E6"/>
            <w:noWrap/>
            <w:vAlign w:val="bottom"/>
          </w:tcPr>
          <w:p w14:paraId="61B0EBD2" w14:textId="3F08E5DC"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1" w:type="dxa"/>
            <w:tcBorders>
              <w:left w:val="nil"/>
              <w:right w:val="nil"/>
            </w:tcBorders>
            <w:shd w:val="clear" w:color="auto" w:fill="auto"/>
            <w:noWrap/>
            <w:vAlign w:val="bottom"/>
          </w:tcPr>
          <w:p w14:paraId="5B53B818" w14:textId="2F833FCD"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0" w:type="dxa"/>
            <w:tcBorders>
              <w:left w:val="nil"/>
              <w:right w:val="nil"/>
            </w:tcBorders>
            <w:shd w:val="clear" w:color="000000" w:fill="E6E6E6"/>
            <w:noWrap/>
            <w:vAlign w:val="bottom"/>
          </w:tcPr>
          <w:p w14:paraId="35CA64A2" w14:textId="242B86A1"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1" w:type="dxa"/>
            <w:tcBorders>
              <w:left w:val="nil"/>
              <w:right w:val="nil"/>
            </w:tcBorders>
            <w:shd w:val="clear" w:color="auto" w:fill="auto"/>
            <w:noWrap/>
            <w:vAlign w:val="bottom"/>
          </w:tcPr>
          <w:p w14:paraId="3083749E" w14:textId="71019245"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0" w:type="dxa"/>
            <w:tcBorders>
              <w:left w:val="nil"/>
              <w:right w:val="nil"/>
            </w:tcBorders>
            <w:shd w:val="clear" w:color="000000" w:fill="E6E6E6"/>
            <w:noWrap/>
            <w:vAlign w:val="bottom"/>
          </w:tcPr>
          <w:p w14:paraId="3E1D9C1A" w14:textId="39D20DC7"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r>
      <w:tr w:rsidR="000B1D82" w:rsidRPr="00AB2612" w14:paraId="36E310AC" w14:textId="77777777" w:rsidTr="00CD0EDE">
        <w:trPr>
          <w:trHeight w:val="204"/>
        </w:trPr>
        <w:tc>
          <w:tcPr>
            <w:tcW w:w="2268" w:type="dxa"/>
            <w:tcBorders>
              <w:top w:val="nil"/>
              <w:left w:val="nil"/>
              <w:bottom w:val="nil"/>
              <w:right w:val="nil"/>
            </w:tcBorders>
            <w:shd w:val="clear" w:color="auto" w:fill="auto"/>
            <w:vAlign w:val="bottom"/>
          </w:tcPr>
          <w:p w14:paraId="5364ECA4" w14:textId="7B12C15B" w:rsidR="000B1D82" w:rsidRDefault="000B1D82" w:rsidP="000B1D82">
            <w:pPr>
              <w:spacing w:after="0" w:line="240" w:lineRule="auto"/>
              <w:jc w:val="left"/>
              <w:rPr>
                <w:rFonts w:ascii="Arial" w:hAnsi="Arial" w:cs="Arial"/>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tcPr>
          <w:p w14:paraId="61D72FB6" w14:textId="77777777" w:rsidR="000B1D82" w:rsidRPr="00DD4118" w:rsidRDefault="000B1D82" w:rsidP="00DD4118">
            <w:pPr>
              <w:spacing w:after="0" w:line="240" w:lineRule="auto"/>
              <w:jc w:val="center"/>
              <w:outlineLvl w:val="0"/>
              <w:rPr>
                <w:rFonts w:ascii="Arial" w:hAnsi="Arial" w:cs="Arial"/>
                <w:sz w:val="16"/>
                <w:szCs w:val="16"/>
              </w:rPr>
            </w:pPr>
          </w:p>
        </w:tc>
        <w:tc>
          <w:tcPr>
            <w:tcW w:w="850" w:type="dxa"/>
            <w:tcBorders>
              <w:left w:val="nil"/>
              <w:bottom w:val="nil"/>
              <w:right w:val="nil"/>
            </w:tcBorders>
            <w:shd w:val="clear" w:color="000000" w:fill="E6E6E6"/>
            <w:noWrap/>
            <w:vAlign w:val="bottom"/>
          </w:tcPr>
          <w:p w14:paraId="174E34AF" w14:textId="629F6B54" w:rsidR="000B1D82" w:rsidRPr="000B1D82" w:rsidRDefault="000B1D82" w:rsidP="000B1D82">
            <w:pPr>
              <w:spacing w:after="0" w:line="240" w:lineRule="auto"/>
              <w:jc w:val="right"/>
              <w:rPr>
                <w:rFonts w:ascii="Arial" w:hAnsi="Arial" w:cs="Arial"/>
                <w:sz w:val="16"/>
                <w:szCs w:val="16"/>
              </w:rPr>
            </w:pPr>
            <w:r w:rsidRPr="000B1D82">
              <w:rPr>
                <w:rFonts w:ascii="Arial" w:hAnsi="Arial" w:cs="Arial"/>
                <w:b/>
                <w:bCs/>
                <w:sz w:val="16"/>
                <w:szCs w:val="16"/>
              </w:rPr>
              <w:t xml:space="preserve">- </w:t>
            </w:r>
          </w:p>
        </w:tc>
        <w:tc>
          <w:tcPr>
            <w:tcW w:w="851" w:type="dxa"/>
            <w:tcBorders>
              <w:left w:val="nil"/>
              <w:bottom w:val="nil"/>
              <w:right w:val="nil"/>
            </w:tcBorders>
            <w:shd w:val="clear" w:color="auto" w:fill="auto"/>
            <w:noWrap/>
            <w:vAlign w:val="bottom"/>
          </w:tcPr>
          <w:p w14:paraId="2E47CFB4" w14:textId="30E2BF11" w:rsidR="000B1D82" w:rsidRPr="000B1D82" w:rsidRDefault="000B1D82" w:rsidP="000B1D82">
            <w:pPr>
              <w:spacing w:after="0" w:line="240" w:lineRule="auto"/>
              <w:jc w:val="right"/>
              <w:rPr>
                <w:rFonts w:ascii="Arial" w:hAnsi="Arial" w:cs="Arial"/>
                <w:sz w:val="16"/>
                <w:szCs w:val="16"/>
              </w:rPr>
            </w:pPr>
            <w:r w:rsidRPr="000B1D82">
              <w:rPr>
                <w:rFonts w:ascii="Arial" w:hAnsi="Arial" w:cs="Arial"/>
                <w:b/>
                <w:bCs/>
                <w:sz w:val="16"/>
                <w:szCs w:val="16"/>
              </w:rPr>
              <w:t xml:space="preserve">- </w:t>
            </w:r>
          </w:p>
        </w:tc>
        <w:tc>
          <w:tcPr>
            <w:tcW w:w="850" w:type="dxa"/>
            <w:tcBorders>
              <w:left w:val="nil"/>
              <w:bottom w:val="nil"/>
              <w:right w:val="nil"/>
            </w:tcBorders>
            <w:shd w:val="clear" w:color="000000" w:fill="E6E6E6"/>
            <w:noWrap/>
            <w:vAlign w:val="bottom"/>
          </w:tcPr>
          <w:p w14:paraId="13F7F3BA" w14:textId="01A0DDF8" w:rsidR="000B1D82" w:rsidRPr="000B1D82" w:rsidRDefault="000B1D82" w:rsidP="000B1D82">
            <w:pPr>
              <w:spacing w:after="0" w:line="240" w:lineRule="auto"/>
              <w:jc w:val="right"/>
              <w:rPr>
                <w:rFonts w:ascii="Arial" w:hAnsi="Arial" w:cs="Arial"/>
                <w:sz w:val="16"/>
                <w:szCs w:val="16"/>
              </w:rPr>
            </w:pPr>
            <w:r w:rsidRPr="000B1D82">
              <w:rPr>
                <w:rFonts w:ascii="Arial" w:hAnsi="Arial" w:cs="Arial"/>
                <w:b/>
                <w:bCs/>
                <w:sz w:val="16"/>
                <w:szCs w:val="16"/>
              </w:rPr>
              <w:t xml:space="preserve">- </w:t>
            </w:r>
          </w:p>
        </w:tc>
        <w:tc>
          <w:tcPr>
            <w:tcW w:w="851" w:type="dxa"/>
            <w:tcBorders>
              <w:left w:val="nil"/>
              <w:bottom w:val="nil"/>
              <w:right w:val="nil"/>
            </w:tcBorders>
            <w:shd w:val="clear" w:color="auto" w:fill="auto"/>
            <w:noWrap/>
            <w:vAlign w:val="bottom"/>
          </w:tcPr>
          <w:p w14:paraId="2A4DD70D" w14:textId="4D8AC2FC" w:rsidR="000B1D82" w:rsidRPr="000B1D82" w:rsidRDefault="000B1D82" w:rsidP="000B1D82">
            <w:pPr>
              <w:spacing w:after="0" w:line="240" w:lineRule="auto"/>
              <w:jc w:val="right"/>
              <w:rPr>
                <w:rFonts w:ascii="Arial" w:hAnsi="Arial" w:cs="Arial"/>
                <w:sz w:val="16"/>
                <w:szCs w:val="16"/>
              </w:rPr>
            </w:pPr>
            <w:r w:rsidRPr="000B1D82">
              <w:rPr>
                <w:rFonts w:ascii="Arial" w:hAnsi="Arial" w:cs="Arial"/>
                <w:b/>
                <w:bCs/>
                <w:sz w:val="16"/>
                <w:szCs w:val="16"/>
              </w:rPr>
              <w:t xml:space="preserve">- </w:t>
            </w:r>
          </w:p>
        </w:tc>
        <w:tc>
          <w:tcPr>
            <w:tcW w:w="850" w:type="dxa"/>
            <w:tcBorders>
              <w:left w:val="nil"/>
              <w:bottom w:val="nil"/>
              <w:right w:val="nil"/>
            </w:tcBorders>
            <w:shd w:val="clear" w:color="000000" w:fill="E6E6E6"/>
            <w:noWrap/>
            <w:vAlign w:val="bottom"/>
          </w:tcPr>
          <w:p w14:paraId="073FD535" w14:textId="0F9042D5" w:rsidR="000B1D82" w:rsidRPr="000B1D82" w:rsidRDefault="000B1D82" w:rsidP="000B1D82">
            <w:pPr>
              <w:spacing w:after="0" w:line="240" w:lineRule="auto"/>
              <w:jc w:val="right"/>
              <w:rPr>
                <w:rFonts w:ascii="Arial" w:hAnsi="Arial" w:cs="Arial"/>
                <w:sz w:val="16"/>
                <w:szCs w:val="16"/>
              </w:rPr>
            </w:pPr>
            <w:r w:rsidRPr="000B1D82">
              <w:rPr>
                <w:rFonts w:ascii="Arial" w:hAnsi="Arial" w:cs="Arial"/>
                <w:b/>
                <w:bCs/>
                <w:sz w:val="16"/>
                <w:szCs w:val="16"/>
              </w:rPr>
              <w:t xml:space="preserve">- </w:t>
            </w:r>
          </w:p>
        </w:tc>
      </w:tr>
      <w:tr w:rsidR="000B1D82" w:rsidRPr="00AB2612" w14:paraId="6AF1513F" w14:textId="77777777" w:rsidTr="00CD0EDE">
        <w:trPr>
          <w:trHeight w:val="204"/>
        </w:trPr>
        <w:tc>
          <w:tcPr>
            <w:tcW w:w="2268" w:type="dxa"/>
            <w:tcBorders>
              <w:top w:val="nil"/>
              <w:left w:val="nil"/>
              <w:bottom w:val="nil"/>
              <w:right w:val="nil"/>
            </w:tcBorders>
            <w:shd w:val="clear" w:color="auto" w:fill="auto"/>
            <w:vAlign w:val="bottom"/>
            <w:hideMark/>
          </w:tcPr>
          <w:p w14:paraId="7586B80A" w14:textId="13028225" w:rsidR="000B1D82" w:rsidRPr="00AB2612" w:rsidRDefault="000B1D82" w:rsidP="000B1D82">
            <w:pPr>
              <w:spacing w:after="0" w:line="240" w:lineRule="auto"/>
              <w:jc w:val="left"/>
              <w:rPr>
                <w:rFonts w:ascii="Arial" w:hAnsi="Arial" w:cs="Arial"/>
                <w:b/>
                <w:bCs/>
                <w:sz w:val="16"/>
                <w:szCs w:val="16"/>
              </w:rPr>
            </w:pPr>
            <w:r>
              <w:rPr>
                <w:rFonts w:ascii="Arial" w:hAnsi="Arial" w:cs="Arial"/>
                <w:b/>
                <w:bCs/>
                <w:sz w:val="16"/>
                <w:szCs w:val="16"/>
              </w:rPr>
              <w:t>Total receipt measures</w:t>
            </w:r>
          </w:p>
        </w:tc>
        <w:tc>
          <w:tcPr>
            <w:tcW w:w="851" w:type="dxa"/>
            <w:tcBorders>
              <w:top w:val="nil"/>
              <w:left w:val="nil"/>
              <w:bottom w:val="nil"/>
              <w:right w:val="nil"/>
            </w:tcBorders>
            <w:shd w:val="clear" w:color="auto" w:fill="auto"/>
            <w:noWrap/>
            <w:hideMark/>
          </w:tcPr>
          <w:p w14:paraId="4C4F5F41" w14:textId="77777777" w:rsidR="000B1D82" w:rsidRPr="00DD4118" w:rsidRDefault="000B1D82" w:rsidP="00DD4118">
            <w:pPr>
              <w:spacing w:after="0" w:line="240" w:lineRule="auto"/>
              <w:jc w:val="center"/>
              <w:outlineLvl w:val="0"/>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1C0611C3" w14:textId="62477E9C"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c>
          <w:tcPr>
            <w:tcW w:w="851" w:type="dxa"/>
            <w:tcBorders>
              <w:top w:val="single" w:sz="4" w:space="0" w:color="auto"/>
              <w:left w:val="nil"/>
              <w:bottom w:val="nil"/>
              <w:right w:val="nil"/>
            </w:tcBorders>
            <w:shd w:val="clear" w:color="auto" w:fill="auto"/>
            <w:noWrap/>
            <w:vAlign w:val="bottom"/>
            <w:hideMark/>
          </w:tcPr>
          <w:p w14:paraId="2FE434D1" w14:textId="6BD11736"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c>
          <w:tcPr>
            <w:tcW w:w="850" w:type="dxa"/>
            <w:tcBorders>
              <w:top w:val="single" w:sz="4" w:space="0" w:color="auto"/>
              <w:left w:val="nil"/>
              <w:bottom w:val="nil"/>
              <w:right w:val="nil"/>
            </w:tcBorders>
            <w:shd w:val="clear" w:color="000000" w:fill="E6E6E6"/>
            <w:noWrap/>
            <w:vAlign w:val="bottom"/>
            <w:hideMark/>
          </w:tcPr>
          <w:p w14:paraId="60CAFAA2" w14:textId="4F746C13"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c>
          <w:tcPr>
            <w:tcW w:w="851" w:type="dxa"/>
            <w:tcBorders>
              <w:top w:val="single" w:sz="4" w:space="0" w:color="auto"/>
              <w:left w:val="nil"/>
              <w:bottom w:val="nil"/>
              <w:right w:val="nil"/>
            </w:tcBorders>
            <w:shd w:val="clear" w:color="auto" w:fill="auto"/>
            <w:noWrap/>
            <w:vAlign w:val="bottom"/>
            <w:hideMark/>
          </w:tcPr>
          <w:p w14:paraId="65FE0858" w14:textId="4062FFAD"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c>
          <w:tcPr>
            <w:tcW w:w="850" w:type="dxa"/>
            <w:tcBorders>
              <w:top w:val="single" w:sz="4" w:space="0" w:color="auto"/>
              <w:left w:val="nil"/>
              <w:bottom w:val="nil"/>
              <w:right w:val="nil"/>
            </w:tcBorders>
            <w:shd w:val="clear" w:color="000000" w:fill="E6E6E6"/>
            <w:noWrap/>
            <w:vAlign w:val="bottom"/>
            <w:hideMark/>
          </w:tcPr>
          <w:p w14:paraId="5D92FC99" w14:textId="30F76378"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w:t>
            </w:r>
          </w:p>
        </w:tc>
      </w:tr>
      <w:tr w:rsidR="000B1D82" w:rsidRPr="00AB2612" w14:paraId="449AA234" w14:textId="77777777" w:rsidTr="00CD0EDE">
        <w:trPr>
          <w:trHeight w:val="204"/>
        </w:trPr>
        <w:tc>
          <w:tcPr>
            <w:tcW w:w="2268" w:type="dxa"/>
            <w:tcBorders>
              <w:top w:val="nil"/>
              <w:left w:val="nil"/>
              <w:bottom w:val="nil"/>
              <w:right w:val="nil"/>
            </w:tcBorders>
            <w:shd w:val="clear" w:color="auto" w:fill="auto"/>
            <w:noWrap/>
            <w:vAlign w:val="bottom"/>
            <w:hideMark/>
          </w:tcPr>
          <w:p w14:paraId="23E253F4" w14:textId="7A992322" w:rsidR="000B1D82" w:rsidRPr="00AB2612" w:rsidRDefault="000B1D82" w:rsidP="000B1D82">
            <w:pPr>
              <w:spacing w:after="0" w:line="240" w:lineRule="auto"/>
              <w:ind w:left="113"/>
              <w:jc w:val="left"/>
              <w:rPr>
                <w:rFonts w:ascii="Arial" w:hAnsi="Arial" w:cs="Arial"/>
                <w:sz w:val="16"/>
                <w:szCs w:val="16"/>
              </w:rPr>
            </w:pPr>
            <w:r>
              <w:rPr>
                <w:rFonts w:ascii="Arial" w:hAnsi="Arial" w:cs="Arial"/>
                <w:sz w:val="16"/>
                <w:szCs w:val="16"/>
              </w:rPr>
              <w:t>Administered</w:t>
            </w:r>
          </w:p>
        </w:tc>
        <w:tc>
          <w:tcPr>
            <w:tcW w:w="851" w:type="dxa"/>
            <w:tcBorders>
              <w:top w:val="nil"/>
              <w:left w:val="nil"/>
              <w:bottom w:val="nil"/>
              <w:right w:val="nil"/>
            </w:tcBorders>
            <w:shd w:val="clear" w:color="auto" w:fill="auto"/>
            <w:noWrap/>
            <w:hideMark/>
          </w:tcPr>
          <w:p w14:paraId="3CBB857E" w14:textId="77777777" w:rsidR="000B1D82" w:rsidRPr="00AB2612" w:rsidRDefault="000B1D82" w:rsidP="00DD4118">
            <w:pPr>
              <w:spacing w:after="0" w:line="240" w:lineRule="auto"/>
              <w:jc w:val="center"/>
              <w:outlineLvl w:val="0"/>
              <w:rPr>
                <w:rFonts w:ascii="Arial" w:hAnsi="Arial" w:cs="Arial"/>
                <w:sz w:val="16"/>
                <w:szCs w:val="16"/>
              </w:rPr>
            </w:pPr>
          </w:p>
        </w:tc>
        <w:tc>
          <w:tcPr>
            <w:tcW w:w="850" w:type="dxa"/>
            <w:tcBorders>
              <w:top w:val="nil"/>
              <w:left w:val="nil"/>
              <w:right w:val="nil"/>
            </w:tcBorders>
            <w:shd w:val="clear" w:color="000000" w:fill="E6E6E6"/>
            <w:noWrap/>
            <w:vAlign w:val="bottom"/>
            <w:hideMark/>
          </w:tcPr>
          <w:p w14:paraId="00FD020D" w14:textId="0DB193D6"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1" w:type="dxa"/>
            <w:tcBorders>
              <w:top w:val="nil"/>
              <w:left w:val="nil"/>
              <w:right w:val="nil"/>
            </w:tcBorders>
            <w:shd w:val="clear" w:color="auto" w:fill="auto"/>
            <w:noWrap/>
            <w:vAlign w:val="bottom"/>
            <w:hideMark/>
          </w:tcPr>
          <w:p w14:paraId="054466F2" w14:textId="28D77781"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0" w:type="dxa"/>
            <w:tcBorders>
              <w:top w:val="nil"/>
              <w:left w:val="nil"/>
              <w:right w:val="nil"/>
            </w:tcBorders>
            <w:shd w:val="clear" w:color="000000" w:fill="E6E6E6"/>
            <w:noWrap/>
            <w:vAlign w:val="bottom"/>
            <w:hideMark/>
          </w:tcPr>
          <w:p w14:paraId="2C2E0A90" w14:textId="2985F222"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1" w:type="dxa"/>
            <w:tcBorders>
              <w:top w:val="nil"/>
              <w:left w:val="nil"/>
              <w:right w:val="nil"/>
            </w:tcBorders>
            <w:shd w:val="clear" w:color="auto" w:fill="auto"/>
            <w:noWrap/>
            <w:vAlign w:val="bottom"/>
            <w:hideMark/>
          </w:tcPr>
          <w:p w14:paraId="7D580192" w14:textId="24B0A89D"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0" w:type="dxa"/>
            <w:tcBorders>
              <w:top w:val="nil"/>
              <w:left w:val="nil"/>
              <w:right w:val="nil"/>
            </w:tcBorders>
            <w:shd w:val="clear" w:color="000000" w:fill="E6E6E6"/>
            <w:noWrap/>
            <w:vAlign w:val="bottom"/>
            <w:hideMark/>
          </w:tcPr>
          <w:p w14:paraId="344134FD" w14:textId="6FBA728C" w:rsidR="000B1D82" w:rsidRPr="000B1D82" w:rsidRDefault="000B1D82" w:rsidP="000B1D82">
            <w:pPr>
              <w:spacing w:after="0" w:line="240" w:lineRule="auto"/>
              <w:jc w:val="right"/>
              <w:rPr>
                <w:rFonts w:ascii="Arial" w:hAnsi="Arial" w:cs="Arial"/>
                <w:sz w:val="16"/>
                <w:szCs w:val="16"/>
              </w:rPr>
            </w:pPr>
            <w:r w:rsidRPr="000B1D82">
              <w:rPr>
                <w:rFonts w:ascii="Arial" w:hAnsi="Arial" w:cs="Arial"/>
                <w:sz w:val="16"/>
                <w:szCs w:val="16"/>
              </w:rPr>
              <w:t xml:space="preserve">- </w:t>
            </w:r>
          </w:p>
        </w:tc>
      </w:tr>
      <w:tr w:rsidR="00790270" w:rsidRPr="00AB2612" w14:paraId="78FF0AD4" w14:textId="77777777" w:rsidTr="00CD0EDE">
        <w:trPr>
          <w:trHeight w:val="204"/>
        </w:trPr>
        <w:tc>
          <w:tcPr>
            <w:tcW w:w="2268" w:type="dxa"/>
            <w:tcBorders>
              <w:top w:val="nil"/>
              <w:left w:val="nil"/>
              <w:bottom w:val="nil"/>
              <w:right w:val="nil"/>
            </w:tcBorders>
            <w:shd w:val="clear" w:color="auto" w:fill="auto"/>
            <w:noWrap/>
            <w:vAlign w:val="bottom"/>
          </w:tcPr>
          <w:p w14:paraId="1343E424" w14:textId="018D275A" w:rsidR="00790270" w:rsidRDefault="00790270" w:rsidP="00790270">
            <w:pPr>
              <w:spacing w:after="0" w:line="240" w:lineRule="auto"/>
              <w:ind w:left="113"/>
              <w:jc w:val="left"/>
              <w:rPr>
                <w:rFonts w:ascii="Arial" w:hAnsi="Arial" w:cs="Arial"/>
                <w:sz w:val="16"/>
                <w:szCs w:val="16"/>
              </w:rPr>
            </w:pPr>
            <w:r>
              <w:rPr>
                <w:rFonts w:ascii="Arial" w:hAnsi="Arial" w:cs="Arial"/>
                <w:sz w:val="16"/>
                <w:szCs w:val="16"/>
              </w:rPr>
              <w:t>Departmental</w:t>
            </w:r>
          </w:p>
        </w:tc>
        <w:tc>
          <w:tcPr>
            <w:tcW w:w="851" w:type="dxa"/>
            <w:tcBorders>
              <w:top w:val="nil"/>
              <w:left w:val="nil"/>
              <w:bottom w:val="nil"/>
              <w:right w:val="nil"/>
            </w:tcBorders>
            <w:shd w:val="clear" w:color="auto" w:fill="auto"/>
            <w:noWrap/>
          </w:tcPr>
          <w:p w14:paraId="2E94001D" w14:textId="77777777" w:rsidR="00790270" w:rsidRPr="00AB2612" w:rsidRDefault="00790270" w:rsidP="00DD4118">
            <w:pPr>
              <w:spacing w:after="0" w:line="240" w:lineRule="auto"/>
              <w:jc w:val="center"/>
              <w:outlineLvl w:val="0"/>
              <w:rPr>
                <w:rFonts w:ascii="Arial" w:hAnsi="Arial" w:cs="Arial"/>
                <w:sz w:val="16"/>
                <w:szCs w:val="16"/>
              </w:rPr>
            </w:pPr>
          </w:p>
        </w:tc>
        <w:tc>
          <w:tcPr>
            <w:tcW w:w="850" w:type="dxa"/>
            <w:tcBorders>
              <w:top w:val="nil"/>
              <w:left w:val="nil"/>
              <w:right w:val="nil"/>
            </w:tcBorders>
            <w:shd w:val="clear" w:color="000000" w:fill="E6E6E6"/>
            <w:noWrap/>
            <w:vAlign w:val="bottom"/>
          </w:tcPr>
          <w:p w14:paraId="7ED51380" w14:textId="46A30C3F" w:rsidR="00790270" w:rsidRPr="000B1D82" w:rsidRDefault="00790270" w:rsidP="00790270">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1" w:type="dxa"/>
            <w:tcBorders>
              <w:top w:val="nil"/>
              <w:left w:val="nil"/>
              <w:right w:val="nil"/>
            </w:tcBorders>
            <w:shd w:val="clear" w:color="auto" w:fill="auto"/>
            <w:noWrap/>
            <w:vAlign w:val="bottom"/>
          </w:tcPr>
          <w:p w14:paraId="4F5A13D4" w14:textId="7819A3A7" w:rsidR="00790270" w:rsidRPr="000B1D82" w:rsidRDefault="00790270" w:rsidP="00790270">
            <w:pPr>
              <w:spacing w:after="0" w:line="240" w:lineRule="auto"/>
              <w:jc w:val="right"/>
              <w:rPr>
                <w:rFonts w:ascii="Arial" w:hAnsi="Arial" w:cs="Arial"/>
                <w:sz w:val="16"/>
                <w:szCs w:val="16"/>
              </w:rPr>
            </w:pPr>
            <w:r w:rsidRPr="000B1D82">
              <w:rPr>
                <w:rFonts w:ascii="Arial" w:hAnsi="Arial" w:cs="Arial"/>
                <w:sz w:val="16"/>
                <w:szCs w:val="16"/>
              </w:rPr>
              <w:t xml:space="preserve">700 </w:t>
            </w:r>
          </w:p>
        </w:tc>
        <w:tc>
          <w:tcPr>
            <w:tcW w:w="850" w:type="dxa"/>
            <w:tcBorders>
              <w:top w:val="nil"/>
              <w:left w:val="nil"/>
              <w:right w:val="nil"/>
            </w:tcBorders>
            <w:shd w:val="clear" w:color="000000" w:fill="E6E6E6"/>
            <w:noWrap/>
            <w:vAlign w:val="bottom"/>
          </w:tcPr>
          <w:p w14:paraId="4DB78F72" w14:textId="0AA8248C" w:rsidR="00790270" w:rsidRPr="000B1D82" w:rsidRDefault="00790270" w:rsidP="00790270">
            <w:pPr>
              <w:spacing w:after="0" w:line="240" w:lineRule="auto"/>
              <w:jc w:val="right"/>
              <w:rPr>
                <w:rFonts w:ascii="Arial" w:hAnsi="Arial" w:cs="Arial"/>
                <w:sz w:val="16"/>
                <w:szCs w:val="16"/>
              </w:rPr>
            </w:pPr>
            <w:r w:rsidRPr="000B1D82">
              <w:rPr>
                <w:rFonts w:ascii="Arial" w:hAnsi="Arial" w:cs="Arial"/>
                <w:sz w:val="16"/>
                <w:szCs w:val="16"/>
              </w:rPr>
              <w:t xml:space="preserve">700 </w:t>
            </w:r>
          </w:p>
        </w:tc>
        <w:tc>
          <w:tcPr>
            <w:tcW w:w="851" w:type="dxa"/>
            <w:tcBorders>
              <w:top w:val="nil"/>
              <w:left w:val="nil"/>
              <w:right w:val="nil"/>
            </w:tcBorders>
            <w:shd w:val="clear" w:color="auto" w:fill="auto"/>
            <w:noWrap/>
            <w:vAlign w:val="bottom"/>
          </w:tcPr>
          <w:p w14:paraId="1606E3AE" w14:textId="6F8ED178" w:rsidR="00790270" w:rsidRPr="000B1D82" w:rsidRDefault="00790270" w:rsidP="00790270">
            <w:pPr>
              <w:spacing w:after="0" w:line="240" w:lineRule="auto"/>
              <w:jc w:val="right"/>
              <w:rPr>
                <w:rFonts w:ascii="Arial" w:hAnsi="Arial" w:cs="Arial"/>
                <w:sz w:val="16"/>
                <w:szCs w:val="16"/>
              </w:rPr>
            </w:pPr>
            <w:r w:rsidRPr="000B1D82">
              <w:rPr>
                <w:rFonts w:ascii="Arial" w:hAnsi="Arial" w:cs="Arial"/>
                <w:sz w:val="16"/>
                <w:szCs w:val="16"/>
              </w:rPr>
              <w:t xml:space="preserve">- </w:t>
            </w:r>
          </w:p>
        </w:tc>
        <w:tc>
          <w:tcPr>
            <w:tcW w:w="850" w:type="dxa"/>
            <w:tcBorders>
              <w:top w:val="nil"/>
              <w:left w:val="nil"/>
              <w:right w:val="nil"/>
            </w:tcBorders>
            <w:shd w:val="clear" w:color="000000" w:fill="E6E6E6"/>
            <w:noWrap/>
            <w:vAlign w:val="bottom"/>
          </w:tcPr>
          <w:p w14:paraId="215946D5" w14:textId="5506D4CA" w:rsidR="00790270" w:rsidRPr="000B1D82" w:rsidRDefault="00790270" w:rsidP="00790270">
            <w:pPr>
              <w:spacing w:after="0" w:line="240" w:lineRule="auto"/>
              <w:jc w:val="right"/>
              <w:rPr>
                <w:rFonts w:ascii="Arial" w:hAnsi="Arial" w:cs="Arial"/>
                <w:sz w:val="16"/>
                <w:szCs w:val="16"/>
              </w:rPr>
            </w:pPr>
            <w:r w:rsidRPr="000B1D82">
              <w:rPr>
                <w:rFonts w:ascii="Arial" w:hAnsi="Arial" w:cs="Arial"/>
                <w:sz w:val="16"/>
                <w:szCs w:val="16"/>
              </w:rPr>
              <w:t xml:space="preserve">- </w:t>
            </w:r>
          </w:p>
        </w:tc>
      </w:tr>
      <w:tr w:rsidR="00790270" w:rsidRPr="00AB2612" w14:paraId="60241A0A" w14:textId="77777777" w:rsidTr="00CD0EDE">
        <w:trPr>
          <w:trHeight w:val="204"/>
        </w:trPr>
        <w:tc>
          <w:tcPr>
            <w:tcW w:w="2268" w:type="dxa"/>
            <w:tcBorders>
              <w:top w:val="nil"/>
              <w:left w:val="nil"/>
              <w:bottom w:val="nil"/>
              <w:right w:val="nil"/>
            </w:tcBorders>
            <w:shd w:val="clear" w:color="auto" w:fill="auto"/>
            <w:noWrap/>
            <w:vAlign w:val="bottom"/>
            <w:hideMark/>
          </w:tcPr>
          <w:p w14:paraId="7B4D8BFD" w14:textId="494E5191" w:rsidR="00790270" w:rsidRPr="00AB2612" w:rsidRDefault="00790270" w:rsidP="00790270">
            <w:pPr>
              <w:spacing w:after="0" w:line="240" w:lineRule="auto"/>
              <w:jc w:val="left"/>
              <w:rPr>
                <w:rFonts w:ascii="Arial" w:hAnsi="Arial" w:cs="Arial"/>
                <w:b/>
                <w:bCs/>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hideMark/>
          </w:tcPr>
          <w:p w14:paraId="690066B6" w14:textId="77777777" w:rsidR="00790270" w:rsidRPr="00DD4118" w:rsidRDefault="00790270" w:rsidP="00DD4118">
            <w:pPr>
              <w:spacing w:after="0" w:line="240" w:lineRule="auto"/>
              <w:jc w:val="center"/>
              <w:outlineLvl w:val="0"/>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4F71536B" w14:textId="5A49CDB2" w:rsidR="00790270" w:rsidRPr="000B1D82" w:rsidRDefault="00790270" w:rsidP="00790270">
            <w:pPr>
              <w:spacing w:after="0" w:line="240" w:lineRule="auto"/>
              <w:jc w:val="right"/>
              <w:rPr>
                <w:rFonts w:ascii="Arial" w:hAnsi="Arial" w:cs="Arial"/>
                <w:b/>
                <w:bCs/>
                <w:sz w:val="16"/>
                <w:szCs w:val="16"/>
              </w:rPr>
            </w:pPr>
            <w:r w:rsidRPr="000B1D82">
              <w:rPr>
                <w:rFonts w:ascii="Arial" w:hAnsi="Arial" w:cs="Arial"/>
                <w:sz w:val="16"/>
                <w:szCs w:val="16"/>
              </w:rPr>
              <w:t xml:space="preserve">- </w:t>
            </w:r>
          </w:p>
        </w:tc>
        <w:tc>
          <w:tcPr>
            <w:tcW w:w="851" w:type="dxa"/>
            <w:tcBorders>
              <w:top w:val="nil"/>
              <w:left w:val="nil"/>
              <w:bottom w:val="single" w:sz="4" w:space="0" w:color="auto"/>
              <w:right w:val="nil"/>
            </w:tcBorders>
            <w:shd w:val="clear" w:color="auto" w:fill="auto"/>
            <w:noWrap/>
            <w:vAlign w:val="bottom"/>
            <w:hideMark/>
          </w:tcPr>
          <w:p w14:paraId="499A2103" w14:textId="2BBE919D" w:rsidR="00790270" w:rsidRPr="000B1D82" w:rsidRDefault="00790270" w:rsidP="00790270">
            <w:pPr>
              <w:spacing w:after="0" w:line="240" w:lineRule="auto"/>
              <w:jc w:val="right"/>
              <w:rPr>
                <w:rFonts w:ascii="Arial" w:hAnsi="Arial" w:cs="Arial"/>
                <w:b/>
                <w:bCs/>
                <w:sz w:val="16"/>
                <w:szCs w:val="16"/>
              </w:rPr>
            </w:pPr>
            <w:r w:rsidRPr="000B1D82">
              <w:rPr>
                <w:rFonts w:ascii="Arial" w:hAnsi="Arial" w:cs="Arial"/>
                <w:b/>
                <w:bCs/>
                <w:sz w:val="16"/>
                <w:szCs w:val="16"/>
              </w:rPr>
              <w:t xml:space="preserve">700 </w:t>
            </w:r>
          </w:p>
        </w:tc>
        <w:tc>
          <w:tcPr>
            <w:tcW w:w="850" w:type="dxa"/>
            <w:tcBorders>
              <w:top w:val="nil"/>
              <w:left w:val="nil"/>
              <w:bottom w:val="single" w:sz="4" w:space="0" w:color="auto"/>
              <w:right w:val="nil"/>
            </w:tcBorders>
            <w:shd w:val="clear" w:color="000000" w:fill="E6E6E6"/>
            <w:noWrap/>
            <w:vAlign w:val="bottom"/>
            <w:hideMark/>
          </w:tcPr>
          <w:p w14:paraId="38F15492" w14:textId="113BF6A2" w:rsidR="00790270" w:rsidRPr="000B1D82" w:rsidRDefault="00790270" w:rsidP="00790270">
            <w:pPr>
              <w:spacing w:after="0" w:line="240" w:lineRule="auto"/>
              <w:jc w:val="right"/>
              <w:rPr>
                <w:rFonts w:ascii="Arial" w:hAnsi="Arial" w:cs="Arial"/>
                <w:b/>
                <w:bCs/>
                <w:sz w:val="16"/>
                <w:szCs w:val="16"/>
              </w:rPr>
            </w:pPr>
            <w:r w:rsidRPr="000B1D82">
              <w:rPr>
                <w:rFonts w:ascii="Arial" w:hAnsi="Arial" w:cs="Arial"/>
                <w:b/>
                <w:bCs/>
                <w:sz w:val="16"/>
                <w:szCs w:val="16"/>
              </w:rPr>
              <w:t xml:space="preserve">700 </w:t>
            </w:r>
          </w:p>
        </w:tc>
        <w:tc>
          <w:tcPr>
            <w:tcW w:w="851" w:type="dxa"/>
            <w:tcBorders>
              <w:top w:val="nil"/>
              <w:left w:val="nil"/>
              <w:bottom w:val="single" w:sz="4" w:space="0" w:color="auto"/>
              <w:right w:val="nil"/>
            </w:tcBorders>
            <w:shd w:val="clear" w:color="auto" w:fill="auto"/>
            <w:noWrap/>
            <w:vAlign w:val="bottom"/>
            <w:hideMark/>
          </w:tcPr>
          <w:p w14:paraId="1D462EC5" w14:textId="4F13951F" w:rsidR="00790270" w:rsidRPr="000B1D82" w:rsidRDefault="00790270" w:rsidP="00790270">
            <w:pPr>
              <w:spacing w:after="0" w:line="240" w:lineRule="auto"/>
              <w:jc w:val="right"/>
              <w:rPr>
                <w:rFonts w:ascii="Arial" w:hAnsi="Arial" w:cs="Arial"/>
                <w:b/>
                <w:bCs/>
                <w:sz w:val="16"/>
                <w:szCs w:val="16"/>
              </w:rPr>
            </w:pPr>
            <w:r w:rsidRPr="000B1D82">
              <w:rPr>
                <w:rFonts w:ascii="Arial" w:hAnsi="Arial" w:cs="Arial"/>
                <w:sz w:val="16"/>
                <w:szCs w:val="16"/>
              </w:rPr>
              <w:t xml:space="preserve">- </w:t>
            </w:r>
          </w:p>
        </w:tc>
        <w:tc>
          <w:tcPr>
            <w:tcW w:w="850" w:type="dxa"/>
            <w:tcBorders>
              <w:top w:val="nil"/>
              <w:left w:val="nil"/>
              <w:bottom w:val="single" w:sz="4" w:space="0" w:color="auto"/>
              <w:right w:val="nil"/>
            </w:tcBorders>
            <w:shd w:val="clear" w:color="000000" w:fill="E6E6E6"/>
            <w:noWrap/>
            <w:vAlign w:val="bottom"/>
            <w:hideMark/>
          </w:tcPr>
          <w:p w14:paraId="287D0B38" w14:textId="40E5E8C3" w:rsidR="00790270" w:rsidRPr="000B1D82" w:rsidRDefault="00790270" w:rsidP="00790270">
            <w:pPr>
              <w:spacing w:after="0" w:line="240" w:lineRule="auto"/>
              <w:jc w:val="right"/>
              <w:rPr>
                <w:rFonts w:ascii="Arial" w:hAnsi="Arial" w:cs="Arial"/>
                <w:b/>
                <w:bCs/>
                <w:sz w:val="16"/>
                <w:szCs w:val="16"/>
              </w:rPr>
            </w:pPr>
            <w:r w:rsidRPr="000B1D82">
              <w:rPr>
                <w:rFonts w:ascii="Arial" w:hAnsi="Arial" w:cs="Arial"/>
                <w:sz w:val="16"/>
                <w:szCs w:val="16"/>
              </w:rPr>
              <w:t xml:space="preserve">- </w:t>
            </w:r>
          </w:p>
        </w:tc>
      </w:tr>
      <w:tr w:rsidR="00790270" w:rsidRPr="00AB2612" w14:paraId="4C9AE7CD" w14:textId="77777777" w:rsidTr="00ED46E0">
        <w:trPr>
          <w:trHeight w:val="383"/>
        </w:trPr>
        <w:tc>
          <w:tcPr>
            <w:tcW w:w="2268" w:type="dxa"/>
            <w:tcBorders>
              <w:top w:val="nil"/>
              <w:left w:val="nil"/>
              <w:bottom w:val="nil"/>
              <w:right w:val="nil"/>
            </w:tcBorders>
            <w:shd w:val="clear" w:color="auto" w:fill="auto"/>
            <w:noWrap/>
            <w:vAlign w:val="bottom"/>
            <w:hideMark/>
          </w:tcPr>
          <w:p w14:paraId="6407E266" w14:textId="77777777" w:rsidR="00790270" w:rsidRPr="00AB2612" w:rsidRDefault="00790270" w:rsidP="00790270">
            <w:pPr>
              <w:spacing w:after="0" w:line="240" w:lineRule="auto"/>
              <w:jc w:val="left"/>
              <w:rPr>
                <w:rFonts w:ascii="Arial" w:hAnsi="Arial" w:cs="Arial"/>
                <w:b/>
                <w:bCs/>
                <w:sz w:val="16"/>
                <w:szCs w:val="16"/>
              </w:rPr>
            </w:pPr>
            <w:r w:rsidRPr="00AB2612">
              <w:rPr>
                <w:rFonts w:ascii="Arial" w:hAnsi="Arial" w:cs="Arial"/>
                <w:b/>
                <w:bCs/>
                <w:sz w:val="16"/>
                <w:szCs w:val="16"/>
              </w:rPr>
              <w:t xml:space="preserve">Payment measures </w:t>
            </w:r>
          </w:p>
        </w:tc>
        <w:tc>
          <w:tcPr>
            <w:tcW w:w="851" w:type="dxa"/>
            <w:tcBorders>
              <w:top w:val="nil"/>
              <w:left w:val="nil"/>
              <w:bottom w:val="nil"/>
              <w:right w:val="nil"/>
            </w:tcBorders>
            <w:shd w:val="clear" w:color="auto" w:fill="auto"/>
            <w:noWrap/>
            <w:vAlign w:val="bottom"/>
            <w:hideMark/>
          </w:tcPr>
          <w:p w14:paraId="1D854B0F" w14:textId="77777777" w:rsidR="00790270" w:rsidRPr="00DD4118" w:rsidRDefault="00790270" w:rsidP="00DD4118">
            <w:pPr>
              <w:spacing w:after="0" w:line="240" w:lineRule="auto"/>
              <w:jc w:val="center"/>
              <w:outlineLvl w:val="0"/>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1D9D366C" w14:textId="63678DCD" w:rsidR="00790270" w:rsidRPr="000B1D82" w:rsidRDefault="00790270" w:rsidP="00790270">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333D9B03" w14:textId="77777777" w:rsidR="00790270" w:rsidRPr="000B1D82" w:rsidRDefault="00790270" w:rsidP="00790270">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5D708A65" w14:textId="16B7E085" w:rsidR="00790270" w:rsidRPr="000B1D82" w:rsidRDefault="00790270" w:rsidP="00790270">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417A2965" w14:textId="77777777" w:rsidR="00790270" w:rsidRPr="000B1D82" w:rsidRDefault="00790270" w:rsidP="00790270">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0692E654" w14:textId="272D0923" w:rsidR="00790270" w:rsidRPr="000B1D82" w:rsidRDefault="00790270" w:rsidP="00790270">
            <w:pPr>
              <w:spacing w:after="0" w:line="240" w:lineRule="auto"/>
              <w:jc w:val="right"/>
              <w:rPr>
                <w:rFonts w:ascii="Arial" w:hAnsi="Arial" w:cs="Arial"/>
                <w:sz w:val="16"/>
                <w:szCs w:val="16"/>
              </w:rPr>
            </w:pPr>
          </w:p>
        </w:tc>
      </w:tr>
      <w:tr w:rsidR="00790270" w:rsidRPr="00AB2612" w14:paraId="3628B2A8" w14:textId="77777777" w:rsidTr="00CD0EDE">
        <w:trPr>
          <w:trHeight w:val="204"/>
        </w:trPr>
        <w:tc>
          <w:tcPr>
            <w:tcW w:w="2268" w:type="dxa"/>
            <w:tcBorders>
              <w:top w:val="nil"/>
              <w:left w:val="nil"/>
              <w:bottom w:val="nil"/>
              <w:right w:val="nil"/>
            </w:tcBorders>
            <w:shd w:val="clear" w:color="auto" w:fill="auto"/>
            <w:vAlign w:val="bottom"/>
            <w:hideMark/>
          </w:tcPr>
          <w:p w14:paraId="6DBB81A8" w14:textId="4F353434" w:rsidR="00790270" w:rsidRPr="00AB2612" w:rsidRDefault="00790270" w:rsidP="00790270">
            <w:pPr>
              <w:spacing w:after="0" w:line="240" w:lineRule="auto"/>
              <w:jc w:val="left"/>
              <w:outlineLvl w:val="0"/>
              <w:rPr>
                <w:rFonts w:ascii="Arial" w:hAnsi="Arial" w:cs="Arial"/>
                <w:sz w:val="16"/>
                <w:szCs w:val="16"/>
              </w:rPr>
            </w:pPr>
            <w:r>
              <w:rPr>
                <w:rFonts w:ascii="Arial" w:hAnsi="Arial" w:cs="Arial"/>
                <w:sz w:val="16"/>
                <w:szCs w:val="16"/>
              </w:rPr>
              <w:t xml:space="preserve">Airport Building Controller and Airport Environmental Officer Functions - additional funding </w:t>
            </w:r>
          </w:p>
        </w:tc>
        <w:tc>
          <w:tcPr>
            <w:tcW w:w="851" w:type="dxa"/>
            <w:tcBorders>
              <w:top w:val="nil"/>
              <w:left w:val="nil"/>
              <w:bottom w:val="nil"/>
              <w:right w:val="nil"/>
            </w:tcBorders>
            <w:shd w:val="clear" w:color="auto" w:fill="auto"/>
            <w:noWrap/>
            <w:hideMark/>
          </w:tcPr>
          <w:p w14:paraId="4D69F03C" w14:textId="49439BE9" w:rsidR="00790270" w:rsidRPr="00AB2612" w:rsidRDefault="00790270" w:rsidP="00790270">
            <w:pPr>
              <w:spacing w:after="0" w:line="240" w:lineRule="auto"/>
              <w:jc w:val="center"/>
              <w:outlineLvl w:val="0"/>
              <w:rPr>
                <w:rFonts w:ascii="Arial" w:hAnsi="Arial" w:cs="Arial"/>
                <w:sz w:val="16"/>
                <w:szCs w:val="16"/>
              </w:rPr>
            </w:pPr>
            <w:r>
              <w:rPr>
                <w:rFonts w:ascii="Arial" w:hAnsi="Arial" w:cs="Arial"/>
                <w:sz w:val="16"/>
                <w:szCs w:val="16"/>
              </w:rPr>
              <w:t>2.4</w:t>
            </w:r>
          </w:p>
        </w:tc>
        <w:tc>
          <w:tcPr>
            <w:tcW w:w="850" w:type="dxa"/>
            <w:tcBorders>
              <w:top w:val="nil"/>
              <w:left w:val="nil"/>
              <w:bottom w:val="nil"/>
              <w:right w:val="nil"/>
            </w:tcBorders>
            <w:shd w:val="clear" w:color="000000" w:fill="E6E6E6"/>
            <w:vAlign w:val="bottom"/>
            <w:hideMark/>
          </w:tcPr>
          <w:p w14:paraId="7431FE58" w14:textId="41C12085"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3CF759EC" w14:textId="77777777"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vAlign w:val="bottom"/>
            <w:hideMark/>
          </w:tcPr>
          <w:p w14:paraId="7841988F" w14:textId="29097738"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0786A063" w14:textId="77777777"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vAlign w:val="bottom"/>
            <w:hideMark/>
          </w:tcPr>
          <w:p w14:paraId="52C3A1F2" w14:textId="6B2F5E35"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r>
      <w:tr w:rsidR="00790270" w:rsidRPr="00AB2612" w14:paraId="4EA320AE" w14:textId="77777777" w:rsidTr="00CD0EDE">
        <w:trPr>
          <w:trHeight w:val="204"/>
        </w:trPr>
        <w:tc>
          <w:tcPr>
            <w:tcW w:w="2268" w:type="dxa"/>
            <w:tcBorders>
              <w:top w:val="nil"/>
              <w:left w:val="nil"/>
              <w:bottom w:val="nil"/>
              <w:right w:val="nil"/>
            </w:tcBorders>
            <w:shd w:val="clear" w:color="auto" w:fill="auto"/>
            <w:noWrap/>
            <w:vAlign w:val="bottom"/>
            <w:hideMark/>
          </w:tcPr>
          <w:p w14:paraId="525AA688" w14:textId="4C9E7D49" w:rsidR="00790270" w:rsidRPr="00AB2612" w:rsidRDefault="00790270" w:rsidP="00790270">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851" w:type="dxa"/>
            <w:tcBorders>
              <w:top w:val="nil"/>
              <w:left w:val="nil"/>
              <w:bottom w:val="nil"/>
              <w:right w:val="nil"/>
            </w:tcBorders>
            <w:shd w:val="clear" w:color="auto" w:fill="auto"/>
            <w:noWrap/>
            <w:hideMark/>
          </w:tcPr>
          <w:p w14:paraId="7AB37E87" w14:textId="77777777" w:rsidR="00790270" w:rsidRPr="00AB2612" w:rsidRDefault="00790270"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309FA0D" w14:textId="6B961E02"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0CAAC0D" w14:textId="176D64EB"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13,208 </w:t>
            </w:r>
          </w:p>
        </w:tc>
        <w:tc>
          <w:tcPr>
            <w:tcW w:w="850" w:type="dxa"/>
            <w:tcBorders>
              <w:top w:val="nil"/>
              <w:left w:val="nil"/>
              <w:bottom w:val="nil"/>
              <w:right w:val="nil"/>
            </w:tcBorders>
            <w:shd w:val="clear" w:color="000000" w:fill="E6E6E6"/>
            <w:noWrap/>
            <w:vAlign w:val="bottom"/>
            <w:hideMark/>
          </w:tcPr>
          <w:p w14:paraId="3A3734B5" w14:textId="5C989609"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13,430 </w:t>
            </w:r>
          </w:p>
        </w:tc>
        <w:tc>
          <w:tcPr>
            <w:tcW w:w="851" w:type="dxa"/>
            <w:tcBorders>
              <w:top w:val="nil"/>
              <w:left w:val="nil"/>
              <w:bottom w:val="nil"/>
              <w:right w:val="nil"/>
            </w:tcBorders>
            <w:shd w:val="clear" w:color="auto" w:fill="auto"/>
            <w:noWrap/>
            <w:vAlign w:val="bottom"/>
            <w:hideMark/>
          </w:tcPr>
          <w:p w14:paraId="72EDD041" w14:textId="52E3A7FA"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285B38EA" w14:textId="34959139"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r>
      <w:tr w:rsidR="00790270" w:rsidRPr="00AB2612" w14:paraId="42169316" w14:textId="77777777" w:rsidTr="00CD0EDE">
        <w:trPr>
          <w:trHeight w:val="204"/>
        </w:trPr>
        <w:tc>
          <w:tcPr>
            <w:tcW w:w="2268" w:type="dxa"/>
            <w:tcBorders>
              <w:top w:val="nil"/>
              <w:left w:val="nil"/>
              <w:bottom w:val="nil"/>
              <w:right w:val="nil"/>
            </w:tcBorders>
            <w:shd w:val="clear" w:color="auto" w:fill="auto"/>
            <w:noWrap/>
            <w:vAlign w:val="bottom"/>
            <w:hideMark/>
          </w:tcPr>
          <w:p w14:paraId="63298B7A" w14:textId="0113295E" w:rsidR="00790270" w:rsidRPr="00AB2612" w:rsidRDefault="00790270" w:rsidP="00790270">
            <w:pPr>
              <w:spacing w:after="0" w:line="240" w:lineRule="auto"/>
              <w:jc w:val="left"/>
              <w:outlineLvl w:val="0"/>
              <w:rPr>
                <w:rFonts w:ascii="Arial" w:hAnsi="Arial" w:cs="Arial"/>
                <w:b/>
                <w:bCs/>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hideMark/>
          </w:tcPr>
          <w:p w14:paraId="4BD8A01C" w14:textId="77777777" w:rsidR="00790270" w:rsidRPr="00DD4118" w:rsidRDefault="00790270" w:rsidP="00790270">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0833560" w14:textId="0430C8D8"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14:paraId="54A39098" w14:textId="2E7BE813"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13,208 </w:t>
            </w:r>
          </w:p>
        </w:tc>
        <w:tc>
          <w:tcPr>
            <w:tcW w:w="850" w:type="dxa"/>
            <w:tcBorders>
              <w:top w:val="nil"/>
              <w:left w:val="nil"/>
              <w:bottom w:val="nil"/>
              <w:right w:val="nil"/>
            </w:tcBorders>
            <w:shd w:val="clear" w:color="000000" w:fill="E6E6E6"/>
            <w:noWrap/>
            <w:vAlign w:val="bottom"/>
            <w:hideMark/>
          </w:tcPr>
          <w:p w14:paraId="21EF0690" w14:textId="52DD7F18"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13,430 </w:t>
            </w:r>
          </w:p>
        </w:tc>
        <w:tc>
          <w:tcPr>
            <w:tcW w:w="851" w:type="dxa"/>
            <w:tcBorders>
              <w:top w:val="nil"/>
              <w:left w:val="nil"/>
              <w:bottom w:val="nil"/>
              <w:right w:val="nil"/>
            </w:tcBorders>
            <w:shd w:val="clear" w:color="auto" w:fill="auto"/>
            <w:noWrap/>
            <w:vAlign w:val="bottom"/>
            <w:hideMark/>
          </w:tcPr>
          <w:p w14:paraId="69DB9901" w14:textId="3BEF3B60"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28899B46" w14:textId="31A419CB"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r>
      <w:tr w:rsidR="00790270" w:rsidRPr="00AB2612" w14:paraId="1D576E60" w14:textId="77777777" w:rsidTr="00CD0EDE">
        <w:trPr>
          <w:trHeight w:val="204"/>
        </w:trPr>
        <w:tc>
          <w:tcPr>
            <w:tcW w:w="2268" w:type="dxa"/>
            <w:tcBorders>
              <w:top w:val="nil"/>
              <w:left w:val="nil"/>
              <w:bottom w:val="nil"/>
              <w:right w:val="nil"/>
            </w:tcBorders>
            <w:shd w:val="clear" w:color="auto" w:fill="auto"/>
            <w:vAlign w:val="bottom"/>
            <w:hideMark/>
          </w:tcPr>
          <w:p w14:paraId="771597D8" w14:textId="374219A2" w:rsidR="00790270" w:rsidRPr="00AB2612" w:rsidRDefault="00790270" w:rsidP="00790270">
            <w:pPr>
              <w:spacing w:after="0" w:line="240" w:lineRule="auto"/>
              <w:jc w:val="left"/>
              <w:outlineLvl w:val="0"/>
              <w:rPr>
                <w:rFonts w:ascii="Arial" w:hAnsi="Arial" w:cs="Arial"/>
                <w:sz w:val="16"/>
                <w:szCs w:val="16"/>
              </w:rPr>
            </w:pPr>
            <w:r>
              <w:rPr>
                <w:rFonts w:ascii="Arial" w:hAnsi="Arial" w:cs="Arial"/>
                <w:sz w:val="16"/>
                <w:szCs w:val="16"/>
              </w:rPr>
              <w:t xml:space="preserve">Albury Wodonga Regional Deal </w:t>
            </w:r>
            <w:r>
              <w:rPr>
                <w:rFonts w:ascii="Arial" w:hAnsi="Arial" w:cs="Arial"/>
                <w:sz w:val="16"/>
                <w:szCs w:val="16"/>
                <w:vertAlign w:val="superscript"/>
              </w:rPr>
              <w:t>(b)</w:t>
            </w:r>
            <w:r w:rsidR="004B3735">
              <w:rPr>
                <w:rFonts w:ascii="Arial" w:hAnsi="Arial" w:cs="Arial"/>
                <w:sz w:val="16"/>
                <w:szCs w:val="16"/>
                <w:vertAlign w:val="superscript"/>
              </w:rPr>
              <w:t>(d)</w:t>
            </w:r>
          </w:p>
        </w:tc>
        <w:tc>
          <w:tcPr>
            <w:tcW w:w="851" w:type="dxa"/>
            <w:tcBorders>
              <w:top w:val="nil"/>
              <w:left w:val="nil"/>
              <w:bottom w:val="nil"/>
              <w:right w:val="nil"/>
            </w:tcBorders>
            <w:shd w:val="clear" w:color="auto" w:fill="auto"/>
            <w:noWrap/>
            <w:hideMark/>
          </w:tcPr>
          <w:p w14:paraId="126F260B" w14:textId="6D40DCBB" w:rsidR="00790270" w:rsidRPr="00AB2612" w:rsidRDefault="00790270" w:rsidP="00790270">
            <w:pPr>
              <w:spacing w:after="0" w:line="240" w:lineRule="auto"/>
              <w:jc w:val="center"/>
              <w:outlineLvl w:val="0"/>
              <w:rPr>
                <w:rFonts w:ascii="Arial" w:hAnsi="Arial" w:cs="Arial"/>
                <w:sz w:val="16"/>
                <w:szCs w:val="16"/>
              </w:rPr>
            </w:pPr>
            <w:r>
              <w:rPr>
                <w:rFonts w:ascii="Arial" w:hAnsi="Arial" w:cs="Arial"/>
                <w:sz w:val="16"/>
                <w:szCs w:val="16"/>
              </w:rPr>
              <w:t>3.1, 3.5</w:t>
            </w:r>
          </w:p>
        </w:tc>
        <w:tc>
          <w:tcPr>
            <w:tcW w:w="850" w:type="dxa"/>
            <w:tcBorders>
              <w:top w:val="nil"/>
              <w:left w:val="nil"/>
              <w:bottom w:val="nil"/>
              <w:right w:val="nil"/>
            </w:tcBorders>
            <w:shd w:val="clear" w:color="000000" w:fill="E6E6E6"/>
            <w:vAlign w:val="bottom"/>
            <w:hideMark/>
          </w:tcPr>
          <w:p w14:paraId="4D132F1D" w14:textId="6C60D4E9"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7403516F" w14:textId="77777777"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vAlign w:val="bottom"/>
            <w:hideMark/>
          </w:tcPr>
          <w:p w14:paraId="3E5810BA" w14:textId="59D4ECE6"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53867DB8" w14:textId="77777777"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vAlign w:val="bottom"/>
            <w:hideMark/>
          </w:tcPr>
          <w:p w14:paraId="6991E6FD" w14:textId="58910FF1"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r>
      <w:tr w:rsidR="00790270" w:rsidRPr="00AB2612" w14:paraId="189A7389" w14:textId="77777777" w:rsidTr="00CD0EDE">
        <w:trPr>
          <w:trHeight w:val="204"/>
        </w:trPr>
        <w:tc>
          <w:tcPr>
            <w:tcW w:w="2268" w:type="dxa"/>
            <w:tcBorders>
              <w:top w:val="nil"/>
              <w:left w:val="nil"/>
              <w:bottom w:val="nil"/>
              <w:right w:val="nil"/>
            </w:tcBorders>
            <w:shd w:val="clear" w:color="auto" w:fill="auto"/>
            <w:noWrap/>
            <w:vAlign w:val="bottom"/>
            <w:hideMark/>
          </w:tcPr>
          <w:p w14:paraId="3E321305" w14:textId="1350B276" w:rsidR="00790270" w:rsidRPr="00AB2612" w:rsidRDefault="00790270" w:rsidP="00790270">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51" w:type="dxa"/>
            <w:tcBorders>
              <w:top w:val="nil"/>
              <w:left w:val="nil"/>
              <w:bottom w:val="nil"/>
              <w:right w:val="nil"/>
            </w:tcBorders>
            <w:shd w:val="clear" w:color="auto" w:fill="auto"/>
            <w:noWrap/>
            <w:hideMark/>
          </w:tcPr>
          <w:p w14:paraId="22107EDC" w14:textId="77777777" w:rsidR="00790270" w:rsidRPr="00AB2612" w:rsidRDefault="00790270"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DDF81CE" w14:textId="03A07BB4"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283AB68" w14:textId="7719EC5B"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00537A18" w14:textId="2404EE39"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D7F9EDF" w14:textId="182F4E41"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43FE94AC" w14:textId="66552562"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r>
      <w:tr w:rsidR="00790270" w:rsidRPr="00AB2612" w14:paraId="6B4F1D95" w14:textId="77777777" w:rsidTr="00CD0EDE">
        <w:trPr>
          <w:trHeight w:val="204"/>
        </w:trPr>
        <w:tc>
          <w:tcPr>
            <w:tcW w:w="2268" w:type="dxa"/>
            <w:tcBorders>
              <w:top w:val="nil"/>
              <w:left w:val="nil"/>
              <w:bottom w:val="nil"/>
              <w:right w:val="nil"/>
            </w:tcBorders>
            <w:shd w:val="clear" w:color="auto" w:fill="auto"/>
            <w:noWrap/>
            <w:vAlign w:val="bottom"/>
            <w:hideMark/>
          </w:tcPr>
          <w:p w14:paraId="784F1B91" w14:textId="5CE9F857" w:rsidR="00790270" w:rsidRPr="00AB2612" w:rsidRDefault="00790270" w:rsidP="00790270">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851" w:type="dxa"/>
            <w:tcBorders>
              <w:top w:val="nil"/>
              <w:left w:val="nil"/>
              <w:bottom w:val="nil"/>
              <w:right w:val="nil"/>
            </w:tcBorders>
            <w:shd w:val="clear" w:color="auto" w:fill="auto"/>
            <w:noWrap/>
            <w:hideMark/>
          </w:tcPr>
          <w:p w14:paraId="0DE190DA" w14:textId="77777777" w:rsidR="00790270" w:rsidRPr="00AB2612" w:rsidRDefault="00790270"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17EA263" w14:textId="037610EB"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228635E" w14:textId="680DBCEF"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556 </w:t>
            </w:r>
          </w:p>
        </w:tc>
        <w:tc>
          <w:tcPr>
            <w:tcW w:w="850" w:type="dxa"/>
            <w:tcBorders>
              <w:top w:val="nil"/>
              <w:left w:val="nil"/>
              <w:bottom w:val="nil"/>
              <w:right w:val="nil"/>
            </w:tcBorders>
            <w:shd w:val="clear" w:color="000000" w:fill="E6E6E6"/>
            <w:noWrap/>
            <w:vAlign w:val="bottom"/>
            <w:hideMark/>
          </w:tcPr>
          <w:p w14:paraId="3278D7DA" w14:textId="552AE9CD"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575 </w:t>
            </w:r>
          </w:p>
        </w:tc>
        <w:tc>
          <w:tcPr>
            <w:tcW w:w="851" w:type="dxa"/>
            <w:tcBorders>
              <w:top w:val="nil"/>
              <w:left w:val="nil"/>
              <w:bottom w:val="nil"/>
              <w:right w:val="nil"/>
            </w:tcBorders>
            <w:shd w:val="clear" w:color="auto" w:fill="auto"/>
            <w:noWrap/>
            <w:vAlign w:val="bottom"/>
            <w:hideMark/>
          </w:tcPr>
          <w:p w14:paraId="60FDA3B4" w14:textId="561DC06C"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680 </w:t>
            </w:r>
          </w:p>
        </w:tc>
        <w:tc>
          <w:tcPr>
            <w:tcW w:w="850" w:type="dxa"/>
            <w:tcBorders>
              <w:top w:val="nil"/>
              <w:left w:val="nil"/>
              <w:bottom w:val="nil"/>
              <w:right w:val="nil"/>
            </w:tcBorders>
            <w:shd w:val="clear" w:color="000000" w:fill="E6E6E6"/>
            <w:noWrap/>
            <w:vAlign w:val="bottom"/>
            <w:hideMark/>
          </w:tcPr>
          <w:p w14:paraId="7D7E249A" w14:textId="19835EC4"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787 </w:t>
            </w:r>
          </w:p>
        </w:tc>
      </w:tr>
      <w:tr w:rsidR="00790270" w:rsidRPr="00AB2612" w14:paraId="77372B6F" w14:textId="77777777" w:rsidTr="00CD0EDE">
        <w:trPr>
          <w:trHeight w:val="204"/>
        </w:trPr>
        <w:tc>
          <w:tcPr>
            <w:tcW w:w="2268" w:type="dxa"/>
            <w:tcBorders>
              <w:top w:val="nil"/>
              <w:left w:val="nil"/>
              <w:bottom w:val="nil"/>
              <w:right w:val="nil"/>
            </w:tcBorders>
            <w:shd w:val="clear" w:color="auto" w:fill="auto"/>
            <w:noWrap/>
            <w:vAlign w:val="bottom"/>
            <w:hideMark/>
          </w:tcPr>
          <w:p w14:paraId="552EBDDC" w14:textId="5EC8BB54" w:rsidR="00790270" w:rsidRPr="00AB2612" w:rsidRDefault="00790270" w:rsidP="00790270">
            <w:pPr>
              <w:spacing w:after="0" w:line="240" w:lineRule="auto"/>
              <w:jc w:val="left"/>
              <w:outlineLvl w:val="0"/>
              <w:rPr>
                <w:rFonts w:ascii="Arial" w:hAnsi="Arial" w:cs="Arial"/>
                <w:b/>
                <w:bCs/>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hideMark/>
          </w:tcPr>
          <w:p w14:paraId="7D368DF0" w14:textId="77777777" w:rsidR="00790270" w:rsidRPr="00DD4118" w:rsidRDefault="00790270" w:rsidP="00790270">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0F03B68" w14:textId="60A7096E"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14:paraId="0B23CB24" w14:textId="3E4A58F8"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556 </w:t>
            </w:r>
          </w:p>
        </w:tc>
        <w:tc>
          <w:tcPr>
            <w:tcW w:w="850" w:type="dxa"/>
            <w:tcBorders>
              <w:top w:val="nil"/>
              <w:left w:val="nil"/>
              <w:bottom w:val="nil"/>
              <w:right w:val="nil"/>
            </w:tcBorders>
            <w:shd w:val="clear" w:color="000000" w:fill="E6E6E6"/>
            <w:noWrap/>
            <w:vAlign w:val="bottom"/>
            <w:hideMark/>
          </w:tcPr>
          <w:p w14:paraId="7734ED0E" w14:textId="5AD1B7C2"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575 </w:t>
            </w:r>
          </w:p>
        </w:tc>
        <w:tc>
          <w:tcPr>
            <w:tcW w:w="851" w:type="dxa"/>
            <w:tcBorders>
              <w:top w:val="nil"/>
              <w:left w:val="nil"/>
              <w:bottom w:val="nil"/>
              <w:right w:val="nil"/>
            </w:tcBorders>
            <w:shd w:val="clear" w:color="auto" w:fill="auto"/>
            <w:noWrap/>
            <w:vAlign w:val="bottom"/>
            <w:hideMark/>
          </w:tcPr>
          <w:p w14:paraId="44772F24" w14:textId="6094E3C6"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680 </w:t>
            </w:r>
          </w:p>
        </w:tc>
        <w:tc>
          <w:tcPr>
            <w:tcW w:w="850" w:type="dxa"/>
            <w:tcBorders>
              <w:top w:val="nil"/>
              <w:left w:val="nil"/>
              <w:bottom w:val="nil"/>
              <w:right w:val="nil"/>
            </w:tcBorders>
            <w:shd w:val="clear" w:color="000000" w:fill="E6E6E6"/>
            <w:noWrap/>
            <w:vAlign w:val="bottom"/>
            <w:hideMark/>
          </w:tcPr>
          <w:p w14:paraId="2B585810" w14:textId="69812496"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787 </w:t>
            </w:r>
          </w:p>
        </w:tc>
      </w:tr>
      <w:tr w:rsidR="00790270" w:rsidRPr="00AB2612" w14:paraId="4189A9A6" w14:textId="77777777" w:rsidTr="00CD0EDE">
        <w:trPr>
          <w:trHeight w:val="204"/>
        </w:trPr>
        <w:tc>
          <w:tcPr>
            <w:tcW w:w="2268" w:type="dxa"/>
            <w:tcBorders>
              <w:top w:val="nil"/>
              <w:left w:val="nil"/>
              <w:bottom w:val="nil"/>
              <w:right w:val="nil"/>
            </w:tcBorders>
            <w:shd w:val="clear" w:color="auto" w:fill="auto"/>
            <w:vAlign w:val="bottom"/>
            <w:hideMark/>
          </w:tcPr>
          <w:p w14:paraId="2DBAB46D" w14:textId="426B5381" w:rsidR="00790270" w:rsidRPr="00AB2612" w:rsidRDefault="00790270" w:rsidP="00790270">
            <w:pPr>
              <w:spacing w:after="0" w:line="240" w:lineRule="auto"/>
              <w:jc w:val="left"/>
              <w:outlineLvl w:val="0"/>
              <w:rPr>
                <w:rFonts w:ascii="Arial" w:hAnsi="Arial" w:cs="Arial"/>
                <w:sz w:val="16"/>
                <w:szCs w:val="16"/>
              </w:rPr>
            </w:pPr>
            <w:r>
              <w:rPr>
                <w:rFonts w:ascii="Arial" w:hAnsi="Arial" w:cs="Arial"/>
                <w:sz w:val="16"/>
                <w:szCs w:val="16"/>
              </w:rPr>
              <w:t>Boosting the Modern Manufacturing Strategy and Addressing Critical Supply Chain Vulnerabilities</w:t>
            </w:r>
          </w:p>
        </w:tc>
        <w:tc>
          <w:tcPr>
            <w:tcW w:w="851" w:type="dxa"/>
            <w:tcBorders>
              <w:top w:val="nil"/>
              <w:left w:val="nil"/>
              <w:bottom w:val="nil"/>
              <w:right w:val="nil"/>
            </w:tcBorders>
            <w:shd w:val="clear" w:color="auto" w:fill="auto"/>
            <w:noWrap/>
            <w:hideMark/>
          </w:tcPr>
          <w:p w14:paraId="6EA87670" w14:textId="0B829437" w:rsidR="00790270" w:rsidRPr="00AB2612" w:rsidRDefault="00790270" w:rsidP="00790270">
            <w:pPr>
              <w:spacing w:after="0" w:line="240" w:lineRule="auto"/>
              <w:jc w:val="center"/>
              <w:outlineLvl w:val="0"/>
              <w:rPr>
                <w:rFonts w:ascii="Arial" w:hAnsi="Arial" w:cs="Arial"/>
                <w:sz w:val="16"/>
                <w:szCs w:val="16"/>
              </w:rPr>
            </w:pPr>
            <w:r>
              <w:rPr>
                <w:rFonts w:ascii="Arial" w:hAnsi="Arial" w:cs="Arial"/>
                <w:sz w:val="16"/>
                <w:szCs w:val="16"/>
              </w:rPr>
              <w:t>2.1, 2.4</w:t>
            </w:r>
          </w:p>
        </w:tc>
        <w:tc>
          <w:tcPr>
            <w:tcW w:w="850" w:type="dxa"/>
            <w:tcBorders>
              <w:top w:val="nil"/>
              <w:left w:val="nil"/>
              <w:bottom w:val="nil"/>
              <w:right w:val="nil"/>
            </w:tcBorders>
            <w:shd w:val="clear" w:color="000000" w:fill="E6E6E6"/>
            <w:noWrap/>
            <w:vAlign w:val="bottom"/>
            <w:hideMark/>
          </w:tcPr>
          <w:p w14:paraId="4FD49368" w14:textId="2B7CAC17"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2927EC34" w14:textId="77777777"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B9D3E2F" w14:textId="68E2CB57"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5A679339" w14:textId="77777777"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287DF2D" w14:textId="5F9FB267"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r>
      <w:tr w:rsidR="00790270" w:rsidRPr="00AB2612" w14:paraId="5085867C" w14:textId="77777777" w:rsidTr="00CD0EDE">
        <w:trPr>
          <w:trHeight w:val="204"/>
        </w:trPr>
        <w:tc>
          <w:tcPr>
            <w:tcW w:w="2268" w:type="dxa"/>
            <w:tcBorders>
              <w:top w:val="nil"/>
              <w:left w:val="nil"/>
              <w:bottom w:val="nil"/>
              <w:right w:val="nil"/>
            </w:tcBorders>
            <w:shd w:val="clear" w:color="auto" w:fill="auto"/>
            <w:noWrap/>
            <w:vAlign w:val="bottom"/>
            <w:hideMark/>
          </w:tcPr>
          <w:p w14:paraId="593E1926" w14:textId="72BD5D17" w:rsidR="00790270" w:rsidRPr="00AB2612" w:rsidRDefault="00790270" w:rsidP="00790270">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51" w:type="dxa"/>
            <w:tcBorders>
              <w:top w:val="nil"/>
              <w:left w:val="nil"/>
              <w:bottom w:val="nil"/>
              <w:right w:val="nil"/>
            </w:tcBorders>
            <w:shd w:val="clear" w:color="auto" w:fill="auto"/>
            <w:noWrap/>
            <w:hideMark/>
          </w:tcPr>
          <w:p w14:paraId="3E57AA76" w14:textId="77777777" w:rsidR="00790270" w:rsidRPr="00AB2612" w:rsidRDefault="00790270"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4333AAC" w14:textId="2716FD71"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C5EAF19" w14:textId="4A2AD02B"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1,903 </w:t>
            </w:r>
          </w:p>
        </w:tc>
        <w:tc>
          <w:tcPr>
            <w:tcW w:w="850" w:type="dxa"/>
            <w:tcBorders>
              <w:top w:val="nil"/>
              <w:left w:val="nil"/>
              <w:bottom w:val="nil"/>
              <w:right w:val="nil"/>
            </w:tcBorders>
            <w:shd w:val="clear" w:color="000000" w:fill="E6E6E6"/>
            <w:noWrap/>
            <w:vAlign w:val="bottom"/>
            <w:hideMark/>
          </w:tcPr>
          <w:p w14:paraId="57705162" w14:textId="560E286D"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1,914 </w:t>
            </w:r>
          </w:p>
        </w:tc>
        <w:tc>
          <w:tcPr>
            <w:tcW w:w="851" w:type="dxa"/>
            <w:tcBorders>
              <w:top w:val="nil"/>
              <w:left w:val="nil"/>
              <w:bottom w:val="nil"/>
              <w:right w:val="nil"/>
            </w:tcBorders>
            <w:shd w:val="clear" w:color="auto" w:fill="auto"/>
            <w:noWrap/>
            <w:vAlign w:val="bottom"/>
            <w:hideMark/>
          </w:tcPr>
          <w:p w14:paraId="0AEF0DD2" w14:textId="26CCF00F"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0FF1F660" w14:textId="7F0108F8"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r>
      <w:tr w:rsidR="00790270" w:rsidRPr="00AB2612" w14:paraId="0D401C41" w14:textId="77777777" w:rsidTr="00CD0EDE">
        <w:trPr>
          <w:trHeight w:val="204"/>
        </w:trPr>
        <w:tc>
          <w:tcPr>
            <w:tcW w:w="2268" w:type="dxa"/>
            <w:tcBorders>
              <w:top w:val="nil"/>
              <w:left w:val="nil"/>
              <w:bottom w:val="nil"/>
              <w:right w:val="nil"/>
            </w:tcBorders>
            <w:shd w:val="clear" w:color="auto" w:fill="auto"/>
            <w:noWrap/>
            <w:vAlign w:val="bottom"/>
            <w:hideMark/>
          </w:tcPr>
          <w:p w14:paraId="2D851312" w14:textId="5FE60F22" w:rsidR="00790270" w:rsidRPr="00AB2612" w:rsidRDefault="00790270" w:rsidP="00790270">
            <w:pPr>
              <w:spacing w:after="0" w:line="240" w:lineRule="auto"/>
              <w:ind w:left="113"/>
              <w:jc w:val="left"/>
              <w:rPr>
                <w:rFonts w:ascii="Arial" w:hAnsi="Arial" w:cs="Arial"/>
                <w:b/>
                <w:bCs/>
                <w:sz w:val="16"/>
                <w:szCs w:val="16"/>
              </w:rPr>
            </w:pPr>
            <w:r>
              <w:rPr>
                <w:rFonts w:ascii="Arial" w:hAnsi="Arial" w:cs="Arial"/>
                <w:sz w:val="16"/>
                <w:szCs w:val="16"/>
              </w:rPr>
              <w:t>Departmental payments</w:t>
            </w:r>
          </w:p>
        </w:tc>
        <w:tc>
          <w:tcPr>
            <w:tcW w:w="851" w:type="dxa"/>
            <w:tcBorders>
              <w:top w:val="nil"/>
              <w:left w:val="nil"/>
              <w:bottom w:val="nil"/>
              <w:right w:val="nil"/>
            </w:tcBorders>
            <w:shd w:val="clear" w:color="auto" w:fill="auto"/>
            <w:noWrap/>
            <w:hideMark/>
          </w:tcPr>
          <w:p w14:paraId="65397314" w14:textId="77777777" w:rsidR="00790270" w:rsidRPr="00DD4118" w:rsidRDefault="00790270" w:rsidP="00790270">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800A26D" w14:textId="71CF283C"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B641978" w14:textId="5903AA4C"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261 </w:t>
            </w:r>
          </w:p>
        </w:tc>
        <w:tc>
          <w:tcPr>
            <w:tcW w:w="850" w:type="dxa"/>
            <w:tcBorders>
              <w:top w:val="nil"/>
              <w:left w:val="nil"/>
              <w:bottom w:val="nil"/>
              <w:right w:val="nil"/>
            </w:tcBorders>
            <w:shd w:val="clear" w:color="000000" w:fill="E6E6E6"/>
            <w:noWrap/>
            <w:vAlign w:val="bottom"/>
            <w:hideMark/>
          </w:tcPr>
          <w:p w14:paraId="4A3203AF" w14:textId="7AAA4CF4"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263 </w:t>
            </w:r>
          </w:p>
        </w:tc>
        <w:tc>
          <w:tcPr>
            <w:tcW w:w="851" w:type="dxa"/>
            <w:tcBorders>
              <w:top w:val="nil"/>
              <w:left w:val="nil"/>
              <w:bottom w:val="nil"/>
              <w:right w:val="nil"/>
            </w:tcBorders>
            <w:shd w:val="clear" w:color="auto" w:fill="auto"/>
            <w:noWrap/>
            <w:vAlign w:val="bottom"/>
            <w:hideMark/>
          </w:tcPr>
          <w:p w14:paraId="7BC42A69" w14:textId="15E46645"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2F9BF62E" w14:textId="48F18EE8"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 </w:t>
            </w:r>
          </w:p>
        </w:tc>
      </w:tr>
      <w:tr w:rsidR="00790270" w:rsidRPr="00AB2612" w14:paraId="426B5CD1" w14:textId="77777777" w:rsidTr="00CD0EDE">
        <w:trPr>
          <w:trHeight w:val="204"/>
        </w:trPr>
        <w:tc>
          <w:tcPr>
            <w:tcW w:w="2268" w:type="dxa"/>
            <w:tcBorders>
              <w:top w:val="nil"/>
              <w:left w:val="nil"/>
              <w:bottom w:val="nil"/>
              <w:right w:val="nil"/>
            </w:tcBorders>
            <w:shd w:val="clear" w:color="auto" w:fill="auto"/>
            <w:vAlign w:val="bottom"/>
            <w:hideMark/>
          </w:tcPr>
          <w:p w14:paraId="6F889F69" w14:textId="1C1C463E" w:rsidR="00790270" w:rsidRPr="00AB2612" w:rsidRDefault="00790270" w:rsidP="00790270">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hideMark/>
          </w:tcPr>
          <w:p w14:paraId="67586904" w14:textId="03BF8AE0" w:rsidR="00790270" w:rsidRPr="00AB2612" w:rsidRDefault="00790270" w:rsidP="00790270">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5C1B19E" w14:textId="663F5863"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14:paraId="32C7DB35" w14:textId="272EC3D4"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2,164 </w:t>
            </w:r>
          </w:p>
        </w:tc>
        <w:tc>
          <w:tcPr>
            <w:tcW w:w="850" w:type="dxa"/>
            <w:tcBorders>
              <w:top w:val="nil"/>
              <w:left w:val="nil"/>
              <w:bottom w:val="nil"/>
              <w:right w:val="nil"/>
            </w:tcBorders>
            <w:shd w:val="clear" w:color="000000" w:fill="E6E6E6"/>
            <w:noWrap/>
            <w:vAlign w:val="bottom"/>
            <w:hideMark/>
          </w:tcPr>
          <w:p w14:paraId="38314DCE" w14:textId="481B6B24"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2,177 </w:t>
            </w:r>
          </w:p>
        </w:tc>
        <w:tc>
          <w:tcPr>
            <w:tcW w:w="851" w:type="dxa"/>
            <w:tcBorders>
              <w:top w:val="nil"/>
              <w:left w:val="nil"/>
              <w:bottom w:val="nil"/>
              <w:right w:val="nil"/>
            </w:tcBorders>
            <w:shd w:val="clear" w:color="auto" w:fill="auto"/>
            <w:noWrap/>
            <w:vAlign w:val="bottom"/>
            <w:hideMark/>
          </w:tcPr>
          <w:p w14:paraId="5682B199" w14:textId="5EEA16B9"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6EE42BA5" w14:textId="55769E75"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 </w:t>
            </w:r>
          </w:p>
        </w:tc>
      </w:tr>
      <w:tr w:rsidR="00790270" w:rsidRPr="00AB2612" w14:paraId="57B072AD" w14:textId="77777777" w:rsidTr="00CD0EDE">
        <w:trPr>
          <w:trHeight w:val="204"/>
        </w:trPr>
        <w:tc>
          <w:tcPr>
            <w:tcW w:w="2268" w:type="dxa"/>
            <w:tcBorders>
              <w:top w:val="nil"/>
              <w:left w:val="nil"/>
              <w:bottom w:val="nil"/>
              <w:right w:val="nil"/>
            </w:tcBorders>
            <w:shd w:val="clear" w:color="auto" w:fill="auto"/>
            <w:noWrap/>
            <w:vAlign w:val="bottom"/>
            <w:hideMark/>
          </w:tcPr>
          <w:p w14:paraId="2BD48BC7" w14:textId="6D1F6907" w:rsidR="00790270" w:rsidRPr="00AB2612" w:rsidRDefault="00790270" w:rsidP="00D12509">
            <w:pPr>
              <w:spacing w:after="0" w:line="240" w:lineRule="auto"/>
              <w:jc w:val="left"/>
              <w:rPr>
                <w:rFonts w:ascii="Arial" w:hAnsi="Arial" w:cs="Arial"/>
                <w:sz w:val="16"/>
                <w:szCs w:val="16"/>
              </w:rPr>
            </w:pPr>
            <w:r>
              <w:rPr>
                <w:rFonts w:ascii="Arial" w:hAnsi="Arial" w:cs="Arial"/>
                <w:sz w:val="16"/>
                <w:szCs w:val="16"/>
              </w:rPr>
              <w:t>Community Development Grants</w:t>
            </w:r>
            <w:r w:rsidR="00D12509">
              <w:rPr>
                <w:rFonts w:ascii="Arial" w:hAnsi="Arial" w:cs="Arial"/>
                <w:sz w:val="16"/>
                <w:szCs w:val="16"/>
              </w:rPr>
              <w:t xml:space="preserve"> Programme – n</w:t>
            </w:r>
            <w:r>
              <w:rPr>
                <w:rFonts w:ascii="Arial" w:hAnsi="Arial" w:cs="Arial"/>
                <w:sz w:val="16"/>
                <w:szCs w:val="16"/>
              </w:rPr>
              <w:t xml:space="preserve">ew </w:t>
            </w:r>
            <w:r w:rsidR="00D12509">
              <w:rPr>
                <w:rFonts w:ascii="Arial" w:hAnsi="Arial" w:cs="Arial"/>
                <w:sz w:val="16"/>
                <w:szCs w:val="16"/>
              </w:rPr>
              <w:t>p</w:t>
            </w:r>
            <w:r>
              <w:rPr>
                <w:rFonts w:ascii="Arial" w:hAnsi="Arial" w:cs="Arial"/>
                <w:sz w:val="16"/>
                <w:szCs w:val="16"/>
              </w:rPr>
              <w:t>rojects</w:t>
            </w:r>
            <w:r w:rsidR="00EB6CBF">
              <w:rPr>
                <w:rFonts w:ascii="Arial" w:hAnsi="Arial" w:cs="Arial"/>
                <w:sz w:val="16"/>
                <w:szCs w:val="16"/>
              </w:rPr>
              <w:t xml:space="preserve"> </w:t>
            </w:r>
            <w:r w:rsidR="004B3735" w:rsidRPr="004B3735">
              <w:rPr>
                <w:rFonts w:ascii="Arial" w:hAnsi="Arial" w:cs="Arial"/>
                <w:sz w:val="16"/>
                <w:szCs w:val="16"/>
                <w:vertAlign w:val="superscript"/>
              </w:rPr>
              <w:t>(d)</w:t>
            </w:r>
          </w:p>
        </w:tc>
        <w:tc>
          <w:tcPr>
            <w:tcW w:w="851" w:type="dxa"/>
            <w:tcBorders>
              <w:top w:val="nil"/>
              <w:left w:val="nil"/>
              <w:bottom w:val="nil"/>
              <w:right w:val="nil"/>
            </w:tcBorders>
            <w:shd w:val="clear" w:color="auto" w:fill="auto"/>
            <w:noWrap/>
            <w:hideMark/>
          </w:tcPr>
          <w:p w14:paraId="14032092" w14:textId="0E0F8522" w:rsidR="00790270" w:rsidRPr="00AB2612" w:rsidRDefault="00790270" w:rsidP="00DD4118">
            <w:pPr>
              <w:spacing w:after="0" w:line="240" w:lineRule="auto"/>
              <w:jc w:val="center"/>
              <w:outlineLvl w:val="0"/>
              <w:rPr>
                <w:rFonts w:ascii="Arial" w:hAnsi="Arial" w:cs="Arial"/>
                <w:sz w:val="16"/>
                <w:szCs w:val="16"/>
              </w:rPr>
            </w:pPr>
            <w:r>
              <w:rPr>
                <w:rFonts w:ascii="Arial" w:hAnsi="Arial" w:cs="Arial"/>
                <w:sz w:val="16"/>
                <w:szCs w:val="16"/>
              </w:rPr>
              <w:t>3.1</w:t>
            </w:r>
          </w:p>
        </w:tc>
        <w:tc>
          <w:tcPr>
            <w:tcW w:w="850" w:type="dxa"/>
            <w:tcBorders>
              <w:top w:val="nil"/>
              <w:left w:val="nil"/>
              <w:bottom w:val="nil"/>
              <w:right w:val="nil"/>
            </w:tcBorders>
            <w:shd w:val="clear" w:color="000000" w:fill="E6E6E6"/>
            <w:noWrap/>
            <w:vAlign w:val="bottom"/>
            <w:hideMark/>
          </w:tcPr>
          <w:p w14:paraId="57053B42" w14:textId="504DD55E"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7EBF31FB" w14:textId="54FF4E10"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7ED76AE" w14:textId="221ECAC9"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3BEE9481" w14:textId="125640A3"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AC3E18B" w14:textId="4E9589E0"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r>
      <w:tr w:rsidR="00790270" w:rsidRPr="00AB2612" w14:paraId="7D04CDD8" w14:textId="77777777" w:rsidTr="00CD0EDE">
        <w:trPr>
          <w:trHeight w:val="204"/>
        </w:trPr>
        <w:tc>
          <w:tcPr>
            <w:tcW w:w="2268" w:type="dxa"/>
            <w:tcBorders>
              <w:top w:val="nil"/>
              <w:left w:val="nil"/>
              <w:bottom w:val="nil"/>
              <w:right w:val="nil"/>
            </w:tcBorders>
            <w:shd w:val="clear" w:color="auto" w:fill="auto"/>
            <w:noWrap/>
            <w:vAlign w:val="bottom"/>
            <w:hideMark/>
          </w:tcPr>
          <w:p w14:paraId="272C473E" w14:textId="30FC8D29" w:rsidR="00790270" w:rsidRPr="00AB2612" w:rsidRDefault="00790270" w:rsidP="00790270">
            <w:pPr>
              <w:spacing w:after="0" w:line="240" w:lineRule="auto"/>
              <w:ind w:left="113"/>
              <w:jc w:val="left"/>
              <w:rPr>
                <w:rFonts w:ascii="Arial" w:hAnsi="Arial" w:cs="Arial"/>
                <w:b/>
                <w:bCs/>
                <w:sz w:val="16"/>
                <w:szCs w:val="16"/>
              </w:rPr>
            </w:pPr>
            <w:r>
              <w:rPr>
                <w:rFonts w:ascii="Arial" w:hAnsi="Arial" w:cs="Arial"/>
                <w:sz w:val="16"/>
                <w:szCs w:val="16"/>
              </w:rPr>
              <w:t>Administered payments</w:t>
            </w:r>
          </w:p>
        </w:tc>
        <w:tc>
          <w:tcPr>
            <w:tcW w:w="851" w:type="dxa"/>
            <w:tcBorders>
              <w:top w:val="nil"/>
              <w:left w:val="nil"/>
              <w:bottom w:val="nil"/>
              <w:right w:val="nil"/>
            </w:tcBorders>
            <w:shd w:val="clear" w:color="auto" w:fill="auto"/>
            <w:noWrap/>
            <w:hideMark/>
          </w:tcPr>
          <w:p w14:paraId="68B5DAAE" w14:textId="77777777" w:rsidR="00790270" w:rsidRPr="00DD4118" w:rsidRDefault="00790270" w:rsidP="00790270">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3933827" w14:textId="5E01F1AB"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1DDFC12" w14:textId="3E7D5B8B"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29,000 </w:t>
            </w:r>
          </w:p>
        </w:tc>
        <w:tc>
          <w:tcPr>
            <w:tcW w:w="850" w:type="dxa"/>
            <w:tcBorders>
              <w:top w:val="nil"/>
              <w:left w:val="nil"/>
              <w:bottom w:val="nil"/>
              <w:right w:val="nil"/>
            </w:tcBorders>
            <w:shd w:val="clear" w:color="000000" w:fill="E6E6E6"/>
            <w:noWrap/>
            <w:vAlign w:val="bottom"/>
            <w:hideMark/>
          </w:tcPr>
          <w:p w14:paraId="1C1C1875" w14:textId="78B9B2EB"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24,200 </w:t>
            </w:r>
          </w:p>
        </w:tc>
        <w:tc>
          <w:tcPr>
            <w:tcW w:w="851" w:type="dxa"/>
            <w:tcBorders>
              <w:top w:val="nil"/>
              <w:left w:val="nil"/>
              <w:bottom w:val="nil"/>
              <w:right w:val="nil"/>
            </w:tcBorders>
            <w:shd w:val="clear" w:color="auto" w:fill="auto"/>
            <w:noWrap/>
            <w:vAlign w:val="bottom"/>
            <w:hideMark/>
          </w:tcPr>
          <w:p w14:paraId="7CE2F2C7" w14:textId="5335BFAA"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14,500 </w:t>
            </w:r>
          </w:p>
        </w:tc>
        <w:tc>
          <w:tcPr>
            <w:tcW w:w="850" w:type="dxa"/>
            <w:tcBorders>
              <w:top w:val="nil"/>
              <w:left w:val="nil"/>
              <w:bottom w:val="nil"/>
              <w:right w:val="nil"/>
            </w:tcBorders>
            <w:shd w:val="clear" w:color="000000" w:fill="E6E6E6"/>
            <w:noWrap/>
            <w:vAlign w:val="bottom"/>
            <w:hideMark/>
          </w:tcPr>
          <w:p w14:paraId="2988B7ED" w14:textId="2DB47074"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sz w:val="16"/>
                <w:szCs w:val="16"/>
              </w:rPr>
              <w:t xml:space="preserve">- </w:t>
            </w:r>
          </w:p>
        </w:tc>
      </w:tr>
      <w:tr w:rsidR="00790270" w:rsidRPr="00AB2612" w14:paraId="01065999" w14:textId="77777777" w:rsidTr="00CD0EDE">
        <w:trPr>
          <w:trHeight w:val="204"/>
        </w:trPr>
        <w:tc>
          <w:tcPr>
            <w:tcW w:w="2268" w:type="dxa"/>
            <w:tcBorders>
              <w:top w:val="nil"/>
              <w:left w:val="nil"/>
              <w:bottom w:val="nil"/>
              <w:right w:val="nil"/>
            </w:tcBorders>
            <w:shd w:val="clear" w:color="auto" w:fill="auto"/>
            <w:vAlign w:val="bottom"/>
            <w:hideMark/>
          </w:tcPr>
          <w:p w14:paraId="3C59D400" w14:textId="179458AA" w:rsidR="00790270" w:rsidRPr="00AB2612" w:rsidRDefault="00790270" w:rsidP="00790270">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851" w:type="dxa"/>
            <w:tcBorders>
              <w:top w:val="nil"/>
              <w:left w:val="nil"/>
              <w:bottom w:val="nil"/>
              <w:right w:val="nil"/>
            </w:tcBorders>
            <w:shd w:val="clear" w:color="auto" w:fill="auto"/>
            <w:noWrap/>
            <w:hideMark/>
          </w:tcPr>
          <w:p w14:paraId="5D26D9A4" w14:textId="311A3A37" w:rsidR="00790270" w:rsidRPr="00AB2612" w:rsidRDefault="00790270" w:rsidP="00790270">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6785A05" w14:textId="56381C42"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14:paraId="42224BCE" w14:textId="41A0E65E"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29,000 </w:t>
            </w:r>
          </w:p>
        </w:tc>
        <w:tc>
          <w:tcPr>
            <w:tcW w:w="850" w:type="dxa"/>
            <w:tcBorders>
              <w:top w:val="nil"/>
              <w:left w:val="nil"/>
              <w:bottom w:val="nil"/>
              <w:right w:val="nil"/>
            </w:tcBorders>
            <w:shd w:val="clear" w:color="000000" w:fill="E6E6E6"/>
            <w:noWrap/>
            <w:vAlign w:val="bottom"/>
            <w:hideMark/>
          </w:tcPr>
          <w:p w14:paraId="38C2FD72" w14:textId="54B28E8C"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24,200 </w:t>
            </w:r>
          </w:p>
        </w:tc>
        <w:tc>
          <w:tcPr>
            <w:tcW w:w="851" w:type="dxa"/>
            <w:tcBorders>
              <w:top w:val="nil"/>
              <w:left w:val="nil"/>
              <w:bottom w:val="nil"/>
              <w:right w:val="nil"/>
            </w:tcBorders>
            <w:shd w:val="clear" w:color="auto" w:fill="auto"/>
            <w:noWrap/>
            <w:vAlign w:val="bottom"/>
            <w:hideMark/>
          </w:tcPr>
          <w:p w14:paraId="2B81CF90" w14:textId="25668A05" w:rsidR="00790270" w:rsidRPr="00F35F54" w:rsidRDefault="00F35F54" w:rsidP="00790270">
            <w:pPr>
              <w:spacing w:after="0" w:line="240" w:lineRule="auto"/>
              <w:jc w:val="right"/>
              <w:outlineLvl w:val="0"/>
              <w:rPr>
                <w:rFonts w:ascii="Arial" w:hAnsi="Arial" w:cs="Arial"/>
                <w:b/>
                <w:sz w:val="16"/>
                <w:szCs w:val="16"/>
              </w:rPr>
            </w:pPr>
            <w:r w:rsidRPr="00F35F54">
              <w:rPr>
                <w:rFonts w:ascii="Arial" w:hAnsi="Arial" w:cs="Arial"/>
                <w:b/>
                <w:bCs/>
                <w:sz w:val="16"/>
                <w:szCs w:val="16"/>
              </w:rPr>
              <w:t>14,500</w:t>
            </w:r>
            <w:r w:rsidR="00790270" w:rsidRPr="00F35F54">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2E04964A" w14:textId="4089AB5B"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b/>
                <w:bCs/>
                <w:sz w:val="16"/>
                <w:szCs w:val="16"/>
              </w:rPr>
              <w:t xml:space="preserve">- </w:t>
            </w:r>
          </w:p>
        </w:tc>
      </w:tr>
      <w:tr w:rsidR="00790270" w:rsidRPr="00AB2612" w14:paraId="6568DE48" w14:textId="77777777" w:rsidTr="00CD0EDE">
        <w:trPr>
          <w:trHeight w:val="204"/>
        </w:trPr>
        <w:tc>
          <w:tcPr>
            <w:tcW w:w="2268" w:type="dxa"/>
            <w:tcBorders>
              <w:top w:val="nil"/>
              <w:left w:val="nil"/>
              <w:bottom w:val="nil"/>
              <w:right w:val="nil"/>
            </w:tcBorders>
            <w:shd w:val="clear" w:color="auto" w:fill="auto"/>
            <w:noWrap/>
            <w:vAlign w:val="bottom"/>
            <w:hideMark/>
          </w:tcPr>
          <w:p w14:paraId="6BA7E559" w14:textId="0F886027" w:rsidR="00790270" w:rsidRPr="00AB2612" w:rsidRDefault="00790270" w:rsidP="00D12509">
            <w:pPr>
              <w:spacing w:after="0" w:line="240" w:lineRule="auto"/>
              <w:jc w:val="left"/>
              <w:rPr>
                <w:rFonts w:ascii="Arial" w:hAnsi="Arial" w:cs="Arial"/>
                <w:sz w:val="16"/>
                <w:szCs w:val="16"/>
              </w:rPr>
            </w:pPr>
            <w:r>
              <w:rPr>
                <w:rFonts w:ascii="Arial" w:hAnsi="Arial" w:cs="Arial"/>
                <w:sz w:val="16"/>
                <w:szCs w:val="16"/>
              </w:rPr>
              <w:t xml:space="preserve">COVID-19 Response Package </w:t>
            </w:r>
            <w:r w:rsidR="00D12509">
              <w:rPr>
                <w:rFonts w:ascii="Arial" w:hAnsi="Arial" w:cs="Arial"/>
                <w:sz w:val="16"/>
                <w:szCs w:val="16"/>
              </w:rPr>
              <w:t>–</w:t>
            </w:r>
            <w:r>
              <w:rPr>
                <w:rFonts w:ascii="Arial" w:hAnsi="Arial" w:cs="Arial"/>
                <w:sz w:val="16"/>
                <w:szCs w:val="16"/>
              </w:rPr>
              <w:t xml:space="preserve"> additional arts sector support</w:t>
            </w:r>
          </w:p>
        </w:tc>
        <w:tc>
          <w:tcPr>
            <w:tcW w:w="851" w:type="dxa"/>
            <w:tcBorders>
              <w:top w:val="nil"/>
              <w:left w:val="nil"/>
              <w:bottom w:val="nil"/>
              <w:right w:val="nil"/>
            </w:tcBorders>
            <w:shd w:val="clear" w:color="auto" w:fill="auto"/>
            <w:noWrap/>
            <w:hideMark/>
          </w:tcPr>
          <w:p w14:paraId="23166BF7" w14:textId="3A5E268D" w:rsidR="00790270" w:rsidRPr="00AB2612" w:rsidRDefault="00790270" w:rsidP="00DD4118">
            <w:pPr>
              <w:spacing w:after="0" w:line="240" w:lineRule="auto"/>
              <w:jc w:val="center"/>
              <w:outlineLvl w:val="0"/>
              <w:rPr>
                <w:rFonts w:ascii="Arial" w:hAnsi="Arial" w:cs="Arial"/>
                <w:sz w:val="16"/>
                <w:szCs w:val="16"/>
              </w:rPr>
            </w:pPr>
            <w:r>
              <w:rPr>
                <w:rFonts w:ascii="Arial" w:hAnsi="Arial" w:cs="Arial"/>
                <w:sz w:val="16"/>
                <w:szCs w:val="16"/>
              </w:rPr>
              <w:t>6.1</w:t>
            </w:r>
          </w:p>
        </w:tc>
        <w:tc>
          <w:tcPr>
            <w:tcW w:w="850" w:type="dxa"/>
            <w:tcBorders>
              <w:top w:val="nil"/>
              <w:left w:val="nil"/>
              <w:bottom w:val="nil"/>
              <w:right w:val="nil"/>
            </w:tcBorders>
            <w:shd w:val="clear" w:color="000000" w:fill="E6E6E6"/>
            <w:noWrap/>
            <w:vAlign w:val="bottom"/>
            <w:hideMark/>
          </w:tcPr>
          <w:p w14:paraId="2E389FA6" w14:textId="317DDE2B"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4D5170A1" w14:textId="44C0D9DC"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85ABBB6" w14:textId="07FBF4F8"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5BE00C2F" w14:textId="67F17308" w:rsidR="00790270" w:rsidRPr="000B1D82" w:rsidRDefault="00790270" w:rsidP="00790270">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D404376" w14:textId="33ADD3B8"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w:t>
            </w:r>
          </w:p>
        </w:tc>
      </w:tr>
      <w:tr w:rsidR="00790270" w:rsidRPr="00AB2612" w14:paraId="06AA6562" w14:textId="77777777" w:rsidTr="00CD0EDE">
        <w:trPr>
          <w:trHeight w:val="204"/>
        </w:trPr>
        <w:tc>
          <w:tcPr>
            <w:tcW w:w="2268" w:type="dxa"/>
            <w:tcBorders>
              <w:top w:val="nil"/>
              <w:left w:val="nil"/>
              <w:bottom w:val="nil"/>
              <w:right w:val="nil"/>
            </w:tcBorders>
            <w:shd w:val="clear" w:color="auto" w:fill="auto"/>
            <w:noWrap/>
            <w:vAlign w:val="bottom"/>
            <w:hideMark/>
          </w:tcPr>
          <w:p w14:paraId="032456E3" w14:textId="4CFD9F4F" w:rsidR="00790270" w:rsidRPr="00AB2612" w:rsidRDefault="00790270" w:rsidP="00790270">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51" w:type="dxa"/>
            <w:tcBorders>
              <w:top w:val="nil"/>
              <w:left w:val="nil"/>
              <w:bottom w:val="nil"/>
              <w:right w:val="nil"/>
            </w:tcBorders>
            <w:shd w:val="clear" w:color="auto" w:fill="auto"/>
            <w:noWrap/>
            <w:hideMark/>
          </w:tcPr>
          <w:p w14:paraId="2425F711" w14:textId="77777777" w:rsidR="00790270" w:rsidRPr="00AB2612" w:rsidRDefault="00790270" w:rsidP="00DD4118">
            <w:pPr>
              <w:spacing w:after="0" w:line="240" w:lineRule="auto"/>
              <w:jc w:val="center"/>
              <w:outlineLvl w:val="0"/>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F840E49" w14:textId="6ECFB189" w:rsidR="00790270" w:rsidRPr="000B1D82" w:rsidRDefault="00790270" w:rsidP="00790270">
            <w:pPr>
              <w:spacing w:after="0" w:line="240" w:lineRule="auto"/>
              <w:jc w:val="right"/>
              <w:outlineLvl w:val="0"/>
              <w:rPr>
                <w:rFonts w:ascii="Arial" w:hAnsi="Arial" w:cs="Arial"/>
                <w:sz w:val="16"/>
                <w:szCs w:val="16"/>
                <w:highlight w:val="yellow"/>
              </w:rPr>
            </w:pPr>
            <w:r w:rsidRPr="000B1D82">
              <w:rPr>
                <w:rFonts w:ascii="Arial" w:hAnsi="Arial" w:cs="Arial"/>
                <w:sz w:val="16"/>
                <w:szCs w:val="16"/>
              </w:rPr>
              <w:t>(5,500)</w:t>
            </w:r>
          </w:p>
        </w:tc>
        <w:tc>
          <w:tcPr>
            <w:tcW w:w="851" w:type="dxa"/>
            <w:tcBorders>
              <w:top w:val="nil"/>
              <w:left w:val="nil"/>
              <w:bottom w:val="nil"/>
              <w:right w:val="nil"/>
            </w:tcBorders>
            <w:shd w:val="clear" w:color="auto" w:fill="auto"/>
            <w:noWrap/>
            <w:vAlign w:val="bottom"/>
            <w:hideMark/>
          </w:tcPr>
          <w:p w14:paraId="6824DF75" w14:textId="559C4C9D"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18,000 </w:t>
            </w:r>
          </w:p>
        </w:tc>
        <w:tc>
          <w:tcPr>
            <w:tcW w:w="850" w:type="dxa"/>
            <w:tcBorders>
              <w:top w:val="nil"/>
              <w:left w:val="nil"/>
              <w:bottom w:val="nil"/>
              <w:right w:val="nil"/>
            </w:tcBorders>
            <w:shd w:val="clear" w:color="000000" w:fill="E6E6E6"/>
            <w:noWrap/>
            <w:vAlign w:val="bottom"/>
            <w:hideMark/>
          </w:tcPr>
          <w:p w14:paraId="699D7CA5" w14:textId="3102664F"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9C3AA6B" w14:textId="7846DBD8"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426DBAF7" w14:textId="5945E40F" w:rsidR="00790270" w:rsidRPr="000B1D82" w:rsidRDefault="00790270" w:rsidP="00790270">
            <w:pPr>
              <w:spacing w:after="0" w:line="240" w:lineRule="auto"/>
              <w:jc w:val="right"/>
              <w:outlineLvl w:val="0"/>
              <w:rPr>
                <w:rFonts w:ascii="Arial" w:hAnsi="Arial" w:cs="Arial"/>
                <w:sz w:val="16"/>
                <w:szCs w:val="16"/>
              </w:rPr>
            </w:pPr>
            <w:r w:rsidRPr="000B1D82">
              <w:rPr>
                <w:rFonts w:ascii="Arial" w:hAnsi="Arial" w:cs="Arial"/>
                <w:sz w:val="16"/>
                <w:szCs w:val="16"/>
              </w:rPr>
              <w:t xml:space="preserve">- </w:t>
            </w:r>
          </w:p>
        </w:tc>
      </w:tr>
      <w:tr w:rsidR="00790270" w:rsidRPr="00AB2612" w14:paraId="1706C1B6" w14:textId="77777777" w:rsidTr="0064083D">
        <w:trPr>
          <w:trHeight w:val="204"/>
        </w:trPr>
        <w:tc>
          <w:tcPr>
            <w:tcW w:w="2268" w:type="dxa"/>
            <w:tcBorders>
              <w:top w:val="nil"/>
              <w:left w:val="nil"/>
              <w:bottom w:val="single" w:sz="4" w:space="0" w:color="auto"/>
              <w:right w:val="nil"/>
            </w:tcBorders>
            <w:shd w:val="clear" w:color="auto" w:fill="auto"/>
            <w:noWrap/>
            <w:vAlign w:val="bottom"/>
            <w:hideMark/>
          </w:tcPr>
          <w:p w14:paraId="7D57A3D4" w14:textId="77777777" w:rsidR="00790270" w:rsidRPr="00AB2612" w:rsidRDefault="00790270" w:rsidP="00790270">
            <w:pPr>
              <w:spacing w:after="0" w:line="240" w:lineRule="auto"/>
              <w:jc w:val="left"/>
              <w:outlineLvl w:val="0"/>
              <w:rPr>
                <w:rFonts w:ascii="Arial" w:hAnsi="Arial" w:cs="Arial"/>
                <w:b/>
                <w:bCs/>
                <w:sz w:val="16"/>
                <w:szCs w:val="16"/>
              </w:rPr>
            </w:pPr>
            <w:r w:rsidRPr="00AB2612">
              <w:rPr>
                <w:rFonts w:ascii="Arial" w:hAnsi="Arial" w:cs="Arial"/>
                <w:b/>
                <w:bCs/>
                <w:sz w:val="16"/>
                <w:szCs w:val="16"/>
              </w:rPr>
              <w:t>Total</w:t>
            </w:r>
          </w:p>
        </w:tc>
        <w:tc>
          <w:tcPr>
            <w:tcW w:w="851" w:type="dxa"/>
            <w:tcBorders>
              <w:top w:val="nil"/>
              <w:left w:val="nil"/>
              <w:bottom w:val="single" w:sz="4" w:space="0" w:color="auto"/>
              <w:right w:val="nil"/>
            </w:tcBorders>
            <w:shd w:val="clear" w:color="auto" w:fill="auto"/>
            <w:noWrap/>
            <w:vAlign w:val="bottom"/>
            <w:hideMark/>
          </w:tcPr>
          <w:p w14:paraId="2634E8D0" w14:textId="77777777" w:rsidR="00790270" w:rsidRPr="00DD4118" w:rsidRDefault="00790270" w:rsidP="00790270">
            <w:pPr>
              <w:spacing w:after="0" w:line="240" w:lineRule="auto"/>
              <w:jc w:val="center"/>
              <w:outlineLvl w:val="0"/>
              <w:rPr>
                <w:rFonts w:ascii="Arial" w:hAnsi="Arial" w:cs="Arial"/>
                <w:sz w:val="16"/>
                <w:szCs w:val="16"/>
              </w:rPr>
            </w:pPr>
          </w:p>
        </w:tc>
        <w:tc>
          <w:tcPr>
            <w:tcW w:w="850" w:type="dxa"/>
            <w:tcBorders>
              <w:left w:val="nil"/>
              <w:bottom w:val="single" w:sz="4" w:space="0" w:color="auto"/>
              <w:right w:val="nil"/>
            </w:tcBorders>
            <w:shd w:val="clear" w:color="000000" w:fill="E6E6E6"/>
            <w:noWrap/>
            <w:vAlign w:val="bottom"/>
            <w:hideMark/>
          </w:tcPr>
          <w:p w14:paraId="56D44383" w14:textId="660DF511"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(5,500)</w:t>
            </w:r>
          </w:p>
        </w:tc>
        <w:tc>
          <w:tcPr>
            <w:tcW w:w="851" w:type="dxa"/>
            <w:tcBorders>
              <w:left w:val="nil"/>
              <w:bottom w:val="single" w:sz="4" w:space="0" w:color="auto"/>
              <w:right w:val="nil"/>
            </w:tcBorders>
            <w:shd w:val="clear" w:color="auto" w:fill="auto"/>
            <w:noWrap/>
            <w:vAlign w:val="bottom"/>
            <w:hideMark/>
          </w:tcPr>
          <w:p w14:paraId="282ECB2A" w14:textId="754077DC"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18,000 </w:t>
            </w:r>
          </w:p>
        </w:tc>
        <w:tc>
          <w:tcPr>
            <w:tcW w:w="850" w:type="dxa"/>
            <w:tcBorders>
              <w:left w:val="nil"/>
              <w:bottom w:val="single" w:sz="4" w:space="0" w:color="auto"/>
              <w:right w:val="nil"/>
            </w:tcBorders>
            <w:shd w:val="clear" w:color="000000" w:fill="E6E6E6"/>
            <w:noWrap/>
            <w:vAlign w:val="bottom"/>
            <w:hideMark/>
          </w:tcPr>
          <w:p w14:paraId="2634C42E" w14:textId="3D32AE33"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c>
          <w:tcPr>
            <w:tcW w:w="851" w:type="dxa"/>
            <w:tcBorders>
              <w:left w:val="nil"/>
              <w:bottom w:val="single" w:sz="4" w:space="0" w:color="auto"/>
              <w:right w:val="nil"/>
            </w:tcBorders>
            <w:shd w:val="clear" w:color="auto" w:fill="auto"/>
            <w:noWrap/>
            <w:vAlign w:val="bottom"/>
            <w:hideMark/>
          </w:tcPr>
          <w:p w14:paraId="5156DBD9" w14:textId="476CD5B5"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c>
          <w:tcPr>
            <w:tcW w:w="850" w:type="dxa"/>
            <w:tcBorders>
              <w:left w:val="nil"/>
              <w:bottom w:val="single" w:sz="4" w:space="0" w:color="auto"/>
              <w:right w:val="nil"/>
            </w:tcBorders>
            <w:shd w:val="clear" w:color="000000" w:fill="E6E6E6"/>
            <w:noWrap/>
            <w:vAlign w:val="bottom"/>
            <w:hideMark/>
          </w:tcPr>
          <w:p w14:paraId="0C3CE415" w14:textId="3E22C41C" w:rsidR="00790270" w:rsidRPr="000B1D82" w:rsidRDefault="00790270" w:rsidP="00790270">
            <w:pPr>
              <w:spacing w:after="0" w:line="240" w:lineRule="auto"/>
              <w:jc w:val="right"/>
              <w:outlineLvl w:val="0"/>
              <w:rPr>
                <w:rFonts w:ascii="Arial" w:hAnsi="Arial" w:cs="Arial"/>
                <w:b/>
                <w:bCs/>
                <w:sz w:val="16"/>
                <w:szCs w:val="16"/>
              </w:rPr>
            </w:pPr>
            <w:r w:rsidRPr="000B1D82">
              <w:rPr>
                <w:rFonts w:ascii="Arial" w:hAnsi="Arial" w:cs="Arial"/>
                <w:b/>
                <w:bCs/>
                <w:sz w:val="16"/>
                <w:szCs w:val="16"/>
              </w:rPr>
              <w:t xml:space="preserve">- </w:t>
            </w:r>
          </w:p>
        </w:tc>
      </w:tr>
    </w:tbl>
    <w:p w14:paraId="2756ED69" w14:textId="294E31E7" w:rsidR="00AB2612" w:rsidRPr="009A40DD" w:rsidRDefault="00AB2612" w:rsidP="00AB2612">
      <w:pPr>
        <w:pStyle w:val="TableHeading"/>
      </w:pPr>
      <w:r w:rsidRPr="009A40DD">
        <w:lastRenderedPageBreak/>
        <w:t xml:space="preserve">Table 1.2: </w:t>
      </w:r>
      <w:r w:rsidR="003C4CC6">
        <w:rPr>
          <w:lang w:val="en-US"/>
        </w:rPr>
        <w:t>Department</w:t>
      </w:r>
      <w:r>
        <w:rPr>
          <w:lang w:val="en-US"/>
        </w:rPr>
        <w:t xml:space="preserve"> of Infrastructure, Transport, Regional Development and Communications</w:t>
      </w:r>
      <w:r w:rsidRPr="009A40DD">
        <w:t xml:space="preserve"> </w:t>
      </w:r>
      <w:r>
        <w:rPr>
          <w:lang w:val="en-AU"/>
        </w:rPr>
        <w:t xml:space="preserve">2022-23 </w:t>
      </w:r>
      <w:r w:rsidRPr="009A40DD">
        <w:t>Budget measures</w:t>
      </w:r>
    </w:p>
    <w:p w14:paraId="4CDEAEFC" w14:textId="5960EFBD" w:rsidR="00AB2612" w:rsidRDefault="00AB2612" w:rsidP="00AB2612">
      <w:pPr>
        <w:pStyle w:val="TableGraphic"/>
        <w:jc w:val="left"/>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 </w:t>
      </w:r>
      <w:r w:rsidR="00520588">
        <w:rPr>
          <w:rFonts w:ascii="Arial Bold" w:hAnsi="Arial Bold"/>
          <w:b/>
        </w:rPr>
        <w:t>(continued)</w:t>
      </w:r>
    </w:p>
    <w:tbl>
      <w:tblPr>
        <w:tblW w:w="7637" w:type="dxa"/>
        <w:tblLook w:val="04A0" w:firstRow="1" w:lastRow="0" w:firstColumn="1" w:lastColumn="0" w:noHBand="0" w:noVBand="1"/>
      </w:tblPr>
      <w:tblGrid>
        <w:gridCol w:w="2552"/>
        <w:gridCol w:w="830"/>
        <w:gridCol w:w="877"/>
        <w:gridCol w:w="820"/>
        <w:gridCol w:w="812"/>
        <w:gridCol w:w="896"/>
        <w:gridCol w:w="850"/>
      </w:tblGrid>
      <w:tr w:rsidR="00AB2612" w:rsidRPr="00AB2612" w14:paraId="4F60BD66" w14:textId="77777777" w:rsidTr="00CD0EDE">
        <w:trPr>
          <w:trHeight w:val="204"/>
        </w:trPr>
        <w:tc>
          <w:tcPr>
            <w:tcW w:w="2552" w:type="dxa"/>
            <w:tcBorders>
              <w:top w:val="single" w:sz="4" w:space="0" w:color="auto"/>
              <w:left w:val="nil"/>
              <w:bottom w:val="nil"/>
              <w:right w:val="nil"/>
            </w:tcBorders>
            <w:shd w:val="clear" w:color="auto" w:fill="auto"/>
            <w:noWrap/>
            <w:vAlign w:val="bottom"/>
            <w:hideMark/>
          </w:tcPr>
          <w:p w14:paraId="2AEED6CB" w14:textId="77777777" w:rsidR="00AB2612" w:rsidRPr="00AB2612" w:rsidRDefault="00AB2612" w:rsidP="00AB2612">
            <w:pPr>
              <w:spacing w:after="0" w:line="240" w:lineRule="auto"/>
              <w:jc w:val="center"/>
              <w:rPr>
                <w:rFonts w:ascii="Arial" w:hAnsi="Arial" w:cs="Arial"/>
                <w:sz w:val="18"/>
                <w:szCs w:val="18"/>
              </w:rPr>
            </w:pPr>
            <w:r w:rsidRPr="00AB2612">
              <w:rPr>
                <w:rFonts w:ascii="Arial" w:hAnsi="Arial" w:cs="Arial"/>
                <w:sz w:val="18"/>
                <w:szCs w:val="18"/>
              </w:rPr>
              <w:t> </w:t>
            </w:r>
          </w:p>
        </w:tc>
        <w:tc>
          <w:tcPr>
            <w:tcW w:w="830" w:type="dxa"/>
            <w:tcBorders>
              <w:top w:val="single" w:sz="4" w:space="0" w:color="auto"/>
              <w:left w:val="nil"/>
              <w:bottom w:val="single" w:sz="4" w:space="0" w:color="auto"/>
              <w:right w:val="nil"/>
            </w:tcBorders>
            <w:shd w:val="clear" w:color="auto" w:fill="auto"/>
            <w:vAlign w:val="bottom"/>
            <w:hideMark/>
          </w:tcPr>
          <w:p w14:paraId="27B30337" w14:textId="77777777" w:rsidR="00AB2612" w:rsidRPr="00AB2612" w:rsidRDefault="00AB2612" w:rsidP="00551CF2">
            <w:pPr>
              <w:spacing w:after="0" w:line="240" w:lineRule="auto"/>
              <w:jc w:val="center"/>
              <w:rPr>
                <w:rFonts w:ascii="Arial" w:hAnsi="Arial" w:cs="Arial"/>
                <w:sz w:val="16"/>
                <w:szCs w:val="16"/>
              </w:rPr>
            </w:pPr>
            <w:r w:rsidRPr="00AB2612">
              <w:rPr>
                <w:rFonts w:ascii="Arial" w:hAnsi="Arial" w:cs="Arial"/>
                <w:sz w:val="16"/>
                <w:szCs w:val="16"/>
              </w:rPr>
              <w:t>Program</w:t>
            </w:r>
          </w:p>
        </w:tc>
        <w:tc>
          <w:tcPr>
            <w:tcW w:w="877" w:type="dxa"/>
            <w:tcBorders>
              <w:top w:val="single" w:sz="4" w:space="0" w:color="auto"/>
              <w:left w:val="nil"/>
              <w:bottom w:val="single" w:sz="4" w:space="0" w:color="auto"/>
              <w:right w:val="nil"/>
            </w:tcBorders>
            <w:shd w:val="clear" w:color="000000" w:fill="E6E6E6"/>
            <w:vAlign w:val="bottom"/>
            <w:hideMark/>
          </w:tcPr>
          <w:p w14:paraId="198F1AD1"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2021-22</w:t>
            </w:r>
            <w:r w:rsidRPr="00AB2612">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2204827E"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2022-23</w:t>
            </w:r>
            <w:r w:rsidRPr="00AB2612">
              <w:rPr>
                <w:rFonts w:ascii="Arial" w:hAnsi="Arial" w:cs="Arial"/>
                <w:sz w:val="16"/>
                <w:szCs w:val="16"/>
              </w:rPr>
              <w:br/>
              <w:t>$'000</w:t>
            </w:r>
          </w:p>
        </w:tc>
        <w:tc>
          <w:tcPr>
            <w:tcW w:w="812" w:type="dxa"/>
            <w:tcBorders>
              <w:top w:val="single" w:sz="4" w:space="0" w:color="auto"/>
              <w:left w:val="nil"/>
              <w:bottom w:val="single" w:sz="4" w:space="0" w:color="auto"/>
              <w:right w:val="nil"/>
            </w:tcBorders>
            <w:shd w:val="clear" w:color="000000" w:fill="E6E6E6"/>
            <w:vAlign w:val="bottom"/>
            <w:hideMark/>
          </w:tcPr>
          <w:p w14:paraId="220EE8F4"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2023-24</w:t>
            </w:r>
            <w:r w:rsidRPr="00AB2612">
              <w:rPr>
                <w:rFonts w:ascii="Arial" w:hAnsi="Arial" w:cs="Arial"/>
                <w:sz w:val="16"/>
                <w:szCs w:val="16"/>
              </w:rPr>
              <w:br/>
              <w:t>$'000</w:t>
            </w:r>
          </w:p>
        </w:tc>
        <w:tc>
          <w:tcPr>
            <w:tcW w:w="896" w:type="dxa"/>
            <w:tcBorders>
              <w:top w:val="single" w:sz="4" w:space="0" w:color="auto"/>
              <w:left w:val="nil"/>
              <w:bottom w:val="single" w:sz="4" w:space="0" w:color="auto"/>
              <w:right w:val="nil"/>
            </w:tcBorders>
            <w:shd w:val="clear" w:color="auto" w:fill="auto"/>
            <w:vAlign w:val="bottom"/>
            <w:hideMark/>
          </w:tcPr>
          <w:p w14:paraId="310B8F90"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2024-25</w:t>
            </w:r>
            <w:r w:rsidRPr="00AB261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238F66A0" w14:textId="77777777" w:rsidR="00AB2612" w:rsidRPr="00AB2612" w:rsidRDefault="00AB2612" w:rsidP="00AB2612">
            <w:pPr>
              <w:spacing w:after="0" w:line="240" w:lineRule="auto"/>
              <w:jc w:val="right"/>
              <w:rPr>
                <w:rFonts w:ascii="Arial" w:hAnsi="Arial" w:cs="Arial"/>
                <w:sz w:val="16"/>
                <w:szCs w:val="16"/>
              </w:rPr>
            </w:pPr>
            <w:r w:rsidRPr="00AB2612">
              <w:rPr>
                <w:rFonts w:ascii="Arial" w:hAnsi="Arial" w:cs="Arial"/>
                <w:sz w:val="16"/>
                <w:szCs w:val="16"/>
              </w:rPr>
              <w:t>2025-26</w:t>
            </w:r>
            <w:r w:rsidRPr="00AB2612">
              <w:rPr>
                <w:rFonts w:ascii="Arial" w:hAnsi="Arial" w:cs="Arial"/>
                <w:sz w:val="16"/>
                <w:szCs w:val="16"/>
              </w:rPr>
              <w:br/>
              <w:t>$'000</w:t>
            </w:r>
          </w:p>
        </w:tc>
      </w:tr>
      <w:tr w:rsidR="00AB2612" w:rsidRPr="00AB2612" w14:paraId="1F6A3B6D" w14:textId="77777777" w:rsidTr="00CD0EDE">
        <w:trPr>
          <w:trHeight w:val="204"/>
        </w:trPr>
        <w:tc>
          <w:tcPr>
            <w:tcW w:w="2552" w:type="dxa"/>
            <w:tcBorders>
              <w:top w:val="nil"/>
              <w:left w:val="nil"/>
              <w:bottom w:val="nil"/>
              <w:right w:val="nil"/>
            </w:tcBorders>
            <w:shd w:val="clear" w:color="auto" w:fill="auto"/>
            <w:noWrap/>
            <w:vAlign w:val="bottom"/>
            <w:hideMark/>
          </w:tcPr>
          <w:p w14:paraId="4D4ED183" w14:textId="5C3C9100" w:rsidR="00AB2612" w:rsidRPr="00AB2612" w:rsidRDefault="00AB2612" w:rsidP="00AB2612">
            <w:pPr>
              <w:spacing w:after="0" w:line="240" w:lineRule="auto"/>
              <w:jc w:val="left"/>
              <w:rPr>
                <w:rFonts w:ascii="Arial" w:hAnsi="Arial" w:cs="Arial"/>
                <w:b/>
                <w:bCs/>
                <w:sz w:val="16"/>
                <w:szCs w:val="16"/>
              </w:rPr>
            </w:pPr>
            <w:r>
              <w:rPr>
                <w:rFonts w:ascii="Arial" w:hAnsi="Arial" w:cs="Arial"/>
                <w:b/>
                <w:bCs/>
                <w:sz w:val="16"/>
                <w:szCs w:val="16"/>
              </w:rPr>
              <w:t>Payment</w:t>
            </w:r>
            <w:r w:rsidRPr="00AB2612">
              <w:rPr>
                <w:rFonts w:ascii="Arial" w:hAnsi="Arial" w:cs="Arial"/>
                <w:b/>
                <w:bCs/>
                <w:sz w:val="16"/>
                <w:szCs w:val="16"/>
              </w:rPr>
              <w:t xml:space="preserve"> measures</w:t>
            </w:r>
          </w:p>
        </w:tc>
        <w:tc>
          <w:tcPr>
            <w:tcW w:w="830" w:type="dxa"/>
            <w:tcBorders>
              <w:top w:val="nil"/>
              <w:left w:val="nil"/>
              <w:bottom w:val="nil"/>
              <w:right w:val="nil"/>
            </w:tcBorders>
            <w:shd w:val="clear" w:color="auto" w:fill="auto"/>
            <w:noWrap/>
            <w:vAlign w:val="bottom"/>
            <w:hideMark/>
          </w:tcPr>
          <w:p w14:paraId="63C87829" w14:textId="77777777" w:rsidR="00AB2612" w:rsidRPr="00DD4118" w:rsidRDefault="00AB2612"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1CB6BA7A" w14:textId="47439487" w:rsidR="00AB2612" w:rsidRPr="00AB2612" w:rsidRDefault="00AB2612" w:rsidP="00AB261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14:paraId="291C9E48" w14:textId="77777777" w:rsidR="00AB2612" w:rsidRPr="00AB2612" w:rsidRDefault="00AB2612" w:rsidP="00AB2612">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49F10054" w14:textId="06A5DECE" w:rsidR="00AB2612" w:rsidRPr="00AB2612" w:rsidRDefault="00AB2612" w:rsidP="00AB2612">
            <w:pPr>
              <w:spacing w:after="0" w:line="240" w:lineRule="auto"/>
              <w:jc w:val="right"/>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14:paraId="3DA67DFE" w14:textId="77777777" w:rsidR="00AB2612" w:rsidRPr="00AB2612" w:rsidRDefault="00AB2612" w:rsidP="00AB2612">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73C4D32" w14:textId="24613D8F" w:rsidR="00AB2612" w:rsidRPr="00AB2612" w:rsidRDefault="00AB2612" w:rsidP="00AB2612">
            <w:pPr>
              <w:spacing w:after="0" w:line="240" w:lineRule="auto"/>
              <w:jc w:val="right"/>
              <w:rPr>
                <w:rFonts w:ascii="Arial" w:hAnsi="Arial" w:cs="Arial"/>
                <w:sz w:val="16"/>
                <w:szCs w:val="16"/>
              </w:rPr>
            </w:pPr>
          </w:p>
        </w:tc>
      </w:tr>
      <w:tr w:rsidR="00342CD1" w:rsidRPr="00AB2612" w14:paraId="491B94C1" w14:textId="77777777" w:rsidTr="00CD0EDE">
        <w:trPr>
          <w:trHeight w:val="204"/>
        </w:trPr>
        <w:tc>
          <w:tcPr>
            <w:tcW w:w="2552" w:type="dxa"/>
            <w:tcBorders>
              <w:top w:val="nil"/>
              <w:left w:val="nil"/>
              <w:bottom w:val="nil"/>
              <w:right w:val="nil"/>
            </w:tcBorders>
            <w:shd w:val="clear" w:color="auto" w:fill="auto"/>
            <w:noWrap/>
            <w:vAlign w:val="bottom"/>
            <w:hideMark/>
          </w:tcPr>
          <w:p w14:paraId="49FE1282" w14:textId="313BE007" w:rsidR="00342CD1" w:rsidRPr="00AB2612" w:rsidRDefault="00342CD1" w:rsidP="00342CD1">
            <w:pPr>
              <w:spacing w:after="0" w:line="240" w:lineRule="auto"/>
              <w:jc w:val="left"/>
              <w:rPr>
                <w:rFonts w:ascii="Arial" w:hAnsi="Arial" w:cs="Arial"/>
                <w:bCs/>
                <w:sz w:val="16"/>
                <w:szCs w:val="16"/>
              </w:rPr>
            </w:pPr>
            <w:r>
              <w:rPr>
                <w:rFonts w:ascii="Arial" w:hAnsi="Arial" w:cs="Arial"/>
                <w:sz w:val="16"/>
                <w:szCs w:val="16"/>
              </w:rPr>
              <w:t>COVID-19 Response Package – additional aviation support</w:t>
            </w:r>
          </w:p>
        </w:tc>
        <w:tc>
          <w:tcPr>
            <w:tcW w:w="830" w:type="dxa"/>
            <w:tcBorders>
              <w:top w:val="nil"/>
              <w:left w:val="nil"/>
              <w:bottom w:val="nil"/>
              <w:right w:val="nil"/>
            </w:tcBorders>
            <w:shd w:val="clear" w:color="auto" w:fill="auto"/>
            <w:noWrap/>
            <w:hideMark/>
          </w:tcPr>
          <w:p w14:paraId="3318D94C" w14:textId="07C390BB"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2.3</w:t>
            </w:r>
          </w:p>
        </w:tc>
        <w:tc>
          <w:tcPr>
            <w:tcW w:w="877" w:type="dxa"/>
            <w:tcBorders>
              <w:top w:val="nil"/>
              <w:left w:val="nil"/>
              <w:bottom w:val="nil"/>
              <w:right w:val="nil"/>
            </w:tcBorders>
            <w:shd w:val="clear" w:color="000000" w:fill="E6E6E6"/>
            <w:noWrap/>
            <w:vAlign w:val="bottom"/>
            <w:hideMark/>
          </w:tcPr>
          <w:p w14:paraId="5B550ACE" w14:textId="6E06152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688C64A3" w14:textId="77777777"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6CFDBF51" w14:textId="3698CF1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5DA17B2A" w14:textId="77777777"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6FED41A" w14:textId="66C85CA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774DBCF4" w14:textId="77777777" w:rsidTr="00CD0EDE">
        <w:trPr>
          <w:trHeight w:val="204"/>
        </w:trPr>
        <w:tc>
          <w:tcPr>
            <w:tcW w:w="2552" w:type="dxa"/>
            <w:tcBorders>
              <w:top w:val="nil"/>
              <w:left w:val="nil"/>
              <w:bottom w:val="nil"/>
              <w:right w:val="nil"/>
            </w:tcBorders>
            <w:shd w:val="clear" w:color="auto" w:fill="auto"/>
            <w:noWrap/>
            <w:vAlign w:val="bottom"/>
            <w:hideMark/>
          </w:tcPr>
          <w:p w14:paraId="42268981" w14:textId="614F58F9"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5B75E816"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5555861B" w14:textId="1546E77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4D06AC26" w14:textId="51D6C589"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12" w:type="dxa"/>
            <w:tcBorders>
              <w:top w:val="nil"/>
              <w:left w:val="nil"/>
              <w:bottom w:val="nil"/>
              <w:right w:val="nil"/>
            </w:tcBorders>
            <w:shd w:val="clear" w:color="000000" w:fill="E6E6E6"/>
            <w:noWrap/>
            <w:vAlign w:val="bottom"/>
            <w:hideMark/>
          </w:tcPr>
          <w:p w14:paraId="14070EB1" w14:textId="38CD048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96" w:type="dxa"/>
            <w:tcBorders>
              <w:top w:val="nil"/>
              <w:left w:val="nil"/>
              <w:bottom w:val="nil"/>
              <w:right w:val="nil"/>
            </w:tcBorders>
            <w:shd w:val="clear" w:color="auto" w:fill="auto"/>
            <w:noWrap/>
            <w:vAlign w:val="bottom"/>
            <w:hideMark/>
          </w:tcPr>
          <w:p w14:paraId="6DCB4A74" w14:textId="6E1D7DF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2AF44026" w14:textId="53833649"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r>
      <w:tr w:rsidR="00342CD1" w:rsidRPr="00AB2612" w14:paraId="2D674D0B" w14:textId="77777777" w:rsidTr="00CD0EDE">
        <w:trPr>
          <w:trHeight w:val="204"/>
        </w:trPr>
        <w:tc>
          <w:tcPr>
            <w:tcW w:w="2552" w:type="dxa"/>
            <w:tcBorders>
              <w:top w:val="nil"/>
              <w:left w:val="nil"/>
              <w:bottom w:val="nil"/>
              <w:right w:val="nil"/>
            </w:tcBorders>
            <w:shd w:val="clear" w:color="auto" w:fill="auto"/>
            <w:noWrap/>
            <w:vAlign w:val="bottom"/>
            <w:hideMark/>
          </w:tcPr>
          <w:p w14:paraId="7C56E3F5" w14:textId="37A3CBD1" w:rsidR="00342CD1" w:rsidRPr="00AB2612" w:rsidRDefault="00342CD1" w:rsidP="00342CD1">
            <w:pPr>
              <w:spacing w:after="0" w:line="240" w:lineRule="auto"/>
              <w:jc w:val="left"/>
              <w:rPr>
                <w:rFonts w:ascii="Arial" w:hAnsi="Arial" w:cs="Arial"/>
                <w:b/>
                <w:bCs/>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2C743002"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006275E7" w14:textId="181749A4"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5C51C2BB" w14:textId="11B5CDBF"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12" w:type="dxa"/>
            <w:tcBorders>
              <w:top w:val="nil"/>
              <w:left w:val="nil"/>
              <w:bottom w:val="nil"/>
              <w:right w:val="nil"/>
            </w:tcBorders>
            <w:shd w:val="clear" w:color="000000" w:fill="E6E6E6"/>
            <w:noWrap/>
            <w:vAlign w:val="bottom"/>
            <w:hideMark/>
          </w:tcPr>
          <w:p w14:paraId="47A87965" w14:textId="2D3D3CED"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96" w:type="dxa"/>
            <w:tcBorders>
              <w:top w:val="nil"/>
              <w:left w:val="nil"/>
              <w:bottom w:val="nil"/>
              <w:right w:val="nil"/>
            </w:tcBorders>
            <w:shd w:val="clear" w:color="auto" w:fill="auto"/>
            <w:noWrap/>
            <w:vAlign w:val="bottom"/>
            <w:hideMark/>
          </w:tcPr>
          <w:p w14:paraId="2545EA6A" w14:textId="25950905"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063EAC5E" w14:textId="31DAC2B5"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r>
      <w:tr w:rsidR="00342CD1" w:rsidRPr="00AB2612" w14:paraId="25EA4368" w14:textId="77777777" w:rsidTr="00CD0EDE">
        <w:trPr>
          <w:trHeight w:val="204"/>
        </w:trPr>
        <w:tc>
          <w:tcPr>
            <w:tcW w:w="2552" w:type="dxa"/>
            <w:tcBorders>
              <w:top w:val="nil"/>
              <w:left w:val="nil"/>
              <w:bottom w:val="nil"/>
              <w:right w:val="nil"/>
            </w:tcBorders>
            <w:shd w:val="clear" w:color="auto" w:fill="auto"/>
            <w:noWrap/>
            <w:vAlign w:val="bottom"/>
            <w:hideMark/>
          </w:tcPr>
          <w:p w14:paraId="6F036FFE" w14:textId="24F369F3" w:rsidR="00342CD1" w:rsidRPr="00AB2612" w:rsidRDefault="00342CD1" w:rsidP="00342CD1">
            <w:pPr>
              <w:spacing w:after="0" w:line="240" w:lineRule="auto"/>
              <w:jc w:val="left"/>
              <w:rPr>
                <w:rFonts w:ascii="Arial" w:hAnsi="Arial" w:cs="Arial"/>
                <w:bCs/>
                <w:sz w:val="16"/>
                <w:szCs w:val="16"/>
              </w:rPr>
            </w:pPr>
            <w:r>
              <w:rPr>
                <w:rFonts w:ascii="Arial" w:hAnsi="Arial" w:cs="Arial"/>
                <w:sz w:val="16"/>
                <w:szCs w:val="16"/>
              </w:rPr>
              <w:t>Digital Economy Strategy</w:t>
            </w:r>
            <w:r w:rsidR="00EB6CBF">
              <w:rPr>
                <w:rFonts w:ascii="Arial" w:hAnsi="Arial" w:cs="Arial"/>
                <w:sz w:val="16"/>
                <w:szCs w:val="16"/>
              </w:rPr>
              <w:t xml:space="preserve"> </w:t>
            </w:r>
            <w:r w:rsidR="004B3735" w:rsidRPr="004B3735">
              <w:rPr>
                <w:rFonts w:ascii="Arial" w:hAnsi="Arial" w:cs="Arial"/>
                <w:sz w:val="16"/>
                <w:szCs w:val="16"/>
                <w:vertAlign w:val="superscript"/>
              </w:rPr>
              <w:t>(d)</w:t>
            </w:r>
          </w:p>
        </w:tc>
        <w:tc>
          <w:tcPr>
            <w:tcW w:w="830" w:type="dxa"/>
            <w:tcBorders>
              <w:top w:val="nil"/>
              <w:left w:val="nil"/>
              <w:bottom w:val="nil"/>
              <w:right w:val="nil"/>
            </w:tcBorders>
            <w:shd w:val="clear" w:color="auto" w:fill="auto"/>
            <w:noWrap/>
            <w:hideMark/>
          </w:tcPr>
          <w:p w14:paraId="71EC4AAC" w14:textId="512BD43E"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5.1, 5.2</w:t>
            </w:r>
          </w:p>
        </w:tc>
        <w:tc>
          <w:tcPr>
            <w:tcW w:w="877" w:type="dxa"/>
            <w:tcBorders>
              <w:top w:val="nil"/>
              <w:left w:val="nil"/>
              <w:bottom w:val="nil"/>
              <w:right w:val="nil"/>
            </w:tcBorders>
            <w:shd w:val="clear" w:color="000000" w:fill="E6E6E6"/>
            <w:noWrap/>
            <w:vAlign w:val="bottom"/>
            <w:hideMark/>
          </w:tcPr>
          <w:p w14:paraId="10F99BCD" w14:textId="7D969306"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52DACFED" w14:textId="77777777"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2F67A9BD" w14:textId="71B07E7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36E78E0E" w14:textId="77777777"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C41731E" w14:textId="3604B211"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549026FA" w14:textId="77777777" w:rsidTr="00CD0EDE">
        <w:trPr>
          <w:trHeight w:val="204"/>
        </w:trPr>
        <w:tc>
          <w:tcPr>
            <w:tcW w:w="2552" w:type="dxa"/>
            <w:tcBorders>
              <w:top w:val="nil"/>
              <w:left w:val="nil"/>
              <w:bottom w:val="nil"/>
              <w:right w:val="nil"/>
            </w:tcBorders>
            <w:shd w:val="clear" w:color="auto" w:fill="auto"/>
            <w:noWrap/>
            <w:vAlign w:val="bottom"/>
            <w:hideMark/>
          </w:tcPr>
          <w:p w14:paraId="2728A9DA" w14:textId="678FDEE0" w:rsidR="00342CD1" w:rsidRPr="00E03A92" w:rsidRDefault="00342CD1" w:rsidP="00342CD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830" w:type="dxa"/>
            <w:tcBorders>
              <w:top w:val="nil"/>
              <w:left w:val="nil"/>
              <w:bottom w:val="nil"/>
              <w:right w:val="nil"/>
            </w:tcBorders>
            <w:shd w:val="clear" w:color="auto" w:fill="auto"/>
            <w:noWrap/>
            <w:hideMark/>
          </w:tcPr>
          <w:p w14:paraId="5E08C518"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117E0CB4" w14:textId="084A75A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BBA06D8" w14:textId="750C749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3,367 </w:t>
            </w:r>
          </w:p>
        </w:tc>
        <w:tc>
          <w:tcPr>
            <w:tcW w:w="812" w:type="dxa"/>
            <w:tcBorders>
              <w:top w:val="nil"/>
              <w:left w:val="nil"/>
              <w:bottom w:val="nil"/>
              <w:right w:val="nil"/>
            </w:tcBorders>
            <w:shd w:val="clear" w:color="000000" w:fill="E6E6E6"/>
            <w:noWrap/>
            <w:vAlign w:val="bottom"/>
            <w:hideMark/>
          </w:tcPr>
          <w:p w14:paraId="1AA561D1" w14:textId="117265F3"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3,386 </w:t>
            </w:r>
          </w:p>
        </w:tc>
        <w:tc>
          <w:tcPr>
            <w:tcW w:w="896" w:type="dxa"/>
            <w:tcBorders>
              <w:top w:val="nil"/>
              <w:left w:val="nil"/>
              <w:bottom w:val="nil"/>
              <w:right w:val="nil"/>
            </w:tcBorders>
            <w:shd w:val="clear" w:color="auto" w:fill="auto"/>
            <w:noWrap/>
            <w:vAlign w:val="bottom"/>
            <w:hideMark/>
          </w:tcPr>
          <w:p w14:paraId="55A63E21" w14:textId="48B75387"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3,413 </w:t>
            </w:r>
          </w:p>
        </w:tc>
        <w:tc>
          <w:tcPr>
            <w:tcW w:w="850" w:type="dxa"/>
            <w:tcBorders>
              <w:top w:val="nil"/>
              <w:left w:val="nil"/>
              <w:bottom w:val="nil"/>
              <w:right w:val="nil"/>
            </w:tcBorders>
            <w:shd w:val="clear" w:color="000000" w:fill="E6E6E6"/>
            <w:noWrap/>
            <w:vAlign w:val="bottom"/>
            <w:hideMark/>
          </w:tcPr>
          <w:p w14:paraId="65AA6276" w14:textId="3B14ADC7"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3,436 </w:t>
            </w:r>
          </w:p>
        </w:tc>
      </w:tr>
      <w:tr w:rsidR="00342CD1" w:rsidRPr="00AB2612" w14:paraId="22957ABC" w14:textId="77777777" w:rsidTr="00CD0EDE">
        <w:trPr>
          <w:trHeight w:val="204"/>
        </w:trPr>
        <w:tc>
          <w:tcPr>
            <w:tcW w:w="2552" w:type="dxa"/>
            <w:tcBorders>
              <w:top w:val="nil"/>
              <w:left w:val="nil"/>
              <w:bottom w:val="nil"/>
              <w:right w:val="nil"/>
            </w:tcBorders>
            <w:shd w:val="clear" w:color="auto" w:fill="auto"/>
            <w:noWrap/>
            <w:vAlign w:val="bottom"/>
            <w:hideMark/>
          </w:tcPr>
          <w:p w14:paraId="3934240E" w14:textId="05E49F7F" w:rsidR="00342CD1" w:rsidRPr="00E03A92"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205801C2"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6B482CB1" w14:textId="37EF0C16"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4AE76B80" w14:textId="2D5179DE"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3,367 </w:t>
            </w:r>
          </w:p>
        </w:tc>
        <w:tc>
          <w:tcPr>
            <w:tcW w:w="812" w:type="dxa"/>
            <w:tcBorders>
              <w:top w:val="nil"/>
              <w:left w:val="nil"/>
              <w:bottom w:val="nil"/>
              <w:right w:val="nil"/>
            </w:tcBorders>
            <w:shd w:val="clear" w:color="000000" w:fill="E6E6E6"/>
            <w:noWrap/>
            <w:vAlign w:val="bottom"/>
            <w:hideMark/>
          </w:tcPr>
          <w:p w14:paraId="2B13E83D" w14:textId="52431AE1"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3,386 </w:t>
            </w:r>
          </w:p>
        </w:tc>
        <w:tc>
          <w:tcPr>
            <w:tcW w:w="896" w:type="dxa"/>
            <w:tcBorders>
              <w:top w:val="nil"/>
              <w:left w:val="nil"/>
              <w:bottom w:val="nil"/>
              <w:right w:val="nil"/>
            </w:tcBorders>
            <w:shd w:val="clear" w:color="auto" w:fill="auto"/>
            <w:noWrap/>
            <w:vAlign w:val="bottom"/>
            <w:hideMark/>
          </w:tcPr>
          <w:p w14:paraId="35C144BA" w14:textId="6CB14836"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3,413 </w:t>
            </w:r>
          </w:p>
        </w:tc>
        <w:tc>
          <w:tcPr>
            <w:tcW w:w="850" w:type="dxa"/>
            <w:tcBorders>
              <w:top w:val="nil"/>
              <w:left w:val="nil"/>
              <w:bottom w:val="nil"/>
              <w:right w:val="nil"/>
            </w:tcBorders>
            <w:shd w:val="clear" w:color="000000" w:fill="E6E6E6"/>
            <w:noWrap/>
            <w:vAlign w:val="bottom"/>
            <w:hideMark/>
          </w:tcPr>
          <w:p w14:paraId="527661DF" w14:textId="7FD663DE"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3,436 </w:t>
            </w:r>
          </w:p>
        </w:tc>
      </w:tr>
      <w:tr w:rsidR="00342CD1" w:rsidRPr="00AB2612" w14:paraId="53F7D779" w14:textId="77777777" w:rsidTr="00CD0EDE">
        <w:trPr>
          <w:trHeight w:val="204"/>
        </w:trPr>
        <w:tc>
          <w:tcPr>
            <w:tcW w:w="2552" w:type="dxa"/>
            <w:tcBorders>
              <w:top w:val="nil"/>
              <w:left w:val="nil"/>
              <w:bottom w:val="nil"/>
              <w:right w:val="nil"/>
            </w:tcBorders>
            <w:shd w:val="clear" w:color="auto" w:fill="auto"/>
            <w:noWrap/>
            <w:vAlign w:val="bottom"/>
            <w:hideMark/>
          </w:tcPr>
          <w:p w14:paraId="5B924627" w14:textId="5ADE1EC5" w:rsidR="00342CD1" w:rsidRPr="00AB2612" w:rsidRDefault="00342CD1" w:rsidP="00342CD1">
            <w:pPr>
              <w:spacing w:after="0" w:line="240" w:lineRule="auto"/>
              <w:jc w:val="left"/>
              <w:rPr>
                <w:rFonts w:ascii="Arial" w:hAnsi="Arial" w:cs="Arial"/>
                <w:b/>
                <w:bCs/>
                <w:sz w:val="16"/>
                <w:szCs w:val="16"/>
              </w:rPr>
            </w:pPr>
            <w:r>
              <w:rPr>
                <w:rFonts w:ascii="Arial" w:hAnsi="Arial" w:cs="Arial"/>
                <w:sz w:val="16"/>
                <w:szCs w:val="16"/>
              </w:rPr>
              <w:t>Disaster Support</w:t>
            </w:r>
            <w:r>
              <w:rPr>
                <w:rFonts w:ascii="Arial" w:hAnsi="Arial" w:cs="Arial"/>
                <w:sz w:val="16"/>
                <w:szCs w:val="16"/>
                <w:vertAlign w:val="superscript"/>
              </w:rPr>
              <w:t xml:space="preserve"> (c)</w:t>
            </w:r>
          </w:p>
        </w:tc>
        <w:tc>
          <w:tcPr>
            <w:tcW w:w="830" w:type="dxa"/>
            <w:tcBorders>
              <w:top w:val="nil"/>
              <w:left w:val="nil"/>
              <w:bottom w:val="nil"/>
              <w:right w:val="nil"/>
            </w:tcBorders>
            <w:shd w:val="clear" w:color="auto" w:fill="auto"/>
            <w:noWrap/>
            <w:hideMark/>
          </w:tcPr>
          <w:p w14:paraId="159A276E" w14:textId="79BC1D3C"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5.1, 5.2</w:t>
            </w:r>
          </w:p>
        </w:tc>
        <w:tc>
          <w:tcPr>
            <w:tcW w:w="877" w:type="dxa"/>
            <w:tcBorders>
              <w:top w:val="nil"/>
              <w:left w:val="nil"/>
              <w:bottom w:val="nil"/>
              <w:right w:val="nil"/>
            </w:tcBorders>
            <w:shd w:val="clear" w:color="000000" w:fill="E6E6E6"/>
            <w:noWrap/>
            <w:vAlign w:val="bottom"/>
            <w:hideMark/>
          </w:tcPr>
          <w:p w14:paraId="55E75198" w14:textId="4EA33F21"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26321B9F" w14:textId="6D689BC2"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6B5A6FB6" w14:textId="599FEAB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077C87DD" w14:textId="3A6C453D"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F74EEBE" w14:textId="2797F8C9"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7B8B3A64" w14:textId="77777777" w:rsidTr="00CD0EDE">
        <w:trPr>
          <w:trHeight w:val="204"/>
        </w:trPr>
        <w:tc>
          <w:tcPr>
            <w:tcW w:w="2552" w:type="dxa"/>
            <w:tcBorders>
              <w:top w:val="nil"/>
              <w:left w:val="nil"/>
              <w:bottom w:val="nil"/>
              <w:right w:val="nil"/>
            </w:tcBorders>
            <w:shd w:val="clear" w:color="auto" w:fill="auto"/>
            <w:noWrap/>
            <w:vAlign w:val="bottom"/>
            <w:hideMark/>
          </w:tcPr>
          <w:p w14:paraId="66121EBD" w14:textId="26BC6ADE"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60321412" w14:textId="6994CA0E"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C38E774" w14:textId="6D0A12A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20" w:type="dxa"/>
            <w:tcBorders>
              <w:top w:val="nil"/>
              <w:left w:val="nil"/>
              <w:bottom w:val="nil"/>
              <w:right w:val="nil"/>
            </w:tcBorders>
            <w:shd w:val="clear" w:color="auto" w:fill="auto"/>
            <w:noWrap/>
            <w:vAlign w:val="bottom"/>
            <w:hideMark/>
          </w:tcPr>
          <w:p w14:paraId="2E144314" w14:textId="03938D7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12" w:type="dxa"/>
            <w:tcBorders>
              <w:top w:val="nil"/>
              <w:left w:val="nil"/>
              <w:bottom w:val="nil"/>
              <w:right w:val="nil"/>
            </w:tcBorders>
            <w:shd w:val="clear" w:color="000000" w:fill="E6E6E6"/>
            <w:noWrap/>
            <w:vAlign w:val="bottom"/>
            <w:hideMark/>
          </w:tcPr>
          <w:p w14:paraId="5A5E2C82" w14:textId="7F4DEB87"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96" w:type="dxa"/>
            <w:tcBorders>
              <w:top w:val="nil"/>
              <w:left w:val="nil"/>
              <w:bottom w:val="nil"/>
              <w:right w:val="nil"/>
            </w:tcBorders>
            <w:shd w:val="clear" w:color="auto" w:fill="auto"/>
            <w:noWrap/>
            <w:vAlign w:val="bottom"/>
            <w:hideMark/>
          </w:tcPr>
          <w:p w14:paraId="69DE53B0" w14:textId="352F8DB5"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50" w:type="dxa"/>
            <w:tcBorders>
              <w:top w:val="nil"/>
              <w:left w:val="nil"/>
              <w:bottom w:val="nil"/>
              <w:right w:val="nil"/>
            </w:tcBorders>
            <w:shd w:val="clear" w:color="000000" w:fill="E6E6E6"/>
            <w:noWrap/>
            <w:vAlign w:val="bottom"/>
            <w:hideMark/>
          </w:tcPr>
          <w:p w14:paraId="113D6653" w14:textId="7402F172"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r>
      <w:tr w:rsidR="00342CD1" w:rsidRPr="00AB2612" w14:paraId="7343E961" w14:textId="77777777" w:rsidTr="00CD0EDE">
        <w:trPr>
          <w:trHeight w:val="204"/>
        </w:trPr>
        <w:tc>
          <w:tcPr>
            <w:tcW w:w="2552" w:type="dxa"/>
            <w:tcBorders>
              <w:top w:val="nil"/>
              <w:left w:val="nil"/>
              <w:bottom w:val="nil"/>
              <w:right w:val="nil"/>
            </w:tcBorders>
            <w:shd w:val="clear" w:color="auto" w:fill="auto"/>
            <w:noWrap/>
            <w:vAlign w:val="bottom"/>
            <w:hideMark/>
          </w:tcPr>
          <w:p w14:paraId="274C1008" w14:textId="7B7DEF63" w:rsidR="00342CD1" w:rsidRPr="00E03A92" w:rsidRDefault="00342CD1" w:rsidP="00342CD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830" w:type="dxa"/>
            <w:tcBorders>
              <w:top w:val="nil"/>
              <w:left w:val="nil"/>
              <w:bottom w:val="nil"/>
              <w:right w:val="nil"/>
            </w:tcBorders>
            <w:shd w:val="clear" w:color="auto" w:fill="auto"/>
            <w:noWrap/>
            <w:hideMark/>
          </w:tcPr>
          <w:p w14:paraId="2C0FC691"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4418356" w14:textId="543F5FD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20" w:type="dxa"/>
            <w:tcBorders>
              <w:top w:val="nil"/>
              <w:left w:val="nil"/>
              <w:bottom w:val="nil"/>
              <w:right w:val="nil"/>
            </w:tcBorders>
            <w:shd w:val="clear" w:color="auto" w:fill="auto"/>
            <w:noWrap/>
            <w:vAlign w:val="bottom"/>
            <w:hideMark/>
          </w:tcPr>
          <w:p w14:paraId="10587235" w14:textId="0B0C4086"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12" w:type="dxa"/>
            <w:tcBorders>
              <w:top w:val="nil"/>
              <w:left w:val="nil"/>
              <w:bottom w:val="nil"/>
              <w:right w:val="nil"/>
            </w:tcBorders>
            <w:shd w:val="clear" w:color="000000" w:fill="E6E6E6"/>
            <w:noWrap/>
            <w:vAlign w:val="bottom"/>
            <w:hideMark/>
          </w:tcPr>
          <w:p w14:paraId="2C220763" w14:textId="4D13867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96" w:type="dxa"/>
            <w:tcBorders>
              <w:top w:val="nil"/>
              <w:left w:val="nil"/>
              <w:bottom w:val="nil"/>
              <w:right w:val="nil"/>
            </w:tcBorders>
            <w:shd w:val="clear" w:color="auto" w:fill="auto"/>
            <w:noWrap/>
            <w:vAlign w:val="bottom"/>
            <w:hideMark/>
          </w:tcPr>
          <w:p w14:paraId="30823A48" w14:textId="09C27009"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c>
          <w:tcPr>
            <w:tcW w:w="850" w:type="dxa"/>
            <w:tcBorders>
              <w:top w:val="nil"/>
              <w:left w:val="nil"/>
              <w:bottom w:val="nil"/>
              <w:right w:val="nil"/>
            </w:tcBorders>
            <w:shd w:val="clear" w:color="000000" w:fill="E6E6E6"/>
            <w:noWrap/>
            <w:vAlign w:val="bottom"/>
            <w:hideMark/>
          </w:tcPr>
          <w:p w14:paraId="0F02A36B" w14:textId="4B1B0BE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nfp</w:t>
            </w:r>
          </w:p>
        </w:tc>
      </w:tr>
      <w:tr w:rsidR="00342CD1" w:rsidRPr="00AB2612" w14:paraId="57A6DC94" w14:textId="77777777" w:rsidTr="00CD0EDE">
        <w:trPr>
          <w:trHeight w:val="204"/>
        </w:trPr>
        <w:tc>
          <w:tcPr>
            <w:tcW w:w="2552" w:type="dxa"/>
            <w:tcBorders>
              <w:top w:val="nil"/>
              <w:left w:val="nil"/>
              <w:bottom w:val="nil"/>
              <w:right w:val="nil"/>
            </w:tcBorders>
            <w:shd w:val="clear" w:color="auto" w:fill="auto"/>
            <w:noWrap/>
            <w:vAlign w:val="bottom"/>
            <w:hideMark/>
          </w:tcPr>
          <w:p w14:paraId="0F5D2035" w14:textId="491B933E" w:rsidR="00342CD1" w:rsidRPr="00E03A92"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02A94F60"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3456B93E" w14:textId="28E514E4"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7E0D4F2C" w14:textId="1D3A1C62"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12" w:type="dxa"/>
            <w:tcBorders>
              <w:top w:val="nil"/>
              <w:left w:val="nil"/>
              <w:bottom w:val="nil"/>
              <w:right w:val="nil"/>
            </w:tcBorders>
            <w:shd w:val="clear" w:color="000000" w:fill="E6E6E6"/>
            <w:noWrap/>
            <w:vAlign w:val="bottom"/>
            <w:hideMark/>
          </w:tcPr>
          <w:p w14:paraId="5FA33F0C" w14:textId="42CFBAA0"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96" w:type="dxa"/>
            <w:tcBorders>
              <w:top w:val="nil"/>
              <w:left w:val="nil"/>
              <w:bottom w:val="nil"/>
              <w:right w:val="nil"/>
            </w:tcBorders>
            <w:shd w:val="clear" w:color="auto" w:fill="auto"/>
            <w:noWrap/>
            <w:vAlign w:val="bottom"/>
            <w:hideMark/>
          </w:tcPr>
          <w:p w14:paraId="14B69723" w14:textId="07C53598"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3BD0E325" w14:textId="7840EBC8"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r>
      <w:tr w:rsidR="00342CD1" w:rsidRPr="00AB2612" w14:paraId="0653A4E7" w14:textId="77777777" w:rsidTr="00CD0EDE">
        <w:trPr>
          <w:trHeight w:val="204"/>
        </w:trPr>
        <w:tc>
          <w:tcPr>
            <w:tcW w:w="2552" w:type="dxa"/>
            <w:tcBorders>
              <w:top w:val="nil"/>
              <w:left w:val="nil"/>
              <w:bottom w:val="nil"/>
              <w:right w:val="nil"/>
            </w:tcBorders>
            <w:shd w:val="clear" w:color="auto" w:fill="auto"/>
            <w:noWrap/>
            <w:vAlign w:val="bottom"/>
            <w:hideMark/>
          </w:tcPr>
          <w:p w14:paraId="37690750" w14:textId="0656B897" w:rsidR="00342CD1" w:rsidRPr="00AB2612" w:rsidRDefault="00342CD1" w:rsidP="00342CD1">
            <w:pPr>
              <w:spacing w:after="0" w:line="240" w:lineRule="auto"/>
              <w:jc w:val="left"/>
              <w:rPr>
                <w:rFonts w:ascii="Arial" w:hAnsi="Arial" w:cs="Arial"/>
                <w:b/>
                <w:bCs/>
                <w:sz w:val="16"/>
                <w:szCs w:val="16"/>
              </w:rPr>
            </w:pPr>
            <w:r>
              <w:rPr>
                <w:rFonts w:ascii="Arial" w:hAnsi="Arial" w:cs="Arial"/>
                <w:sz w:val="16"/>
                <w:szCs w:val="16"/>
              </w:rPr>
              <w:t>Energy Security and Regional Development Plan</w:t>
            </w:r>
          </w:p>
        </w:tc>
        <w:tc>
          <w:tcPr>
            <w:tcW w:w="830" w:type="dxa"/>
            <w:tcBorders>
              <w:top w:val="nil"/>
              <w:left w:val="nil"/>
              <w:bottom w:val="nil"/>
              <w:right w:val="nil"/>
            </w:tcBorders>
            <w:shd w:val="clear" w:color="auto" w:fill="auto"/>
            <w:noWrap/>
            <w:hideMark/>
          </w:tcPr>
          <w:p w14:paraId="534A50F8" w14:textId="7BB1DD6E"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3.1, 3.5</w:t>
            </w:r>
          </w:p>
        </w:tc>
        <w:tc>
          <w:tcPr>
            <w:tcW w:w="877" w:type="dxa"/>
            <w:tcBorders>
              <w:top w:val="nil"/>
              <w:left w:val="nil"/>
              <w:bottom w:val="nil"/>
              <w:right w:val="nil"/>
            </w:tcBorders>
            <w:shd w:val="clear" w:color="000000" w:fill="E6E6E6"/>
            <w:noWrap/>
            <w:vAlign w:val="bottom"/>
            <w:hideMark/>
          </w:tcPr>
          <w:p w14:paraId="651109D1" w14:textId="251DC3B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59B27AF4" w14:textId="6CA224F3"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2F23CF4A" w14:textId="25B48D1E"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0BD40BE6" w14:textId="30F6E134"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0D92B01" w14:textId="1D22AB2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5AEA4D0A" w14:textId="77777777" w:rsidTr="00CD0EDE">
        <w:trPr>
          <w:trHeight w:val="204"/>
        </w:trPr>
        <w:tc>
          <w:tcPr>
            <w:tcW w:w="2552" w:type="dxa"/>
            <w:tcBorders>
              <w:top w:val="nil"/>
              <w:left w:val="nil"/>
              <w:bottom w:val="nil"/>
              <w:right w:val="nil"/>
            </w:tcBorders>
            <w:shd w:val="clear" w:color="auto" w:fill="auto"/>
            <w:noWrap/>
            <w:vAlign w:val="bottom"/>
            <w:hideMark/>
          </w:tcPr>
          <w:p w14:paraId="51E9D5BC" w14:textId="6DA2D443"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12B96065" w14:textId="4C97DBB8"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6CB3C706" w14:textId="53563351"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47E72432" w14:textId="494D0805"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108,380 </w:t>
            </w:r>
          </w:p>
        </w:tc>
        <w:tc>
          <w:tcPr>
            <w:tcW w:w="812" w:type="dxa"/>
            <w:tcBorders>
              <w:top w:val="nil"/>
              <w:left w:val="nil"/>
              <w:bottom w:val="nil"/>
              <w:right w:val="nil"/>
            </w:tcBorders>
            <w:shd w:val="clear" w:color="000000" w:fill="E6E6E6"/>
            <w:noWrap/>
            <w:vAlign w:val="bottom"/>
            <w:hideMark/>
          </w:tcPr>
          <w:p w14:paraId="0964651D" w14:textId="588EB76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207,508 </w:t>
            </w:r>
          </w:p>
        </w:tc>
        <w:tc>
          <w:tcPr>
            <w:tcW w:w="896" w:type="dxa"/>
            <w:tcBorders>
              <w:top w:val="nil"/>
              <w:left w:val="nil"/>
              <w:bottom w:val="nil"/>
              <w:right w:val="nil"/>
            </w:tcBorders>
            <w:shd w:val="clear" w:color="auto" w:fill="auto"/>
            <w:noWrap/>
            <w:vAlign w:val="bottom"/>
            <w:hideMark/>
          </w:tcPr>
          <w:p w14:paraId="6B87BFEE" w14:textId="45E65A93"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462,597 </w:t>
            </w:r>
          </w:p>
        </w:tc>
        <w:tc>
          <w:tcPr>
            <w:tcW w:w="850" w:type="dxa"/>
            <w:tcBorders>
              <w:top w:val="nil"/>
              <w:left w:val="nil"/>
              <w:bottom w:val="nil"/>
              <w:right w:val="nil"/>
            </w:tcBorders>
            <w:shd w:val="clear" w:color="000000" w:fill="E6E6E6"/>
            <w:noWrap/>
            <w:vAlign w:val="bottom"/>
            <w:hideMark/>
          </w:tcPr>
          <w:p w14:paraId="51DB08B8" w14:textId="3A31DD52"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585,516 </w:t>
            </w:r>
          </w:p>
        </w:tc>
      </w:tr>
      <w:tr w:rsidR="00342CD1" w:rsidRPr="00AB2612" w14:paraId="3FB11F1B" w14:textId="77777777" w:rsidTr="00CD0EDE">
        <w:trPr>
          <w:trHeight w:val="204"/>
        </w:trPr>
        <w:tc>
          <w:tcPr>
            <w:tcW w:w="2552" w:type="dxa"/>
            <w:tcBorders>
              <w:top w:val="nil"/>
              <w:left w:val="nil"/>
              <w:bottom w:val="nil"/>
              <w:right w:val="nil"/>
            </w:tcBorders>
            <w:shd w:val="clear" w:color="auto" w:fill="auto"/>
            <w:noWrap/>
            <w:vAlign w:val="bottom"/>
            <w:hideMark/>
          </w:tcPr>
          <w:p w14:paraId="699A5C6F" w14:textId="10FC42DB"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Departmental payments</w:t>
            </w:r>
          </w:p>
        </w:tc>
        <w:tc>
          <w:tcPr>
            <w:tcW w:w="830" w:type="dxa"/>
            <w:tcBorders>
              <w:top w:val="nil"/>
              <w:left w:val="nil"/>
              <w:bottom w:val="nil"/>
              <w:right w:val="nil"/>
            </w:tcBorders>
            <w:shd w:val="clear" w:color="auto" w:fill="auto"/>
            <w:noWrap/>
            <w:hideMark/>
          </w:tcPr>
          <w:p w14:paraId="61D90C6D"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5EBEA656" w14:textId="0E22024E"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3000AEE" w14:textId="45BEF106"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10,857 </w:t>
            </w:r>
          </w:p>
        </w:tc>
        <w:tc>
          <w:tcPr>
            <w:tcW w:w="812" w:type="dxa"/>
            <w:tcBorders>
              <w:top w:val="nil"/>
              <w:left w:val="nil"/>
              <w:bottom w:val="nil"/>
              <w:right w:val="nil"/>
            </w:tcBorders>
            <w:shd w:val="clear" w:color="000000" w:fill="E6E6E6"/>
            <w:noWrap/>
            <w:vAlign w:val="bottom"/>
            <w:hideMark/>
          </w:tcPr>
          <w:p w14:paraId="43B0368F" w14:textId="0586B1E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11,019 </w:t>
            </w:r>
          </w:p>
        </w:tc>
        <w:tc>
          <w:tcPr>
            <w:tcW w:w="896" w:type="dxa"/>
            <w:tcBorders>
              <w:top w:val="nil"/>
              <w:left w:val="nil"/>
              <w:bottom w:val="nil"/>
              <w:right w:val="nil"/>
            </w:tcBorders>
            <w:shd w:val="clear" w:color="auto" w:fill="auto"/>
            <w:noWrap/>
            <w:vAlign w:val="bottom"/>
            <w:hideMark/>
          </w:tcPr>
          <w:p w14:paraId="5A29ED94" w14:textId="72122B3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10,822 </w:t>
            </w:r>
          </w:p>
        </w:tc>
        <w:tc>
          <w:tcPr>
            <w:tcW w:w="850" w:type="dxa"/>
            <w:tcBorders>
              <w:top w:val="nil"/>
              <w:left w:val="nil"/>
              <w:bottom w:val="nil"/>
              <w:right w:val="nil"/>
            </w:tcBorders>
            <w:shd w:val="clear" w:color="000000" w:fill="E6E6E6"/>
            <w:noWrap/>
            <w:vAlign w:val="bottom"/>
            <w:hideMark/>
          </w:tcPr>
          <w:p w14:paraId="158C3A9C" w14:textId="2EDB96E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9,967 </w:t>
            </w:r>
          </w:p>
        </w:tc>
      </w:tr>
      <w:tr w:rsidR="00342CD1" w:rsidRPr="00AB2612" w14:paraId="6309C187" w14:textId="77777777" w:rsidTr="00CD0EDE">
        <w:trPr>
          <w:trHeight w:val="204"/>
        </w:trPr>
        <w:tc>
          <w:tcPr>
            <w:tcW w:w="2552" w:type="dxa"/>
            <w:tcBorders>
              <w:top w:val="nil"/>
              <w:left w:val="nil"/>
              <w:bottom w:val="nil"/>
              <w:right w:val="nil"/>
            </w:tcBorders>
            <w:shd w:val="clear" w:color="auto" w:fill="auto"/>
            <w:noWrap/>
            <w:vAlign w:val="bottom"/>
            <w:hideMark/>
          </w:tcPr>
          <w:p w14:paraId="09031DA3" w14:textId="0528CB1A" w:rsidR="00342CD1" w:rsidRPr="00AB2612" w:rsidRDefault="00342CD1" w:rsidP="00342CD1">
            <w:pPr>
              <w:spacing w:after="0" w:line="240" w:lineRule="auto"/>
              <w:jc w:val="left"/>
              <w:rPr>
                <w:rFonts w:ascii="Arial" w:hAnsi="Arial" w:cs="Arial"/>
                <w:b/>
                <w:bCs/>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5794ACFC"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DBD3747" w14:textId="04A581D1"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5EFEA909" w14:textId="1A829E83"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119,237 </w:t>
            </w:r>
          </w:p>
        </w:tc>
        <w:tc>
          <w:tcPr>
            <w:tcW w:w="812" w:type="dxa"/>
            <w:tcBorders>
              <w:top w:val="nil"/>
              <w:left w:val="nil"/>
              <w:bottom w:val="nil"/>
              <w:right w:val="nil"/>
            </w:tcBorders>
            <w:shd w:val="clear" w:color="000000" w:fill="E6E6E6"/>
            <w:noWrap/>
            <w:vAlign w:val="bottom"/>
            <w:hideMark/>
          </w:tcPr>
          <w:p w14:paraId="6AA79D0D" w14:textId="650D5C6C"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218,527 </w:t>
            </w:r>
          </w:p>
        </w:tc>
        <w:tc>
          <w:tcPr>
            <w:tcW w:w="896" w:type="dxa"/>
            <w:tcBorders>
              <w:top w:val="nil"/>
              <w:left w:val="nil"/>
              <w:bottom w:val="nil"/>
              <w:right w:val="nil"/>
            </w:tcBorders>
            <w:shd w:val="clear" w:color="auto" w:fill="auto"/>
            <w:noWrap/>
            <w:vAlign w:val="bottom"/>
            <w:hideMark/>
          </w:tcPr>
          <w:p w14:paraId="3B40F34F" w14:textId="1E57F4B0"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473,419 </w:t>
            </w:r>
          </w:p>
        </w:tc>
        <w:tc>
          <w:tcPr>
            <w:tcW w:w="850" w:type="dxa"/>
            <w:tcBorders>
              <w:top w:val="nil"/>
              <w:left w:val="nil"/>
              <w:bottom w:val="nil"/>
              <w:right w:val="nil"/>
            </w:tcBorders>
            <w:shd w:val="clear" w:color="000000" w:fill="E6E6E6"/>
            <w:noWrap/>
            <w:vAlign w:val="bottom"/>
            <w:hideMark/>
          </w:tcPr>
          <w:p w14:paraId="45C2F3A4" w14:textId="132DD0DD"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595,483 </w:t>
            </w:r>
          </w:p>
        </w:tc>
      </w:tr>
      <w:tr w:rsidR="00342CD1" w:rsidRPr="00AB2612" w14:paraId="3D139A56" w14:textId="77777777" w:rsidTr="00CD0EDE">
        <w:trPr>
          <w:trHeight w:val="204"/>
        </w:trPr>
        <w:tc>
          <w:tcPr>
            <w:tcW w:w="2552" w:type="dxa"/>
            <w:tcBorders>
              <w:top w:val="nil"/>
              <w:left w:val="nil"/>
              <w:bottom w:val="nil"/>
              <w:right w:val="nil"/>
            </w:tcBorders>
            <w:shd w:val="clear" w:color="auto" w:fill="auto"/>
            <w:noWrap/>
            <w:vAlign w:val="bottom"/>
            <w:hideMark/>
          </w:tcPr>
          <w:p w14:paraId="085247EA" w14:textId="5B938E08" w:rsidR="00342CD1" w:rsidRPr="00AB2612" w:rsidRDefault="00342CD1" w:rsidP="00342CD1">
            <w:pPr>
              <w:spacing w:after="0" w:line="240" w:lineRule="auto"/>
              <w:jc w:val="left"/>
              <w:rPr>
                <w:rFonts w:ascii="Arial" w:hAnsi="Arial" w:cs="Arial"/>
                <w:bCs/>
                <w:sz w:val="16"/>
                <w:szCs w:val="16"/>
              </w:rPr>
            </w:pPr>
            <w:r>
              <w:rPr>
                <w:rFonts w:ascii="Arial" w:hAnsi="Arial" w:cs="Arial"/>
                <w:sz w:val="16"/>
                <w:szCs w:val="16"/>
              </w:rPr>
              <w:t>Government Response to 2021 Regional Telecommunications Review</w:t>
            </w:r>
          </w:p>
        </w:tc>
        <w:tc>
          <w:tcPr>
            <w:tcW w:w="830" w:type="dxa"/>
            <w:tcBorders>
              <w:top w:val="nil"/>
              <w:left w:val="nil"/>
              <w:bottom w:val="nil"/>
              <w:right w:val="nil"/>
            </w:tcBorders>
            <w:shd w:val="clear" w:color="auto" w:fill="auto"/>
            <w:noWrap/>
            <w:hideMark/>
          </w:tcPr>
          <w:p w14:paraId="579D96C0" w14:textId="527C345A"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5.1, 5.2</w:t>
            </w:r>
          </w:p>
        </w:tc>
        <w:tc>
          <w:tcPr>
            <w:tcW w:w="877" w:type="dxa"/>
            <w:tcBorders>
              <w:top w:val="nil"/>
              <w:left w:val="nil"/>
              <w:bottom w:val="nil"/>
              <w:right w:val="nil"/>
            </w:tcBorders>
            <w:shd w:val="clear" w:color="000000" w:fill="E6E6E6"/>
            <w:noWrap/>
            <w:vAlign w:val="bottom"/>
            <w:hideMark/>
          </w:tcPr>
          <w:p w14:paraId="53AD2D2C" w14:textId="2187271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35AAE0A1" w14:textId="77777777"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77784CB0" w14:textId="1F4D8842"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5D22F1B9" w14:textId="77777777"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0A034BA" w14:textId="197A2EF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746A2E27" w14:textId="77777777" w:rsidTr="00CD0EDE">
        <w:trPr>
          <w:trHeight w:val="204"/>
        </w:trPr>
        <w:tc>
          <w:tcPr>
            <w:tcW w:w="2552" w:type="dxa"/>
            <w:tcBorders>
              <w:top w:val="nil"/>
              <w:left w:val="nil"/>
              <w:bottom w:val="nil"/>
              <w:right w:val="nil"/>
            </w:tcBorders>
            <w:shd w:val="clear" w:color="auto" w:fill="auto"/>
            <w:noWrap/>
            <w:vAlign w:val="bottom"/>
            <w:hideMark/>
          </w:tcPr>
          <w:p w14:paraId="3414BC1F" w14:textId="00671710"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1A81B3CD"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CDB7E56" w14:textId="441082B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480,000 </w:t>
            </w:r>
          </w:p>
        </w:tc>
        <w:tc>
          <w:tcPr>
            <w:tcW w:w="820" w:type="dxa"/>
            <w:tcBorders>
              <w:top w:val="nil"/>
              <w:left w:val="nil"/>
              <w:bottom w:val="nil"/>
              <w:right w:val="nil"/>
            </w:tcBorders>
            <w:shd w:val="clear" w:color="auto" w:fill="auto"/>
            <w:noWrap/>
            <w:vAlign w:val="bottom"/>
            <w:hideMark/>
          </w:tcPr>
          <w:p w14:paraId="0B8A924C" w14:textId="24724FAE"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97,800 </w:t>
            </w:r>
          </w:p>
        </w:tc>
        <w:tc>
          <w:tcPr>
            <w:tcW w:w="812" w:type="dxa"/>
            <w:tcBorders>
              <w:top w:val="nil"/>
              <w:left w:val="nil"/>
              <w:bottom w:val="nil"/>
              <w:right w:val="nil"/>
            </w:tcBorders>
            <w:shd w:val="clear" w:color="000000" w:fill="E6E6E6"/>
            <w:noWrap/>
            <w:vAlign w:val="bottom"/>
            <w:hideMark/>
          </w:tcPr>
          <w:p w14:paraId="5E1B1432" w14:textId="2D4C7FC2"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169,800 </w:t>
            </w:r>
          </w:p>
        </w:tc>
        <w:tc>
          <w:tcPr>
            <w:tcW w:w="896" w:type="dxa"/>
            <w:tcBorders>
              <w:top w:val="nil"/>
              <w:left w:val="nil"/>
              <w:bottom w:val="nil"/>
              <w:right w:val="nil"/>
            </w:tcBorders>
            <w:shd w:val="clear" w:color="auto" w:fill="auto"/>
            <w:noWrap/>
            <w:vAlign w:val="bottom"/>
            <w:hideMark/>
          </w:tcPr>
          <w:p w14:paraId="4FE2B0E8" w14:textId="7A20B6C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169,800 </w:t>
            </w:r>
          </w:p>
        </w:tc>
        <w:tc>
          <w:tcPr>
            <w:tcW w:w="850" w:type="dxa"/>
            <w:tcBorders>
              <w:top w:val="nil"/>
              <w:left w:val="nil"/>
              <w:bottom w:val="nil"/>
              <w:right w:val="nil"/>
            </w:tcBorders>
            <w:shd w:val="clear" w:color="000000" w:fill="E6E6E6"/>
            <w:noWrap/>
            <w:vAlign w:val="bottom"/>
            <w:hideMark/>
          </w:tcPr>
          <w:p w14:paraId="46A99FF4" w14:textId="2D5396EE"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179,000 </w:t>
            </w:r>
          </w:p>
        </w:tc>
      </w:tr>
      <w:tr w:rsidR="00342CD1" w:rsidRPr="00AB2612" w14:paraId="4D0BC39D" w14:textId="77777777" w:rsidTr="00CD0EDE">
        <w:trPr>
          <w:trHeight w:val="204"/>
        </w:trPr>
        <w:tc>
          <w:tcPr>
            <w:tcW w:w="2552" w:type="dxa"/>
            <w:tcBorders>
              <w:top w:val="nil"/>
              <w:left w:val="nil"/>
              <w:bottom w:val="nil"/>
              <w:right w:val="nil"/>
            </w:tcBorders>
            <w:shd w:val="clear" w:color="auto" w:fill="auto"/>
            <w:noWrap/>
            <w:vAlign w:val="bottom"/>
            <w:hideMark/>
          </w:tcPr>
          <w:p w14:paraId="28797831" w14:textId="64CBFFDC" w:rsidR="00342CD1" w:rsidRPr="00AB2612" w:rsidRDefault="00342CD1" w:rsidP="00342CD1">
            <w:pPr>
              <w:spacing w:after="0" w:line="240" w:lineRule="auto"/>
              <w:ind w:left="113"/>
              <w:jc w:val="left"/>
              <w:rPr>
                <w:rFonts w:ascii="Arial" w:hAnsi="Arial" w:cs="Arial"/>
                <w:b/>
                <w:bCs/>
                <w:sz w:val="16"/>
                <w:szCs w:val="16"/>
              </w:rPr>
            </w:pPr>
            <w:r>
              <w:rPr>
                <w:rFonts w:ascii="Arial" w:hAnsi="Arial" w:cs="Arial"/>
                <w:sz w:val="16"/>
                <w:szCs w:val="16"/>
              </w:rPr>
              <w:t>Departmental payments</w:t>
            </w:r>
          </w:p>
        </w:tc>
        <w:tc>
          <w:tcPr>
            <w:tcW w:w="830" w:type="dxa"/>
            <w:tcBorders>
              <w:top w:val="nil"/>
              <w:left w:val="nil"/>
              <w:bottom w:val="nil"/>
              <w:right w:val="nil"/>
            </w:tcBorders>
            <w:shd w:val="clear" w:color="auto" w:fill="auto"/>
            <w:noWrap/>
            <w:hideMark/>
          </w:tcPr>
          <w:p w14:paraId="5704CA8A"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6DDAE8B2" w14:textId="4B008EF5"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021DE955" w14:textId="148C585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6,075 </w:t>
            </w:r>
          </w:p>
        </w:tc>
        <w:tc>
          <w:tcPr>
            <w:tcW w:w="812" w:type="dxa"/>
            <w:tcBorders>
              <w:top w:val="nil"/>
              <w:left w:val="nil"/>
              <w:bottom w:val="nil"/>
              <w:right w:val="nil"/>
            </w:tcBorders>
            <w:shd w:val="clear" w:color="000000" w:fill="E6E6E6"/>
            <w:noWrap/>
            <w:vAlign w:val="bottom"/>
            <w:hideMark/>
          </w:tcPr>
          <w:p w14:paraId="508D0E50" w14:textId="3E082FD9"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7,137 </w:t>
            </w:r>
          </w:p>
        </w:tc>
        <w:tc>
          <w:tcPr>
            <w:tcW w:w="896" w:type="dxa"/>
            <w:tcBorders>
              <w:top w:val="nil"/>
              <w:left w:val="nil"/>
              <w:bottom w:val="nil"/>
              <w:right w:val="nil"/>
            </w:tcBorders>
            <w:shd w:val="clear" w:color="auto" w:fill="auto"/>
            <w:noWrap/>
            <w:vAlign w:val="bottom"/>
            <w:hideMark/>
          </w:tcPr>
          <w:p w14:paraId="4E6AE1E4" w14:textId="03BEC74D"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5,373 </w:t>
            </w:r>
          </w:p>
        </w:tc>
        <w:tc>
          <w:tcPr>
            <w:tcW w:w="850" w:type="dxa"/>
            <w:tcBorders>
              <w:top w:val="nil"/>
              <w:left w:val="nil"/>
              <w:bottom w:val="nil"/>
              <w:right w:val="nil"/>
            </w:tcBorders>
            <w:shd w:val="clear" w:color="000000" w:fill="E6E6E6"/>
            <w:noWrap/>
            <w:vAlign w:val="bottom"/>
            <w:hideMark/>
          </w:tcPr>
          <w:p w14:paraId="7568B59A" w14:textId="50AF1E6E"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3,883 </w:t>
            </w:r>
          </w:p>
        </w:tc>
      </w:tr>
      <w:tr w:rsidR="00342CD1" w:rsidRPr="00AB2612" w14:paraId="1F4821F6" w14:textId="77777777" w:rsidTr="00CD0EDE">
        <w:trPr>
          <w:trHeight w:val="204"/>
        </w:trPr>
        <w:tc>
          <w:tcPr>
            <w:tcW w:w="2552" w:type="dxa"/>
            <w:tcBorders>
              <w:top w:val="nil"/>
              <w:left w:val="nil"/>
              <w:bottom w:val="nil"/>
              <w:right w:val="nil"/>
            </w:tcBorders>
            <w:shd w:val="clear" w:color="auto" w:fill="auto"/>
            <w:noWrap/>
            <w:vAlign w:val="bottom"/>
            <w:hideMark/>
          </w:tcPr>
          <w:p w14:paraId="575C42D0" w14:textId="535281F0" w:rsidR="00342CD1" w:rsidRPr="00AB2612" w:rsidRDefault="00342CD1" w:rsidP="00342CD1">
            <w:pPr>
              <w:spacing w:after="0" w:line="240" w:lineRule="auto"/>
              <w:jc w:val="left"/>
              <w:rPr>
                <w:rFonts w:ascii="Arial" w:hAnsi="Arial" w:cs="Arial"/>
                <w:bCs/>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097C0B2B" w14:textId="3392C8E5"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6C52FC8" w14:textId="508340D1"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480,000 </w:t>
            </w:r>
          </w:p>
        </w:tc>
        <w:tc>
          <w:tcPr>
            <w:tcW w:w="820" w:type="dxa"/>
            <w:tcBorders>
              <w:top w:val="nil"/>
              <w:left w:val="nil"/>
              <w:bottom w:val="nil"/>
              <w:right w:val="nil"/>
            </w:tcBorders>
            <w:shd w:val="clear" w:color="auto" w:fill="auto"/>
            <w:noWrap/>
            <w:vAlign w:val="bottom"/>
            <w:hideMark/>
          </w:tcPr>
          <w:p w14:paraId="05C71095" w14:textId="652D1826"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103,875 </w:t>
            </w:r>
          </w:p>
        </w:tc>
        <w:tc>
          <w:tcPr>
            <w:tcW w:w="812" w:type="dxa"/>
            <w:tcBorders>
              <w:top w:val="nil"/>
              <w:left w:val="nil"/>
              <w:bottom w:val="nil"/>
              <w:right w:val="nil"/>
            </w:tcBorders>
            <w:shd w:val="clear" w:color="000000" w:fill="E6E6E6"/>
            <w:noWrap/>
            <w:vAlign w:val="bottom"/>
            <w:hideMark/>
          </w:tcPr>
          <w:p w14:paraId="40D3E099" w14:textId="599A6973"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176,937 </w:t>
            </w:r>
          </w:p>
        </w:tc>
        <w:tc>
          <w:tcPr>
            <w:tcW w:w="896" w:type="dxa"/>
            <w:tcBorders>
              <w:top w:val="nil"/>
              <w:left w:val="nil"/>
              <w:bottom w:val="nil"/>
              <w:right w:val="nil"/>
            </w:tcBorders>
            <w:shd w:val="clear" w:color="auto" w:fill="auto"/>
            <w:noWrap/>
            <w:vAlign w:val="bottom"/>
            <w:hideMark/>
          </w:tcPr>
          <w:p w14:paraId="1B5C1777" w14:textId="1FDCEF73"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175,173 </w:t>
            </w:r>
          </w:p>
        </w:tc>
        <w:tc>
          <w:tcPr>
            <w:tcW w:w="850" w:type="dxa"/>
            <w:tcBorders>
              <w:top w:val="nil"/>
              <w:left w:val="nil"/>
              <w:bottom w:val="nil"/>
              <w:right w:val="nil"/>
            </w:tcBorders>
            <w:shd w:val="clear" w:color="000000" w:fill="E6E6E6"/>
            <w:noWrap/>
            <w:vAlign w:val="bottom"/>
            <w:hideMark/>
          </w:tcPr>
          <w:p w14:paraId="36FCE774" w14:textId="58B14567"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182,883 </w:t>
            </w:r>
          </w:p>
        </w:tc>
      </w:tr>
      <w:tr w:rsidR="00342CD1" w:rsidRPr="00AB2612" w14:paraId="0D41EBD4" w14:textId="77777777" w:rsidTr="00CD0EDE">
        <w:trPr>
          <w:trHeight w:val="204"/>
        </w:trPr>
        <w:tc>
          <w:tcPr>
            <w:tcW w:w="2552" w:type="dxa"/>
            <w:tcBorders>
              <w:top w:val="nil"/>
              <w:left w:val="nil"/>
              <w:bottom w:val="nil"/>
              <w:right w:val="nil"/>
            </w:tcBorders>
            <w:shd w:val="clear" w:color="auto" w:fill="auto"/>
            <w:noWrap/>
            <w:hideMark/>
          </w:tcPr>
          <w:p w14:paraId="2D4BA586" w14:textId="42BA3DC4" w:rsidR="00342CD1" w:rsidRPr="00AB2612" w:rsidRDefault="00342CD1" w:rsidP="00342CD1">
            <w:pPr>
              <w:spacing w:after="0" w:line="240" w:lineRule="auto"/>
              <w:jc w:val="left"/>
              <w:rPr>
                <w:rFonts w:ascii="Arial" w:hAnsi="Arial" w:cs="Arial"/>
                <w:bCs/>
                <w:sz w:val="16"/>
                <w:szCs w:val="16"/>
              </w:rPr>
            </w:pPr>
            <w:r>
              <w:rPr>
                <w:rFonts w:ascii="Arial" w:hAnsi="Arial" w:cs="Arial"/>
                <w:sz w:val="16"/>
                <w:szCs w:val="16"/>
              </w:rPr>
              <w:t>Infrastructure Investment - Priority Regional Infrastructure Investments</w:t>
            </w:r>
            <w:r w:rsidR="004B3735" w:rsidRPr="004B3735">
              <w:rPr>
                <w:rFonts w:ascii="Arial" w:hAnsi="Arial" w:cs="Arial"/>
                <w:sz w:val="16"/>
                <w:szCs w:val="16"/>
                <w:vertAlign w:val="superscript"/>
              </w:rPr>
              <w:t>(d)</w:t>
            </w:r>
          </w:p>
        </w:tc>
        <w:tc>
          <w:tcPr>
            <w:tcW w:w="830" w:type="dxa"/>
            <w:tcBorders>
              <w:top w:val="nil"/>
              <w:left w:val="nil"/>
              <w:bottom w:val="nil"/>
              <w:right w:val="nil"/>
            </w:tcBorders>
            <w:shd w:val="clear" w:color="auto" w:fill="auto"/>
            <w:noWrap/>
            <w:hideMark/>
          </w:tcPr>
          <w:p w14:paraId="4A19C046" w14:textId="58B35E5F"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1.1, 1.2, 2.1, 2.2, 2.4</w:t>
            </w:r>
          </w:p>
        </w:tc>
        <w:tc>
          <w:tcPr>
            <w:tcW w:w="877" w:type="dxa"/>
            <w:tcBorders>
              <w:top w:val="nil"/>
              <w:left w:val="nil"/>
              <w:bottom w:val="nil"/>
              <w:right w:val="nil"/>
            </w:tcBorders>
            <w:shd w:val="clear" w:color="000000" w:fill="E6E6E6"/>
            <w:noWrap/>
            <w:vAlign w:val="bottom"/>
            <w:hideMark/>
          </w:tcPr>
          <w:p w14:paraId="58F218EA" w14:textId="302A6F6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5AB2C0E4" w14:textId="51219FEA"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169EDCA6" w14:textId="47987C6B"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67837C68" w14:textId="4D5B35A7"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A489326" w14:textId="0C2151A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1D37BDF6" w14:textId="77777777" w:rsidTr="00CD0EDE">
        <w:trPr>
          <w:trHeight w:val="204"/>
        </w:trPr>
        <w:tc>
          <w:tcPr>
            <w:tcW w:w="2552" w:type="dxa"/>
            <w:tcBorders>
              <w:top w:val="nil"/>
              <w:left w:val="nil"/>
              <w:bottom w:val="nil"/>
              <w:right w:val="nil"/>
            </w:tcBorders>
            <w:shd w:val="clear" w:color="auto" w:fill="auto"/>
            <w:noWrap/>
            <w:vAlign w:val="bottom"/>
            <w:hideMark/>
          </w:tcPr>
          <w:p w14:paraId="3500E162" w14:textId="3D4DAF13" w:rsidR="00342CD1" w:rsidRPr="00AB2612" w:rsidRDefault="00342CD1" w:rsidP="00342CD1">
            <w:pPr>
              <w:spacing w:after="0" w:line="240" w:lineRule="auto"/>
              <w:ind w:left="113"/>
              <w:jc w:val="left"/>
              <w:rPr>
                <w:rFonts w:ascii="Arial" w:hAnsi="Arial" w:cs="Arial"/>
                <w:b/>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7DD33D5F"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2BE65E5F" w14:textId="4DF9840B"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1,280 </w:t>
            </w:r>
          </w:p>
        </w:tc>
        <w:tc>
          <w:tcPr>
            <w:tcW w:w="820" w:type="dxa"/>
            <w:tcBorders>
              <w:top w:val="nil"/>
              <w:left w:val="nil"/>
              <w:bottom w:val="nil"/>
              <w:right w:val="nil"/>
            </w:tcBorders>
            <w:shd w:val="clear" w:color="auto" w:fill="auto"/>
            <w:noWrap/>
            <w:vAlign w:val="bottom"/>
            <w:hideMark/>
          </w:tcPr>
          <w:p w14:paraId="3FBF3BE7" w14:textId="048D490D"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15,770 </w:t>
            </w:r>
          </w:p>
        </w:tc>
        <w:tc>
          <w:tcPr>
            <w:tcW w:w="812" w:type="dxa"/>
            <w:tcBorders>
              <w:top w:val="nil"/>
              <w:left w:val="nil"/>
              <w:bottom w:val="nil"/>
              <w:right w:val="nil"/>
            </w:tcBorders>
            <w:shd w:val="clear" w:color="000000" w:fill="E6E6E6"/>
            <w:noWrap/>
            <w:vAlign w:val="bottom"/>
            <w:hideMark/>
          </w:tcPr>
          <w:p w14:paraId="2669DB25" w14:textId="76708317"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10,090 </w:t>
            </w:r>
          </w:p>
        </w:tc>
        <w:tc>
          <w:tcPr>
            <w:tcW w:w="896" w:type="dxa"/>
            <w:tcBorders>
              <w:top w:val="nil"/>
              <w:left w:val="nil"/>
              <w:bottom w:val="nil"/>
              <w:right w:val="nil"/>
            </w:tcBorders>
            <w:shd w:val="clear" w:color="auto" w:fill="auto"/>
            <w:noWrap/>
            <w:vAlign w:val="bottom"/>
            <w:hideMark/>
          </w:tcPr>
          <w:p w14:paraId="4608E632" w14:textId="2CCAC80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1,000 </w:t>
            </w:r>
          </w:p>
        </w:tc>
        <w:tc>
          <w:tcPr>
            <w:tcW w:w="850" w:type="dxa"/>
            <w:tcBorders>
              <w:top w:val="nil"/>
              <w:left w:val="nil"/>
              <w:bottom w:val="nil"/>
              <w:right w:val="nil"/>
            </w:tcBorders>
            <w:shd w:val="clear" w:color="000000" w:fill="E6E6E6"/>
            <w:noWrap/>
            <w:vAlign w:val="bottom"/>
            <w:hideMark/>
          </w:tcPr>
          <w:p w14:paraId="5E73D824" w14:textId="45F26803"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1,500 </w:t>
            </w:r>
          </w:p>
        </w:tc>
      </w:tr>
      <w:tr w:rsidR="00342CD1" w:rsidRPr="00AB2612" w14:paraId="218DE1B2" w14:textId="77777777" w:rsidTr="00CD0EDE">
        <w:trPr>
          <w:trHeight w:val="204"/>
        </w:trPr>
        <w:tc>
          <w:tcPr>
            <w:tcW w:w="2552" w:type="dxa"/>
            <w:tcBorders>
              <w:top w:val="nil"/>
              <w:left w:val="nil"/>
              <w:bottom w:val="nil"/>
              <w:right w:val="nil"/>
            </w:tcBorders>
            <w:shd w:val="clear" w:color="auto" w:fill="auto"/>
            <w:noWrap/>
            <w:vAlign w:val="bottom"/>
            <w:hideMark/>
          </w:tcPr>
          <w:p w14:paraId="7E7F5AE2" w14:textId="6296BE10"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Departmental payments</w:t>
            </w:r>
          </w:p>
        </w:tc>
        <w:tc>
          <w:tcPr>
            <w:tcW w:w="830" w:type="dxa"/>
            <w:tcBorders>
              <w:top w:val="nil"/>
              <w:left w:val="nil"/>
              <w:bottom w:val="nil"/>
              <w:right w:val="nil"/>
            </w:tcBorders>
            <w:shd w:val="clear" w:color="auto" w:fill="auto"/>
            <w:noWrap/>
            <w:hideMark/>
          </w:tcPr>
          <w:p w14:paraId="76CE8C1B" w14:textId="1C2E600C"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6CE1D953" w14:textId="293D573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864 </w:t>
            </w:r>
          </w:p>
        </w:tc>
        <w:tc>
          <w:tcPr>
            <w:tcW w:w="820" w:type="dxa"/>
            <w:tcBorders>
              <w:top w:val="nil"/>
              <w:left w:val="nil"/>
              <w:bottom w:val="nil"/>
              <w:right w:val="nil"/>
            </w:tcBorders>
            <w:shd w:val="clear" w:color="auto" w:fill="auto"/>
            <w:noWrap/>
            <w:vAlign w:val="bottom"/>
            <w:hideMark/>
          </w:tcPr>
          <w:p w14:paraId="2F5B2630" w14:textId="4317EC40"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16,055 </w:t>
            </w:r>
          </w:p>
        </w:tc>
        <w:tc>
          <w:tcPr>
            <w:tcW w:w="812" w:type="dxa"/>
            <w:tcBorders>
              <w:top w:val="nil"/>
              <w:left w:val="nil"/>
              <w:bottom w:val="nil"/>
              <w:right w:val="nil"/>
            </w:tcBorders>
            <w:shd w:val="clear" w:color="000000" w:fill="E6E6E6"/>
            <w:noWrap/>
            <w:vAlign w:val="bottom"/>
            <w:hideMark/>
          </w:tcPr>
          <w:p w14:paraId="56D4BB9B" w14:textId="30BFAB83"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2,938 </w:t>
            </w:r>
          </w:p>
        </w:tc>
        <w:tc>
          <w:tcPr>
            <w:tcW w:w="896" w:type="dxa"/>
            <w:tcBorders>
              <w:top w:val="nil"/>
              <w:left w:val="nil"/>
              <w:bottom w:val="nil"/>
              <w:right w:val="nil"/>
            </w:tcBorders>
            <w:shd w:val="clear" w:color="auto" w:fill="auto"/>
            <w:noWrap/>
            <w:vAlign w:val="bottom"/>
            <w:hideMark/>
          </w:tcPr>
          <w:p w14:paraId="3A2DFDAE" w14:textId="2504FE57"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2,769 </w:t>
            </w:r>
          </w:p>
        </w:tc>
        <w:tc>
          <w:tcPr>
            <w:tcW w:w="850" w:type="dxa"/>
            <w:tcBorders>
              <w:top w:val="nil"/>
              <w:left w:val="nil"/>
              <w:bottom w:val="nil"/>
              <w:right w:val="nil"/>
            </w:tcBorders>
            <w:shd w:val="clear" w:color="000000" w:fill="E6E6E6"/>
            <w:noWrap/>
            <w:vAlign w:val="bottom"/>
            <w:hideMark/>
          </w:tcPr>
          <w:p w14:paraId="1169C3EC" w14:textId="0D2A51C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2,797 </w:t>
            </w:r>
          </w:p>
        </w:tc>
      </w:tr>
      <w:tr w:rsidR="00342CD1" w:rsidRPr="00AB2612" w14:paraId="416B45F9" w14:textId="77777777" w:rsidTr="00CD0EDE">
        <w:trPr>
          <w:trHeight w:val="204"/>
        </w:trPr>
        <w:tc>
          <w:tcPr>
            <w:tcW w:w="2552" w:type="dxa"/>
            <w:tcBorders>
              <w:top w:val="nil"/>
              <w:left w:val="nil"/>
              <w:bottom w:val="nil"/>
              <w:right w:val="nil"/>
            </w:tcBorders>
            <w:shd w:val="clear" w:color="auto" w:fill="auto"/>
            <w:noWrap/>
            <w:vAlign w:val="bottom"/>
            <w:hideMark/>
          </w:tcPr>
          <w:p w14:paraId="5B181C8A" w14:textId="507D51E8" w:rsidR="00342CD1" w:rsidRPr="00AB2612" w:rsidRDefault="00342CD1" w:rsidP="00342CD1">
            <w:pPr>
              <w:spacing w:after="0" w:line="240" w:lineRule="auto"/>
              <w:jc w:val="left"/>
              <w:rPr>
                <w:rFonts w:ascii="Arial" w:hAnsi="Arial" w:cs="Arial"/>
                <w:bCs/>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470BC0C9"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28EFB304" w14:textId="31208BA9"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2,144 </w:t>
            </w:r>
          </w:p>
        </w:tc>
        <w:tc>
          <w:tcPr>
            <w:tcW w:w="820" w:type="dxa"/>
            <w:tcBorders>
              <w:top w:val="nil"/>
              <w:left w:val="nil"/>
              <w:bottom w:val="nil"/>
              <w:right w:val="nil"/>
            </w:tcBorders>
            <w:shd w:val="clear" w:color="auto" w:fill="auto"/>
            <w:noWrap/>
            <w:vAlign w:val="bottom"/>
            <w:hideMark/>
          </w:tcPr>
          <w:p w14:paraId="0EB36BAF" w14:textId="7107C8E1"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31,825 </w:t>
            </w:r>
          </w:p>
        </w:tc>
        <w:tc>
          <w:tcPr>
            <w:tcW w:w="812" w:type="dxa"/>
            <w:tcBorders>
              <w:top w:val="nil"/>
              <w:left w:val="nil"/>
              <w:bottom w:val="nil"/>
              <w:right w:val="nil"/>
            </w:tcBorders>
            <w:shd w:val="clear" w:color="000000" w:fill="E6E6E6"/>
            <w:noWrap/>
            <w:vAlign w:val="bottom"/>
            <w:hideMark/>
          </w:tcPr>
          <w:p w14:paraId="1436DA24" w14:textId="1F2BBCE8"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13,028 </w:t>
            </w:r>
          </w:p>
        </w:tc>
        <w:tc>
          <w:tcPr>
            <w:tcW w:w="896" w:type="dxa"/>
            <w:tcBorders>
              <w:top w:val="nil"/>
              <w:left w:val="nil"/>
              <w:bottom w:val="nil"/>
              <w:right w:val="nil"/>
            </w:tcBorders>
            <w:shd w:val="clear" w:color="auto" w:fill="auto"/>
            <w:noWrap/>
            <w:vAlign w:val="bottom"/>
            <w:hideMark/>
          </w:tcPr>
          <w:p w14:paraId="175B4816" w14:textId="0E151C93"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3,769 </w:t>
            </w:r>
          </w:p>
        </w:tc>
        <w:tc>
          <w:tcPr>
            <w:tcW w:w="850" w:type="dxa"/>
            <w:tcBorders>
              <w:top w:val="nil"/>
              <w:left w:val="nil"/>
              <w:bottom w:val="nil"/>
              <w:right w:val="nil"/>
            </w:tcBorders>
            <w:shd w:val="clear" w:color="000000" w:fill="E6E6E6"/>
            <w:noWrap/>
            <w:vAlign w:val="bottom"/>
            <w:hideMark/>
          </w:tcPr>
          <w:p w14:paraId="23E91F87" w14:textId="27A40C08"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4,297 </w:t>
            </w:r>
          </w:p>
        </w:tc>
      </w:tr>
      <w:tr w:rsidR="00342CD1" w:rsidRPr="00AB2612" w14:paraId="5B785772" w14:textId="77777777" w:rsidTr="00CD0EDE">
        <w:trPr>
          <w:trHeight w:val="204"/>
        </w:trPr>
        <w:tc>
          <w:tcPr>
            <w:tcW w:w="2552" w:type="dxa"/>
            <w:tcBorders>
              <w:top w:val="nil"/>
              <w:left w:val="nil"/>
              <w:bottom w:val="nil"/>
              <w:right w:val="nil"/>
            </w:tcBorders>
            <w:shd w:val="clear" w:color="auto" w:fill="auto"/>
            <w:noWrap/>
            <w:vAlign w:val="bottom"/>
            <w:hideMark/>
          </w:tcPr>
          <w:p w14:paraId="4B6849AF" w14:textId="330917D7" w:rsidR="00342CD1" w:rsidRPr="00AB2612" w:rsidRDefault="00342CD1" w:rsidP="00342CD1">
            <w:pPr>
              <w:spacing w:after="0" w:line="240" w:lineRule="auto"/>
              <w:jc w:val="left"/>
              <w:rPr>
                <w:rFonts w:ascii="Arial" w:hAnsi="Arial" w:cs="Arial"/>
                <w:b/>
                <w:bCs/>
                <w:sz w:val="16"/>
                <w:szCs w:val="16"/>
              </w:rPr>
            </w:pPr>
            <w:r>
              <w:rPr>
                <w:rFonts w:ascii="Arial" w:hAnsi="Arial" w:cs="Arial"/>
                <w:sz w:val="16"/>
                <w:szCs w:val="16"/>
              </w:rPr>
              <w:t xml:space="preserve">Infrastructure Investment  —  Australian Capital Territory </w:t>
            </w:r>
            <w:r>
              <w:rPr>
                <w:rFonts w:ascii="Arial" w:hAnsi="Arial" w:cs="Arial"/>
                <w:sz w:val="16"/>
                <w:szCs w:val="16"/>
                <w:vertAlign w:val="superscript"/>
              </w:rPr>
              <w:t>(b)</w:t>
            </w:r>
          </w:p>
        </w:tc>
        <w:tc>
          <w:tcPr>
            <w:tcW w:w="830" w:type="dxa"/>
            <w:tcBorders>
              <w:top w:val="nil"/>
              <w:left w:val="nil"/>
              <w:bottom w:val="nil"/>
              <w:right w:val="nil"/>
            </w:tcBorders>
            <w:shd w:val="clear" w:color="auto" w:fill="auto"/>
            <w:noWrap/>
            <w:hideMark/>
          </w:tcPr>
          <w:p w14:paraId="7ADF8B73" w14:textId="19A4EF13"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1.1</w:t>
            </w:r>
          </w:p>
        </w:tc>
        <w:tc>
          <w:tcPr>
            <w:tcW w:w="877" w:type="dxa"/>
            <w:tcBorders>
              <w:top w:val="nil"/>
              <w:left w:val="nil"/>
              <w:bottom w:val="nil"/>
              <w:right w:val="nil"/>
            </w:tcBorders>
            <w:shd w:val="clear" w:color="000000" w:fill="E6E6E6"/>
            <w:noWrap/>
            <w:vAlign w:val="bottom"/>
            <w:hideMark/>
          </w:tcPr>
          <w:p w14:paraId="6CF5A28D" w14:textId="7944BDD6"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2669EB18" w14:textId="1B52DBBE"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486CB28A" w14:textId="20D792DC"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0D0A222A" w14:textId="3DEF9372"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8CD6A6A" w14:textId="2068B87F"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48B3F03E" w14:textId="77777777" w:rsidTr="00CD0EDE">
        <w:trPr>
          <w:trHeight w:val="204"/>
        </w:trPr>
        <w:tc>
          <w:tcPr>
            <w:tcW w:w="2552" w:type="dxa"/>
            <w:tcBorders>
              <w:top w:val="nil"/>
              <w:left w:val="nil"/>
              <w:bottom w:val="nil"/>
              <w:right w:val="nil"/>
            </w:tcBorders>
            <w:shd w:val="clear" w:color="auto" w:fill="auto"/>
            <w:noWrap/>
            <w:vAlign w:val="bottom"/>
            <w:hideMark/>
          </w:tcPr>
          <w:p w14:paraId="32BFA2AE" w14:textId="373B4BAA"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7CD0C71F" w14:textId="1DE61160"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073EF43" w14:textId="3D8334F7"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AAED90C" w14:textId="5A2ABC0D"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12" w:type="dxa"/>
            <w:tcBorders>
              <w:top w:val="nil"/>
              <w:left w:val="nil"/>
              <w:bottom w:val="nil"/>
              <w:right w:val="nil"/>
            </w:tcBorders>
            <w:shd w:val="clear" w:color="000000" w:fill="E6E6E6"/>
            <w:noWrap/>
            <w:vAlign w:val="bottom"/>
            <w:hideMark/>
          </w:tcPr>
          <w:p w14:paraId="10C97701" w14:textId="41F5720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96" w:type="dxa"/>
            <w:tcBorders>
              <w:top w:val="nil"/>
              <w:left w:val="nil"/>
              <w:bottom w:val="nil"/>
              <w:right w:val="nil"/>
            </w:tcBorders>
            <w:shd w:val="clear" w:color="auto" w:fill="auto"/>
            <w:noWrap/>
            <w:vAlign w:val="bottom"/>
            <w:hideMark/>
          </w:tcPr>
          <w:p w14:paraId="1BE72C72" w14:textId="77D9BB5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0EA0C50B" w14:textId="3CE65CF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r>
      <w:tr w:rsidR="00342CD1" w:rsidRPr="00AB2612" w14:paraId="740970F4" w14:textId="77777777" w:rsidTr="00CD0EDE">
        <w:trPr>
          <w:trHeight w:val="204"/>
        </w:trPr>
        <w:tc>
          <w:tcPr>
            <w:tcW w:w="2552" w:type="dxa"/>
            <w:tcBorders>
              <w:top w:val="nil"/>
              <w:left w:val="nil"/>
              <w:bottom w:val="nil"/>
              <w:right w:val="nil"/>
            </w:tcBorders>
            <w:shd w:val="clear" w:color="auto" w:fill="auto"/>
            <w:noWrap/>
            <w:vAlign w:val="bottom"/>
            <w:hideMark/>
          </w:tcPr>
          <w:p w14:paraId="3A144BAC" w14:textId="6EB1FFD7" w:rsidR="00342CD1" w:rsidRPr="00AB2612" w:rsidRDefault="00342CD1" w:rsidP="00342CD1">
            <w:pPr>
              <w:spacing w:after="0" w:line="240" w:lineRule="auto"/>
              <w:jc w:val="left"/>
              <w:rPr>
                <w:rFonts w:ascii="Arial" w:hAnsi="Arial" w:cs="Arial"/>
                <w:bCs/>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37A7D476"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3C8E7794" w14:textId="4278D2DD"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408E31E5" w14:textId="5F283B0C"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12" w:type="dxa"/>
            <w:tcBorders>
              <w:top w:val="nil"/>
              <w:left w:val="nil"/>
              <w:bottom w:val="nil"/>
              <w:right w:val="nil"/>
            </w:tcBorders>
            <w:shd w:val="clear" w:color="000000" w:fill="E6E6E6"/>
            <w:noWrap/>
            <w:vAlign w:val="bottom"/>
            <w:hideMark/>
          </w:tcPr>
          <w:p w14:paraId="2A1D02D2" w14:textId="0BC87059"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96" w:type="dxa"/>
            <w:tcBorders>
              <w:top w:val="nil"/>
              <w:left w:val="nil"/>
              <w:bottom w:val="nil"/>
              <w:right w:val="nil"/>
            </w:tcBorders>
            <w:shd w:val="clear" w:color="auto" w:fill="auto"/>
            <w:noWrap/>
            <w:vAlign w:val="bottom"/>
            <w:hideMark/>
          </w:tcPr>
          <w:p w14:paraId="360209F5" w14:textId="1DB91858"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0744C36A" w14:textId="34ACE343"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r>
      <w:tr w:rsidR="00342CD1" w:rsidRPr="00AB2612" w14:paraId="571AF116" w14:textId="77777777" w:rsidTr="00CD0EDE">
        <w:trPr>
          <w:trHeight w:val="204"/>
        </w:trPr>
        <w:tc>
          <w:tcPr>
            <w:tcW w:w="2552" w:type="dxa"/>
            <w:tcBorders>
              <w:top w:val="nil"/>
              <w:left w:val="nil"/>
              <w:bottom w:val="nil"/>
              <w:right w:val="nil"/>
            </w:tcBorders>
            <w:shd w:val="clear" w:color="auto" w:fill="auto"/>
            <w:noWrap/>
            <w:vAlign w:val="bottom"/>
            <w:hideMark/>
          </w:tcPr>
          <w:p w14:paraId="293F2A5E" w14:textId="33417484" w:rsidR="00342CD1" w:rsidRPr="00AB2612" w:rsidRDefault="00342CD1" w:rsidP="00342CD1">
            <w:pPr>
              <w:spacing w:after="0" w:line="240" w:lineRule="auto"/>
              <w:jc w:val="left"/>
              <w:rPr>
                <w:rFonts w:ascii="Arial" w:hAnsi="Arial" w:cs="Arial"/>
                <w:b/>
                <w:bCs/>
                <w:sz w:val="16"/>
                <w:szCs w:val="16"/>
              </w:rPr>
            </w:pPr>
            <w:r>
              <w:rPr>
                <w:rFonts w:ascii="Arial" w:hAnsi="Arial" w:cs="Arial"/>
                <w:sz w:val="16"/>
                <w:szCs w:val="16"/>
              </w:rPr>
              <w:t xml:space="preserve">Infrastructure Investment  —  New South Wales </w:t>
            </w:r>
            <w:r>
              <w:rPr>
                <w:rFonts w:ascii="Arial" w:hAnsi="Arial" w:cs="Arial"/>
                <w:sz w:val="16"/>
                <w:szCs w:val="16"/>
                <w:vertAlign w:val="superscript"/>
              </w:rPr>
              <w:t>(b)</w:t>
            </w:r>
          </w:p>
        </w:tc>
        <w:tc>
          <w:tcPr>
            <w:tcW w:w="830" w:type="dxa"/>
            <w:tcBorders>
              <w:top w:val="nil"/>
              <w:left w:val="nil"/>
              <w:bottom w:val="nil"/>
              <w:right w:val="nil"/>
            </w:tcBorders>
            <w:shd w:val="clear" w:color="auto" w:fill="auto"/>
            <w:noWrap/>
            <w:hideMark/>
          </w:tcPr>
          <w:p w14:paraId="77491703" w14:textId="68674BC6"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1.1</w:t>
            </w:r>
          </w:p>
        </w:tc>
        <w:tc>
          <w:tcPr>
            <w:tcW w:w="877" w:type="dxa"/>
            <w:tcBorders>
              <w:top w:val="nil"/>
              <w:left w:val="nil"/>
              <w:bottom w:val="nil"/>
              <w:right w:val="nil"/>
            </w:tcBorders>
            <w:shd w:val="clear" w:color="000000" w:fill="E6E6E6"/>
            <w:noWrap/>
            <w:vAlign w:val="bottom"/>
            <w:hideMark/>
          </w:tcPr>
          <w:p w14:paraId="4A04B724" w14:textId="7BFB726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31F2AD08" w14:textId="6D6A1A07"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45E4D449" w14:textId="38A0227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76B0E030" w14:textId="7ADEFD05"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A959250" w14:textId="7FDE432E"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7062D687" w14:textId="77777777" w:rsidTr="00CD0EDE">
        <w:trPr>
          <w:trHeight w:val="204"/>
        </w:trPr>
        <w:tc>
          <w:tcPr>
            <w:tcW w:w="2552" w:type="dxa"/>
            <w:tcBorders>
              <w:top w:val="nil"/>
              <w:left w:val="nil"/>
              <w:bottom w:val="nil"/>
              <w:right w:val="nil"/>
            </w:tcBorders>
            <w:shd w:val="clear" w:color="auto" w:fill="auto"/>
            <w:noWrap/>
            <w:vAlign w:val="bottom"/>
            <w:hideMark/>
          </w:tcPr>
          <w:p w14:paraId="3F9FB3BB" w14:textId="5C21F572" w:rsidR="00342CD1" w:rsidRPr="00AB2612" w:rsidRDefault="00342CD1" w:rsidP="00342CD1">
            <w:pPr>
              <w:spacing w:after="0" w:line="240" w:lineRule="auto"/>
              <w:ind w:left="113"/>
              <w:jc w:val="left"/>
              <w:rPr>
                <w:rFonts w:ascii="Arial" w:hAnsi="Arial" w:cs="Arial"/>
                <w:bCs/>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6CBEE57F" w14:textId="37D5796E"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72772DCC" w14:textId="1EAF291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6124E444" w14:textId="6673F9D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12" w:type="dxa"/>
            <w:tcBorders>
              <w:top w:val="nil"/>
              <w:left w:val="nil"/>
              <w:bottom w:val="nil"/>
              <w:right w:val="nil"/>
            </w:tcBorders>
            <w:shd w:val="clear" w:color="000000" w:fill="E6E6E6"/>
            <w:noWrap/>
            <w:vAlign w:val="bottom"/>
            <w:hideMark/>
          </w:tcPr>
          <w:p w14:paraId="5F55F9F7" w14:textId="71B49EFA"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96" w:type="dxa"/>
            <w:tcBorders>
              <w:top w:val="nil"/>
              <w:left w:val="nil"/>
              <w:bottom w:val="nil"/>
              <w:right w:val="nil"/>
            </w:tcBorders>
            <w:shd w:val="clear" w:color="auto" w:fill="auto"/>
            <w:noWrap/>
            <w:vAlign w:val="bottom"/>
            <w:hideMark/>
          </w:tcPr>
          <w:p w14:paraId="00635CD7" w14:textId="7974F88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7EED4AFD" w14:textId="1191E7C4"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xml:space="preserve">- </w:t>
            </w:r>
          </w:p>
        </w:tc>
      </w:tr>
      <w:tr w:rsidR="00342CD1" w:rsidRPr="00AB2612" w14:paraId="4F4EA5BB" w14:textId="77777777" w:rsidTr="00CD0EDE">
        <w:trPr>
          <w:trHeight w:val="204"/>
        </w:trPr>
        <w:tc>
          <w:tcPr>
            <w:tcW w:w="2552" w:type="dxa"/>
            <w:tcBorders>
              <w:top w:val="nil"/>
              <w:left w:val="nil"/>
              <w:bottom w:val="nil"/>
              <w:right w:val="nil"/>
            </w:tcBorders>
            <w:shd w:val="clear" w:color="auto" w:fill="auto"/>
            <w:noWrap/>
            <w:vAlign w:val="bottom"/>
            <w:hideMark/>
          </w:tcPr>
          <w:p w14:paraId="1ACCE29F" w14:textId="1306FB77" w:rsidR="00342CD1" w:rsidRPr="00E03A92"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411E9EB1" w14:textId="77777777" w:rsidR="00342CD1" w:rsidRPr="00DD4118"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4EBAB73A" w14:textId="5BC33AB5"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6C141E7C" w14:textId="5D4925EA"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12" w:type="dxa"/>
            <w:tcBorders>
              <w:top w:val="nil"/>
              <w:left w:val="nil"/>
              <w:bottom w:val="nil"/>
              <w:right w:val="nil"/>
            </w:tcBorders>
            <w:shd w:val="clear" w:color="000000" w:fill="E6E6E6"/>
            <w:noWrap/>
            <w:vAlign w:val="bottom"/>
            <w:hideMark/>
          </w:tcPr>
          <w:p w14:paraId="5AE262E5" w14:textId="7266A19F"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96" w:type="dxa"/>
            <w:tcBorders>
              <w:top w:val="nil"/>
              <w:left w:val="nil"/>
              <w:bottom w:val="nil"/>
              <w:right w:val="nil"/>
            </w:tcBorders>
            <w:shd w:val="clear" w:color="auto" w:fill="auto"/>
            <w:noWrap/>
            <w:vAlign w:val="bottom"/>
            <w:hideMark/>
          </w:tcPr>
          <w:p w14:paraId="39F8E21A" w14:textId="23FCF500"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1C06E367" w14:textId="1F2499FC" w:rsidR="00342CD1" w:rsidRPr="00AB2612" w:rsidRDefault="00342CD1" w:rsidP="00342CD1">
            <w:pPr>
              <w:spacing w:after="0" w:line="240" w:lineRule="auto"/>
              <w:jc w:val="right"/>
              <w:rPr>
                <w:rFonts w:ascii="Arial" w:hAnsi="Arial" w:cs="Arial"/>
                <w:sz w:val="16"/>
                <w:szCs w:val="16"/>
              </w:rPr>
            </w:pPr>
            <w:r>
              <w:rPr>
                <w:rFonts w:ascii="Arial" w:hAnsi="Arial" w:cs="Arial"/>
                <w:b/>
                <w:bCs/>
                <w:sz w:val="16"/>
                <w:szCs w:val="16"/>
              </w:rPr>
              <w:t xml:space="preserve">- </w:t>
            </w:r>
          </w:p>
        </w:tc>
      </w:tr>
      <w:tr w:rsidR="00342CD1" w:rsidRPr="00AB2612" w14:paraId="728A281B" w14:textId="77777777" w:rsidTr="00CD0EDE">
        <w:trPr>
          <w:trHeight w:val="204"/>
        </w:trPr>
        <w:tc>
          <w:tcPr>
            <w:tcW w:w="2552" w:type="dxa"/>
            <w:tcBorders>
              <w:top w:val="nil"/>
              <w:left w:val="nil"/>
              <w:bottom w:val="nil"/>
              <w:right w:val="nil"/>
            </w:tcBorders>
            <w:shd w:val="clear" w:color="auto" w:fill="auto"/>
            <w:noWrap/>
            <w:vAlign w:val="bottom"/>
            <w:hideMark/>
          </w:tcPr>
          <w:p w14:paraId="1738E36F" w14:textId="1D86C845" w:rsidR="00342CD1" w:rsidRPr="00AB2612" w:rsidRDefault="00342CD1" w:rsidP="00342CD1">
            <w:pPr>
              <w:spacing w:after="0" w:line="240" w:lineRule="auto"/>
              <w:jc w:val="left"/>
              <w:rPr>
                <w:rFonts w:ascii="Arial" w:hAnsi="Arial" w:cs="Arial"/>
                <w:b/>
                <w:bCs/>
                <w:sz w:val="16"/>
                <w:szCs w:val="16"/>
              </w:rPr>
            </w:pPr>
            <w:r>
              <w:rPr>
                <w:rFonts w:ascii="Arial" w:hAnsi="Arial" w:cs="Arial"/>
                <w:sz w:val="16"/>
                <w:szCs w:val="16"/>
              </w:rPr>
              <w:t xml:space="preserve">Infrastructure Investment — Northern Territory </w:t>
            </w:r>
            <w:r>
              <w:rPr>
                <w:rFonts w:ascii="Arial" w:hAnsi="Arial" w:cs="Arial"/>
                <w:sz w:val="16"/>
                <w:szCs w:val="16"/>
                <w:vertAlign w:val="superscript"/>
              </w:rPr>
              <w:t xml:space="preserve">(b) </w:t>
            </w:r>
          </w:p>
        </w:tc>
        <w:tc>
          <w:tcPr>
            <w:tcW w:w="830" w:type="dxa"/>
            <w:tcBorders>
              <w:top w:val="nil"/>
              <w:left w:val="nil"/>
              <w:bottom w:val="nil"/>
              <w:right w:val="nil"/>
            </w:tcBorders>
            <w:shd w:val="clear" w:color="auto" w:fill="auto"/>
            <w:noWrap/>
            <w:hideMark/>
          </w:tcPr>
          <w:p w14:paraId="7C79CD65" w14:textId="4AFDBC0D" w:rsidR="00342CD1" w:rsidRPr="00DD4118" w:rsidRDefault="00342CD1" w:rsidP="00DD4118">
            <w:pPr>
              <w:spacing w:after="0" w:line="240" w:lineRule="auto"/>
              <w:jc w:val="center"/>
              <w:outlineLvl w:val="0"/>
              <w:rPr>
                <w:rFonts w:ascii="Arial" w:hAnsi="Arial" w:cs="Arial"/>
                <w:sz w:val="16"/>
                <w:szCs w:val="16"/>
              </w:rPr>
            </w:pPr>
            <w:r>
              <w:rPr>
                <w:rFonts w:ascii="Arial" w:hAnsi="Arial" w:cs="Arial"/>
                <w:sz w:val="16"/>
                <w:szCs w:val="16"/>
              </w:rPr>
              <w:t>1.1</w:t>
            </w:r>
          </w:p>
        </w:tc>
        <w:tc>
          <w:tcPr>
            <w:tcW w:w="877" w:type="dxa"/>
            <w:tcBorders>
              <w:top w:val="nil"/>
              <w:left w:val="nil"/>
              <w:bottom w:val="nil"/>
              <w:right w:val="nil"/>
            </w:tcBorders>
            <w:shd w:val="clear" w:color="000000" w:fill="E6E6E6"/>
            <w:noWrap/>
            <w:vAlign w:val="bottom"/>
            <w:hideMark/>
          </w:tcPr>
          <w:p w14:paraId="67C9A51C" w14:textId="19119208"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3DD0021B" w14:textId="0120FD6D" w:rsidR="00342CD1" w:rsidRPr="00AB2612" w:rsidRDefault="00342CD1" w:rsidP="00342CD1">
            <w:pPr>
              <w:spacing w:after="0" w:line="240" w:lineRule="auto"/>
              <w:jc w:val="right"/>
              <w:rPr>
                <w:rFonts w:ascii="Arial" w:hAnsi="Arial" w:cs="Arial"/>
                <w:sz w:val="16"/>
                <w:szCs w:val="16"/>
              </w:rPr>
            </w:pPr>
          </w:p>
        </w:tc>
        <w:tc>
          <w:tcPr>
            <w:tcW w:w="812" w:type="dxa"/>
            <w:tcBorders>
              <w:top w:val="nil"/>
              <w:left w:val="nil"/>
              <w:bottom w:val="nil"/>
              <w:right w:val="nil"/>
            </w:tcBorders>
            <w:shd w:val="clear" w:color="000000" w:fill="E6E6E6"/>
            <w:noWrap/>
            <w:vAlign w:val="bottom"/>
            <w:hideMark/>
          </w:tcPr>
          <w:p w14:paraId="6FEDA4F7" w14:textId="188DBDFD"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0ADE8BCC" w14:textId="2128D7CB" w:rsidR="00342CD1" w:rsidRPr="00AB2612" w:rsidRDefault="00342CD1" w:rsidP="00342CD1">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6A5D286" w14:textId="7236EC40" w:rsidR="00342CD1" w:rsidRPr="00AB2612" w:rsidRDefault="00342CD1" w:rsidP="00342CD1">
            <w:pPr>
              <w:spacing w:after="0" w:line="240" w:lineRule="auto"/>
              <w:jc w:val="right"/>
              <w:rPr>
                <w:rFonts w:ascii="Arial" w:hAnsi="Arial" w:cs="Arial"/>
                <w:sz w:val="16"/>
                <w:szCs w:val="16"/>
              </w:rPr>
            </w:pPr>
            <w:r>
              <w:rPr>
                <w:rFonts w:ascii="Arial" w:hAnsi="Arial" w:cs="Arial"/>
                <w:sz w:val="16"/>
                <w:szCs w:val="16"/>
              </w:rPr>
              <w:t> </w:t>
            </w:r>
          </w:p>
        </w:tc>
      </w:tr>
      <w:tr w:rsidR="00342CD1" w:rsidRPr="00AB2612" w14:paraId="7CECA144" w14:textId="77777777" w:rsidTr="00CD0EDE">
        <w:trPr>
          <w:trHeight w:val="204"/>
        </w:trPr>
        <w:tc>
          <w:tcPr>
            <w:tcW w:w="2552" w:type="dxa"/>
            <w:tcBorders>
              <w:top w:val="nil"/>
              <w:left w:val="nil"/>
              <w:bottom w:val="nil"/>
              <w:right w:val="nil"/>
            </w:tcBorders>
            <w:shd w:val="clear" w:color="auto" w:fill="auto"/>
            <w:vAlign w:val="bottom"/>
            <w:hideMark/>
          </w:tcPr>
          <w:p w14:paraId="30EB7A3F" w14:textId="17DF347F" w:rsidR="00342CD1" w:rsidRPr="00AB2612" w:rsidRDefault="00342CD1" w:rsidP="00342CD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54BD9861" w14:textId="4FF1C3C1" w:rsidR="00342CD1" w:rsidRPr="00AB2612" w:rsidRDefault="00342CD1" w:rsidP="00342CD1">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088BA4BF" w14:textId="0197DE9D"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03BEF40" w14:textId="57FD7F4A"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2" w:type="dxa"/>
            <w:tcBorders>
              <w:top w:val="nil"/>
              <w:left w:val="nil"/>
              <w:bottom w:val="nil"/>
              <w:right w:val="nil"/>
            </w:tcBorders>
            <w:shd w:val="clear" w:color="000000" w:fill="E6E6E6"/>
            <w:noWrap/>
            <w:vAlign w:val="bottom"/>
            <w:hideMark/>
          </w:tcPr>
          <w:p w14:paraId="46566F79" w14:textId="7FDE9F83"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96" w:type="dxa"/>
            <w:tcBorders>
              <w:top w:val="nil"/>
              <w:left w:val="nil"/>
              <w:bottom w:val="nil"/>
              <w:right w:val="nil"/>
            </w:tcBorders>
            <w:shd w:val="clear" w:color="auto" w:fill="auto"/>
            <w:noWrap/>
            <w:vAlign w:val="bottom"/>
            <w:hideMark/>
          </w:tcPr>
          <w:p w14:paraId="7CFF4D4B" w14:textId="2E92A315"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69453C5E" w14:textId="3EFC99E1"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342CD1" w:rsidRPr="00AB2612" w14:paraId="75EB420B" w14:textId="77777777" w:rsidTr="00CD0EDE">
        <w:trPr>
          <w:trHeight w:val="204"/>
        </w:trPr>
        <w:tc>
          <w:tcPr>
            <w:tcW w:w="2552" w:type="dxa"/>
            <w:tcBorders>
              <w:top w:val="nil"/>
              <w:left w:val="nil"/>
              <w:bottom w:val="nil"/>
              <w:right w:val="nil"/>
            </w:tcBorders>
            <w:shd w:val="clear" w:color="auto" w:fill="auto"/>
            <w:noWrap/>
            <w:vAlign w:val="bottom"/>
            <w:hideMark/>
          </w:tcPr>
          <w:p w14:paraId="1CF3B7A6" w14:textId="7D97A507" w:rsidR="00342CD1" w:rsidRPr="00AB2612"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4CD91E37" w14:textId="77777777" w:rsidR="00342CD1" w:rsidRPr="00AB2612"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406905B0" w14:textId="30F8D99E"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nil"/>
              <w:right w:val="nil"/>
            </w:tcBorders>
            <w:shd w:val="clear" w:color="auto" w:fill="auto"/>
            <w:noWrap/>
            <w:vAlign w:val="bottom"/>
            <w:hideMark/>
          </w:tcPr>
          <w:p w14:paraId="180C0562" w14:textId="747E1308"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2" w:type="dxa"/>
            <w:tcBorders>
              <w:top w:val="nil"/>
              <w:left w:val="nil"/>
              <w:bottom w:val="nil"/>
              <w:right w:val="nil"/>
            </w:tcBorders>
            <w:shd w:val="clear" w:color="000000" w:fill="E6E6E6"/>
            <w:noWrap/>
            <w:vAlign w:val="bottom"/>
            <w:hideMark/>
          </w:tcPr>
          <w:p w14:paraId="20374F47" w14:textId="3EA505D3"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96" w:type="dxa"/>
            <w:tcBorders>
              <w:top w:val="nil"/>
              <w:left w:val="nil"/>
              <w:bottom w:val="nil"/>
              <w:right w:val="nil"/>
            </w:tcBorders>
            <w:shd w:val="clear" w:color="auto" w:fill="auto"/>
            <w:noWrap/>
            <w:vAlign w:val="bottom"/>
            <w:hideMark/>
          </w:tcPr>
          <w:p w14:paraId="04E925FF" w14:textId="527062EB"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14:paraId="7F635AE2" w14:textId="729EBAA2" w:rsidR="00342CD1" w:rsidRPr="00AB2612" w:rsidRDefault="00342CD1" w:rsidP="00342CD1">
            <w:pPr>
              <w:spacing w:after="0" w:line="240" w:lineRule="auto"/>
              <w:ind w:hanging="250"/>
              <w:jc w:val="right"/>
              <w:outlineLvl w:val="0"/>
              <w:rPr>
                <w:rFonts w:ascii="Arial" w:hAnsi="Arial" w:cs="Arial"/>
                <w:sz w:val="16"/>
                <w:szCs w:val="16"/>
              </w:rPr>
            </w:pPr>
            <w:r>
              <w:rPr>
                <w:rFonts w:ascii="Arial" w:hAnsi="Arial" w:cs="Arial"/>
                <w:b/>
                <w:bCs/>
                <w:sz w:val="16"/>
                <w:szCs w:val="16"/>
              </w:rPr>
              <w:t xml:space="preserve">- </w:t>
            </w:r>
          </w:p>
        </w:tc>
      </w:tr>
      <w:tr w:rsidR="00342CD1" w:rsidRPr="00AB2612" w14:paraId="1E74C7EA" w14:textId="77777777" w:rsidTr="00CD0EDE">
        <w:trPr>
          <w:trHeight w:val="204"/>
        </w:trPr>
        <w:tc>
          <w:tcPr>
            <w:tcW w:w="2552" w:type="dxa"/>
            <w:tcBorders>
              <w:top w:val="nil"/>
              <w:left w:val="nil"/>
              <w:bottom w:val="nil"/>
              <w:right w:val="nil"/>
            </w:tcBorders>
            <w:shd w:val="clear" w:color="auto" w:fill="auto"/>
            <w:noWrap/>
            <w:vAlign w:val="bottom"/>
            <w:hideMark/>
          </w:tcPr>
          <w:p w14:paraId="5D519A6D" w14:textId="747A5B61" w:rsidR="00342CD1" w:rsidRPr="00AB2612" w:rsidRDefault="00342CD1" w:rsidP="00342CD1">
            <w:pPr>
              <w:spacing w:after="0" w:line="240" w:lineRule="auto"/>
              <w:jc w:val="left"/>
              <w:outlineLvl w:val="0"/>
              <w:rPr>
                <w:rFonts w:ascii="Arial" w:hAnsi="Arial" w:cs="Arial"/>
                <w:b/>
                <w:bCs/>
                <w:sz w:val="16"/>
                <w:szCs w:val="16"/>
              </w:rPr>
            </w:pPr>
            <w:r>
              <w:rPr>
                <w:rFonts w:ascii="Arial" w:hAnsi="Arial" w:cs="Arial"/>
                <w:sz w:val="16"/>
                <w:szCs w:val="16"/>
              </w:rPr>
              <w:t xml:space="preserve">Infrastructure Investment — Queensland </w:t>
            </w:r>
            <w:r>
              <w:rPr>
                <w:rFonts w:ascii="Arial" w:hAnsi="Arial" w:cs="Arial"/>
                <w:sz w:val="16"/>
                <w:szCs w:val="16"/>
                <w:vertAlign w:val="superscript"/>
              </w:rPr>
              <w:t xml:space="preserve">(b) </w:t>
            </w:r>
          </w:p>
        </w:tc>
        <w:tc>
          <w:tcPr>
            <w:tcW w:w="830" w:type="dxa"/>
            <w:tcBorders>
              <w:top w:val="nil"/>
              <w:left w:val="nil"/>
              <w:bottom w:val="nil"/>
              <w:right w:val="nil"/>
            </w:tcBorders>
            <w:shd w:val="clear" w:color="auto" w:fill="auto"/>
            <w:noWrap/>
            <w:hideMark/>
          </w:tcPr>
          <w:p w14:paraId="1E9E404F" w14:textId="365C33E7" w:rsidR="00342CD1" w:rsidRPr="00DD4118" w:rsidRDefault="00342CD1" w:rsidP="00342CD1">
            <w:pPr>
              <w:spacing w:after="0" w:line="240" w:lineRule="auto"/>
              <w:jc w:val="center"/>
              <w:outlineLvl w:val="0"/>
              <w:rPr>
                <w:rFonts w:ascii="Arial" w:hAnsi="Arial" w:cs="Arial"/>
                <w:sz w:val="16"/>
                <w:szCs w:val="16"/>
              </w:rPr>
            </w:pPr>
            <w:r>
              <w:rPr>
                <w:rFonts w:ascii="Arial" w:hAnsi="Arial" w:cs="Arial"/>
                <w:sz w:val="16"/>
                <w:szCs w:val="16"/>
              </w:rPr>
              <w:t>1.1</w:t>
            </w:r>
          </w:p>
        </w:tc>
        <w:tc>
          <w:tcPr>
            <w:tcW w:w="877" w:type="dxa"/>
            <w:tcBorders>
              <w:top w:val="nil"/>
              <w:left w:val="nil"/>
              <w:bottom w:val="nil"/>
              <w:right w:val="nil"/>
            </w:tcBorders>
            <w:shd w:val="clear" w:color="000000" w:fill="E6E6E6"/>
            <w:noWrap/>
            <w:vAlign w:val="bottom"/>
            <w:hideMark/>
          </w:tcPr>
          <w:p w14:paraId="3815E214" w14:textId="52FAD736" w:rsidR="00342CD1" w:rsidRPr="00AB2612" w:rsidRDefault="00342CD1" w:rsidP="00342CD1">
            <w:pPr>
              <w:spacing w:after="0" w:line="240" w:lineRule="auto"/>
              <w:jc w:val="right"/>
              <w:outlineLvl w:val="0"/>
              <w:rPr>
                <w:rFonts w:ascii="Arial" w:hAnsi="Arial" w:cs="Arial"/>
                <w:b/>
                <w:bCs/>
                <w:sz w:val="16"/>
                <w:szCs w:val="16"/>
              </w:rPr>
            </w:pPr>
            <w:r>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3A8EE8C4" w14:textId="7913DA81" w:rsidR="00342CD1" w:rsidRPr="00AB2612" w:rsidRDefault="00342CD1" w:rsidP="00342CD1">
            <w:pPr>
              <w:spacing w:after="0" w:line="240" w:lineRule="auto"/>
              <w:jc w:val="right"/>
              <w:outlineLvl w:val="0"/>
              <w:rPr>
                <w:rFonts w:ascii="Arial" w:hAnsi="Arial" w:cs="Arial"/>
                <w:b/>
                <w:bCs/>
                <w:sz w:val="16"/>
                <w:szCs w:val="16"/>
              </w:rPr>
            </w:pPr>
          </w:p>
        </w:tc>
        <w:tc>
          <w:tcPr>
            <w:tcW w:w="812" w:type="dxa"/>
            <w:tcBorders>
              <w:top w:val="nil"/>
              <w:left w:val="nil"/>
              <w:bottom w:val="nil"/>
              <w:right w:val="nil"/>
            </w:tcBorders>
            <w:shd w:val="clear" w:color="000000" w:fill="E6E6E6"/>
            <w:noWrap/>
            <w:vAlign w:val="bottom"/>
            <w:hideMark/>
          </w:tcPr>
          <w:p w14:paraId="17847655" w14:textId="4D3F20E9" w:rsidR="00342CD1" w:rsidRPr="00AB2612" w:rsidRDefault="00342CD1" w:rsidP="00342CD1">
            <w:pPr>
              <w:spacing w:after="0" w:line="240" w:lineRule="auto"/>
              <w:jc w:val="right"/>
              <w:outlineLvl w:val="0"/>
              <w:rPr>
                <w:rFonts w:ascii="Arial" w:hAnsi="Arial" w:cs="Arial"/>
                <w:b/>
                <w:bCs/>
                <w:sz w:val="16"/>
                <w:szCs w:val="16"/>
              </w:rPr>
            </w:pPr>
            <w:r>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4FBC4729" w14:textId="38571111" w:rsidR="00342CD1" w:rsidRPr="00AB2612" w:rsidRDefault="00342CD1" w:rsidP="00342CD1">
            <w:pPr>
              <w:spacing w:after="0" w:line="240" w:lineRule="auto"/>
              <w:jc w:val="right"/>
              <w:outlineLvl w:val="0"/>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502D726" w14:textId="3337C0ED" w:rsidR="00342CD1" w:rsidRPr="00AB2612" w:rsidRDefault="00342CD1" w:rsidP="00342CD1">
            <w:pPr>
              <w:spacing w:after="0" w:line="240" w:lineRule="auto"/>
              <w:jc w:val="right"/>
              <w:outlineLvl w:val="0"/>
              <w:rPr>
                <w:rFonts w:ascii="Arial" w:hAnsi="Arial" w:cs="Arial"/>
                <w:b/>
                <w:bCs/>
                <w:sz w:val="16"/>
                <w:szCs w:val="16"/>
              </w:rPr>
            </w:pPr>
            <w:r>
              <w:rPr>
                <w:rFonts w:ascii="Arial" w:hAnsi="Arial" w:cs="Arial"/>
                <w:sz w:val="16"/>
                <w:szCs w:val="16"/>
              </w:rPr>
              <w:t> </w:t>
            </w:r>
          </w:p>
        </w:tc>
      </w:tr>
      <w:tr w:rsidR="00342CD1" w:rsidRPr="00AB2612" w14:paraId="46393942" w14:textId="77777777" w:rsidTr="00CD0EDE">
        <w:trPr>
          <w:trHeight w:val="204"/>
        </w:trPr>
        <w:tc>
          <w:tcPr>
            <w:tcW w:w="2552" w:type="dxa"/>
            <w:tcBorders>
              <w:top w:val="nil"/>
              <w:left w:val="nil"/>
              <w:bottom w:val="nil"/>
              <w:right w:val="nil"/>
            </w:tcBorders>
            <w:shd w:val="clear" w:color="auto" w:fill="auto"/>
            <w:vAlign w:val="bottom"/>
            <w:hideMark/>
          </w:tcPr>
          <w:p w14:paraId="01262092" w14:textId="49EB084A" w:rsidR="00342CD1" w:rsidRPr="00AB2612" w:rsidRDefault="00342CD1" w:rsidP="00342CD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30" w:type="dxa"/>
            <w:tcBorders>
              <w:top w:val="nil"/>
              <w:left w:val="nil"/>
              <w:bottom w:val="nil"/>
              <w:right w:val="nil"/>
            </w:tcBorders>
            <w:shd w:val="clear" w:color="auto" w:fill="auto"/>
            <w:noWrap/>
            <w:hideMark/>
          </w:tcPr>
          <w:p w14:paraId="2EBC3C3C" w14:textId="5E1BA2F3" w:rsidR="00342CD1" w:rsidRPr="00AB2612" w:rsidRDefault="00342CD1" w:rsidP="00342CD1">
            <w:pPr>
              <w:spacing w:after="0" w:line="240" w:lineRule="auto"/>
              <w:jc w:val="center"/>
              <w:outlineLvl w:val="0"/>
              <w:rPr>
                <w:rFonts w:ascii="Arial" w:hAnsi="Arial" w:cs="Arial"/>
                <w:sz w:val="16"/>
                <w:szCs w:val="16"/>
              </w:rPr>
            </w:pPr>
          </w:p>
        </w:tc>
        <w:tc>
          <w:tcPr>
            <w:tcW w:w="877" w:type="dxa"/>
            <w:tcBorders>
              <w:top w:val="nil"/>
              <w:left w:val="nil"/>
              <w:bottom w:val="nil"/>
              <w:right w:val="nil"/>
            </w:tcBorders>
            <w:shd w:val="clear" w:color="000000" w:fill="E6E6E6"/>
            <w:noWrap/>
            <w:vAlign w:val="bottom"/>
            <w:hideMark/>
          </w:tcPr>
          <w:p w14:paraId="065F904F" w14:textId="0725804C"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1B2FE2C2" w14:textId="51404345"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2" w:type="dxa"/>
            <w:tcBorders>
              <w:top w:val="nil"/>
              <w:left w:val="nil"/>
              <w:bottom w:val="nil"/>
              <w:right w:val="nil"/>
            </w:tcBorders>
            <w:shd w:val="clear" w:color="000000" w:fill="E6E6E6"/>
            <w:noWrap/>
            <w:vAlign w:val="bottom"/>
            <w:hideMark/>
          </w:tcPr>
          <w:p w14:paraId="171AE337" w14:textId="1C7CAE68"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96" w:type="dxa"/>
            <w:tcBorders>
              <w:top w:val="nil"/>
              <w:left w:val="nil"/>
              <w:bottom w:val="nil"/>
              <w:right w:val="nil"/>
            </w:tcBorders>
            <w:shd w:val="clear" w:color="auto" w:fill="auto"/>
            <w:noWrap/>
            <w:vAlign w:val="bottom"/>
            <w:hideMark/>
          </w:tcPr>
          <w:p w14:paraId="7D8B6FAF" w14:textId="64798E0B"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694885B2" w14:textId="2A99F885"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342CD1" w:rsidRPr="00AB2612" w14:paraId="6FFE6223" w14:textId="77777777" w:rsidTr="00CD0EDE">
        <w:trPr>
          <w:trHeight w:val="204"/>
        </w:trPr>
        <w:tc>
          <w:tcPr>
            <w:tcW w:w="2552" w:type="dxa"/>
            <w:tcBorders>
              <w:top w:val="nil"/>
              <w:left w:val="nil"/>
              <w:bottom w:val="nil"/>
              <w:right w:val="nil"/>
            </w:tcBorders>
            <w:shd w:val="clear" w:color="auto" w:fill="auto"/>
            <w:noWrap/>
            <w:vAlign w:val="bottom"/>
            <w:hideMark/>
          </w:tcPr>
          <w:p w14:paraId="1C56772A" w14:textId="7582AB6E" w:rsidR="00342CD1" w:rsidRPr="00AB2612"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bottom w:val="nil"/>
              <w:right w:val="nil"/>
            </w:tcBorders>
            <w:shd w:val="clear" w:color="auto" w:fill="auto"/>
            <w:noWrap/>
            <w:hideMark/>
          </w:tcPr>
          <w:p w14:paraId="3C264619" w14:textId="77777777" w:rsidR="00342CD1" w:rsidRPr="00AB2612" w:rsidRDefault="00342CD1" w:rsidP="00DD4118">
            <w:pPr>
              <w:spacing w:after="0" w:line="240" w:lineRule="auto"/>
              <w:jc w:val="center"/>
              <w:outlineLvl w:val="0"/>
              <w:rPr>
                <w:rFonts w:ascii="Arial" w:hAnsi="Arial" w:cs="Arial"/>
                <w:sz w:val="16"/>
                <w:szCs w:val="16"/>
              </w:rPr>
            </w:pPr>
          </w:p>
        </w:tc>
        <w:tc>
          <w:tcPr>
            <w:tcW w:w="877" w:type="dxa"/>
            <w:tcBorders>
              <w:top w:val="nil"/>
              <w:left w:val="nil"/>
              <w:right w:val="nil"/>
            </w:tcBorders>
            <w:shd w:val="clear" w:color="000000" w:fill="E6E6E6"/>
            <w:noWrap/>
            <w:vAlign w:val="bottom"/>
            <w:hideMark/>
          </w:tcPr>
          <w:p w14:paraId="235BFDA2" w14:textId="271C5F97"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20" w:type="dxa"/>
            <w:tcBorders>
              <w:top w:val="nil"/>
              <w:left w:val="nil"/>
              <w:right w:val="nil"/>
            </w:tcBorders>
            <w:shd w:val="clear" w:color="auto" w:fill="auto"/>
            <w:noWrap/>
            <w:vAlign w:val="bottom"/>
            <w:hideMark/>
          </w:tcPr>
          <w:p w14:paraId="1B1DED72" w14:textId="42BE90C7"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2" w:type="dxa"/>
            <w:tcBorders>
              <w:top w:val="nil"/>
              <w:left w:val="nil"/>
              <w:right w:val="nil"/>
            </w:tcBorders>
            <w:shd w:val="clear" w:color="000000" w:fill="E6E6E6"/>
            <w:noWrap/>
            <w:vAlign w:val="bottom"/>
            <w:hideMark/>
          </w:tcPr>
          <w:p w14:paraId="662AEDBA" w14:textId="560F6146"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96" w:type="dxa"/>
            <w:tcBorders>
              <w:top w:val="nil"/>
              <w:left w:val="nil"/>
              <w:right w:val="nil"/>
            </w:tcBorders>
            <w:shd w:val="clear" w:color="auto" w:fill="auto"/>
            <w:noWrap/>
            <w:vAlign w:val="bottom"/>
            <w:hideMark/>
          </w:tcPr>
          <w:p w14:paraId="17EEE512" w14:textId="371776A0"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right w:val="nil"/>
            </w:tcBorders>
            <w:shd w:val="clear" w:color="000000" w:fill="E6E6E6"/>
            <w:noWrap/>
            <w:vAlign w:val="bottom"/>
            <w:hideMark/>
          </w:tcPr>
          <w:p w14:paraId="42D6979D" w14:textId="0A3D9BA0"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342CD1" w:rsidRPr="00AB2612" w14:paraId="3CC4C348" w14:textId="77777777" w:rsidTr="00CD0EDE">
        <w:trPr>
          <w:trHeight w:val="204"/>
        </w:trPr>
        <w:tc>
          <w:tcPr>
            <w:tcW w:w="2552" w:type="dxa"/>
            <w:tcBorders>
              <w:top w:val="nil"/>
              <w:left w:val="nil"/>
              <w:right w:val="nil"/>
            </w:tcBorders>
            <w:shd w:val="clear" w:color="auto" w:fill="auto"/>
            <w:noWrap/>
            <w:vAlign w:val="bottom"/>
            <w:hideMark/>
          </w:tcPr>
          <w:p w14:paraId="0D07D04E" w14:textId="64524FC4" w:rsidR="00342CD1" w:rsidRPr="00AB2612" w:rsidRDefault="00342CD1" w:rsidP="00342CD1">
            <w:pPr>
              <w:spacing w:after="0" w:line="240" w:lineRule="auto"/>
              <w:jc w:val="left"/>
              <w:rPr>
                <w:rFonts w:ascii="Arial" w:hAnsi="Arial" w:cs="Arial"/>
                <w:sz w:val="16"/>
                <w:szCs w:val="16"/>
              </w:rPr>
            </w:pPr>
            <w:r>
              <w:rPr>
                <w:rFonts w:ascii="Arial" w:hAnsi="Arial" w:cs="Arial"/>
                <w:sz w:val="16"/>
                <w:szCs w:val="16"/>
              </w:rPr>
              <w:t xml:space="preserve">Infrastructure Investment —South Australia </w:t>
            </w:r>
            <w:r>
              <w:rPr>
                <w:rFonts w:ascii="Arial" w:hAnsi="Arial" w:cs="Arial"/>
                <w:sz w:val="16"/>
                <w:szCs w:val="16"/>
                <w:vertAlign w:val="superscript"/>
              </w:rPr>
              <w:t>(b)</w:t>
            </w:r>
          </w:p>
        </w:tc>
        <w:tc>
          <w:tcPr>
            <w:tcW w:w="830" w:type="dxa"/>
            <w:tcBorders>
              <w:top w:val="nil"/>
              <w:left w:val="nil"/>
              <w:right w:val="nil"/>
            </w:tcBorders>
            <w:shd w:val="clear" w:color="auto" w:fill="auto"/>
            <w:noWrap/>
            <w:hideMark/>
          </w:tcPr>
          <w:p w14:paraId="7FCEEFE9" w14:textId="6C4803C9" w:rsidR="00342CD1" w:rsidRPr="00AB2612" w:rsidRDefault="00342CD1" w:rsidP="00DD4118">
            <w:pPr>
              <w:spacing w:after="0" w:line="240" w:lineRule="auto"/>
              <w:jc w:val="center"/>
              <w:outlineLvl w:val="0"/>
              <w:rPr>
                <w:rFonts w:ascii="Arial" w:hAnsi="Arial" w:cs="Arial"/>
                <w:sz w:val="16"/>
                <w:szCs w:val="16"/>
              </w:rPr>
            </w:pPr>
            <w:r>
              <w:rPr>
                <w:rFonts w:ascii="Arial" w:hAnsi="Arial" w:cs="Arial"/>
                <w:sz w:val="16"/>
                <w:szCs w:val="16"/>
              </w:rPr>
              <w:t>1.1</w:t>
            </w:r>
          </w:p>
        </w:tc>
        <w:tc>
          <w:tcPr>
            <w:tcW w:w="877" w:type="dxa"/>
            <w:tcBorders>
              <w:top w:val="nil"/>
              <w:left w:val="nil"/>
              <w:right w:val="nil"/>
            </w:tcBorders>
            <w:shd w:val="clear" w:color="000000" w:fill="E6E6E6"/>
            <w:noWrap/>
            <w:vAlign w:val="bottom"/>
            <w:hideMark/>
          </w:tcPr>
          <w:p w14:paraId="40D6CAF6" w14:textId="498B97F1"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w:t>
            </w:r>
          </w:p>
        </w:tc>
        <w:tc>
          <w:tcPr>
            <w:tcW w:w="820" w:type="dxa"/>
            <w:tcBorders>
              <w:top w:val="nil"/>
              <w:left w:val="nil"/>
              <w:right w:val="nil"/>
            </w:tcBorders>
            <w:shd w:val="clear" w:color="auto" w:fill="auto"/>
            <w:noWrap/>
            <w:vAlign w:val="bottom"/>
            <w:hideMark/>
          </w:tcPr>
          <w:p w14:paraId="0B350906" w14:textId="48248DE8" w:rsidR="00342CD1" w:rsidRPr="00AB2612" w:rsidRDefault="00342CD1" w:rsidP="00342CD1">
            <w:pPr>
              <w:spacing w:after="0" w:line="240" w:lineRule="auto"/>
              <w:jc w:val="right"/>
              <w:outlineLvl w:val="0"/>
              <w:rPr>
                <w:rFonts w:ascii="Arial" w:hAnsi="Arial" w:cs="Arial"/>
                <w:sz w:val="16"/>
                <w:szCs w:val="16"/>
              </w:rPr>
            </w:pPr>
          </w:p>
        </w:tc>
        <w:tc>
          <w:tcPr>
            <w:tcW w:w="812" w:type="dxa"/>
            <w:tcBorders>
              <w:top w:val="nil"/>
              <w:left w:val="nil"/>
              <w:right w:val="nil"/>
            </w:tcBorders>
            <w:shd w:val="clear" w:color="000000" w:fill="E6E6E6"/>
            <w:noWrap/>
            <w:vAlign w:val="bottom"/>
            <w:hideMark/>
          </w:tcPr>
          <w:p w14:paraId="0CA7F3DD" w14:textId="34B2CE60"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w:t>
            </w:r>
          </w:p>
        </w:tc>
        <w:tc>
          <w:tcPr>
            <w:tcW w:w="896" w:type="dxa"/>
            <w:tcBorders>
              <w:top w:val="nil"/>
              <w:left w:val="nil"/>
              <w:right w:val="nil"/>
            </w:tcBorders>
            <w:shd w:val="clear" w:color="auto" w:fill="auto"/>
            <w:noWrap/>
            <w:vAlign w:val="bottom"/>
            <w:hideMark/>
          </w:tcPr>
          <w:p w14:paraId="2243201B" w14:textId="760AB7BC" w:rsidR="00342CD1" w:rsidRPr="00AB2612" w:rsidRDefault="00342CD1" w:rsidP="00342CD1">
            <w:pPr>
              <w:spacing w:after="0" w:line="240" w:lineRule="auto"/>
              <w:jc w:val="right"/>
              <w:outlineLvl w:val="0"/>
              <w:rPr>
                <w:rFonts w:ascii="Arial" w:hAnsi="Arial" w:cs="Arial"/>
                <w:sz w:val="16"/>
                <w:szCs w:val="16"/>
              </w:rPr>
            </w:pPr>
          </w:p>
        </w:tc>
        <w:tc>
          <w:tcPr>
            <w:tcW w:w="850" w:type="dxa"/>
            <w:tcBorders>
              <w:top w:val="nil"/>
              <w:left w:val="nil"/>
              <w:right w:val="nil"/>
            </w:tcBorders>
            <w:shd w:val="clear" w:color="000000" w:fill="E6E6E6"/>
            <w:noWrap/>
            <w:vAlign w:val="bottom"/>
            <w:hideMark/>
          </w:tcPr>
          <w:p w14:paraId="043375D7" w14:textId="10F9447A"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w:t>
            </w:r>
          </w:p>
        </w:tc>
      </w:tr>
      <w:tr w:rsidR="00342CD1" w:rsidRPr="00AB2612" w14:paraId="247E6C1A" w14:textId="77777777" w:rsidTr="00CD0EDE">
        <w:trPr>
          <w:trHeight w:val="204"/>
        </w:trPr>
        <w:tc>
          <w:tcPr>
            <w:tcW w:w="2552" w:type="dxa"/>
            <w:tcBorders>
              <w:top w:val="nil"/>
              <w:left w:val="nil"/>
              <w:right w:val="nil"/>
            </w:tcBorders>
            <w:shd w:val="clear" w:color="auto" w:fill="auto"/>
            <w:noWrap/>
            <w:vAlign w:val="bottom"/>
          </w:tcPr>
          <w:p w14:paraId="729E2010" w14:textId="45C4C381" w:rsidR="00342CD1" w:rsidRDefault="00342CD1" w:rsidP="00342CD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30" w:type="dxa"/>
            <w:tcBorders>
              <w:top w:val="nil"/>
              <w:left w:val="nil"/>
              <w:right w:val="nil"/>
            </w:tcBorders>
            <w:shd w:val="clear" w:color="auto" w:fill="auto"/>
            <w:noWrap/>
          </w:tcPr>
          <w:p w14:paraId="3740EC17" w14:textId="77777777" w:rsidR="00342CD1" w:rsidRDefault="00342CD1" w:rsidP="00DD4118">
            <w:pPr>
              <w:spacing w:after="0" w:line="240" w:lineRule="auto"/>
              <w:jc w:val="center"/>
              <w:outlineLvl w:val="0"/>
              <w:rPr>
                <w:rFonts w:ascii="Arial" w:hAnsi="Arial" w:cs="Arial"/>
                <w:sz w:val="16"/>
                <w:szCs w:val="16"/>
              </w:rPr>
            </w:pPr>
          </w:p>
        </w:tc>
        <w:tc>
          <w:tcPr>
            <w:tcW w:w="877" w:type="dxa"/>
            <w:tcBorders>
              <w:top w:val="nil"/>
              <w:left w:val="nil"/>
              <w:right w:val="nil"/>
            </w:tcBorders>
            <w:shd w:val="clear" w:color="000000" w:fill="E6E6E6"/>
            <w:noWrap/>
            <w:vAlign w:val="bottom"/>
          </w:tcPr>
          <w:p w14:paraId="50AE05F2" w14:textId="288CF4C5"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20" w:type="dxa"/>
            <w:tcBorders>
              <w:top w:val="nil"/>
              <w:left w:val="nil"/>
              <w:right w:val="nil"/>
            </w:tcBorders>
            <w:shd w:val="clear" w:color="auto" w:fill="auto"/>
            <w:noWrap/>
            <w:vAlign w:val="bottom"/>
          </w:tcPr>
          <w:p w14:paraId="3F26FBB7" w14:textId="4296F94A"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2" w:type="dxa"/>
            <w:tcBorders>
              <w:top w:val="nil"/>
              <w:left w:val="nil"/>
              <w:right w:val="nil"/>
            </w:tcBorders>
            <w:shd w:val="clear" w:color="000000" w:fill="E6E6E6"/>
            <w:noWrap/>
            <w:vAlign w:val="bottom"/>
          </w:tcPr>
          <w:p w14:paraId="55937D69" w14:textId="34E66FEA"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96" w:type="dxa"/>
            <w:tcBorders>
              <w:top w:val="nil"/>
              <w:left w:val="nil"/>
              <w:right w:val="nil"/>
            </w:tcBorders>
            <w:shd w:val="clear" w:color="auto" w:fill="auto"/>
            <w:noWrap/>
            <w:vAlign w:val="bottom"/>
          </w:tcPr>
          <w:p w14:paraId="163F0E7F" w14:textId="07602A4B"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right w:val="nil"/>
            </w:tcBorders>
            <w:shd w:val="clear" w:color="000000" w:fill="E6E6E6"/>
            <w:noWrap/>
            <w:vAlign w:val="bottom"/>
          </w:tcPr>
          <w:p w14:paraId="0C1BE074" w14:textId="0F434143"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342CD1" w:rsidRPr="00AB2612" w14:paraId="378A6056" w14:textId="77777777" w:rsidTr="00CD0EDE">
        <w:trPr>
          <w:trHeight w:val="204"/>
        </w:trPr>
        <w:tc>
          <w:tcPr>
            <w:tcW w:w="2552" w:type="dxa"/>
            <w:tcBorders>
              <w:top w:val="nil"/>
              <w:left w:val="nil"/>
              <w:right w:val="nil"/>
            </w:tcBorders>
            <w:shd w:val="clear" w:color="auto" w:fill="auto"/>
            <w:noWrap/>
            <w:vAlign w:val="bottom"/>
          </w:tcPr>
          <w:p w14:paraId="5E7C106D" w14:textId="222B5BCB" w:rsidR="00342CD1"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right w:val="nil"/>
            </w:tcBorders>
            <w:shd w:val="clear" w:color="auto" w:fill="auto"/>
            <w:noWrap/>
          </w:tcPr>
          <w:p w14:paraId="588F11F1" w14:textId="77777777" w:rsidR="00342CD1" w:rsidRDefault="00342CD1" w:rsidP="00DD4118">
            <w:pPr>
              <w:spacing w:after="0" w:line="240" w:lineRule="auto"/>
              <w:jc w:val="center"/>
              <w:outlineLvl w:val="0"/>
              <w:rPr>
                <w:rFonts w:ascii="Arial" w:hAnsi="Arial" w:cs="Arial"/>
                <w:sz w:val="16"/>
                <w:szCs w:val="16"/>
              </w:rPr>
            </w:pPr>
          </w:p>
        </w:tc>
        <w:tc>
          <w:tcPr>
            <w:tcW w:w="877" w:type="dxa"/>
            <w:tcBorders>
              <w:top w:val="nil"/>
              <w:left w:val="nil"/>
              <w:right w:val="nil"/>
            </w:tcBorders>
            <w:shd w:val="clear" w:color="000000" w:fill="E6E6E6"/>
            <w:noWrap/>
            <w:vAlign w:val="bottom"/>
          </w:tcPr>
          <w:p w14:paraId="03B03D6B" w14:textId="746D33EA" w:rsidR="00342CD1"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20" w:type="dxa"/>
            <w:tcBorders>
              <w:top w:val="nil"/>
              <w:left w:val="nil"/>
              <w:right w:val="nil"/>
            </w:tcBorders>
            <w:shd w:val="clear" w:color="auto" w:fill="auto"/>
            <w:noWrap/>
            <w:vAlign w:val="bottom"/>
          </w:tcPr>
          <w:p w14:paraId="1B30F6CF" w14:textId="1C6D888D"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2" w:type="dxa"/>
            <w:tcBorders>
              <w:top w:val="nil"/>
              <w:left w:val="nil"/>
              <w:right w:val="nil"/>
            </w:tcBorders>
            <w:shd w:val="clear" w:color="000000" w:fill="E6E6E6"/>
            <w:noWrap/>
            <w:vAlign w:val="bottom"/>
          </w:tcPr>
          <w:p w14:paraId="40791ADF" w14:textId="311C5C78" w:rsidR="00342CD1"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96" w:type="dxa"/>
            <w:tcBorders>
              <w:top w:val="nil"/>
              <w:left w:val="nil"/>
              <w:right w:val="nil"/>
            </w:tcBorders>
            <w:shd w:val="clear" w:color="auto" w:fill="auto"/>
            <w:noWrap/>
            <w:vAlign w:val="bottom"/>
          </w:tcPr>
          <w:p w14:paraId="0108B548" w14:textId="281439DE"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right w:val="nil"/>
            </w:tcBorders>
            <w:shd w:val="clear" w:color="000000" w:fill="E6E6E6"/>
            <w:noWrap/>
            <w:vAlign w:val="bottom"/>
          </w:tcPr>
          <w:p w14:paraId="461F3D95" w14:textId="2AFCBE0F" w:rsidR="00342CD1"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342CD1" w:rsidRPr="00AB2612" w14:paraId="42BF41F7" w14:textId="77777777" w:rsidTr="00CD0EDE">
        <w:trPr>
          <w:trHeight w:val="204"/>
        </w:trPr>
        <w:tc>
          <w:tcPr>
            <w:tcW w:w="2552" w:type="dxa"/>
            <w:tcBorders>
              <w:top w:val="nil"/>
              <w:left w:val="nil"/>
              <w:right w:val="nil"/>
            </w:tcBorders>
            <w:shd w:val="clear" w:color="auto" w:fill="auto"/>
            <w:noWrap/>
            <w:vAlign w:val="bottom"/>
          </w:tcPr>
          <w:p w14:paraId="0A4CC376" w14:textId="3D141912" w:rsidR="00342CD1" w:rsidRDefault="00342CD1" w:rsidP="00342CD1">
            <w:pPr>
              <w:spacing w:after="0" w:line="240" w:lineRule="auto"/>
              <w:jc w:val="left"/>
              <w:rPr>
                <w:rFonts w:ascii="Arial" w:hAnsi="Arial" w:cs="Arial"/>
                <w:sz w:val="16"/>
                <w:szCs w:val="16"/>
              </w:rPr>
            </w:pPr>
            <w:r>
              <w:rPr>
                <w:rFonts w:ascii="Arial" w:hAnsi="Arial" w:cs="Arial"/>
                <w:sz w:val="16"/>
                <w:szCs w:val="16"/>
              </w:rPr>
              <w:t xml:space="preserve">Infrastructure Investment  — Tasmania </w:t>
            </w:r>
            <w:r>
              <w:rPr>
                <w:rFonts w:ascii="Arial" w:hAnsi="Arial" w:cs="Arial"/>
                <w:sz w:val="16"/>
                <w:szCs w:val="16"/>
                <w:vertAlign w:val="superscript"/>
              </w:rPr>
              <w:t>(b)</w:t>
            </w:r>
          </w:p>
        </w:tc>
        <w:tc>
          <w:tcPr>
            <w:tcW w:w="830" w:type="dxa"/>
            <w:tcBorders>
              <w:top w:val="nil"/>
              <w:left w:val="nil"/>
              <w:right w:val="nil"/>
            </w:tcBorders>
            <w:shd w:val="clear" w:color="auto" w:fill="auto"/>
            <w:noWrap/>
          </w:tcPr>
          <w:p w14:paraId="3DF348EE" w14:textId="4712964A" w:rsidR="00342CD1" w:rsidRDefault="00342CD1" w:rsidP="00DD4118">
            <w:pPr>
              <w:spacing w:after="0" w:line="240" w:lineRule="auto"/>
              <w:jc w:val="center"/>
              <w:outlineLvl w:val="0"/>
              <w:rPr>
                <w:rFonts w:ascii="Arial" w:hAnsi="Arial" w:cs="Arial"/>
                <w:sz w:val="16"/>
                <w:szCs w:val="16"/>
              </w:rPr>
            </w:pPr>
            <w:r>
              <w:rPr>
                <w:rFonts w:ascii="Arial" w:hAnsi="Arial" w:cs="Arial"/>
                <w:sz w:val="16"/>
                <w:szCs w:val="16"/>
              </w:rPr>
              <w:t>1.1</w:t>
            </w:r>
          </w:p>
        </w:tc>
        <w:tc>
          <w:tcPr>
            <w:tcW w:w="877" w:type="dxa"/>
            <w:tcBorders>
              <w:top w:val="nil"/>
              <w:left w:val="nil"/>
              <w:right w:val="nil"/>
            </w:tcBorders>
            <w:shd w:val="clear" w:color="000000" w:fill="E6E6E6"/>
            <w:noWrap/>
            <w:vAlign w:val="bottom"/>
          </w:tcPr>
          <w:p w14:paraId="39419BBE" w14:textId="2F1C6B0D"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w:t>
            </w:r>
          </w:p>
        </w:tc>
        <w:tc>
          <w:tcPr>
            <w:tcW w:w="820" w:type="dxa"/>
            <w:tcBorders>
              <w:top w:val="nil"/>
              <w:left w:val="nil"/>
              <w:right w:val="nil"/>
            </w:tcBorders>
            <w:shd w:val="clear" w:color="auto" w:fill="auto"/>
            <w:noWrap/>
            <w:vAlign w:val="bottom"/>
          </w:tcPr>
          <w:p w14:paraId="2500943A" w14:textId="77777777" w:rsidR="00342CD1" w:rsidRPr="00AB2612" w:rsidRDefault="00342CD1" w:rsidP="00342CD1">
            <w:pPr>
              <w:spacing w:after="0" w:line="240" w:lineRule="auto"/>
              <w:jc w:val="right"/>
              <w:outlineLvl w:val="0"/>
              <w:rPr>
                <w:rFonts w:ascii="Arial" w:hAnsi="Arial" w:cs="Arial"/>
                <w:sz w:val="16"/>
                <w:szCs w:val="16"/>
              </w:rPr>
            </w:pPr>
          </w:p>
        </w:tc>
        <w:tc>
          <w:tcPr>
            <w:tcW w:w="812" w:type="dxa"/>
            <w:tcBorders>
              <w:top w:val="nil"/>
              <w:left w:val="nil"/>
              <w:right w:val="nil"/>
            </w:tcBorders>
            <w:shd w:val="clear" w:color="000000" w:fill="E6E6E6"/>
            <w:noWrap/>
            <w:vAlign w:val="bottom"/>
          </w:tcPr>
          <w:p w14:paraId="2243447F" w14:textId="7043A737"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w:t>
            </w:r>
          </w:p>
        </w:tc>
        <w:tc>
          <w:tcPr>
            <w:tcW w:w="896" w:type="dxa"/>
            <w:tcBorders>
              <w:top w:val="nil"/>
              <w:left w:val="nil"/>
              <w:right w:val="nil"/>
            </w:tcBorders>
            <w:shd w:val="clear" w:color="auto" w:fill="auto"/>
            <w:noWrap/>
            <w:vAlign w:val="bottom"/>
          </w:tcPr>
          <w:p w14:paraId="09A7844C" w14:textId="77777777" w:rsidR="00342CD1" w:rsidRPr="00AB2612" w:rsidRDefault="00342CD1" w:rsidP="00342CD1">
            <w:pPr>
              <w:spacing w:after="0" w:line="240" w:lineRule="auto"/>
              <w:jc w:val="right"/>
              <w:outlineLvl w:val="0"/>
              <w:rPr>
                <w:rFonts w:ascii="Arial" w:hAnsi="Arial" w:cs="Arial"/>
                <w:sz w:val="16"/>
                <w:szCs w:val="16"/>
              </w:rPr>
            </w:pPr>
          </w:p>
        </w:tc>
        <w:tc>
          <w:tcPr>
            <w:tcW w:w="850" w:type="dxa"/>
            <w:tcBorders>
              <w:top w:val="nil"/>
              <w:left w:val="nil"/>
              <w:right w:val="nil"/>
            </w:tcBorders>
            <w:shd w:val="clear" w:color="000000" w:fill="E6E6E6"/>
            <w:noWrap/>
            <w:vAlign w:val="bottom"/>
          </w:tcPr>
          <w:p w14:paraId="7A8B0803" w14:textId="6E72CC7C"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w:t>
            </w:r>
          </w:p>
        </w:tc>
      </w:tr>
      <w:tr w:rsidR="00342CD1" w:rsidRPr="00AB2612" w14:paraId="42285A53" w14:textId="77777777" w:rsidTr="00342CD1">
        <w:trPr>
          <w:trHeight w:val="204"/>
        </w:trPr>
        <w:tc>
          <w:tcPr>
            <w:tcW w:w="2552" w:type="dxa"/>
            <w:tcBorders>
              <w:top w:val="nil"/>
              <w:left w:val="nil"/>
              <w:right w:val="nil"/>
            </w:tcBorders>
            <w:shd w:val="clear" w:color="auto" w:fill="auto"/>
            <w:noWrap/>
            <w:vAlign w:val="bottom"/>
          </w:tcPr>
          <w:p w14:paraId="3B2ED629" w14:textId="451B9347" w:rsidR="00342CD1" w:rsidRDefault="00342CD1" w:rsidP="00342CD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830" w:type="dxa"/>
            <w:tcBorders>
              <w:top w:val="nil"/>
              <w:left w:val="nil"/>
              <w:right w:val="nil"/>
            </w:tcBorders>
            <w:shd w:val="clear" w:color="auto" w:fill="auto"/>
            <w:noWrap/>
          </w:tcPr>
          <w:p w14:paraId="0EDAA728" w14:textId="77777777" w:rsidR="00342CD1" w:rsidRDefault="00342CD1" w:rsidP="00DD4118">
            <w:pPr>
              <w:spacing w:after="0" w:line="240" w:lineRule="auto"/>
              <w:jc w:val="center"/>
              <w:outlineLvl w:val="0"/>
              <w:rPr>
                <w:rFonts w:ascii="Arial" w:hAnsi="Arial" w:cs="Arial"/>
                <w:sz w:val="16"/>
                <w:szCs w:val="16"/>
              </w:rPr>
            </w:pPr>
          </w:p>
        </w:tc>
        <w:tc>
          <w:tcPr>
            <w:tcW w:w="877" w:type="dxa"/>
            <w:tcBorders>
              <w:top w:val="nil"/>
              <w:left w:val="nil"/>
              <w:right w:val="nil"/>
            </w:tcBorders>
            <w:shd w:val="clear" w:color="000000" w:fill="E6E6E6"/>
            <w:noWrap/>
            <w:vAlign w:val="bottom"/>
          </w:tcPr>
          <w:p w14:paraId="754B6F36" w14:textId="4DEDE9BA"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20" w:type="dxa"/>
            <w:tcBorders>
              <w:top w:val="nil"/>
              <w:left w:val="nil"/>
              <w:right w:val="nil"/>
            </w:tcBorders>
            <w:shd w:val="clear" w:color="auto" w:fill="auto"/>
            <w:noWrap/>
            <w:vAlign w:val="bottom"/>
          </w:tcPr>
          <w:p w14:paraId="69F667F8" w14:textId="3B2C63BB"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2" w:type="dxa"/>
            <w:tcBorders>
              <w:top w:val="nil"/>
              <w:left w:val="nil"/>
              <w:right w:val="nil"/>
            </w:tcBorders>
            <w:shd w:val="clear" w:color="000000" w:fill="E6E6E6"/>
            <w:noWrap/>
            <w:vAlign w:val="bottom"/>
          </w:tcPr>
          <w:p w14:paraId="2CFF90F4" w14:textId="30FACAA3"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96" w:type="dxa"/>
            <w:tcBorders>
              <w:top w:val="nil"/>
              <w:left w:val="nil"/>
              <w:right w:val="nil"/>
            </w:tcBorders>
            <w:shd w:val="clear" w:color="auto" w:fill="auto"/>
            <w:noWrap/>
            <w:vAlign w:val="bottom"/>
          </w:tcPr>
          <w:p w14:paraId="63689DC8" w14:textId="203C908E" w:rsidR="00342CD1" w:rsidRPr="00AB2612"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right w:val="nil"/>
            </w:tcBorders>
            <w:shd w:val="clear" w:color="000000" w:fill="E6E6E6"/>
            <w:noWrap/>
            <w:vAlign w:val="bottom"/>
          </w:tcPr>
          <w:p w14:paraId="3F79E3E3" w14:textId="4E825A0C" w:rsidR="00342CD1" w:rsidRDefault="00342CD1" w:rsidP="00342CD1">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342CD1" w:rsidRPr="00AB2612" w14:paraId="6E37A682" w14:textId="77777777" w:rsidTr="00342CD1">
        <w:trPr>
          <w:trHeight w:val="204"/>
        </w:trPr>
        <w:tc>
          <w:tcPr>
            <w:tcW w:w="2552" w:type="dxa"/>
            <w:tcBorders>
              <w:top w:val="nil"/>
              <w:left w:val="nil"/>
              <w:bottom w:val="single" w:sz="4" w:space="0" w:color="auto"/>
              <w:right w:val="nil"/>
            </w:tcBorders>
            <w:shd w:val="clear" w:color="auto" w:fill="auto"/>
            <w:noWrap/>
            <w:vAlign w:val="bottom"/>
          </w:tcPr>
          <w:p w14:paraId="2F3D91D8" w14:textId="79C55C9E" w:rsidR="00342CD1" w:rsidRDefault="00342CD1" w:rsidP="00342CD1">
            <w:pPr>
              <w:spacing w:after="0" w:line="240" w:lineRule="auto"/>
              <w:jc w:val="left"/>
              <w:rPr>
                <w:rFonts w:ascii="Arial" w:hAnsi="Arial" w:cs="Arial"/>
                <w:sz w:val="16"/>
                <w:szCs w:val="16"/>
              </w:rPr>
            </w:pPr>
            <w:r>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tcPr>
          <w:p w14:paraId="6810CADB" w14:textId="77777777" w:rsidR="00342CD1" w:rsidRDefault="00342CD1" w:rsidP="00DD4118">
            <w:pPr>
              <w:spacing w:after="0" w:line="240" w:lineRule="auto"/>
              <w:jc w:val="center"/>
              <w:outlineLvl w:val="0"/>
              <w:rPr>
                <w:rFonts w:ascii="Arial" w:hAnsi="Arial" w:cs="Arial"/>
                <w:sz w:val="16"/>
                <w:szCs w:val="16"/>
              </w:rPr>
            </w:pPr>
          </w:p>
        </w:tc>
        <w:tc>
          <w:tcPr>
            <w:tcW w:w="877" w:type="dxa"/>
            <w:tcBorders>
              <w:top w:val="nil"/>
              <w:left w:val="nil"/>
              <w:bottom w:val="single" w:sz="4" w:space="0" w:color="auto"/>
              <w:right w:val="nil"/>
            </w:tcBorders>
            <w:shd w:val="clear" w:color="000000" w:fill="E6E6E6"/>
            <w:noWrap/>
            <w:vAlign w:val="bottom"/>
          </w:tcPr>
          <w:p w14:paraId="67432705" w14:textId="237F0692" w:rsidR="00342CD1"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20" w:type="dxa"/>
            <w:tcBorders>
              <w:top w:val="nil"/>
              <w:left w:val="nil"/>
              <w:bottom w:val="single" w:sz="4" w:space="0" w:color="auto"/>
              <w:right w:val="nil"/>
            </w:tcBorders>
            <w:shd w:val="clear" w:color="auto" w:fill="auto"/>
            <w:noWrap/>
            <w:vAlign w:val="bottom"/>
          </w:tcPr>
          <w:p w14:paraId="163CE780" w14:textId="5B2BDB8A"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2" w:type="dxa"/>
            <w:tcBorders>
              <w:top w:val="nil"/>
              <w:left w:val="nil"/>
              <w:bottom w:val="single" w:sz="4" w:space="0" w:color="auto"/>
              <w:right w:val="nil"/>
            </w:tcBorders>
            <w:shd w:val="clear" w:color="000000" w:fill="E6E6E6"/>
            <w:noWrap/>
            <w:vAlign w:val="bottom"/>
          </w:tcPr>
          <w:p w14:paraId="3989D691" w14:textId="3C92286E" w:rsidR="00342CD1"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96" w:type="dxa"/>
            <w:tcBorders>
              <w:top w:val="nil"/>
              <w:left w:val="nil"/>
              <w:bottom w:val="single" w:sz="4" w:space="0" w:color="auto"/>
              <w:right w:val="nil"/>
            </w:tcBorders>
            <w:shd w:val="clear" w:color="auto" w:fill="auto"/>
            <w:noWrap/>
            <w:vAlign w:val="bottom"/>
          </w:tcPr>
          <w:p w14:paraId="77F953EF" w14:textId="4E25E1FF" w:rsidR="00342CD1" w:rsidRPr="00AB2612"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single" w:sz="4" w:space="0" w:color="auto"/>
              <w:right w:val="nil"/>
            </w:tcBorders>
            <w:shd w:val="clear" w:color="000000" w:fill="E6E6E6"/>
            <w:noWrap/>
            <w:vAlign w:val="bottom"/>
          </w:tcPr>
          <w:p w14:paraId="3316012B" w14:textId="1E5BCBE8" w:rsidR="00342CD1" w:rsidRDefault="00342CD1" w:rsidP="00342CD1">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bl>
    <w:p w14:paraId="12BAC38E" w14:textId="5FE4AEBC" w:rsidR="00B91F3E" w:rsidRPr="009A40DD" w:rsidRDefault="00B91F3E" w:rsidP="00B91F3E">
      <w:pPr>
        <w:pStyle w:val="TableHeading"/>
      </w:pPr>
      <w:r w:rsidRPr="009A40DD">
        <w:lastRenderedPageBreak/>
        <w:t xml:space="preserve">Table 1.2: </w:t>
      </w:r>
      <w:r w:rsidR="003C4CC6">
        <w:rPr>
          <w:lang w:val="en-US"/>
        </w:rPr>
        <w:t>Department</w:t>
      </w:r>
      <w:r>
        <w:rPr>
          <w:lang w:val="en-US"/>
        </w:rPr>
        <w:t xml:space="preserve"> of Infrastructure, Transport, Regional Development and Communications</w:t>
      </w:r>
      <w:r w:rsidRPr="009A40DD">
        <w:t xml:space="preserve"> </w:t>
      </w:r>
      <w:r>
        <w:rPr>
          <w:lang w:val="en-AU"/>
        </w:rPr>
        <w:t xml:space="preserve">2022-23 </w:t>
      </w:r>
      <w:r w:rsidRPr="009A40DD">
        <w:t>Budget measures</w:t>
      </w:r>
    </w:p>
    <w:p w14:paraId="21ECDDD4" w14:textId="1863EE0E" w:rsidR="00B91F3E" w:rsidRDefault="00B91F3E" w:rsidP="00B91F3E">
      <w:pPr>
        <w:pStyle w:val="TableGraphic"/>
        <w:jc w:val="left"/>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 </w:t>
      </w:r>
      <w:r w:rsidR="00520588">
        <w:rPr>
          <w:rFonts w:ascii="Arial Bold" w:hAnsi="Arial Bold"/>
          <w:b/>
        </w:rPr>
        <w:t>(continued)</w:t>
      </w:r>
    </w:p>
    <w:tbl>
      <w:tblPr>
        <w:tblW w:w="7405" w:type="dxa"/>
        <w:tblLook w:val="04A0" w:firstRow="1" w:lastRow="0" w:firstColumn="1" w:lastColumn="0" w:noHBand="0" w:noVBand="1"/>
      </w:tblPr>
      <w:tblGrid>
        <w:gridCol w:w="2127"/>
        <w:gridCol w:w="141"/>
        <w:gridCol w:w="830"/>
        <w:gridCol w:w="937"/>
        <w:gridCol w:w="818"/>
        <w:gridCol w:w="851"/>
        <w:gridCol w:w="850"/>
        <w:gridCol w:w="851"/>
      </w:tblGrid>
      <w:tr w:rsidR="00551CF2" w:rsidRPr="00551CF2" w14:paraId="18A33CA7" w14:textId="77777777" w:rsidTr="001E1B7F">
        <w:trPr>
          <w:trHeight w:val="204"/>
        </w:trPr>
        <w:tc>
          <w:tcPr>
            <w:tcW w:w="2268" w:type="dxa"/>
            <w:gridSpan w:val="2"/>
            <w:tcBorders>
              <w:top w:val="single" w:sz="4" w:space="0" w:color="auto"/>
              <w:left w:val="nil"/>
              <w:bottom w:val="nil"/>
              <w:right w:val="nil"/>
            </w:tcBorders>
            <w:shd w:val="clear" w:color="auto" w:fill="auto"/>
            <w:noWrap/>
            <w:vAlign w:val="bottom"/>
            <w:hideMark/>
          </w:tcPr>
          <w:p w14:paraId="15A6B029" w14:textId="77777777" w:rsidR="00551CF2" w:rsidRPr="00551CF2" w:rsidRDefault="00551CF2" w:rsidP="00551CF2">
            <w:pPr>
              <w:spacing w:after="0" w:line="240" w:lineRule="auto"/>
              <w:jc w:val="left"/>
              <w:rPr>
                <w:rFonts w:ascii="Times New Roman" w:hAnsi="Times New Roman"/>
                <w:sz w:val="24"/>
                <w:szCs w:val="24"/>
              </w:rPr>
            </w:pPr>
          </w:p>
        </w:tc>
        <w:tc>
          <w:tcPr>
            <w:tcW w:w="830" w:type="dxa"/>
            <w:tcBorders>
              <w:top w:val="single" w:sz="4" w:space="0" w:color="auto"/>
              <w:left w:val="nil"/>
              <w:bottom w:val="single" w:sz="4" w:space="0" w:color="auto"/>
              <w:right w:val="nil"/>
            </w:tcBorders>
            <w:shd w:val="clear" w:color="auto" w:fill="auto"/>
            <w:vAlign w:val="bottom"/>
            <w:hideMark/>
          </w:tcPr>
          <w:p w14:paraId="36C0E12C" w14:textId="77777777" w:rsidR="00551CF2" w:rsidRPr="00551CF2" w:rsidRDefault="00551CF2" w:rsidP="00E03A92">
            <w:pPr>
              <w:spacing w:after="0" w:line="240" w:lineRule="auto"/>
              <w:jc w:val="center"/>
              <w:outlineLvl w:val="0"/>
              <w:rPr>
                <w:rFonts w:ascii="Arial" w:hAnsi="Arial" w:cs="Arial"/>
                <w:sz w:val="16"/>
                <w:szCs w:val="16"/>
              </w:rPr>
            </w:pPr>
            <w:r w:rsidRPr="00551CF2">
              <w:rPr>
                <w:rFonts w:ascii="Arial" w:hAnsi="Arial" w:cs="Arial"/>
                <w:sz w:val="16"/>
                <w:szCs w:val="16"/>
              </w:rPr>
              <w:t>Program</w:t>
            </w:r>
          </w:p>
        </w:tc>
        <w:tc>
          <w:tcPr>
            <w:tcW w:w="937" w:type="dxa"/>
            <w:tcBorders>
              <w:top w:val="single" w:sz="4" w:space="0" w:color="auto"/>
              <w:left w:val="nil"/>
              <w:bottom w:val="single" w:sz="4" w:space="0" w:color="auto"/>
              <w:right w:val="nil"/>
            </w:tcBorders>
            <w:shd w:val="clear" w:color="000000" w:fill="E6E6E6"/>
            <w:vAlign w:val="bottom"/>
            <w:hideMark/>
          </w:tcPr>
          <w:p w14:paraId="208B2B61" w14:textId="77777777" w:rsidR="00551CF2" w:rsidRPr="00551CF2" w:rsidRDefault="00551CF2" w:rsidP="00551CF2">
            <w:pPr>
              <w:spacing w:after="0" w:line="240" w:lineRule="auto"/>
              <w:jc w:val="right"/>
              <w:outlineLvl w:val="0"/>
              <w:rPr>
                <w:rFonts w:ascii="Arial" w:hAnsi="Arial" w:cs="Arial"/>
                <w:sz w:val="16"/>
                <w:szCs w:val="16"/>
              </w:rPr>
            </w:pPr>
            <w:r w:rsidRPr="00551CF2">
              <w:rPr>
                <w:rFonts w:ascii="Arial" w:hAnsi="Arial" w:cs="Arial"/>
                <w:sz w:val="16"/>
                <w:szCs w:val="16"/>
              </w:rPr>
              <w:t>2021-22</w:t>
            </w:r>
            <w:r w:rsidRPr="00551CF2">
              <w:rPr>
                <w:rFonts w:ascii="Arial" w:hAnsi="Arial" w:cs="Arial"/>
                <w:sz w:val="16"/>
                <w:szCs w:val="16"/>
              </w:rPr>
              <w:br/>
              <w:t>$'000</w:t>
            </w:r>
          </w:p>
        </w:tc>
        <w:tc>
          <w:tcPr>
            <w:tcW w:w="818" w:type="dxa"/>
            <w:tcBorders>
              <w:top w:val="single" w:sz="4" w:space="0" w:color="auto"/>
              <w:left w:val="nil"/>
              <w:bottom w:val="single" w:sz="4" w:space="0" w:color="auto"/>
              <w:right w:val="nil"/>
            </w:tcBorders>
            <w:shd w:val="clear" w:color="auto" w:fill="auto"/>
            <w:vAlign w:val="bottom"/>
            <w:hideMark/>
          </w:tcPr>
          <w:p w14:paraId="160BEC47" w14:textId="77777777" w:rsidR="00551CF2" w:rsidRPr="00551CF2" w:rsidRDefault="00551CF2" w:rsidP="00551CF2">
            <w:pPr>
              <w:spacing w:after="0" w:line="240" w:lineRule="auto"/>
              <w:jc w:val="right"/>
              <w:outlineLvl w:val="0"/>
              <w:rPr>
                <w:rFonts w:ascii="Arial" w:hAnsi="Arial" w:cs="Arial"/>
                <w:sz w:val="16"/>
                <w:szCs w:val="16"/>
              </w:rPr>
            </w:pPr>
            <w:r w:rsidRPr="00551CF2">
              <w:rPr>
                <w:rFonts w:ascii="Arial" w:hAnsi="Arial" w:cs="Arial"/>
                <w:sz w:val="16"/>
                <w:szCs w:val="16"/>
              </w:rPr>
              <w:t>2022-23</w:t>
            </w:r>
            <w:r w:rsidRPr="00551CF2">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62741092" w14:textId="77777777" w:rsidR="00551CF2" w:rsidRPr="00551CF2" w:rsidRDefault="00551CF2" w:rsidP="00551CF2">
            <w:pPr>
              <w:spacing w:after="0" w:line="240" w:lineRule="auto"/>
              <w:jc w:val="right"/>
              <w:outlineLvl w:val="0"/>
              <w:rPr>
                <w:rFonts w:ascii="Arial" w:hAnsi="Arial" w:cs="Arial"/>
                <w:sz w:val="16"/>
                <w:szCs w:val="16"/>
              </w:rPr>
            </w:pPr>
            <w:r w:rsidRPr="00551CF2">
              <w:rPr>
                <w:rFonts w:ascii="Arial" w:hAnsi="Arial" w:cs="Arial"/>
                <w:sz w:val="16"/>
                <w:szCs w:val="16"/>
              </w:rPr>
              <w:t>2023-24</w:t>
            </w:r>
            <w:r w:rsidRPr="00551CF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19AC9466" w14:textId="77777777" w:rsidR="00551CF2" w:rsidRPr="00551CF2" w:rsidRDefault="00551CF2" w:rsidP="00551CF2">
            <w:pPr>
              <w:spacing w:after="0" w:line="240" w:lineRule="auto"/>
              <w:jc w:val="right"/>
              <w:outlineLvl w:val="0"/>
              <w:rPr>
                <w:rFonts w:ascii="Arial" w:hAnsi="Arial" w:cs="Arial"/>
                <w:sz w:val="16"/>
                <w:szCs w:val="16"/>
              </w:rPr>
            </w:pPr>
            <w:r w:rsidRPr="00551CF2">
              <w:rPr>
                <w:rFonts w:ascii="Arial" w:hAnsi="Arial" w:cs="Arial"/>
                <w:sz w:val="16"/>
                <w:szCs w:val="16"/>
              </w:rPr>
              <w:t>2024-25</w:t>
            </w:r>
            <w:r w:rsidRPr="00551CF2">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0CC5BAFD" w14:textId="77777777" w:rsidR="00551CF2" w:rsidRPr="00551CF2" w:rsidRDefault="00551CF2" w:rsidP="00551CF2">
            <w:pPr>
              <w:spacing w:after="0" w:line="240" w:lineRule="auto"/>
              <w:jc w:val="right"/>
              <w:outlineLvl w:val="0"/>
              <w:rPr>
                <w:rFonts w:ascii="Arial" w:hAnsi="Arial" w:cs="Arial"/>
                <w:sz w:val="16"/>
                <w:szCs w:val="16"/>
              </w:rPr>
            </w:pPr>
            <w:r w:rsidRPr="00551CF2">
              <w:rPr>
                <w:rFonts w:ascii="Arial" w:hAnsi="Arial" w:cs="Arial"/>
                <w:sz w:val="16"/>
                <w:szCs w:val="16"/>
              </w:rPr>
              <w:t>2025-26</w:t>
            </w:r>
            <w:r w:rsidRPr="00551CF2">
              <w:rPr>
                <w:rFonts w:ascii="Arial" w:hAnsi="Arial" w:cs="Arial"/>
                <w:sz w:val="16"/>
                <w:szCs w:val="16"/>
              </w:rPr>
              <w:br/>
              <w:t>$'000</w:t>
            </w:r>
          </w:p>
        </w:tc>
      </w:tr>
      <w:tr w:rsidR="00551CF2" w:rsidRPr="00551CF2" w14:paraId="6B4CFBE6" w14:textId="77777777" w:rsidTr="001E1B7F">
        <w:trPr>
          <w:trHeight w:val="204"/>
        </w:trPr>
        <w:tc>
          <w:tcPr>
            <w:tcW w:w="2268" w:type="dxa"/>
            <w:gridSpan w:val="2"/>
            <w:tcBorders>
              <w:top w:val="nil"/>
              <w:left w:val="nil"/>
              <w:bottom w:val="nil"/>
              <w:right w:val="nil"/>
            </w:tcBorders>
            <w:shd w:val="clear" w:color="auto" w:fill="auto"/>
            <w:noWrap/>
            <w:vAlign w:val="bottom"/>
            <w:hideMark/>
          </w:tcPr>
          <w:p w14:paraId="495A83BF" w14:textId="77777777" w:rsidR="00551CF2" w:rsidRPr="00551CF2" w:rsidRDefault="00551CF2" w:rsidP="00551CF2">
            <w:pPr>
              <w:spacing w:after="0" w:line="240" w:lineRule="auto"/>
              <w:jc w:val="left"/>
              <w:outlineLvl w:val="0"/>
              <w:rPr>
                <w:rFonts w:ascii="Arial" w:hAnsi="Arial" w:cs="Arial"/>
                <w:b/>
                <w:bCs/>
                <w:sz w:val="16"/>
                <w:szCs w:val="16"/>
              </w:rPr>
            </w:pPr>
            <w:r w:rsidRPr="00551CF2">
              <w:rPr>
                <w:rFonts w:ascii="Arial" w:hAnsi="Arial" w:cs="Arial"/>
                <w:b/>
                <w:bCs/>
                <w:sz w:val="16"/>
                <w:szCs w:val="16"/>
              </w:rPr>
              <w:t>Payment measures (continued)</w:t>
            </w:r>
          </w:p>
        </w:tc>
        <w:tc>
          <w:tcPr>
            <w:tcW w:w="830" w:type="dxa"/>
            <w:tcBorders>
              <w:top w:val="nil"/>
              <w:left w:val="nil"/>
              <w:bottom w:val="nil"/>
              <w:right w:val="nil"/>
            </w:tcBorders>
            <w:shd w:val="clear" w:color="auto" w:fill="auto"/>
            <w:noWrap/>
            <w:vAlign w:val="bottom"/>
            <w:hideMark/>
          </w:tcPr>
          <w:p w14:paraId="307D0F41" w14:textId="77777777" w:rsidR="00551CF2" w:rsidRPr="00DD4118" w:rsidRDefault="00551CF2" w:rsidP="00E03A92">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48BEF46C" w14:textId="07A4F752" w:rsidR="00551CF2" w:rsidRPr="00551CF2" w:rsidRDefault="00551CF2" w:rsidP="00E03A92">
            <w:pPr>
              <w:spacing w:after="0" w:line="240" w:lineRule="auto"/>
              <w:jc w:val="right"/>
              <w:outlineLvl w:val="0"/>
              <w:rPr>
                <w:rFonts w:ascii="Arial" w:hAnsi="Arial" w:cs="Arial"/>
                <w:sz w:val="16"/>
                <w:szCs w:val="16"/>
              </w:rPr>
            </w:pPr>
          </w:p>
        </w:tc>
        <w:tc>
          <w:tcPr>
            <w:tcW w:w="818" w:type="dxa"/>
            <w:tcBorders>
              <w:top w:val="nil"/>
              <w:left w:val="nil"/>
              <w:bottom w:val="nil"/>
              <w:right w:val="nil"/>
            </w:tcBorders>
            <w:shd w:val="clear" w:color="auto" w:fill="auto"/>
            <w:noWrap/>
            <w:vAlign w:val="bottom"/>
            <w:hideMark/>
          </w:tcPr>
          <w:p w14:paraId="60B3BBD5" w14:textId="77777777" w:rsidR="00551CF2" w:rsidRPr="00551CF2" w:rsidRDefault="00551CF2" w:rsidP="00E03A92">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A39CA18" w14:textId="5EB0ABAD" w:rsidR="00551CF2" w:rsidRPr="00551CF2" w:rsidRDefault="00551CF2" w:rsidP="00E03A92">
            <w:pPr>
              <w:spacing w:after="0" w:line="240" w:lineRule="auto"/>
              <w:jc w:val="right"/>
              <w:outlineLvl w:val="0"/>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60AF441" w14:textId="77777777" w:rsidR="00551CF2" w:rsidRPr="00551CF2" w:rsidRDefault="00551CF2" w:rsidP="00E03A92">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D492CEB" w14:textId="3AB6F01A" w:rsidR="00551CF2" w:rsidRPr="00551CF2" w:rsidRDefault="00551CF2" w:rsidP="00E03A92">
            <w:pPr>
              <w:spacing w:after="0" w:line="240" w:lineRule="auto"/>
              <w:jc w:val="right"/>
              <w:outlineLvl w:val="0"/>
              <w:rPr>
                <w:rFonts w:ascii="Arial" w:hAnsi="Arial" w:cs="Arial"/>
                <w:sz w:val="16"/>
                <w:szCs w:val="16"/>
              </w:rPr>
            </w:pPr>
          </w:p>
        </w:tc>
      </w:tr>
      <w:tr w:rsidR="001E1B7F" w:rsidRPr="00551CF2" w14:paraId="7100AF7B" w14:textId="77777777" w:rsidTr="001E1B7F">
        <w:trPr>
          <w:trHeight w:val="204"/>
        </w:trPr>
        <w:tc>
          <w:tcPr>
            <w:tcW w:w="2127" w:type="dxa"/>
            <w:tcBorders>
              <w:top w:val="nil"/>
              <w:left w:val="nil"/>
              <w:bottom w:val="nil"/>
              <w:right w:val="nil"/>
            </w:tcBorders>
            <w:shd w:val="clear" w:color="auto" w:fill="auto"/>
            <w:vAlign w:val="bottom"/>
            <w:hideMark/>
          </w:tcPr>
          <w:p w14:paraId="2E9255AE" w14:textId="38FF97D6" w:rsidR="001E1B7F" w:rsidRPr="00551CF2" w:rsidRDefault="001E1B7F" w:rsidP="001E1B7F">
            <w:pPr>
              <w:spacing w:after="0" w:line="240" w:lineRule="auto"/>
              <w:jc w:val="left"/>
              <w:outlineLvl w:val="0"/>
              <w:rPr>
                <w:rFonts w:ascii="Arial" w:hAnsi="Arial" w:cs="Arial"/>
                <w:sz w:val="16"/>
                <w:szCs w:val="16"/>
              </w:rPr>
            </w:pPr>
            <w:r>
              <w:rPr>
                <w:rFonts w:ascii="Arial" w:hAnsi="Arial" w:cs="Arial"/>
                <w:sz w:val="16"/>
                <w:szCs w:val="16"/>
              </w:rPr>
              <w:t xml:space="preserve">Infrastructure Investment – Victoria </w:t>
            </w:r>
            <w:r>
              <w:rPr>
                <w:rFonts w:ascii="Arial" w:hAnsi="Arial" w:cs="Arial"/>
                <w:sz w:val="16"/>
                <w:szCs w:val="16"/>
                <w:vertAlign w:val="superscript"/>
              </w:rPr>
              <w:t>(b)</w:t>
            </w:r>
          </w:p>
        </w:tc>
        <w:tc>
          <w:tcPr>
            <w:tcW w:w="971" w:type="dxa"/>
            <w:gridSpan w:val="2"/>
            <w:tcBorders>
              <w:top w:val="nil"/>
              <w:left w:val="nil"/>
              <w:bottom w:val="nil"/>
              <w:right w:val="nil"/>
            </w:tcBorders>
            <w:shd w:val="clear" w:color="auto" w:fill="auto"/>
            <w:noWrap/>
            <w:hideMark/>
          </w:tcPr>
          <w:p w14:paraId="3EEDCA27" w14:textId="29E43D4C" w:rsidR="001E1B7F" w:rsidRPr="00551CF2" w:rsidRDefault="001E1B7F" w:rsidP="001E1B7F">
            <w:pPr>
              <w:spacing w:after="0" w:line="240" w:lineRule="auto"/>
              <w:jc w:val="center"/>
              <w:outlineLvl w:val="0"/>
              <w:rPr>
                <w:rFonts w:ascii="Arial" w:hAnsi="Arial" w:cs="Arial"/>
                <w:sz w:val="16"/>
                <w:szCs w:val="16"/>
              </w:rPr>
            </w:pPr>
            <w:r>
              <w:rPr>
                <w:rFonts w:ascii="Arial" w:hAnsi="Arial" w:cs="Arial"/>
                <w:sz w:val="16"/>
                <w:szCs w:val="16"/>
              </w:rPr>
              <w:t>1.1</w:t>
            </w:r>
          </w:p>
        </w:tc>
        <w:tc>
          <w:tcPr>
            <w:tcW w:w="937" w:type="dxa"/>
            <w:tcBorders>
              <w:top w:val="nil"/>
              <w:left w:val="nil"/>
              <w:bottom w:val="nil"/>
              <w:right w:val="nil"/>
            </w:tcBorders>
            <w:shd w:val="clear" w:color="000000" w:fill="E6E6E6"/>
            <w:noWrap/>
            <w:vAlign w:val="bottom"/>
            <w:hideMark/>
          </w:tcPr>
          <w:p w14:paraId="4371211F" w14:textId="72657066"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66106BC4" w14:textId="77777777"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F031F50" w14:textId="69075312"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55D5031F" w14:textId="77777777"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7E5ABE7" w14:textId="0E815485"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551CF2" w14:paraId="4DD25D96" w14:textId="77777777" w:rsidTr="001E1B7F">
        <w:trPr>
          <w:trHeight w:val="204"/>
        </w:trPr>
        <w:tc>
          <w:tcPr>
            <w:tcW w:w="2127" w:type="dxa"/>
            <w:tcBorders>
              <w:top w:val="nil"/>
              <w:left w:val="nil"/>
              <w:bottom w:val="nil"/>
              <w:right w:val="nil"/>
            </w:tcBorders>
            <w:shd w:val="clear" w:color="auto" w:fill="auto"/>
            <w:noWrap/>
            <w:vAlign w:val="bottom"/>
            <w:hideMark/>
          </w:tcPr>
          <w:p w14:paraId="4258F779" w14:textId="5A1B7BAA"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6A1AA51C"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1B3D204E" w14:textId="7922FDF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130D10DA" w14:textId="192CCB52"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774C3DBB" w14:textId="75B49800"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42E91429" w14:textId="00643C29"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02B75206" w14:textId="50AC3A8E"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36BC36F2" w14:textId="77777777" w:rsidTr="001E1B7F">
        <w:trPr>
          <w:trHeight w:val="204"/>
        </w:trPr>
        <w:tc>
          <w:tcPr>
            <w:tcW w:w="2127" w:type="dxa"/>
            <w:tcBorders>
              <w:top w:val="nil"/>
              <w:left w:val="nil"/>
              <w:bottom w:val="nil"/>
              <w:right w:val="nil"/>
            </w:tcBorders>
            <w:shd w:val="clear" w:color="auto" w:fill="auto"/>
            <w:noWrap/>
            <w:vAlign w:val="bottom"/>
            <w:hideMark/>
          </w:tcPr>
          <w:p w14:paraId="1A5D202F" w14:textId="4B9A0C96"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01A869A5"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34E985C1" w14:textId="43A0573C"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7DBD1A66" w14:textId="140C12A5"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5AAAA5DD" w14:textId="1D9E7367"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14:paraId="5FA9F99B" w14:textId="2E605E39"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16D9A5D9" w14:textId="4C59965D"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551CF2" w14:paraId="022093C1" w14:textId="77777777" w:rsidTr="001E1B7F">
        <w:trPr>
          <w:trHeight w:val="204"/>
        </w:trPr>
        <w:tc>
          <w:tcPr>
            <w:tcW w:w="2127" w:type="dxa"/>
            <w:tcBorders>
              <w:top w:val="nil"/>
              <w:left w:val="nil"/>
              <w:bottom w:val="nil"/>
              <w:right w:val="nil"/>
            </w:tcBorders>
            <w:shd w:val="clear" w:color="auto" w:fill="auto"/>
            <w:noWrap/>
            <w:vAlign w:val="bottom"/>
            <w:hideMark/>
          </w:tcPr>
          <w:p w14:paraId="6D94B5D5" w14:textId="2A1B5366" w:rsidR="001E1B7F" w:rsidRPr="00551CF2" w:rsidRDefault="001E1B7F" w:rsidP="001E1B7F">
            <w:pPr>
              <w:spacing w:after="0" w:line="240" w:lineRule="auto"/>
              <w:jc w:val="left"/>
              <w:outlineLvl w:val="0"/>
              <w:rPr>
                <w:rFonts w:ascii="Arial" w:hAnsi="Arial" w:cs="Arial"/>
                <w:b/>
                <w:bCs/>
                <w:sz w:val="16"/>
                <w:szCs w:val="16"/>
              </w:rPr>
            </w:pPr>
            <w:r>
              <w:rPr>
                <w:rFonts w:ascii="Arial" w:hAnsi="Arial" w:cs="Arial"/>
                <w:sz w:val="16"/>
                <w:szCs w:val="16"/>
              </w:rPr>
              <w:t xml:space="preserve">Infrastructure Investment –  Western Australia </w:t>
            </w:r>
            <w:r>
              <w:rPr>
                <w:rFonts w:ascii="Arial" w:hAnsi="Arial" w:cs="Arial"/>
                <w:sz w:val="16"/>
                <w:szCs w:val="16"/>
                <w:vertAlign w:val="superscript"/>
              </w:rPr>
              <w:t>(b)</w:t>
            </w:r>
          </w:p>
        </w:tc>
        <w:tc>
          <w:tcPr>
            <w:tcW w:w="971" w:type="dxa"/>
            <w:gridSpan w:val="2"/>
            <w:tcBorders>
              <w:top w:val="nil"/>
              <w:left w:val="nil"/>
              <w:bottom w:val="nil"/>
              <w:right w:val="nil"/>
            </w:tcBorders>
            <w:shd w:val="clear" w:color="auto" w:fill="auto"/>
            <w:noWrap/>
            <w:hideMark/>
          </w:tcPr>
          <w:p w14:paraId="7D109700" w14:textId="17E98982" w:rsidR="001E1B7F" w:rsidRPr="00DD4118" w:rsidRDefault="001E1B7F" w:rsidP="001E1B7F">
            <w:pPr>
              <w:spacing w:after="0" w:line="240" w:lineRule="auto"/>
              <w:jc w:val="center"/>
              <w:outlineLvl w:val="0"/>
              <w:rPr>
                <w:rFonts w:ascii="Arial" w:hAnsi="Arial" w:cs="Arial"/>
                <w:sz w:val="16"/>
                <w:szCs w:val="16"/>
              </w:rPr>
            </w:pPr>
            <w:r>
              <w:rPr>
                <w:rFonts w:ascii="Arial" w:hAnsi="Arial" w:cs="Arial"/>
                <w:sz w:val="16"/>
                <w:szCs w:val="16"/>
              </w:rPr>
              <w:t>1.1</w:t>
            </w:r>
          </w:p>
        </w:tc>
        <w:tc>
          <w:tcPr>
            <w:tcW w:w="937" w:type="dxa"/>
            <w:tcBorders>
              <w:top w:val="nil"/>
              <w:left w:val="nil"/>
              <w:bottom w:val="nil"/>
              <w:right w:val="nil"/>
            </w:tcBorders>
            <w:shd w:val="clear" w:color="000000" w:fill="E6E6E6"/>
            <w:noWrap/>
            <w:vAlign w:val="bottom"/>
            <w:hideMark/>
          </w:tcPr>
          <w:p w14:paraId="007DC720" w14:textId="2610FC56"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744CCE4B" w14:textId="7AA956D9"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419311E0" w14:textId="3688FFEC"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4221A2B4" w14:textId="5A9CACD0"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1F6BB58D" w14:textId="5AA40B13"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r>
      <w:tr w:rsidR="001E1B7F" w:rsidRPr="00551CF2" w14:paraId="5445D788" w14:textId="77777777" w:rsidTr="001E1B7F">
        <w:trPr>
          <w:trHeight w:val="204"/>
        </w:trPr>
        <w:tc>
          <w:tcPr>
            <w:tcW w:w="2127" w:type="dxa"/>
            <w:tcBorders>
              <w:top w:val="nil"/>
              <w:left w:val="nil"/>
              <w:bottom w:val="nil"/>
              <w:right w:val="nil"/>
            </w:tcBorders>
            <w:shd w:val="clear" w:color="auto" w:fill="auto"/>
            <w:vAlign w:val="bottom"/>
            <w:hideMark/>
          </w:tcPr>
          <w:p w14:paraId="36D10910" w14:textId="40235879"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0C557C44" w14:textId="4048EF61"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468CF1D4" w14:textId="284A4319"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2826238A" w14:textId="54DB787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5A2E3096" w14:textId="32775674"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90AC0F6" w14:textId="56263A99"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6C99685E" w14:textId="6C92525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6BE19B2A" w14:textId="77777777" w:rsidTr="001E1B7F">
        <w:trPr>
          <w:trHeight w:val="204"/>
        </w:trPr>
        <w:tc>
          <w:tcPr>
            <w:tcW w:w="2127" w:type="dxa"/>
            <w:tcBorders>
              <w:top w:val="nil"/>
              <w:left w:val="nil"/>
              <w:bottom w:val="nil"/>
              <w:right w:val="nil"/>
            </w:tcBorders>
            <w:shd w:val="clear" w:color="auto" w:fill="auto"/>
            <w:noWrap/>
            <w:vAlign w:val="bottom"/>
            <w:hideMark/>
          </w:tcPr>
          <w:p w14:paraId="166A6023" w14:textId="41360278"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09F6EF7E"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614E60E8" w14:textId="1C0C6D43"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16E87D99" w14:textId="5B3B191E"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70271DD6" w14:textId="6F7B4525"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14:paraId="27B090FB" w14:textId="35AB9E36"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3BB6B8F0" w14:textId="43D4387B"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551CF2" w14:paraId="5EC51463" w14:textId="77777777" w:rsidTr="001E1B7F">
        <w:trPr>
          <w:trHeight w:val="204"/>
        </w:trPr>
        <w:tc>
          <w:tcPr>
            <w:tcW w:w="2127" w:type="dxa"/>
            <w:tcBorders>
              <w:top w:val="nil"/>
              <w:left w:val="nil"/>
              <w:bottom w:val="nil"/>
              <w:right w:val="nil"/>
            </w:tcBorders>
            <w:shd w:val="clear" w:color="auto" w:fill="auto"/>
            <w:noWrap/>
            <w:vAlign w:val="bottom"/>
            <w:hideMark/>
          </w:tcPr>
          <w:p w14:paraId="490A7B24" w14:textId="2B619B10" w:rsidR="001E1B7F" w:rsidRPr="00551CF2" w:rsidRDefault="001E1B7F" w:rsidP="001E1B7F">
            <w:pPr>
              <w:spacing w:after="0" w:line="240" w:lineRule="auto"/>
              <w:jc w:val="left"/>
              <w:outlineLvl w:val="0"/>
              <w:rPr>
                <w:rFonts w:ascii="Arial" w:hAnsi="Arial" w:cs="Arial"/>
                <w:sz w:val="16"/>
                <w:szCs w:val="16"/>
              </w:rPr>
            </w:pPr>
            <w:r>
              <w:rPr>
                <w:rFonts w:ascii="Arial" w:hAnsi="Arial" w:cs="Arial"/>
                <w:sz w:val="16"/>
                <w:szCs w:val="16"/>
              </w:rPr>
              <w:t>Local Roads and Community Infrastructure –  Phase 3 extension</w:t>
            </w:r>
          </w:p>
        </w:tc>
        <w:tc>
          <w:tcPr>
            <w:tcW w:w="971" w:type="dxa"/>
            <w:gridSpan w:val="2"/>
            <w:tcBorders>
              <w:top w:val="nil"/>
              <w:left w:val="nil"/>
              <w:bottom w:val="nil"/>
              <w:right w:val="nil"/>
            </w:tcBorders>
            <w:shd w:val="clear" w:color="auto" w:fill="auto"/>
            <w:noWrap/>
            <w:hideMark/>
          </w:tcPr>
          <w:p w14:paraId="3222E8AC" w14:textId="32AC7EDD" w:rsidR="001E1B7F" w:rsidRPr="00551CF2" w:rsidRDefault="001E1B7F" w:rsidP="00DD4118">
            <w:pPr>
              <w:spacing w:after="0" w:line="240" w:lineRule="auto"/>
              <w:jc w:val="center"/>
              <w:outlineLvl w:val="0"/>
              <w:rPr>
                <w:rFonts w:ascii="Arial" w:hAnsi="Arial" w:cs="Arial"/>
                <w:sz w:val="16"/>
                <w:szCs w:val="16"/>
              </w:rPr>
            </w:pPr>
            <w:r>
              <w:rPr>
                <w:rFonts w:ascii="Arial" w:hAnsi="Arial" w:cs="Arial"/>
                <w:sz w:val="16"/>
                <w:szCs w:val="16"/>
              </w:rPr>
              <w:t>1.2, 3.2</w:t>
            </w:r>
          </w:p>
        </w:tc>
        <w:tc>
          <w:tcPr>
            <w:tcW w:w="937" w:type="dxa"/>
            <w:tcBorders>
              <w:top w:val="nil"/>
              <w:left w:val="nil"/>
              <w:bottom w:val="nil"/>
              <w:right w:val="nil"/>
            </w:tcBorders>
            <w:shd w:val="clear" w:color="000000" w:fill="E6E6E6"/>
            <w:noWrap/>
            <w:vAlign w:val="bottom"/>
            <w:hideMark/>
          </w:tcPr>
          <w:p w14:paraId="0044EB1A" w14:textId="71320CFE"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6EFBE509" w14:textId="17E0EF43"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08E8AFF" w14:textId="5875732B"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0777431D" w14:textId="08366E79"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5566749" w14:textId="44B1B26E"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551CF2" w14:paraId="1AF4D006" w14:textId="77777777" w:rsidTr="001E1B7F">
        <w:trPr>
          <w:trHeight w:val="204"/>
        </w:trPr>
        <w:tc>
          <w:tcPr>
            <w:tcW w:w="2127" w:type="dxa"/>
            <w:tcBorders>
              <w:top w:val="nil"/>
              <w:left w:val="nil"/>
              <w:bottom w:val="nil"/>
              <w:right w:val="nil"/>
            </w:tcBorders>
            <w:shd w:val="clear" w:color="auto" w:fill="auto"/>
            <w:noWrap/>
            <w:vAlign w:val="bottom"/>
            <w:hideMark/>
          </w:tcPr>
          <w:p w14:paraId="49AC14FF" w14:textId="3ABCAB89" w:rsidR="001E1B7F" w:rsidRPr="00551CF2" w:rsidRDefault="001E1B7F" w:rsidP="005B3671">
            <w:pPr>
              <w:spacing w:after="0" w:line="240" w:lineRule="auto"/>
              <w:ind w:left="113"/>
              <w:jc w:val="left"/>
              <w:rPr>
                <w:rFonts w:ascii="Arial" w:hAnsi="Arial" w:cs="Arial"/>
                <w:b/>
                <w:bCs/>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69AE5E37" w14:textId="77777777" w:rsidR="001E1B7F" w:rsidRPr="00DD4118"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61614D2E" w14:textId="6964A2D3"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6CDAB872" w14:textId="7E49F6B8"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1DE2EC58" w14:textId="47DE92AE"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250,000 </w:t>
            </w:r>
          </w:p>
        </w:tc>
        <w:tc>
          <w:tcPr>
            <w:tcW w:w="850" w:type="dxa"/>
            <w:tcBorders>
              <w:top w:val="nil"/>
              <w:left w:val="nil"/>
              <w:bottom w:val="nil"/>
              <w:right w:val="nil"/>
            </w:tcBorders>
            <w:shd w:val="clear" w:color="auto" w:fill="auto"/>
            <w:noWrap/>
            <w:vAlign w:val="bottom"/>
            <w:hideMark/>
          </w:tcPr>
          <w:p w14:paraId="2591BA6C" w14:textId="6D2ABC8C"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250,000 </w:t>
            </w:r>
          </w:p>
        </w:tc>
        <w:tc>
          <w:tcPr>
            <w:tcW w:w="851" w:type="dxa"/>
            <w:tcBorders>
              <w:top w:val="nil"/>
              <w:left w:val="nil"/>
              <w:bottom w:val="nil"/>
              <w:right w:val="nil"/>
            </w:tcBorders>
            <w:shd w:val="clear" w:color="000000" w:fill="E6E6E6"/>
            <w:noWrap/>
            <w:vAlign w:val="bottom"/>
            <w:hideMark/>
          </w:tcPr>
          <w:p w14:paraId="62A97B87" w14:textId="06DB1B65"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r>
      <w:tr w:rsidR="001E1B7F" w:rsidRPr="00551CF2" w14:paraId="499C10F4" w14:textId="77777777" w:rsidTr="001E1B7F">
        <w:trPr>
          <w:trHeight w:val="204"/>
        </w:trPr>
        <w:tc>
          <w:tcPr>
            <w:tcW w:w="2127" w:type="dxa"/>
            <w:tcBorders>
              <w:top w:val="nil"/>
              <w:left w:val="nil"/>
              <w:bottom w:val="nil"/>
              <w:right w:val="nil"/>
            </w:tcBorders>
            <w:shd w:val="clear" w:color="auto" w:fill="auto"/>
            <w:vAlign w:val="bottom"/>
            <w:hideMark/>
          </w:tcPr>
          <w:p w14:paraId="3CDD31D3" w14:textId="5EBD61DF"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971" w:type="dxa"/>
            <w:gridSpan w:val="2"/>
            <w:tcBorders>
              <w:top w:val="nil"/>
              <w:left w:val="nil"/>
              <w:bottom w:val="nil"/>
              <w:right w:val="nil"/>
            </w:tcBorders>
            <w:shd w:val="clear" w:color="auto" w:fill="auto"/>
            <w:noWrap/>
            <w:hideMark/>
          </w:tcPr>
          <w:p w14:paraId="0CCD359C" w14:textId="369FE54C"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378E5FDD" w14:textId="6CEC2826"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6C0071FB" w14:textId="6A0700C9"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317 </w:t>
            </w:r>
          </w:p>
        </w:tc>
        <w:tc>
          <w:tcPr>
            <w:tcW w:w="851" w:type="dxa"/>
            <w:tcBorders>
              <w:top w:val="nil"/>
              <w:left w:val="nil"/>
              <w:bottom w:val="nil"/>
              <w:right w:val="nil"/>
            </w:tcBorders>
            <w:shd w:val="clear" w:color="000000" w:fill="E6E6E6"/>
            <w:noWrap/>
            <w:vAlign w:val="bottom"/>
            <w:hideMark/>
          </w:tcPr>
          <w:p w14:paraId="68219C13" w14:textId="4782E5CA"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705 </w:t>
            </w:r>
          </w:p>
        </w:tc>
        <w:tc>
          <w:tcPr>
            <w:tcW w:w="850" w:type="dxa"/>
            <w:tcBorders>
              <w:top w:val="nil"/>
              <w:left w:val="nil"/>
              <w:bottom w:val="nil"/>
              <w:right w:val="nil"/>
            </w:tcBorders>
            <w:shd w:val="clear" w:color="auto" w:fill="auto"/>
            <w:noWrap/>
            <w:vAlign w:val="bottom"/>
            <w:hideMark/>
          </w:tcPr>
          <w:p w14:paraId="6C6D6256" w14:textId="0392537F"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710 </w:t>
            </w:r>
          </w:p>
        </w:tc>
        <w:tc>
          <w:tcPr>
            <w:tcW w:w="851" w:type="dxa"/>
            <w:tcBorders>
              <w:top w:val="nil"/>
              <w:left w:val="nil"/>
              <w:bottom w:val="nil"/>
              <w:right w:val="nil"/>
            </w:tcBorders>
            <w:shd w:val="clear" w:color="000000" w:fill="E6E6E6"/>
            <w:noWrap/>
            <w:vAlign w:val="bottom"/>
            <w:hideMark/>
          </w:tcPr>
          <w:p w14:paraId="3B626A7D" w14:textId="6CFF198F"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367A42F0" w14:textId="77777777" w:rsidTr="001E1B7F">
        <w:trPr>
          <w:trHeight w:val="204"/>
        </w:trPr>
        <w:tc>
          <w:tcPr>
            <w:tcW w:w="2127" w:type="dxa"/>
            <w:tcBorders>
              <w:top w:val="nil"/>
              <w:left w:val="nil"/>
              <w:bottom w:val="nil"/>
              <w:right w:val="nil"/>
            </w:tcBorders>
            <w:shd w:val="clear" w:color="auto" w:fill="auto"/>
            <w:noWrap/>
            <w:vAlign w:val="bottom"/>
            <w:hideMark/>
          </w:tcPr>
          <w:p w14:paraId="03434ECA" w14:textId="21D3B5EC"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48324F4F"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4D195ED2" w14:textId="07C83251"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615775F4" w14:textId="57BF6A5C"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317 </w:t>
            </w:r>
          </w:p>
        </w:tc>
        <w:tc>
          <w:tcPr>
            <w:tcW w:w="851" w:type="dxa"/>
            <w:tcBorders>
              <w:top w:val="nil"/>
              <w:left w:val="nil"/>
              <w:bottom w:val="nil"/>
              <w:right w:val="nil"/>
            </w:tcBorders>
            <w:shd w:val="clear" w:color="000000" w:fill="E6E6E6"/>
            <w:noWrap/>
            <w:vAlign w:val="bottom"/>
            <w:hideMark/>
          </w:tcPr>
          <w:p w14:paraId="7354FF68" w14:textId="35CCDE24"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250,705 </w:t>
            </w:r>
          </w:p>
        </w:tc>
        <w:tc>
          <w:tcPr>
            <w:tcW w:w="850" w:type="dxa"/>
            <w:tcBorders>
              <w:top w:val="nil"/>
              <w:left w:val="nil"/>
              <w:bottom w:val="nil"/>
              <w:right w:val="nil"/>
            </w:tcBorders>
            <w:shd w:val="clear" w:color="auto" w:fill="auto"/>
            <w:noWrap/>
            <w:vAlign w:val="bottom"/>
            <w:hideMark/>
          </w:tcPr>
          <w:p w14:paraId="1ED73CF5" w14:textId="43AB553A"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250,710 </w:t>
            </w:r>
          </w:p>
        </w:tc>
        <w:tc>
          <w:tcPr>
            <w:tcW w:w="851" w:type="dxa"/>
            <w:tcBorders>
              <w:top w:val="nil"/>
              <w:left w:val="nil"/>
              <w:bottom w:val="nil"/>
              <w:right w:val="nil"/>
            </w:tcBorders>
            <w:shd w:val="clear" w:color="000000" w:fill="E6E6E6"/>
            <w:noWrap/>
            <w:vAlign w:val="bottom"/>
            <w:hideMark/>
          </w:tcPr>
          <w:p w14:paraId="424A465D" w14:textId="2F35B646"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551CF2" w14:paraId="59C679C5" w14:textId="77777777" w:rsidTr="001E1B7F">
        <w:trPr>
          <w:trHeight w:val="204"/>
        </w:trPr>
        <w:tc>
          <w:tcPr>
            <w:tcW w:w="2127" w:type="dxa"/>
            <w:tcBorders>
              <w:top w:val="nil"/>
              <w:left w:val="nil"/>
              <w:bottom w:val="nil"/>
              <w:right w:val="nil"/>
            </w:tcBorders>
            <w:shd w:val="clear" w:color="auto" w:fill="auto"/>
            <w:noWrap/>
            <w:vAlign w:val="bottom"/>
            <w:hideMark/>
          </w:tcPr>
          <w:p w14:paraId="0B66D346" w14:textId="6ADD970E" w:rsidR="001E1B7F" w:rsidRPr="00551CF2" w:rsidRDefault="001E1B7F" w:rsidP="001E1B7F">
            <w:pPr>
              <w:spacing w:after="0" w:line="240" w:lineRule="auto"/>
              <w:jc w:val="left"/>
              <w:outlineLvl w:val="0"/>
              <w:rPr>
                <w:rFonts w:ascii="Arial" w:hAnsi="Arial" w:cs="Arial"/>
                <w:b/>
                <w:bCs/>
                <w:sz w:val="16"/>
                <w:szCs w:val="16"/>
              </w:rPr>
            </w:pPr>
            <w:r>
              <w:rPr>
                <w:rFonts w:ascii="Arial" w:hAnsi="Arial" w:cs="Arial"/>
                <w:sz w:val="16"/>
                <w:szCs w:val="16"/>
              </w:rPr>
              <w:t>Media Sector Reforms</w:t>
            </w:r>
          </w:p>
        </w:tc>
        <w:tc>
          <w:tcPr>
            <w:tcW w:w="971" w:type="dxa"/>
            <w:gridSpan w:val="2"/>
            <w:tcBorders>
              <w:top w:val="nil"/>
              <w:left w:val="nil"/>
              <w:bottom w:val="nil"/>
              <w:right w:val="nil"/>
            </w:tcBorders>
            <w:shd w:val="clear" w:color="auto" w:fill="auto"/>
            <w:noWrap/>
            <w:hideMark/>
          </w:tcPr>
          <w:p w14:paraId="02C3CEFE" w14:textId="570E2936" w:rsidR="001E1B7F" w:rsidRPr="00DD4118" w:rsidRDefault="001E1B7F" w:rsidP="001E1B7F">
            <w:pPr>
              <w:spacing w:after="0" w:line="240" w:lineRule="auto"/>
              <w:jc w:val="center"/>
              <w:outlineLvl w:val="0"/>
              <w:rPr>
                <w:rFonts w:ascii="Arial" w:hAnsi="Arial" w:cs="Arial"/>
                <w:sz w:val="16"/>
                <w:szCs w:val="16"/>
              </w:rPr>
            </w:pPr>
            <w:r>
              <w:rPr>
                <w:rFonts w:ascii="Arial" w:hAnsi="Arial" w:cs="Arial"/>
                <w:sz w:val="16"/>
                <w:szCs w:val="16"/>
              </w:rPr>
              <w:t>6.1, 6.2</w:t>
            </w:r>
          </w:p>
        </w:tc>
        <w:tc>
          <w:tcPr>
            <w:tcW w:w="937" w:type="dxa"/>
            <w:tcBorders>
              <w:top w:val="nil"/>
              <w:left w:val="nil"/>
              <w:bottom w:val="nil"/>
              <w:right w:val="nil"/>
            </w:tcBorders>
            <w:shd w:val="clear" w:color="000000" w:fill="E6E6E6"/>
            <w:noWrap/>
            <w:vAlign w:val="bottom"/>
            <w:hideMark/>
          </w:tcPr>
          <w:p w14:paraId="2CE8A058" w14:textId="757B1A4C"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735C210A" w14:textId="72E64059"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306C8202" w14:textId="189332BA"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4DC4467D" w14:textId="4EAB0B77"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7DD11959" w14:textId="468FCAB5"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r>
      <w:tr w:rsidR="001E1B7F" w:rsidRPr="00551CF2" w14:paraId="28333819" w14:textId="77777777" w:rsidTr="001E1B7F">
        <w:trPr>
          <w:trHeight w:val="204"/>
        </w:trPr>
        <w:tc>
          <w:tcPr>
            <w:tcW w:w="2127" w:type="dxa"/>
            <w:tcBorders>
              <w:top w:val="nil"/>
              <w:left w:val="nil"/>
              <w:bottom w:val="nil"/>
              <w:right w:val="nil"/>
            </w:tcBorders>
            <w:shd w:val="clear" w:color="auto" w:fill="auto"/>
            <w:vAlign w:val="bottom"/>
            <w:hideMark/>
          </w:tcPr>
          <w:p w14:paraId="2E3A5FF2" w14:textId="2F4FE93E"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107F978A" w14:textId="08DCE2B9"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09E54DB2" w14:textId="348C05A0"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3CE260DC" w14:textId="4AD0518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53AA9E6E" w14:textId="78A18F85"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38CB8E0" w14:textId="03DDEAD9"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589D5E30" w14:textId="26F70D50"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4B8559AE" w14:textId="77777777" w:rsidTr="001E1B7F">
        <w:trPr>
          <w:trHeight w:val="204"/>
        </w:trPr>
        <w:tc>
          <w:tcPr>
            <w:tcW w:w="2127" w:type="dxa"/>
            <w:tcBorders>
              <w:top w:val="nil"/>
              <w:left w:val="nil"/>
              <w:bottom w:val="nil"/>
              <w:right w:val="nil"/>
            </w:tcBorders>
            <w:shd w:val="clear" w:color="auto" w:fill="auto"/>
            <w:noWrap/>
            <w:vAlign w:val="bottom"/>
            <w:hideMark/>
          </w:tcPr>
          <w:p w14:paraId="4FFBD6B2" w14:textId="4D9A9B7E"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971" w:type="dxa"/>
            <w:gridSpan w:val="2"/>
            <w:tcBorders>
              <w:top w:val="nil"/>
              <w:left w:val="nil"/>
              <w:bottom w:val="nil"/>
              <w:right w:val="nil"/>
            </w:tcBorders>
            <w:shd w:val="clear" w:color="auto" w:fill="auto"/>
            <w:noWrap/>
            <w:hideMark/>
          </w:tcPr>
          <w:p w14:paraId="0B684CAC"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3B522C70" w14:textId="64BB69A2"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5A7FA93D" w14:textId="49B4736E"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6E8C8038" w14:textId="36FD9401"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F1FD63D" w14:textId="2A08A923"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236A993C" w14:textId="19612A18"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7517E43B" w14:textId="77777777" w:rsidTr="001E1B7F">
        <w:trPr>
          <w:trHeight w:val="204"/>
        </w:trPr>
        <w:tc>
          <w:tcPr>
            <w:tcW w:w="2127" w:type="dxa"/>
            <w:tcBorders>
              <w:top w:val="nil"/>
              <w:left w:val="nil"/>
              <w:bottom w:val="nil"/>
              <w:right w:val="nil"/>
            </w:tcBorders>
            <w:shd w:val="clear" w:color="auto" w:fill="auto"/>
            <w:noWrap/>
            <w:vAlign w:val="bottom"/>
            <w:hideMark/>
          </w:tcPr>
          <w:p w14:paraId="55CE3B9B" w14:textId="5B0120EC"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63D18984"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78956F7B" w14:textId="4BC8FA48"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17E2BC6B" w14:textId="5D2E3FBD"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70631CBA" w14:textId="64A8F095"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14:paraId="2551ECD4" w14:textId="064FCD29"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52F7522A" w14:textId="0DD988A3"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551CF2" w14:paraId="18FCD29F" w14:textId="77777777" w:rsidTr="001E1B7F">
        <w:trPr>
          <w:trHeight w:val="204"/>
        </w:trPr>
        <w:tc>
          <w:tcPr>
            <w:tcW w:w="2127" w:type="dxa"/>
            <w:tcBorders>
              <w:top w:val="nil"/>
              <w:left w:val="nil"/>
              <w:bottom w:val="nil"/>
              <w:right w:val="nil"/>
            </w:tcBorders>
            <w:shd w:val="clear" w:color="auto" w:fill="auto"/>
            <w:noWrap/>
            <w:vAlign w:val="bottom"/>
            <w:hideMark/>
          </w:tcPr>
          <w:p w14:paraId="309B9682" w14:textId="597F431A" w:rsidR="001E1B7F" w:rsidRPr="00551CF2" w:rsidRDefault="001E1B7F" w:rsidP="001E1B7F">
            <w:pPr>
              <w:spacing w:after="0" w:line="240" w:lineRule="auto"/>
              <w:jc w:val="left"/>
              <w:outlineLvl w:val="0"/>
              <w:rPr>
                <w:rFonts w:ascii="Arial" w:hAnsi="Arial" w:cs="Arial"/>
                <w:b/>
                <w:bCs/>
                <w:sz w:val="16"/>
                <w:szCs w:val="16"/>
              </w:rPr>
            </w:pPr>
            <w:r>
              <w:rPr>
                <w:rFonts w:ascii="Arial" w:hAnsi="Arial" w:cs="Arial"/>
                <w:sz w:val="16"/>
                <w:szCs w:val="16"/>
              </w:rPr>
              <w:t xml:space="preserve">National Water Grid </w:t>
            </w:r>
            <w:r w:rsidR="00D12509">
              <w:rPr>
                <w:rFonts w:ascii="Arial" w:hAnsi="Arial" w:cs="Arial"/>
                <w:sz w:val="16"/>
                <w:szCs w:val="16"/>
              </w:rPr>
              <w:t xml:space="preserve">Fund </w:t>
            </w:r>
            <w:r>
              <w:rPr>
                <w:rFonts w:ascii="Arial" w:hAnsi="Arial" w:cs="Arial"/>
                <w:sz w:val="16"/>
                <w:szCs w:val="16"/>
              </w:rPr>
              <w:t>– project funding</w:t>
            </w:r>
          </w:p>
        </w:tc>
        <w:tc>
          <w:tcPr>
            <w:tcW w:w="971" w:type="dxa"/>
            <w:gridSpan w:val="2"/>
            <w:tcBorders>
              <w:top w:val="nil"/>
              <w:left w:val="nil"/>
              <w:bottom w:val="nil"/>
              <w:right w:val="nil"/>
            </w:tcBorders>
            <w:shd w:val="clear" w:color="auto" w:fill="auto"/>
            <w:noWrap/>
            <w:hideMark/>
          </w:tcPr>
          <w:p w14:paraId="5BE9C26E" w14:textId="0015DFC3" w:rsidR="001E1B7F" w:rsidRPr="00DD4118" w:rsidRDefault="001E1B7F" w:rsidP="001E1B7F">
            <w:pPr>
              <w:spacing w:after="0" w:line="240" w:lineRule="auto"/>
              <w:jc w:val="center"/>
              <w:outlineLvl w:val="0"/>
              <w:rPr>
                <w:rFonts w:ascii="Arial" w:hAnsi="Arial" w:cs="Arial"/>
                <w:sz w:val="16"/>
                <w:szCs w:val="16"/>
              </w:rPr>
            </w:pPr>
            <w:r>
              <w:rPr>
                <w:rFonts w:ascii="Arial" w:hAnsi="Arial" w:cs="Arial"/>
                <w:sz w:val="16"/>
                <w:szCs w:val="16"/>
              </w:rPr>
              <w:t>3.1, 3.5</w:t>
            </w:r>
          </w:p>
        </w:tc>
        <w:tc>
          <w:tcPr>
            <w:tcW w:w="937" w:type="dxa"/>
            <w:tcBorders>
              <w:top w:val="nil"/>
              <w:left w:val="nil"/>
              <w:bottom w:val="nil"/>
              <w:right w:val="nil"/>
            </w:tcBorders>
            <w:shd w:val="clear" w:color="000000" w:fill="E6E6E6"/>
            <w:noWrap/>
            <w:vAlign w:val="bottom"/>
            <w:hideMark/>
          </w:tcPr>
          <w:p w14:paraId="31D4E18F" w14:textId="4BD15516"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4EDDFE7E" w14:textId="2C9CF538"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357915EB" w14:textId="56D26673"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014AB2AA" w14:textId="5D2A5AAF"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29B4D284" w14:textId="0A116F26"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r>
      <w:tr w:rsidR="001E1B7F" w:rsidRPr="00551CF2" w14:paraId="06CD0C2D" w14:textId="77777777" w:rsidTr="001E1B7F">
        <w:trPr>
          <w:trHeight w:val="204"/>
        </w:trPr>
        <w:tc>
          <w:tcPr>
            <w:tcW w:w="2127" w:type="dxa"/>
            <w:tcBorders>
              <w:top w:val="nil"/>
              <w:left w:val="nil"/>
              <w:bottom w:val="nil"/>
              <w:right w:val="nil"/>
            </w:tcBorders>
            <w:shd w:val="clear" w:color="auto" w:fill="auto"/>
            <w:vAlign w:val="bottom"/>
            <w:hideMark/>
          </w:tcPr>
          <w:p w14:paraId="3628D360" w14:textId="416AAAB8"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5741CF25" w14:textId="285E8B69"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12B4A8B1" w14:textId="6B22A11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37B85782" w14:textId="50E42D5F"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3601DB76" w14:textId="0408C7B5"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004D116B" w14:textId="02215E6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27A1D74A" w14:textId="354B54EA"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71EDE7EF" w14:textId="77777777" w:rsidTr="001E1B7F">
        <w:trPr>
          <w:trHeight w:val="204"/>
        </w:trPr>
        <w:tc>
          <w:tcPr>
            <w:tcW w:w="2127" w:type="dxa"/>
            <w:tcBorders>
              <w:top w:val="nil"/>
              <w:left w:val="nil"/>
              <w:bottom w:val="nil"/>
              <w:right w:val="nil"/>
            </w:tcBorders>
            <w:shd w:val="clear" w:color="auto" w:fill="auto"/>
            <w:noWrap/>
            <w:vAlign w:val="bottom"/>
            <w:hideMark/>
          </w:tcPr>
          <w:p w14:paraId="0358D77E" w14:textId="35F974DB"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971" w:type="dxa"/>
            <w:gridSpan w:val="2"/>
            <w:tcBorders>
              <w:top w:val="nil"/>
              <w:left w:val="nil"/>
              <w:bottom w:val="nil"/>
              <w:right w:val="nil"/>
            </w:tcBorders>
            <w:shd w:val="clear" w:color="auto" w:fill="auto"/>
            <w:noWrap/>
            <w:hideMark/>
          </w:tcPr>
          <w:p w14:paraId="024FB8A5"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476B4A70" w14:textId="56BB2E93"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7A1382E1" w14:textId="41A7651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5990DA90" w14:textId="57FC7C32"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51DA4A6" w14:textId="7BC8184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7D424214" w14:textId="696948C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7FB3FCED" w14:textId="77777777" w:rsidTr="001E1B7F">
        <w:trPr>
          <w:trHeight w:val="204"/>
        </w:trPr>
        <w:tc>
          <w:tcPr>
            <w:tcW w:w="2127" w:type="dxa"/>
            <w:tcBorders>
              <w:top w:val="nil"/>
              <w:left w:val="nil"/>
              <w:bottom w:val="nil"/>
              <w:right w:val="nil"/>
            </w:tcBorders>
            <w:shd w:val="clear" w:color="auto" w:fill="auto"/>
            <w:noWrap/>
            <w:vAlign w:val="bottom"/>
            <w:hideMark/>
          </w:tcPr>
          <w:p w14:paraId="4EE7A09A" w14:textId="27F73A66"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270919A0"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2328D543" w14:textId="4CCCB919"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708A1F6A" w14:textId="5FDFFF7B"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7DE4088F" w14:textId="04A03F34"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14:paraId="30295B3F" w14:textId="6F4CF108"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14:paraId="3D9E5F1F" w14:textId="088F819D"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551CF2" w14:paraId="6B1AD6E1" w14:textId="77777777" w:rsidTr="001E1B7F">
        <w:trPr>
          <w:trHeight w:val="204"/>
        </w:trPr>
        <w:tc>
          <w:tcPr>
            <w:tcW w:w="2127" w:type="dxa"/>
            <w:tcBorders>
              <w:top w:val="nil"/>
              <w:left w:val="nil"/>
              <w:bottom w:val="nil"/>
              <w:right w:val="nil"/>
            </w:tcBorders>
            <w:shd w:val="clear" w:color="auto" w:fill="auto"/>
            <w:noWrap/>
            <w:vAlign w:val="bottom"/>
            <w:hideMark/>
          </w:tcPr>
          <w:p w14:paraId="36FB1A0B" w14:textId="32F01EFD" w:rsidR="001E1B7F" w:rsidRPr="00551CF2" w:rsidRDefault="001E1B7F" w:rsidP="001E1B7F">
            <w:pPr>
              <w:spacing w:after="0" w:line="240" w:lineRule="auto"/>
              <w:jc w:val="left"/>
              <w:outlineLvl w:val="0"/>
              <w:rPr>
                <w:rFonts w:ascii="Arial" w:hAnsi="Arial" w:cs="Arial"/>
                <w:b/>
                <w:bCs/>
                <w:sz w:val="16"/>
                <w:szCs w:val="16"/>
              </w:rPr>
            </w:pPr>
            <w:r>
              <w:rPr>
                <w:rFonts w:ascii="Arial" w:hAnsi="Arial" w:cs="Arial"/>
                <w:sz w:val="16"/>
                <w:szCs w:val="16"/>
              </w:rPr>
              <w:t xml:space="preserve">Northern Australia Infrastructure Facility –  increased funding and expansion </w:t>
            </w:r>
            <w:r>
              <w:rPr>
                <w:rFonts w:ascii="Arial" w:hAnsi="Arial" w:cs="Arial"/>
                <w:sz w:val="16"/>
                <w:szCs w:val="16"/>
                <w:vertAlign w:val="superscript"/>
              </w:rPr>
              <w:t>(a)</w:t>
            </w:r>
          </w:p>
        </w:tc>
        <w:tc>
          <w:tcPr>
            <w:tcW w:w="971" w:type="dxa"/>
            <w:gridSpan w:val="2"/>
            <w:tcBorders>
              <w:top w:val="nil"/>
              <w:left w:val="nil"/>
              <w:bottom w:val="nil"/>
              <w:right w:val="nil"/>
            </w:tcBorders>
            <w:shd w:val="clear" w:color="auto" w:fill="auto"/>
            <w:noWrap/>
            <w:hideMark/>
          </w:tcPr>
          <w:p w14:paraId="5A22DAE8" w14:textId="1479844C" w:rsidR="001E1B7F" w:rsidRPr="00DD4118" w:rsidRDefault="001E1B7F" w:rsidP="001E1B7F">
            <w:pPr>
              <w:spacing w:after="0" w:line="240" w:lineRule="auto"/>
              <w:jc w:val="center"/>
              <w:outlineLvl w:val="0"/>
              <w:rPr>
                <w:rFonts w:ascii="Arial" w:hAnsi="Arial" w:cs="Arial"/>
                <w:sz w:val="16"/>
                <w:szCs w:val="16"/>
              </w:rPr>
            </w:pPr>
            <w:r>
              <w:rPr>
                <w:rFonts w:ascii="Arial" w:hAnsi="Arial" w:cs="Arial"/>
                <w:sz w:val="16"/>
                <w:szCs w:val="16"/>
              </w:rPr>
              <w:t>3.4</w:t>
            </w:r>
          </w:p>
        </w:tc>
        <w:tc>
          <w:tcPr>
            <w:tcW w:w="937" w:type="dxa"/>
            <w:tcBorders>
              <w:top w:val="nil"/>
              <w:left w:val="nil"/>
              <w:bottom w:val="nil"/>
              <w:right w:val="nil"/>
            </w:tcBorders>
            <w:shd w:val="clear" w:color="000000" w:fill="E6E6E6"/>
            <w:noWrap/>
            <w:vAlign w:val="bottom"/>
            <w:hideMark/>
          </w:tcPr>
          <w:p w14:paraId="0634D7FE" w14:textId="4B25A787"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344ED95B" w14:textId="13D246E5"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4FF546BC" w14:textId="451751FF"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0FA76980" w14:textId="6132D9EF" w:rsidR="001E1B7F" w:rsidRPr="00551CF2" w:rsidRDefault="001E1B7F" w:rsidP="001E1B7F">
            <w:pPr>
              <w:spacing w:after="0" w:line="240" w:lineRule="auto"/>
              <w:jc w:val="right"/>
              <w:outlineLvl w:val="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248706C1" w14:textId="78216C3A"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r>
      <w:tr w:rsidR="001E1B7F" w:rsidRPr="00551CF2" w14:paraId="3F58B21B" w14:textId="77777777" w:rsidTr="001E1B7F">
        <w:trPr>
          <w:trHeight w:val="204"/>
        </w:trPr>
        <w:tc>
          <w:tcPr>
            <w:tcW w:w="2127" w:type="dxa"/>
            <w:tcBorders>
              <w:top w:val="nil"/>
              <w:left w:val="nil"/>
              <w:bottom w:val="nil"/>
              <w:right w:val="nil"/>
            </w:tcBorders>
            <w:shd w:val="clear" w:color="auto" w:fill="auto"/>
            <w:vAlign w:val="bottom"/>
            <w:hideMark/>
          </w:tcPr>
          <w:p w14:paraId="7FB25B7D" w14:textId="3DB122BF"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786CBE05" w14:textId="6231B752"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7EC2D081" w14:textId="33532060"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12C5ED76" w14:textId="089FD841"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4E338070" w14:textId="35385D13"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8D327D9" w14:textId="0B22117F"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47AC7D88" w14:textId="3D4F7101"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6C092003" w14:textId="77777777" w:rsidTr="001E1B7F">
        <w:trPr>
          <w:trHeight w:val="204"/>
        </w:trPr>
        <w:tc>
          <w:tcPr>
            <w:tcW w:w="2127" w:type="dxa"/>
            <w:tcBorders>
              <w:top w:val="nil"/>
              <w:left w:val="nil"/>
              <w:bottom w:val="nil"/>
              <w:right w:val="nil"/>
            </w:tcBorders>
            <w:shd w:val="clear" w:color="auto" w:fill="auto"/>
            <w:noWrap/>
            <w:vAlign w:val="bottom"/>
            <w:hideMark/>
          </w:tcPr>
          <w:p w14:paraId="48B59EA2" w14:textId="72DCF51D"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7A938B1C"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094C9E59" w14:textId="2008AC38"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5B636278" w14:textId="764402D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0EC580E5" w14:textId="5E0F54F4"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49EE88DD" w14:textId="28CD5701"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5F055E8D" w14:textId="65876AF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2D297E52" w14:textId="77777777" w:rsidTr="001E1B7F">
        <w:trPr>
          <w:trHeight w:val="204"/>
        </w:trPr>
        <w:tc>
          <w:tcPr>
            <w:tcW w:w="2127" w:type="dxa"/>
            <w:tcBorders>
              <w:top w:val="nil"/>
              <w:left w:val="nil"/>
              <w:bottom w:val="nil"/>
              <w:right w:val="nil"/>
            </w:tcBorders>
            <w:shd w:val="clear" w:color="auto" w:fill="auto"/>
            <w:noWrap/>
            <w:vAlign w:val="bottom"/>
            <w:hideMark/>
          </w:tcPr>
          <w:p w14:paraId="351DF64C" w14:textId="72754785" w:rsidR="001E1B7F" w:rsidRPr="00551CF2" w:rsidRDefault="001E1B7F" w:rsidP="001E1B7F">
            <w:pPr>
              <w:spacing w:after="0" w:line="240" w:lineRule="auto"/>
              <w:jc w:val="left"/>
              <w:outlineLvl w:val="0"/>
              <w:rPr>
                <w:rFonts w:ascii="Arial" w:hAnsi="Arial" w:cs="Arial"/>
                <w:sz w:val="16"/>
                <w:szCs w:val="16"/>
              </w:rPr>
            </w:pPr>
            <w:r>
              <w:rPr>
                <w:rFonts w:ascii="Arial" w:hAnsi="Arial" w:cs="Arial"/>
                <w:sz w:val="16"/>
                <w:szCs w:val="16"/>
              </w:rPr>
              <w:t>Regional Accelerator Program –  establishment</w:t>
            </w:r>
          </w:p>
        </w:tc>
        <w:tc>
          <w:tcPr>
            <w:tcW w:w="971" w:type="dxa"/>
            <w:gridSpan w:val="2"/>
            <w:tcBorders>
              <w:top w:val="nil"/>
              <w:left w:val="nil"/>
              <w:bottom w:val="nil"/>
              <w:right w:val="nil"/>
            </w:tcBorders>
            <w:shd w:val="clear" w:color="auto" w:fill="auto"/>
            <w:noWrap/>
            <w:hideMark/>
          </w:tcPr>
          <w:p w14:paraId="597E87F7" w14:textId="188F51E2" w:rsidR="001E1B7F" w:rsidRPr="00551CF2" w:rsidRDefault="001E1B7F" w:rsidP="00DD4118">
            <w:pPr>
              <w:spacing w:after="0" w:line="240" w:lineRule="auto"/>
              <w:jc w:val="center"/>
              <w:outlineLvl w:val="0"/>
              <w:rPr>
                <w:rFonts w:ascii="Arial" w:hAnsi="Arial" w:cs="Arial"/>
                <w:sz w:val="16"/>
                <w:szCs w:val="16"/>
              </w:rPr>
            </w:pPr>
            <w:r>
              <w:rPr>
                <w:rFonts w:ascii="Arial" w:hAnsi="Arial" w:cs="Arial"/>
                <w:sz w:val="16"/>
                <w:szCs w:val="16"/>
              </w:rPr>
              <w:t>3.1</w:t>
            </w:r>
          </w:p>
        </w:tc>
        <w:tc>
          <w:tcPr>
            <w:tcW w:w="937" w:type="dxa"/>
            <w:tcBorders>
              <w:top w:val="nil"/>
              <w:left w:val="nil"/>
              <w:bottom w:val="nil"/>
              <w:right w:val="nil"/>
            </w:tcBorders>
            <w:shd w:val="clear" w:color="000000" w:fill="E6E6E6"/>
            <w:noWrap/>
            <w:vAlign w:val="bottom"/>
            <w:hideMark/>
          </w:tcPr>
          <w:p w14:paraId="6632FE12" w14:textId="6CBBD05B"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4D49F598" w14:textId="3AEFEBF5"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95FA821" w14:textId="1CFCE58B"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55C1C0A5" w14:textId="46E133C9"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5085ECC" w14:textId="46E7CDA4"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551CF2" w14:paraId="7A1825D7" w14:textId="77777777" w:rsidTr="001E1B7F">
        <w:trPr>
          <w:trHeight w:val="204"/>
        </w:trPr>
        <w:tc>
          <w:tcPr>
            <w:tcW w:w="2127" w:type="dxa"/>
            <w:tcBorders>
              <w:top w:val="nil"/>
              <w:left w:val="nil"/>
              <w:bottom w:val="nil"/>
              <w:right w:val="nil"/>
            </w:tcBorders>
            <w:shd w:val="clear" w:color="auto" w:fill="auto"/>
            <w:noWrap/>
            <w:vAlign w:val="bottom"/>
            <w:hideMark/>
          </w:tcPr>
          <w:p w14:paraId="2BDFCAD6" w14:textId="47702637" w:rsidR="001E1B7F" w:rsidRPr="00551CF2" w:rsidRDefault="001E1B7F" w:rsidP="005B3671">
            <w:pPr>
              <w:spacing w:after="0" w:line="240" w:lineRule="auto"/>
              <w:ind w:left="113"/>
              <w:jc w:val="left"/>
              <w:rPr>
                <w:rFonts w:ascii="Arial" w:hAnsi="Arial" w:cs="Arial"/>
                <w:b/>
                <w:bCs/>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43752C50" w14:textId="77777777" w:rsidR="001E1B7F" w:rsidRPr="00DD4118"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0131D83A" w14:textId="50ABF757"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7040D068" w14:textId="607A8E61"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434,800 </w:t>
            </w:r>
          </w:p>
        </w:tc>
        <w:tc>
          <w:tcPr>
            <w:tcW w:w="851" w:type="dxa"/>
            <w:tcBorders>
              <w:top w:val="nil"/>
              <w:left w:val="nil"/>
              <w:bottom w:val="nil"/>
              <w:right w:val="nil"/>
            </w:tcBorders>
            <w:shd w:val="clear" w:color="000000" w:fill="E6E6E6"/>
            <w:noWrap/>
            <w:vAlign w:val="bottom"/>
            <w:hideMark/>
          </w:tcPr>
          <w:p w14:paraId="01880D7D" w14:textId="322041CD"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559,100 </w:t>
            </w:r>
          </w:p>
        </w:tc>
        <w:tc>
          <w:tcPr>
            <w:tcW w:w="850" w:type="dxa"/>
            <w:tcBorders>
              <w:top w:val="nil"/>
              <w:left w:val="nil"/>
              <w:bottom w:val="nil"/>
              <w:right w:val="nil"/>
            </w:tcBorders>
            <w:shd w:val="clear" w:color="auto" w:fill="auto"/>
            <w:noWrap/>
            <w:vAlign w:val="bottom"/>
            <w:hideMark/>
          </w:tcPr>
          <w:p w14:paraId="5B7A1C0C" w14:textId="1953BF7B"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520,700 </w:t>
            </w:r>
          </w:p>
        </w:tc>
        <w:tc>
          <w:tcPr>
            <w:tcW w:w="851" w:type="dxa"/>
            <w:tcBorders>
              <w:top w:val="nil"/>
              <w:left w:val="nil"/>
              <w:bottom w:val="nil"/>
              <w:right w:val="nil"/>
            </w:tcBorders>
            <w:shd w:val="clear" w:color="000000" w:fill="E6E6E6"/>
            <w:noWrap/>
            <w:vAlign w:val="bottom"/>
            <w:hideMark/>
          </w:tcPr>
          <w:p w14:paraId="7692D591" w14:textId="50319987"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280,400 </w:t>
            </w:r>
          </w:p>
        </w:tc>
      </w:tr>
      <w:tr w:rsidR="001E1B7F" w:rsidRPr="00551CF2" w14:paraId="2F8CF6EF" w14:textId="77777777" w:rsidTr="001E1B7F">
        <w:trPr>
          <w:trHeight w:val="204"/>
        </w:trPr>
        <w:tc>
          <w:tcPr>
            <w:tcW w:w="2127" w:type="dxa"/>
            <w:tcBorders>
              <w:top w:val="nil"/>
              <w:left w:val="nil"/>
              <w:bottom w:val="nil"/>
              <w:right w:val="nil"/>
            </w:tcBorders>
            <w:shd w:val="clear" w:color="auto" w:fill="auto"/>
            <w:vAlign w:val="bottom"/>
            <w:hideMark/>
          </w:tcPr>
          <w:p w14:paraId="0B70A737" w14:textId="199B6597"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7BCB9110" w14:textId="6EAE57FE"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4B8919D5" w14:textId="64B562A7"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65B0E681" w14:textId="342DF923"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434,800 </w:t>
            </w:r>
          </w:p>
        </w:tc>
        <w:tc>
          <w:tcPr>
            <w:tcW w:w="851" w:type="dxa"/>
            <w:tcBorders>
              <w:top w:val="nil"/>
              <w:left w:val="nil"/>
              <w:bottom w:val="nil"/>
              <w:right w:val="nil"/>
            </w:tcBorders>
            <w:shd w:val="clear" w:color="000000" w:fill="E6E6E6"/>
            <w:noWrap/>
            <w:vAlign w:val="bottom"/>
            <w:hideMark/>
          </w:tcPr>
          <w:p w14:paraId="4E87D2CE" w14:textId="4E04AB59"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559,100 </w:t>
            </w:r>
          </w:p>
        </w:tc>
        <w:tc>
          <w:tcPr>
            <w:tcW w:w="850" w:type="dxa"/>
            <w:tcBorders>
              <w:top w:val="nil"/>
              <w:left w:val="nil"/>
              <w:bottom w:val="nil"/>
              <w:right w:val="nil"/>
            </w:tcBorders>
            <w:shd w:val="clear" w:color="auto" w:fill="auto"/>
            <w:noWrap/>
            <w:vAlign w:val="bottom"/>
            <w:hideMark/>
          </w:tcPr>
          <w:p w14:paraId="4BAF10E9" w14:textId="1EA3280A"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520,700 </w:t>
            </w:r>
          </w:p>
        </w:tc>
        <w:tc>
          <w:tcPr>
            <w:tcW w:w="851" w:type="dxa"/>
            <w:tcBorders>
              <w:top w:val="nil"/>
              <w:left w:val="nil"/>
              <w:bottom w:val="nil"/>
              <w:right w:val="nil"/>
            </w:tcBorders>
            <w:shd w:val="clear" w:color="000000" w:fill="E6E6E6"/>
            <w:noWrap/>
            <w:vAlign w:val="bottom"/>
            <w:hideMark/>
          </w:tcPr>
          <w:p w14:paraId="16289FF3" w14:textId="67F7959D"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280,400 </w:t>
            </w:r>
          </w:p>
        </w:tc>
      </w:tr>
      <w:tr w:rsidR="001E1B7F" w:rsidRPr="00551CF2" w14:paraId="6415FA29" w14:textId="77777777" w:rsidTr="001E1B7F">
        <w:trPr>
          <w:trHeight w:val="204"/>
        </w:trPr>
        <w:tc>
          <w:tcPr>
            <w:tcW w:w="2127" w:type="dxa"/>
            <w:tcBorders>
              <w:top w:val="nil"/>
              <w:left w:val="nil"/>
              <w:bottom w:val="nil"/>
              <w:right w:val="nil"/>
            </w:tcBorders>
            <w:shd w:val="clear" w:color="auto" w:fill="auto"/>
            <w:noWrap/>
            <w:vAlign w:val="bottom"/>
            <w:hideMark/>
          </w:tcPr>
          <w:p w14:paraId="4DE9F781" w14:textId="4E2616D9" w:rsidR="001E1B7F" w:rsidRPr="00551CF2" w:rsidRDefault="001E1B7F" w:rsidP="001E1B7F">
            <w:pPr>
              <w:spacing w:after="0" w:line="240" w:lineRule="auto"/>
              <w:jc w:val="left"/>
              <w:outlineLvl w:val="0"/>
              <w:rPr>
                <w:rFonts w:ascii="Arial" w:hAnsi="Arial" w:cs="Arial"/>
                <w:sz w:val="16"/>
                <w:szCs w:val="16"/>
              </w:rPr>
            </w:pPr>
            <w:r>
              <w:rPr>
                <w:rFonts w:ascii="Arial" w:hAnsi="Arial" w:cs="Arial"/>
                <w:sz w:val="16"/>
                <w:szCs w:val="16"/>
              </w:rPr>
              <w:t>Services to Territories –  additional funding</w:t>
            </w:r>
          </w:p>
        </w:tc>
        <w:tc>
          <w:tcPr>
            <w:tcW w:w="971" w:type="dxa"/>
            <w:gridSpan w:val="2"/>
            <w:tcBorders>
              <w:top w:val="nil"/>
              <w:left w:val="nil"/>
              <w:bottom w:val="nil"/>
              <w:right w:val="nil"/>
            </w:tcBorders>
            <w:shd w:val="clear" w:color="auto" w:fill="auto"/>
            <w:noWrap/>
            <w:hideMark/>
          </w:tcPr>
          <w:p w14:paraId="23C8F10C" w14:textId="70C7CEDB" w:rsidR="001E1B7F" w:rsidRPr="00551CF2" w:rsidRDefault="001E1B7F" w:rsidP="00DD4118">
            <w:pPr>
              <w:spacing w:after="0" w:line="240" w:lineRule="auto"/>
              <w:jc w:val="center"/>
              <w:outlineLvl w:val="0"/>
              <w:rPr>
                <w:rFonts w:ascii="Arial" w:hAnsi="Arial" w:cs="Arial"/>
                <w:sz w:val="16"/>
                <w:szCs w:val="16"/>
              </w:rPr>
            </w:pPr>
            <w:r>
              <w:rPr>
                <w:rFonts w:ascii="Arial" w:hAnsi="Arial" w:cs="Arial"/>
                <w:sz w:val="16"/>
                <w:szCs w:val="16"/>
              </w:rPr>
              <w:t>4.1, 4.2</w:t>
            </w:r>
          </w:p>
        </w:tc>
        <w:tc>
          <w:tcPr>
            <w:tcW w:w="937" w:type="dxa"/>
            <w:tcBorders>
              <w:top w:val="nil"/>
              <w:left w:val="nil"/>
              <w:bottom w:val="nil"/>
              <w:right w:val="nil"/>
            </w:tcBorders>
            <w:shd w:val="clear" w:color="000000" w:fill="E6E6E6"/>
            <w:noWrap/>
            <w:vAlign w:val="bottom"/>
            <w:hideMark/>
          </w:tcPr>
          <w:p w14:paraId="6ED42363" w14:textId="06593D38"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5B5E787C" w14:textId="047DCDE3"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2412010" w14:textId="7428AC28"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2777D8AF" w14:textId="6E71AA8A"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3BC0875E" w14:textId="509D3C41"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551CF2" w14:paraId="32E09FA7" w14:textId="77777777" w:rsidTr="001E1B7F">
        <w:trPr>
          <w:trHeight w:val="204"/>
        </w:trPr>
        <w:tc>
          <w:tcPr>
            <w:tcW w:w="2127" w:type="dxa"/>
            <w:tcBorders>
              <w:top w:val="nil"/>
              <w:left w:val="nil"/>
              <w:bottom w:val="nil"/>
              <w:right w:val="nil"/>
            </w:tcBorders>
            <w:shd w:val="clear" w:color="auto" w:fill="auto"/>
            <w:noWrap/>
            <w:vAlign w:val="bottom"/>
            <w:hideMark/>
          </w:tcPr>
          <w:p w14:paraId="3A2AEF01" w14:textId="7299BE02"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1C1FD9B9"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0CF05851" w14:textId="2291D0F1"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7B78C130" w14:textId="38FE1722"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46,987 </w:t>
            </w:r>
          </w:p>
        </w:tc>
        <w:tc>
          <w:tcPr>
            <w:tcW w:w="851" w:type="dxa"/>
            <w:tcBorders>
              <w:top w:val="nil"/>
              <w:left w:val="nil"/>
              <w:bottom w:val="nil"/>
              <w:right w:val="nil"/>
            </w:tcBorders>
            <w:shd w:val="clear" w:color="000000" w:fill="E6E6E6"/>
            <w:noWrap/>
            <w:vAlign w:val="bottom"/>
            <w:hideMark/>
          </w:tcPr>
          <w:p w14:paraId="62983D41" w14:textId="1A1A0150"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30,535 </w:t>
            </w:r>
          </w:p>
        </w:tc>
        <w:tc>
          <w:tcPr>
            <w:tcW w:w="850" w:type="dxa"/>
            <w:tcBorders>
              <w:top w:val="nil"/>
              <w:left w:val="nil"/>
              <w:bottom w:val="nil"/>
              <w:right w:val="nil"/>
            </w:tcBorders>
            <w:shd w:val="clear" w:color="auto" w:fill="auto"/>
            <w:noWrap/>
            <w:vAlign w:val="bottom"/>
            <w:hideMark/>
          </w:tcPr>
          <w:p w14:paraId="0572D955" w14:textId="0D80D763"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24,132 </w:t>
            </w:r>
          </w:p>
        </w:tc>
        <w:tc>
          <w:tcPr>
            <w:tcW w:w="851" w:type="dxa"/>
            <w:tcBorders>
              <w:top w:val="nil"/>
              <w:left w:val="nil"/>
              <w:bottom w:val="nil"/>
              <w:right w:val="nil"/>
            </w:tcBorders>
            <w:shd w:val="clear" w:color="000000" w:fill="E6E6E6"/>
            <w:noWrap/>
            <w:vAlign w:val="bottom"/>
            <w:hideMark/>
          </w:tcPr>
          <w:p w14:paraId="220848E1" w14:textId="2B3EA166"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12,785 </w:t>
            </w:r>
          </w:p>
        </w:tc>
      </w:tr>
      <w:tr w:rsidR="001E1B7F" w:rsidRPr="00551CF2" w14:paraId="386DB283" w14:textId="77777777" w:rsidTr="001E1B7F">
        <w:trPr>
          <w:trHeight w:val="204"/>
        </w:trPr>
        <w:tc>
          <w:tcPr>
            <w:tcW w:w="2127" w:type="dxa"/>
            <w:tcBorders>
              <w:top w:val="nil"/>
              <w:left w:val="nil"/>
              <w:bottom w:val="nil"/>
              <w:right w:val="nil"/>
            </w:tcBorders>
            <w:shd w:val="clear" w:color="auto" w:fill="auto"/>
            <w:noWrap/>
            <w:vAlign w:val="bottom"/>
            <w:hideMark/>
          </w:tcPr>
          <w:p w14:paraId="6E59A12F" w14:textId="6EB405EF" w:rsidR="001E1B7F" w:rsidRPr="00551CF2" w:rsidRDefault="001E1B7F" w:rsidP="005B3671">
            <w:pPr>
              <w:spacing w:after="0" w:line="240" w:lineRule="auto"/>
              <w:ind w:left="113"/>
              <w:jc w:val="left"/>
              <w:rPr>
                <w:rFonts w:ascii="Arial" w:hAnsi="Arial" w:cs="Arial"/>
                <w:b/>
                <w:bCs/>
                <w:sz w:val="16"/>
                <w:szCs w:val="16"/>
              </w:rPr>
            </w:pPr>
            <w:r>
              <w:rPr>
                <w:rFonts w:ascii="Arial" w:hAnsi="Arial" w:cs="Arial"/>
                <w:sz w:val="16"/>
                <w:szCs w:val="16"/>
              </w:rPr>
              <w:t>Departmental payments</w:t>
            </w:r>
          </w:p>
        </w:tc>
        <w:tc>
          <w:tcPr>
            <w:tcW w:w="971" w:type="dxa"/>
            <w:gridSpan w:val="2"/>
            <w:tcBorders>
              <w:top w:val="nil"/>
              <w:left w:val="nil"/>
              <w:bottom w:val="nil"/>
              <w:right w:val="nil"/>
            </w:tcBorders>
            <w:shd w:val="clear" w:color="auto" w:fill="auto"/>
            <w:noWrap/>
            <w:hideMark/>
          </w:tcPr>
          <w:p w14:paraId="7F8967E7" w14:textId="77777777" w:rsidR="001E1B7F" w:rsidRPr="00DD4118"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55641568" w14:textId="46B690DD"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7B9626CC" w14:textId="08D1C11B"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971 </w:t>
            </w:r>
          </w:p>
        </w:tc>
        <w:tc>
          <w:tcPr>
            <w:tcW w:w="851" w:type="dxa"/>
            <w:tcBorders>
              <w:top w:val="nil"/>
              <w:left w:val="nil"/>
              <w:bottom w:val="nil"/>
              <w:right w:val="nil"/>
            </w:tcBorders>
            <w:shd w:val="clear" w:color="000000" w:fill="E6E6E6"/>
            <w:noWrap/>
            <w:vAlign w:val="bottom"/>
            <w:hideMark/>
          </w:tcPr>
          <w:p w14:paraId="4A5B4F27" w14:textId="343048A2"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890 </w:t>
            </w:r>
          </w:p>
        </w:tc>
        <w:tc>
          <w:tcPr>
            <w:tcW w:w="850" w:type="dxa"/>
            <w:tcBorders>
              <w:top w:val="nil"/>
              <w:left w:val="nil"/>
              <w:bottom w:val="nil"/>
              <w:right w:val="nil"/>
            </w:tcBorders>
            <w:shd w:val="clear" w:color="auto" w:fill="auto"/>
            <w:noWrap/>
            <w:vAlign w:val="bottom"/>
            <w:hideMark/>
          </w:tcPr>
          <w:p w14:paraId="2BF86C80" w14:textId="4DD6E99D"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824 </w:t>
            </w:r>
          </w:p>
        </w:tc>
        <w:tc>
          <w:tcPr>
            <w:tcW w:w="851" w:type="dxa"/>
            <w:tcBorders>
              <w:top w:val="nil"/>
              <w:left w:val="nil"/>
              <w:bottom w:val="nil"/>
              <w:right w:val="nil"/>
            </w:tcBorders>
            <w:shd w:val="clear" w:color="000000" w:fill="E6E6E6"/>
            <w:noWrap/>
            <w:vAlign w:val="bottom"/>
            <w:hideMark/>
          </w:tcPr>
          <w:p w14:paraId="74674277" w14:textId="7FBA0DC3"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829 </w:t>
            </w:r>
          </w:p>
        </w:tc>
      </w:tr>
      <w:tr w:rsidR="001E1B7F" w:rsidRPr="00551CF2" w14:paraId="1DFA7A16" w14:textId="77777777" w:rsidTr="001E1B7F">
        <w:trPr>
          <w:trHeight w:val="204"/>
        </w:trPr>
        <w:tc>
          <w:tcPr>
            <w:tcW w:w="2127" w:type="dxa"/>
            <w:tcBorders>
              <w:top w:val="nil"/>
              <w:left w:val="nil"/>
              <w:bottom w:val="nil"/>
              <w:right w:val="nil"/>
            </w:tcBorders>
            <w:shd w:val="clear" w:color="auto" w:fill="auto"/>
            <w:vAlign w:val="bottom"/>
            <w:hideMark/>
          </w:tcPr>
          <w:p w14:paraId="636618FD" w14:textId="16A21512"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5ED99419" w14:textId="41434C3E"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5C137C64" w14:textId="563EAB93"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7297E516" w14:textId="38529164"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47,958 </w:t>
            </w:r>
          </w:p>
        </w:tc>
        <w:tc>
          <w:tcPr>
            <w:tcW w:w="851" w:type="dxa"/>
            <w:tcBorders>
              <w:top w:val="nil"/>
              <w:left w:val="nil"/>
              <w:bottom w:val="nil"/>
              <w:right w:val="nil"/>
            </w:tcBorders>
            <w:shd w:val="clear" w:color="000000" w:fill="E6E6E6"/>
            <w:noWrap/>
            <w:vAlign w:val="bottom"/>
            <w:hideMark/>
          </w:tcPr>
          <w:p w14:paraId="483C7840" w14:textId="6F905FED"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31,425 </w:t>
            </w:r>
          </w:p>
        </w:tc>
        <w:tc>
          <w:tcPr>
            <w:tcW w:w="850" w:type="dxa"/>
            <w:tcBorders>
              <w:top w:val="nil"/>
              <w:left w:val="nil"/>
              <w:bottom w:val="nil"/>
              <w:right w:val="nil"/>
            </w:tcBorders>
            <w:shd w:val="clear" w:color="auto" w:fill="auto"/>
            <w:noWrap/>
            <w:vAlign w:val="bottom"/>
            <w:hideMark/>
          </w:tcPr>
          <w:p w14:paraId="52DE0172" w14:textId="3A7B3896"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24,956 </w:t>
            </w:r>
          </w:p>
        </w:tc>
        <w:tc>
          <w:tcPr>
            <w:tcW w:w="851" w:type="dxa"/>
            <w:tcBorders>
              <w:top w:val="nil"/>
              <w:left w:val="nil"/>
              <w:bottom w:val="nil"/>
              <w:right w:val="nil"/>
            </w:tcBorders>
            <w:shd w:val="clear" w:color="000000" w:fill="E6E6E6"/>
            <w:noWrap/>
            <w:vAlign w:val="bottom"/>
            <w:hideMark/>
          </w:tcPr>
          <w:p w14:paraId="29EA5638" w14:textId="5ED1BDD2"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13,614 </w:t>
            </w:r>
          </w:p>
        </w:tc>
      </w:tr>
      <w:tr w:rsidR="001E1B7F" w:rsidRPr="00551CF2" w14:paraId="548B4383" w14:textId="77777777" w:rsidTr="001E1B7F">
        <w:trPr>
          <w:trHeight w:val="204"/>
        </w:trPr>
        <w:tc>
          <w:tcPr>
            <w:tcW w:w="2127" w:type="dxa"/>
            <w:tcBorders>
              <w:top w:val="nil"/>
              <w:left w:val="nil"/>
              <w:bottom w:val="nil"/>
              <w:right w:val="nil"/>
            </w:tcBorders>
            <w:shd w:val="clear" w:color="auto" w:fill="auto"/>
            <w:noWrap/>
            <w:vAlign w:val="bottom"/>
            <w:hideMark/>
          </w:tcPr>
          <w:p w14:paraId="2D2A6C5E" w14:textId="0B1AC471" w:rsidR="001E1B7F" w:rsidRPr="00551CF2" w:rsidRDefault="001E1B7F" w:rsidP="001E1B7F">
            <w:pPr>
              <w:spacing w:after="0" w:line="240" w:lineRule="auto"/>
              <w:jc w:val="left"/>
              <w:outlineLvl w:val="0"/>
              <w:rPr>
                <w:rFonts w:ascii="Arial" w:hAnsi="Arial" w:cs="Arial"/>
                <w:sz w:val="16"/>
                <w:szCs w:val="16"/>
              </w:rPr>
            </w:pPr>
            <w:r>
              <w:rPr>
                <w:rFonts w:ascii="Arial" w:hAnsi="Arial" w:cs="Arial"/>
                <w:sz w:val="16"/>
                <w:szCs w:val="16"/>
              </w:rPr>
              <w:t xml:space="preserve">South East Queensland City Deal </w:t>
            </w:r>
            <w:r>
              <w:rPr>
                <w:rFonts w:ascii="Arial" w:hAnsi="Arial" w:cs="Arial"/>
                <w:sz w:val="16"/>
                <w:szCs w:val="16"/>
                <w:vertAlign w:val="superscript"/>
              </w:rPr>
              <w:t>(b)</w:t>
            </w:r>
            <w:r w:rsidR="004B3735" w:rsidRPr="004B3735">
              <w:rPr>
                <w:rFonts w:ascii="Arial" w:hAnsi="Arial" w:cs="Arial"/>
                <w:sz w:val="16"/>
                <w:szCs w:val="16"/>
                <w:vertAlign w:val="superscript"/>
              </w:rPr>
              <w:t xml:space="preserve"> (d)</w:t>
            </w:r>
          </w:p>
        </w:tc>
        <w:tc>
          <w:tcPr>
            <w:tcW w:w="971" w:type="dxa"/>
            <w:gridSpan w:val="2"/>
            <w:tcBorders>
              <w:top w:val="nil"/>
              <w:left w:val="nil"/>
              <w:bottom w:val="nil"/>
              <w:right w:val="nil"/>
            </w:tcBorders>
            <w:shd w:val="clear" w:color="auto" w:fill="auto"/>
            <w:noWrap/>
            <w:hideMark/>
          </w:tcPr>
          <w:p w14:paraId="4F8C2BD6" w14:textId="1DC8FAA4" w:rsidR="001E1B7F" w:rsidRPr="00551CF2" w:rsidRDefault="001E1B7F" w:rsidP="00DD4118">
            <w:pPr>
              <w:spacing w:after="0" w:line="240" w:lineRule="auto"/>
              <w:jc w:val="center"/>
              <w:outlineLvl w:val="0"/>
              <w:rPr>
                <w:rFonts w:ascii="Arial" w:hAnsi="Arial" w:cs="Arial"/>
                <w:sz w:val="16"/>
                <w:szCs w:val="16"/>
              </w:rPr>
            </w:pPr>
            <w:r>
              <w:rPr>
                <w:rFonts w:ascii="Arial" w:hAnsi="Arial" w:cs="Arial"/>
                <w:sz w:val="16"/>
                <w:szCs w:val="16"/>
              </w:rPr>
              <w:t>3.3, 3.5</w:t>
            </w:r>
          </w:p>
        </w:tc>
        <w:tc>
          <w:tcPr>
            <w:tcW w:w="937" w:type="dxa"/>
            <w:tcBorders>
              <w:top w:val="nil"/>
              <w:left w:val="nil"/>
              <w:bottom w:val="nil"/>
              <w:right w:val="nil"/>
            </w:tcBorders>
            <w:shd w:val="clear" w:color="000000" w:fill="E6E6E6"/>
            <w:noWrap/>
            <w:vAlign w:val="bottom"/>
            <w:hideMark/>
          </w:tcPr>
          <w:p w14:paraId="4F7A9AD7" w14:textId="48FAFCD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14:paraId="2D930BBD" w14:textId="5E5E94E3"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7D361F22" w14:textId="470CEBC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20555483" w14:textId="2220CA16"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497F47E" w14:textId="766D6CA4"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551CF2" w14:paraId="36D8F0F1" w14:textId="77777777" w:rsidTr="001E1B7F">
        <w:trPr>
          <w:trHeight w:val="204"/>
        </w:trPr>
        <w:tc>
          <w:tcPr>
            <w:tcW w:w="2127" w:type="dxa"/>
            <w:tcBorders>
              <w:top w:val="nil"/>
              <w:left w:val="nil"/>
              <w:bottom w:val="nil"/>
              <w:right w:val="nil"/>
            </w:tcBorders>
            <w:shd w:val="clear" w:color="auto" w:fill="auto"/>
            <w:noWrap/>
            <w:vAlign w:val="bottom"/>
            <w:hideMark/>
          </w:tcPr>
          <w:p w14:paraId="7DA9EC33" w14:textId="64433DA9"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bottom w:val="nil"/>
              <w:right w:val="nil"/>
            </w:tcBorders>
            <w:shd w:val="clear" w:color="auto" w:fill="auto"/>
            <w:noWrap/>
            <w:hideMark/>
          </w:tcPr>
          <w:p w14:paraId="7AD76B24"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353645C8" w14:textId="04AC53FF"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7E1FCD50" w14:textId="5BE099B6"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25147717" w14:textId="082D725F"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D297F1B" w14:textId="78AA6376"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5BFDE8CD" w14:textId="672AE803"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3809878D" w14:textId="77777777" w:rsidTr="001E1B7F">
        <w:trPr>
          <w:trHeight w:val="204"/>
        </w:trPr>
        <w:tc>
          <w:tcPr>
            <w:tcW w:w="2127" w:type="dxa"/>
            <w:tcBorders>
              <w:top w:val="nil"/>
              <w:left w:val="nil"/>
              <w:bottom w:val="nil"/>
              <w:right w:val="nil"/>
            </w:tcBorders>
            <w:shd w:val="clear" w:color="auto" w:fill="auto"/>
            <w:noWrap/>
            <w:vAlign w:val="bottom"/>
            <w:hideMark/>
          </w:tcPr>
          <w:p w14:paraId="3BA019AE" w14:textId="2F8451C7" w:rsidR="001E1B7F" w:rsidRPr="00551CF2" w:rsidRDefault="001E1B7F" w:rsidP="005B3671">
            <w:pPr>
              <w:spacing w:after="0" w:line="240" w:lineRule="auto"/>
              <w:ind w:left="113"/>
              <w:jc w:val="left"/>
              <w:rPr>
                <w:rFonts w:ascii="Arial" w:hAnsi="Arial" w:cs="Arial"/>
                <w:b/>
                <w:bCs/>
                <w:sz w:val="16"/>
                <w:szCs w:val="16"/>
              </w:rPr>
            </w:pPr>
            <w:r>
              <w:rPr>
                <w:rFonts w:ascii="Arial" w:hAnsi="Arial" w:cs="Arial"/>
                <w:sz w:val="16"/>
                <w:szCs w:val="16"/>
              </w:rPr>
              <w:t>Departmental payments</w:t>
            </w:r>
          </w:p>
        </w:tc>
        <w:tc>
          <w:tcPr>
            <w:tcW w:w="971" w:type="dxa"/>
            <w:gridSpan w:val="2"/>
            <w:tcBorders>
              <w:top w:val="nil"/>
              <w:left w:val="nil"/>
              <w:bottom w:val="nil"/>
              <w:right w:val="nil"/>
            </w:tcBorders>
            <w:shd w:val="clear" w:color="auto" w:fill="auto"/>
            <w:noWrap/>
            <w:hideMark/>
          </w:tcPr>
          <w:p w14:paraId="0805F0AC" w14:textId="77777777" w:rsidR="001E1B7F" w:rsidRPr="00DD4118"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66EE9C65" w14:textId="3D2CBAA0"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14:paraId="6AF2CB72" w14:textId="44430729"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901 </w:t>
            </w:r>
          </w:p>
        </w:tc>
        <w:tc>
          <w:tcPr>
            <w:tcW w:w="851" w:type="dxa"/>
            <w:tcBorders>
              <w:top w:val="nil"/>
              <w:left w:val="nil"/>
              <w:bottom w:val="nil"/>
              <w:right w:val="nil"/>
            </w:tcBorders>
            <w:shd w:val="clear" w:color="000000" w:fill="E6E6E6"/>
            <w:noWrap/>
            <w:vAlign w:val="bottom"/>
            <w:hideMark/>
          </w:tcPr>
          <w:p w14:paraId="7F73BECF" w14:textId="1226F09C"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906 </w:t>
            </w:r>
          </w:p>
        </w:tc>
        <w:tc>
          <w:tcPr>
            <w:tcW w:w="850" w:type="dxa"/>
            <w:tcBorders>
              <w:top w:val="nil"/>
              <w:left w:val="nil"/>
              <w:bottom w:val="nil"/>
              <w:right w:val="nil"/>
            </w:tcBorders>
            <w:shd w:val="clear" w:color="auto" w:fill="auto"/>
            <w:noWrap/>
            <w:vAlign w:val="bottom"/>
            <w:hideMark/>
          </w:tcPr>
          <w:p w14:paraId="166C08B5" w14:textId="60614910"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913 </w:t>
            </w:r>
          </w:p>
        </w:tc>
        <w:tc>
          <w:tcPr>
            <w:tcW w:w="851" w:type="dxa"/>
            <w:tcBorders>
              <w:top w:val="nil"/>
              <w:left w:val="nil"/>
              <w:bottom w:val="nil"/>
              <w:right w:val="nil"/>
            </w:tcBorders>
            <w:shd w:val="clear" w:color="000000" w:fill="E6E6E6"/>
            <w:noWrap/>
            <w:vAlign w:val="bottom"/>
            <w:hideMark/>
          </w:tcPr>
          <w:p w14:paraId="4996C4D2" w14:textId="2CC66482" w:rsidR="001E1B7F" w:rsidRPr="00551CF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1,703 </w:t>
            </w:r>
          </w:p>
        </w:tc>
      </w:tr>
      <w:tr w:rsidR="001E1B7F" w:rsidRPr="00551CF2" w14:paraId="2492056A" w14:textId="77777777" w:rsidTr="001E1B7F">
        <w:trPr>
          <w:trHeight w:val="204"/>
        </w:trPr>
        <w:tc>
          <w:tcPr>
            <w:tcW w:w="2127" w:type="dxa"/>
            <w:tcBorders>
              <w:top w:val="nil"/>
              <w:left w:val="nil"/>
              <w:bottom w:val="nil"/>
              <w:right w:val="nil"/>
            </w:tcBorders>
            <w:shd w:val="clear" w:color="auto" w:fill="auto"/>
            <w:vAlign w:val="bottom"/>
            <w:hideMark/>
          </w:tcPr>
          <w:p w14:paraId="60A20F34" w14:textId="7D75094F" w:rsidR="001E1B7F" w:rsidRPr="00551CF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nil"/>
              <w:right w:val="nil"/>
            </w:tcBorders>
            <w:shd w:val="clear" w:color="auto" w:fill="auto"/>
            <w:noWrap/>
            <w:hideMark/>
          </w:tcPr>
          <w:p w14:paraId="442E15B5" w14:textId="3B578E55" w:rsidR="001E1B7F" w:rsidRPr="00551CF2" w:rsidRDefault="001E1B7F" w:rsidP="001E1B7F">
            <w:pPr>
              <w:spacing w:after="0" w:line="240" w:lineRule="auto"/>
              <w:jc w:val="center"/>
              <w:outlineLvl w:val="0"/>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14:paraId="37039619" w14:textId="449326DE"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nil"/>
              <w:right w:val="nil"/>
            </w:tcBorders>
            <w:shd w:val="clear" w:color="auto" w:fill="auto"/>
            <w:noWrap/>
            <w:vAlign w:val="bottom"/>
            <w:hideMark/>
          </w:tcPr>
          <w:p w14:paraId="1FA212A7" w14:textId="2A3E4E50"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901 </w:t>
            </w:r>
          </w:p>
        </w:tc>
        <w:tc>
          <w:tcPr>
            <w:tcW w:w="851" w:type="dxa"/>
            <w:tcBorders>
              <w:top w:val="nil"/>
              <w:left w:val="nil"/>
              <w:bottom w:val="nil"/>
              <w:right w:val="nil"/>
            </w:tcBorders>
            <w:shd w:val="clear" w:color="000000" w:fill="E6E6E6"/>
            <w:noWrap/>
            <w:vAlign w:val="bottom"/>
            <w:hideMark/>
          </w:tcPr>
          <w:p w14:paraId="27B254C8" w14:textId="7E0D5C03"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906 </w:t>
            </w:r>
          </w:p>
        </w:tc>
        <w:tc>
          <w:tcPr>
            <w:tcW w:w="850" w:type="dxa"/>
            <w:tcBorders>
              <w:top w:val="nil"/>
              <w:left w:val="nil"/>
              <w:bottom w:val="nil"/>
              <w:right w:val="nil"/>
            </w:tcBorders>
            <w:shd w:val="clear" w:color="auto" w:fill="auto"/>
            <w:noWrap/>
            <w:vAlign w:val="bottom"/>
            <w:hideMark/>
          </w:tcPr>
          <w:p w14:paraId="7F6B3466" w14:textId="6556CA82"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913 </w:t>
            </w:r>
          </w:p>
        </w:tc>
        <w:tc>
          <w:tcPr>
            <w:tcW w:w="851" w:type="dxa"/>
            <w:tcBorders>
              <w:top w:val="nil"/>
              <w:left w:val="nil"/>
              <w:bottom w:val="nil"/>
              <w:right w:val="nil"/>
            </w:tcBorders>
            <w:shd w:val="clear" w:color="000000" w:fill="E6E6E6"/>
            <w:noWrap/>
            <w:vAlign w:val="bottom"/>
            <w:hideMark/>
          </w:tcPr>
          <w:p w14:paraId="4EC632A7" w14:textId="2075CD87" w:rsidR="001E1B7F" w:rsidRPr="00551CF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1,703 </w:t>
            </w:r>
          </w:p>
        </w:tc>
      </w:tr>
      <w:tr w:rsidR="001E1B7F" w:rsidRPr="00551CF2" w14:paraId="134605EF" w14:textId="77777777" w:rsidTr="001E1B7F">
        <w:trPr>
          <w:trHeight w:val="204"/>
        </w:trPr>
        <w:tc>
          <w:tcPr>
            <w:tcW w:w="2127" w:type="dxa"/>
            <w:tcBorders>
              <w:top w:val="nil"/>
              <w:left w:val="nil"/>
              <w:bottom w:val="nil"/>
              <w:right w:val="nil"/>
            </w:tcBorders>
            <w:shd w:val="clear" w:color="auto" w:fill="auto"/>
            <w:noWrap/>
            <w:vAlign w:val="bottom"/>
            <w:hideMark/>
          </w:tcPr>
          <w:p w14:paraId="10E677B2" w14:textId="3F4D99DC" w:rsidR="001E1B7F" w:rsidRPr="00551CF2" w:rsidRDefault="001E1B7F" w:rsidP="001E1B7F">
            <w:pPr>
              <w:spacing w:after="0" w:line="240" w:lineRule="auto"/>
              <w:jc w:val="left"/>
              <w:outlineLvl w:val="0"/>
              <w:rPr>
                <w:rFonts w:ascii="Arial" w:hAnsi="Arial" w:cs="Arial"/>
                <w:sz w:val="16"/>
                <w:szCs w:val="16"/>
              </w:rPr>
            </w:pPr>
            <w:r>
              <w:rPr>
                <w:rFonts w:ascii="Arial" w:hAnsi="Arial" w:cs="Arial"/>
                <w:sz w:val="16"/>
                <w:szCs w:val="16"/>
              </w:rPr>
              <w:t>Stronger Communities Programme – round eight</w:t>
            </w:r>
          </w:p>
        </w:tc>
        <w:tc>
          <w:tcPr>
            <w:tcW w:w="971" w:type="dxa"/>
            <w:gridSpan w:val="2"/>
            <w:tcBorders>
              <w:top w:val="nil"/>
              <w:left w:val="nil"/>
              <w:bottom w:val="nil"/>
              <w:right w:val="nil"/>
            </w:tcBorders>
            <w:shd w:val="clear" w:color="auto" w:fill="auto"/>
            <w:noWrap/>
            <w:hideMark/>
          </w:tcPr>
          <w:p w14:paraId="748AA660" w14:textId="74BC7966" w:rsidR="001E1B7F" w:rsidRPr="00551CF2" w:rsidRDefault="001E1B7F" w:rsidP="00DD4118">
            <w:pPr>
              <w:spacing w:after="0" w:line="240" w:lineRule="auto"/>
              <w:jc w:val="center"/>
              <w:outlineLvl w:val="0"/>
              <w:rPr>
                <w:rFonts w:ascii="Arial" w:hAnsi="Arial" w:cs="Arial"/>
                <w:sz w:val="16"/>
                <w:szCs w:val="16"/>
              </w:rPr>
            </w:pPr>
            <w:r>
              <w:rPr>
                <w:rFonts w:ascii="Arial" w:hAnsi="Arial" w:cs="Arial"/>
                <w:sz w:val="16"/>
                <w:szCs w:val="16"/>
              </w:rPr>
              <w:t>3.1, 3.5</w:t>
            </w:r>
          </w:p>
        </w:tc>
        <w:tc>
          <w:tcPr>
            <w:tcW w:w="937" w:type="dxa"/>
            <w:tcBorders>
              <w:top w:val="nil"/>
              <w:left w:val="nil"/>
              <w:right w:val="nil"/>
            </w:tcBorders>
            <w:shd w:val="clear" w:color="000000" w:fill="E6E6E6"/>
            <w:noWrap/>
            <w:vAlign w:val="bottom"/>
            <w:hideMark/>
          </w:tcPr>
          <w:p w14:paraId="061DB25B" w14:textId="38DFBA0A"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18" w:type="dxa"/>
            <w:tcBorders>
              <w:top w:val="nil"/>
              <w:left w:val="nil"/>
              <w:right w:val="nil"/>
            </w:tcBorders>
            <w:shd w:val="clear" w:color="auto" w:fill="auto"/>
            <w:noWrap/>
            <w:vAlign w:val="bottom"/>
            <w:hideMark/>
          </w:tcPr>
          <w:p w14:paraId="3C4FFBBD" w14:textId="7CC73535"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right w:val="nil"/>
            </w:tcBorders>
            <w:shd w:val="clear" w:color="000000" w:fill="E6E6E6"/>
            <w:noWrap/>
            <w:vAlign w:val="bottom"/>
            <w:hideMark/>
          </w:tcPr>
          <w:p w14:paraId="637961B7" w14:textId="2BDF431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850" w:type="dxa"/>
            <w:tcBorders>
              <w:top w:val="nil"/>
              <w:left w:val="nil"/>
              <w:right w:val="nil"/>
            </w:tcBorders>
            <w:shd w:val="clear" w:color="auto" w:fill="auto"/>
            <w:noWrap/>
            <w:vAlign w:val="bottom"/>
            <w:hideMark/>
          </w:tcPr>
          <w:p w14:paraId="42A6A470" w14:textId="7C874FB9" w:rsidR="001E1B7F" w:rsidRPr="00551CF2" w:rsidRDefault="001E1B7F" w:rsidP="001E1B7F">
            <w:pPr>
              <w:spacing w:after="0" w:line="240" w:lineRule="auto"/>
              <w:jc w:val="right"/>
              <w:outlineLvl w:val="0"/>
              <w:rPr>
                <w:rFonts w:ascii="Arial" w:hAnsi="Arial" w:cs="Arial"/>
                <w:sz w:val="16"/>
                <w:szCs w:val="16"/>
              </w:rPr>
            </w:pPr>
          </w:p>
        </w:tc>
        <w:tc>
          <w:tcPr>
            <w:tcW w:w="851" w:type="dxa"/>
            <w:tcBorders>
              <w:top w:val="nil"/>
              <w:left w:val="nil"/>
              <w:right w:val="nil"/>
            </w:tcBorders>
            <w:shd w:val="clear" w:color="000000" w:fill="E6E6E6"/>
            <w:noWrap/>
            <w:vAlign w:val="bottom"/>
            <w:hideMark/>
          </w:tcPr>
          <w:p w14:paraId="0DFF394D" w14:textId="3C5EB50A"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551CF2" w14:paraId="02DB813D" w14:textId="77777777" w:rsidTr="001E1B7F">
        <w:trPr>
          <w:trHeight w:val="204"/>
        </w:trPr>
        <w:tc>
          <w:tcPr>
            <w:tcW w:w="2127" w:type="dxa"/>
            <w:tcBorders>
              <w:top w:val="nil"/>
              <w:left w:val="nil"/>
              <w:right w:val="nil"/>
            </w:tcBorders>
            <w:shd w:val="clear" w:color="auto" w:fill="auto"/>
            <w:noWrap/>
            <w:vAlign w:val="bottom"/>
            <w:hideMark/>
          </w:tcPr>
          <w:p w14:paraId="005E55D4" w14:textId="6A18CD33" w:rsidR="001E1B7F" w:rsidRPr="00551CF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971" w:type="dxa"/>
            <w:gridSpan w:val="2"/>
            <w:tcBorders>
              <w:top w:val="nil"/>
              <w:left w:val="nil"/>
              <w:right w:val="nil"/>
            </w:tcBorders>
            <w:shd w:val="clear" w:color="auto" w:fill="auto"/>
            <w:noWrap/>
            <w:hideMark/>
          </w:tcPr>
          <w:p w14:paraId="3E0F5BBD"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right w:val="nil"/>
            </w:tcBorders>
            <w:shd w:val="clear" w:color="000000" w:fill="E6E6E6"/>
            <w:noWrap/>
            <w:vAlign w:val="bottom"/>
            <w:hideMark/>
          </w:tcPr>
          <w:p w14:paraId="6E3F4491" w14:textId="110369EC"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right w:val="nil"/>
            </w:tcBorders>
            <w:shd w:val="clear" w:color="auto" w:fill="auto"/>
            <w:noWrap/>
            <w:vAlign w:val="bottom"/>
            <w:hideMark/>
          </w:tcPr>
          <w:p w14:paraId="0C364DEA" w14:textId="53AB59A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22,650 </w:t>
            </w:r>
          </w:p>
        </w:tc>
        <w:tc>
          <w:tcPr>
            <w:tcW w:w="851" w:type="dxa"/>
            <w:tcBorders>
              <w:top w:val="nil"/>
              <w:left w:val="nil"/>
              <w:right w:val="nil"/>
            </w:tcBorders>
            <w:shd w:val="clear" w:color="000000" w:fill="E6E6E6"/>
            <w:noWrap/>
            <w:vAlign w:val="bottom"/>
            <w:hideMark/>
          </w:tcPr>
          <w:p w14:paraId="1A57B864" w14:textId="31C4FDDD"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0" w:type="dxa"/>
            <w:tcBorders>
              <w:top w:val="nil"/>
              <w:left w:val="nil"/>
              <w:right w:val="nil"/>
            </w:tcBorders>
            <w:shd w:val="clear" w:color="auto" w:fill="auto"/>
            <w:noWrap/>
            <w:vAlign w:val="bottom"/>
            <w:hideMark/>
          </w:tcPr>
          <w:p w14:paraId="32499884" w14:textId="1125700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right w:val="nil"/>
            </w:tcBorders>
            <w:shd w:val="clear" w:color="000000" w:fill="E6E6E6"/>
            <w:noWrap/>
            <w:vAlign w:val="bottom"/>
            <w:hideMark/>
          </w:tcPr>
          <w:p w14:paraId="4C6CBEAB" w14:textId="23DABEE7" w:rsidR="001E1B7F" w:rsidRPr="00551CF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579DB480" w14:textId="77777777" w:rsidTr="001E1B7F">
        <w:trPr>
          <w:trHeight w:val="204"/>
        </w:trPr>
        <w:tc>
          <w:tcPr>
            <w:tcW w:w="2127" w:type="dxa"/>
            <w:tcBorders>
              <w:top w:val="nil"/>
              <w:left w:val="nil"/>
              <w:right w:val="nil"/>
            </w:tcBorders>
            <w:shd w:val="clear" w:color="auto" w:fill="auto"/>
            <w:noWrap/>
            <w:vAlign w:val="bottom"/>
          </w:tcPr>
          <w:p w14:paraId="5755F516" w14:textId="19DA779E" w:rsidR="001E1B7F" w:rsidRDefault="001E1B7F" w:rsidP="005B367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971" w:type="dxa"/>
            <w:gridSpan w:val="2"/>
            <w:tcBorders>
              <w:top w:val="nil"/>
              <w:left w:val="nil"/>
              <w:right w:val="nil"/>
            </w:tcBorders>
            <w:shd w:val="clear" w:color="auto" w:fill="auto"/>
            <w:noWrap/>
          </w:tcPr>
          <w:p w14:paraId="17A82F4D"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right w:val="nil"/>
            </w:tcBorders>
            <w:shd w:val="clear" w:color="000000" w:fill="E6E6E6"/>
            <w:noWrap/>
            <w:vAlign w:val="bottom"/>
          </w:tcPr>
          <w:p w14:paraId="2A2B5C70" w14:textId="6D2B97C0" w:rsidR="001E1B7F"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18" w:type="dxa"/>
            <w:tcBorders>
              <w:top w:val="nil"/>
              <w:left w:val="nil"/>
              <w:right w:val="nil"/>
            </w:tcBorders>
            <w:shd w:val="clear" w:color="auto" w:fill="auto"/>
            <w:noWrap/>
            <w:vAlign w:val="bottom"/>
          </w:tcPr>
          <w:p w14:paraId="5C8608C1" w14:textId="3C699929" w:rsidR="001E1B7F"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5,026 </w:t>
            </w:r>
          </w:p>
        </w:tc>
        <w:tc>
          <w:tcPr>
            <w:tcW w:w="851" w:type="dxa"/>
            <w:tcBorders>
              <w:top w:val="nil"/>
              <w:left w:val="nil"/>
              <w:right w:val="nil"/>
            </w:tcBorders>
            <w:shd w:val="clear" w:color="000000" w:fill="E6E6E6"/>
            <w:noWrap/>
            <w:vAlign w:val="bottom"/>
          </w:tcPr>
          <w:p w14:paraId="1D0ACCAD" w14:textId="3A258FD7" w:rsidR="001E1B7F"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1,534 </w:t>
            </w:r>
          </w:p>
        </w:tc>
        <w:tc>
          <w:tcPr>
            <w:tcW w:w="850" w:type="dxa"/>
            <w:tcBorders>
              <w:top w:val="nil"/>
              <w:left w:val="nil"/>
              <w:right w:val="nil"/>
            </w:tcBorders>
            <w:shd w:val="clear" w:color="auto" w:fill="auto"/>
            <w:noWrap/>
            <w:vAlign w:val="bottom"/>
          </w:tcPr>
          <w:p w14:paraId="425AC64A" w14:textId="4E0BEBB1" w:rsidR="001E1B7F"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851" w:type="dxa"/>
            <w:tcBorders>
              <w:top w:val="nil"/>
              <w:left w:val="nil"/>
              <w:right w:val="nil"/>
            </w:tcBorders>
            <w:shd w:val="clear" w:color="000000" w:fill="E6E6E6"/>
            <w:noWrap/>
            <w:vAlign w:val="bottom"/>
          </w:tcPr>
          <w:p w14:paraId="2F75DCA0" w14:textId="3A5DD52B" w:rsidR="001E1B7F"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551CF2" w14:paraId="3C02F1BE" w14:textId="77777777" w:rsidTr="001E1B7F">
        <w:trPr>
          <w:trHeight w:val="204"/>
        </w:trPr>
        <w:tc>
          <w:tcPr>
            <w:tcW w:w="2127" w:type="dxa"/>
            <w:tcBorders>
              <w:top w:val="nil"/>
              <w:left w:val="nil"/>
              <w:bottom w:val="single" w:sz="4" w:space="0" w:color="auto"/>
              <w:right w:val="nil"/>
            </w:tcBorders>
            <w:shd w:val="clear" w:color="auto" w:fill="auto"/>
            <w:noWrap/>
            <w:vAlign w:val="bottom"/>
          </w:tcPr>
          <w:p w14:paraId="7C1FE3BB" w14:textId="3CC7B3BB" w:rsidR="001E1B7F"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971" w:type="dxa"/>
            <w:gridSpan w:val="2"/>
            <w:tcBorders>
              <w:top w:val="nil"/>
              <w:left w:val="nil"/>
              <w:bottom w:val="single" w:sz="4" w:space="0" w:color="auto"/>
              <w:right w:val="nil"/>
            </w:tcBorders>
            <w:shd w:val="clear" w:color="auto" w:fill="auto"/>
            <w:noWrap/>
          </w:tcPr>
          <w:p w14:paraId="6E708839" w14:textId="77777777" w:rsidR="001E1B7F" w:rsidRPr="00551CF2" w:rsidRDefault="001E1B7F" w:rsidP="00DD4118">
            <w:pPr>
              <w:spacing w:after="0" w:line="240" w:lineRule="auto"/>
              <w:jc w:val="center"/>
              <w:outlineLvl w:val="0"/>
              <w:rPr>
                <w:rFonts w:ascii="Arial" w:hAnsi="Arial" w:cs="Arial"/>
                <w:sz w:val="16"/>
                <w:szCs w:val="16"/>
              </w:rPr>
            </w:pPr>
          </w:p>
        </w:tc>
        <w:tc>
          <w:tcPr>
            <w:tcW w:w="937" w:type="dxa"/>
            <w:tcBorders>
              <w:top w:val="nil"/>
              <w:left w:val="nil"/>
              <w:bottom w:val="single" w:sz="4" w:space="0" w:color="auto"/>
              <w:right w:val="nil"/>
            </w:tcBorders>
            <w:shd w:val="clear" w:color="000000" w:fill="E6E6E6"/>
            <w:noWrap/>
            <w:vAlign w:val="bottom"/>
          </w:tcPr>
          <w:p w14:paraId="6E26E652" w14:textId="5446CFFE" w:rsidR="001E1B7F"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18" w:type="dxa"/>
            <w:tcBorders>
              <w:top w:val="nil"/>
              <w:left w:val="nil"/>
              <w:bottom w:val="single" w:sz="4" w:space="0" w:color="auto"/>
              <w:right w:val="nil"/>
            </w:tcBorders>
            <w:shd w:val="clear" w:color="auto" w:fill="auto"/>
            <w:noWrap/>
            <w:vAlign w:val="bottom"/>
          </w:tcPr>
          <w:p w14:paraId="655EBC1E" w14:textId="3BA632EB" w:rsidR="001E1B7F"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27,676 </w:t>
            </w:r>
          </w:p>
        </w:tc>
        <w:tc>
          <w:tcPr>
            <w:tcW w:w="851" w:type="dxa"/>
            <w:tcBorders>
              <w:top w:val="nil"/>
              <w:left w:val="nil"/>
              <w:bottom w:val="single" w:sz="4" w:space="0" w:color="auto"/>
              <w:right w:val="nil"/>
            </w:tcBorders>
            <w:shd w:val="clear" w:color="000000" w:fill="E6E6E6"/>
            <w:noWrap/>
            <w:vAlign w:val="bottom"/>
          </w:tcPr>
          <w:p w14:paraId="7E63AD20" w14:textId="71FC2D92" w:rsidR="001E1B7F"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1,534 </w:t>
            </w:r>
          </w:p>
        </w:tc>
        <w:tc>
          <w:tcPr>
            <w:tcW w:w="850" w:type="dxa"/>
            <w:tcBorders>
              <w:top w:val="nil"/>
              <w:left w:val="nil"/>
              <w:bottom w:val="single" w:sz="4" w:space="0" w:color="auto"/>
              <w:right w:val="nil"/>
            </w:tcBorders>
            <w:shd w:val="clear" w:color="auto" w:fill="auto"/>
            <w:noWrap/>
            <w:vAlign w:val="bottom"/>
          </w:tcPr>
          <w:p w14:paraId="50F5A9D9" w14:textId="726D2FD3" w:rsidR="001E1B7F"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851" w:type="dxa"/>
            <w:tcBorders>
              <w:top w:val="nil"/>
              <w:left w:val="nil"/>
              <w:bottom w:val="single" w:sz="4" w:space="0" w:color="auto"/>
              <w:right w:val="nil"/>
            </w:tcBorders>
            <w:shd w:val="clear" w:color="000000" w:fill="E6E6E6"/>
            <w:noWrap/>
            <w:vAlign w:val="bottom"/>
          </w:tcPr>
          <w:p w14:paraId="7B81C22B" w14:textId="61D0A02B" w:rsidR="001E1B7F"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bl>
    <w:p w14:paraId="7B5D5570" w14:textId="77777777" w:rsidR="00551CF2" w:rsidRDefault="00551CF2" w:rsidP="00551CF2"/>
    <w:p w14:paraId="5CC69F56" w14:textId="77777777" w:rsidR="00B91F3E" w:rsidRDefault="00B91F3E" w:rsidP="00B91F3E">
      <w:pPr>
        <w:spacing w:after="160" w:line="259" w:lineRule="auto"/>
        <w:jc w:val="left"/>
        <w:rPr>
          <w:rFonts w:ascii="Arial" w:hAnsi="Arial"/>
          <w:color w:val="000000"/>
          <w:sz w:val="16"/>
          <w:lang w:val="x-none" w:eastAsia="x-none"/>
        </w:rPr>
      </w:pPr>
      <w:r>
        <w:br w:type="page"/>
      </w:r>
    </w:p>
    <w:p w14:paraId="4ADB9AAE" w14:textId="5BF3E386" w:rsidR="00B91F3E" w:rsidRPr="00C110E4" w:rsidRDefault="00B91F3E" w:rsidP="00B91F3E">
      <w:pPr>
        <w:pStyle w:val="TableHeading"/>
        <w:rPr>
          <w:lang w:val="en-GB"/>
        </w:rPr>
      </w:pPr>
      <w:r w:rsidRPr="009A40DD">
        <w:lastRenderedPageBreak/>
        <w:t xml:space="preserve">Table 1.2: </w:t>
      </w:r>
      <w:r w:rsidR="003C4CC6">
        <w:rPr>
          <w:lang w:val="en-US"/>
        </w:rPr>
        <w:t>Department</w:t>
      </w:r>
      <w:r>
        <w:rPr>
          <w:lang w:val="en-US"/>
        </w:rPr>
        <w:t xml:space="preserve"> of Infrastructure, Transport, Regional Development and Communications</w:t>
      </w:r>
      <w:r w:rsidRPr="009A40DD">
        <w:t xml:space="preserve"> </w:t>
      </w:r>
      <w:r>
        <w:rPr>
          <w:lang w:val="en-AU"/>
        </w:rPr>
        <w:t xml:space="preserve">2022-23 </w:t>
      </w:r>
      <w:r w:rsidRPr="009A40DD">
        <w:t>Budget measures</w:t>
      </w:r>
      <w:r>
        <w:rPr>
          <w:lang w:val="en-GB"/>
        </w:rPr>
        <w:t xml:space="preserve"> </w:t>
      </w:r>
    </w:p>
    <w:p w14:paraId="65C9E963" w14:textId="49491E85" w:rsidR="00B91F3E" w:rsidRDefault="00B91F3E" w:rsidP="00B91F3E">
      <w:pPr>
        <w:pStyle w:val="TableGraphic"/>
        <w:jc w:val="left"/>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 (continued)</w:t>
      </w:r>
    </w:p>
    <w:tbl>
      <w:tblPr>
        <w:tblW w:w="7805" w:type="dxa"/>
        <w:tblLook w:val="04A0" w:firstRow="1" w:lastRow="0" w:firstColumn="1" w:lastColumn="0" w:noHBand="0" w:noVBand="1"/>
      </w:tblPr>
      <w:tblGrid>
        <w:gridCol w:w="2127"/>
        <w:gridCol w:w="215"/>
        <w:gridCol w:w="831"/>
        <w:gridCol w:w="852"/>
        <w:gridCol w:w="996"/>
        <w:gridCol w:w="928"/>
        <w:gridCol w:w="928"/>
        <w:gridCol w:w="928"/>
      </w:tblGrid>
      <w:tr w:rsidR="00E03A92" w:rsidRPr="00E03A92" w14:paraId="7D611D51" w14:textId="77777777" w:rsidTr="00E47926">
        <w:trPr>
          <w:trHeight w:val="204"/>
        </w:trPr>
        <w:tc>
          <w:tcPr>
            <w:tcW w:w="2342" w:type="dxa"/>
            <w:gridSpan w:val="2"/>
            <w:tcBorders>
              <w:top w:val="single" w:sz="4" w:space="0" w:color="auto"/>
              <w:left w:val="nil"/>
              <w:bottom w:val="nil"/>
              <w:right w:val="nil"/>
            </w:tcBorders>
            <w:shd w:val="clear" w:color="auto" w:fill="auto"/>
            <w:noWrap/>
            <w:vAlign w:val="bottom"/>
            <w:hideMark/>
          </w:tcPr>
          <w:p w14:paraId="37AC45EE" w14:textId="77777777" w:rsidR="00E03A92" w:rsidRPr="00E03A92" w:rsidRDefault="00E03A92" w:rsidP="00E03A92">
            <w:pPr>
              <w:spacing w:after="0" w:line="240" w:lineRule="auto"/>
              <w:jc w:val="left"/>
              <w:rPr>
                <w:rFonts w:ascii="Times New Roman" w:hAnsi="Times New Roman"/>
                <w:sz w:val="24"/>
                <w:szCs w:val="24"/>
              </w:rPr>
            </w:pPr>
          </w:p>
        </w:tc>
        <w:tc>
          <w:tcPr>
            <w:tcW w:w="831" w:type="dxa"/>
            <w:tcBorders>
              <w:top w:val="single" w:sz="4" w:space="0" w:color="auto"/>
              <w:left w:val="nil"/>
              <w:bottom w:val="single" w:sz="4" w:space="0" w:color="auto"/>
              <w:right w:val="nil"/>
            </w:tcBorders>
            <w:shd w:val="clear" w:color="auto" w:fill="auto"/>
            <w:vAlign w:val="bottom"/>
            <w:hideMark/>
          </w:tcPr>
          <w:p w14:paraId="67038DCE" w14:textId="77777777" w:rsidR="00E03A92" w:rsidRPr="00E03A92" w:rsidRDefault="00E03A92" w:rsidP="00520588">
            <w:pPr>
              <w:spacing w:after="0" w:line="240" w:lineRule="auto"/>
              <w:jc w:val="center"/>
              <w:outlineLvl w:val="0"/>
              <w:rPr>
                <w:rFonts w:ascii="Arial" w:hAnsi="Arial" w:cs="Arial"/>
                <w:sz w:val="16"/>
                <w:szCs w:val="16"/>
              </w:rPr>
            </w:pPr>
            <w:r w:rsidRPr="00E03A92">
              <w:rPr>
                <w:rFonts w:ascii="Arial" w:hAnsi="Arial" w:cs="Arial"/>
                <w:sz w:val="16"/>
                <w:szCs w:val="16"/>
              </w:rPr>
              <w:t>Program</w:t>
            </w:r>
          </w:p>
        </w:tc>
        <w:tc>
          <w:tcPr>
            <w:tcW w:w="852" w:type="dxa"/>
            <w:tcBorders>
              <w:top w:val="single" w:sz="4" w:space="0" w:color="auto"/>
              <w:left w:val="nil"/>
              <w:bottom w:val="single" w:sz="4" w:space="0" w:color="auto"/>
              <w:right w:val="nil"/>
            </w:tcBorders>
            <w:shd w:val="clear" w:color="000000" w:fill="E6E6E6"/>
            <w:vAlign w:val="bottom"/>
            <w:hideMark/>
          </w:tcPr>
          <w:p w14:paraId="0E640995" w14:textId="77777777" w:rsidR="00E03A92" w:rsidRPr="00E03A92" w:rsidRDefault="00E03A92" w:rsidP="00E03A92">
            <w:pPr>
              <w:spacing w:after="0" w:line="240" w:lineRule="auto"/>
              <w:jc w:val="right"/>
              <w:outlineLvl w:val="0"/>
              <w:rPr>
                <w:rFonts w:ascii="Arial" w:hAnsi="Arial" w:cs="Arial"/>
                <w:sz w:val="16"/>
                <w:szCs w:val="16"/>
              </w:rPr>
            </w:pPr>
            <w:r w:rsidRPr="00E03A92">
              <w:rPr>
                <w:rFonts w:ascii="Arial" w:hAnsi="Arial" w:cs="Arial"/>
                <w:sz w:val="16"/>
                <w:szCs w:val="16"/>
              </w:rPr>
              <w:t>2021-22</w:t>
            </w:r>
            <w:r w:rsidRPr="00E03A92">
              <w:rPr>
                <w:rFonts w:ascii="Arial" w:hAnsi="Arial" w:cs="Arial"/>
                <w:sz w:val="16"/>
                <w:szCs w:val="16"/>
              </w:rPr>
              <w:br/>
              <w:t>$'000</w:t>
            </w:r>
          </w:p>
        </w:tc>
        <w:tc>
          <w:tcPr>
            <w:tcW w:w="996" w:type="dxa"/>
            <w:tcBorders>
              <w:top w:val="single" w:sz="4" w:space="0" w:color="auto"/>
              <w:left w:val="nil"/>
              <w:bottom w:val="single" w:sz="4" w:space="0" w:color="auto"/>
              <w:right w:val="nil"/>
            </w:tcBorders>
            <w:shd w:val="clear" w:color="auto" w:fill="auto"/>
            <w:vAlign w:val="bottom"/>
            <w:hideMark/>
          </w:tcPr>
          <w:p w14:paraId="2ED04244" w14:textId="77777777" w:rsidR="00E03A92" w:rsidRPr="00E03A92" w:rsidRDefault="00E03A92" w:rsidP="00E03A92">
            <w:pPr>
              <w:spacing w:after="0" w:line="240" w:lineRule="auto"/>
              <w:jc w:val="right"/>
              <w:outlineLvl w:val="0"/>
              <w:rPr>
                <w:rFonts w:ascii="Arial" w:hAnsi="Arial" w:cs="Arial"/>
                <w:sz w:val="16"/>
                <w:szCs w:val="16"/>
              </w:rPr>
            </w:pPr>
            <w:r w:rsidRPr="00E03A92">
              <w:rPr>
                <w:rFonts w:ascii="Arial" w:hAnsi="Arial" w:cs="Arial"/>
                <w:sz w:val="16"/>
                <w:szCs w:val="16"/>
              </w:rPr>
              <w:t>2022-23</w:t>
            </w:r>
            <w:r w:rsidRPr="00E03A92">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14:paraId="068AF9D5" w14:textId="77777777" w:rsidR="00E03A92" w:rsidRPr="00E03A92" w:rsidRDefault="00E03A92" w:rsidP="00E03A92">
            <w:pPr>
              <w:spacing w:after="0" w:line="240" w:lineRule="auto"/>
              <w:jc w:val="right"/>
              <w:outlineLvl w:val="0"/>
              <w:rPr>
                <w:rFonts w:ascii="Arial" w:hAnsi="Arial" w:cs="Arial"/>
                <w:sz w:val="16"/>
                <w:szCs w:val="16"/>
              </w:rPr>
            </w:pPr>
            <w:r w:rsidRPr="00E03A92">
              <w:rPr>
                <w:rFonts w:ascii="Arial" w:hAnsi="Arial" w:cs="Arial"/>
                <w:sz w:val="16"/>
                <w:szCs w:val="16"/>
              </w:rPr>
              <w:t>2023-24</w:t>
            </w:r>
            <w:r w:rsidRPr="00E03A92">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1C9F0CAA" w14:textId="77777777" w:rsidR="00E03A92" w:rsidRPr="00E03A92" w:rsidRDefault="00E03A92" w:rsidP="00E03A92">
            <w:pPr>
              <w:spacing w:after="0" w:line="240" w:lineRule="auto"/>
              <w:jc w:val="right"/>
              <w:outlineLvl w:val="0"/>
              <w:rPr>
                <w:rFonts w:ascii="Arial" w:hAnsi="Arial" w:cs="Arial"/>
                <w:sz w:val="16"/>
                <w:szCs w:val="16"/>
              </w:rPr>
            </w:pPr>
            <w:r w:rsidRPr="00E03A92">
              <w:rPr>
                <w:rFonts w:ascii="Arial" w:hAnsi="Arial" w:cs="Arial"/>
                <w:sz w:val="16"/>
                <w:szCs w:val="16"/>
              </w:rPr>
              <w:t>2024-25</w:t>
            </w:r>
            <w:r w:rsidRPr="00E03A92">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14:paraId="1CB596A6" w14:textId="77777777" w:rsidR="00E03A92" w:rsidRPr="00E03A92" w:rsidRDefault="00E03A92" w:rsidP="00E03A92">
            <w:pPr>
              <w:spacing w:after="0" w:line="240" w:lineRule="auto"/>
              <w:jc w:val="right"/>
              <w:outlineLvl w:val="0"/>
              <w:rPr>
                <w:rFonts w:ascii="Arial" w:hAnsi="Arial" w:cs="Arial"/>
                <w:sz w:val="16"/>
                <w:szCs w:val="16"/>
              </w:rPr>
            </w:pPr>
            <w:r w:rsidRPr="00E03A92">
              <w:rPr>
                <w:rFonts w:ascii="Arial" w:hAnsi="Arial" w:cs="Arial"/>
                <w:sz w:val="16"/>
                <w:szCs w:val="16"/>
              </w:rPr>
              <w:t>2025-26</w:t>
            </w:r>
            <w:r w:rsidRPr="00E03A92">
              <w:rPr>
                <w:rFonts w:ascii="Arial" w:hAnsi="Arial" w:cs="Arial"/>
                <w:sz w:val="16"/>
                <w:szCs w:val="16"/>
              </w:rPr>
              <w:br/>
              <w:t>$'000</w:t>
            </w:r>
          </w:p>
        </w:tc>
      </w:tr>
      <w:tr w:rsidR="00E03A92" w:rsidRPr="00E03A92" w14:paraId="4AC39ECF" w14:textId="77777777" w:rsidTr="00E47926">
        <w:trPr>
          <w:trHeight w:val="204"/>
        </w:trPr>
        <w:tc>
          <w:tcPr>
            <w:tcW w:w="2342" w:type="dxa"/>
            <w:gridSpan w:val="2"/>
            <w:tcBorders>
              <w:top w:val="nil"/>
              <w:left w:val="nil"/>
              <w:bottom w:val="nil"/>
              <w:right w:val="nil"/>
            </w:tcBorders>
            <w:shd w:val="clear" w:color="auto" w:fill="auto"/>
            <w:noWrap/>
            <w:vAlign w:val="bottom"/>
            <w:hideMark/>
          </w:tcPr>
          <w:p w14:paraId="11AEA36A" w14:textId="77777777" w:rsidR="00E03A92" w:rsidRPr="00E03A92" w:rsidRDefault="00E03A92" w:rsidP="00E03A92">
            <w:pPr>
              <w:spacing w:after="0" w:line="240" w:lineRule="auto"/>
              <w:jc w:val="left"/>
              <w:outlineLvl w:val="0"/>
              <w:rPr>
                <w:rFonts w:ascii="Arial" w:hAnsi="Arial" w:cs="Arial"/>
                <w:b/>
                <w:bCs/>
                <w:sz w:val="16"/>
                <w:szCs w:val="16"/>
              </w:rPr>
            </w:pPr>
            <w:r w:rsidRPr="00E03A92">
              <w:rPr>
                <w:rFonts w:ascii="Arial" w:hAnsi="Arial" w:cs="Arial"/>
                <w:b/>
                <w:bCs/>
                <w:sz w:val="16"/>
                <w:szCs w:val="16"/>
              </w:rPr>
              <w:t>Payment measures (continued)</w:t>
            </w:r>
          </w:p>
        </w:tc>
        <w:tc>
          <w:tcPr>
            <w:tcW w:w="831" w:type="dxa"/>
            <w:tcBorders>
              <w:top w:val="nil"/>
              <w:left w:val="nil"/>
              <w:bottom w:val="nil"/>
              <w:right w:val="nil"/>
            </w:tcBorders>
            <w:shd w:val="clear" w:color="auto" w:fill="auto"/>
            <w:noWrap/>
            <w:vAlign w:val="bottom"/>
            <w:hideMark/>
          </w:tcPr>
          <w:p w14:paraId="73BFDE10" w14:textId="77777777" w:rsidR="00E03A92" w:rsidRPr="00E03A92" w:rsidRDefault="00E03A92" w:rsidP="00520588">
            <w:pPr>
              <w:spacing w:after="0" w:line="240" w:lineRule="auto"/>
              <w:jc w:val="center"/>
              <w:outlineLvl w:val="0"/>
              <w:rPr>
                <w:rFonts w:ascii="Arial" w:hAnsi="Arial" w:cs="Arial"/>
                <w:b/>
                <w:bCs/>
                <w:sz w:val="16"/>
                <w:szCs w:val="16"/>
              </w:rPr>
            </w:pPr>
          </w:p>
        </w:tc>
        <w:tc>
          <w:tcPr>
            <w:tcW w:w="852" w:type="dxa"/>
            <w:tcBorders>
              <w:top w:val="nil"/>
              <w:left w:val="nil"/>
              <w:bottom w:val="nil"/>
              <w:right w:val="nil"/>
            </w:tcBorders>
            <w:shd w:val="clear" w:color="000000" w:fill="E6E6E6"/>
            <w:noWrap/>
            <w:vAlign w:val="bottom"/>
            <w:hideMark/>
          </w:tcPr>
          <w:p w14:paraId="22B713BC" w14:textId="6A664B6F" w:rsidR="00E03A92" w:rsidRPr="00E03A92" w:rsidRDefault="00E03A92" w:rsidP="00E03A92">
            <w:pPr>
              <w:spacing w:after="0" w:line="240" w:lineRule="auto"/>
              <w:jc w:val="right"/>
              <w:outlineLvl w:val="0"/>
              <w:rPr>
                <w:rFonts w:ascii="Arial" w:hAnsi="Arial" w:cs="Arial"/>
                <w:sz w:val="16"/>
                <w:szCs w:val="16"/>
              </w:rPr>
            </w:pPr>
          </w:p>
        </w:tc>
        <w:tc>
          <w:tcPr>
            <w:tcW w:w="996" w:type="dxa"/>
            <w:tcBorders>
              <w:top w:val="nil"/>
              <w:left w:val="nil"/>
              <w:bottom w:val="nil"/>
              <w:right w:val="nil"/>
            </w:tcBorders>
            <w:shd w:val="clear" w:color="auto" w:fill="auto"/>
            <w:noWrap/>
            <w:vAlign w:val="bottom"/>
            <w:hideMark/>
          </w:tcPr>
          <w:p w14:paraId="647CD9F4" w14:textId="77777777" w:rsidR="00E03A92" w:rsidRPr="00E03A92" w:rsidRDefault="00E03A92" w:rsidP="00E03A9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24C24A7F" w14:textId="7168C93F" w:rsidR="00E03A92" w:rsidRPr="00E03A92" w:rsidRDefault="00E03A92" w:rsidP="00E03A9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CB0B058" w14:textId="77777777" w:rsidR="00E03A92" w:rsidRPr="00E03A92" w:rsidRDefault="00E03A92" w:rsidP="00E03A9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16A0160" w14:textId="5BFD739D" w:rsidR="00E03A92" w:rsidRPr="00E03A92" w:rsidRDefault="00E03A92" w:rsidP="00E03A92">
            <w:pPr>
              <w:spacing w:after="0" w:line="240" w:lineRule="auto"/>
              <w:jc w:val="right"/>
              <w:outlineLvl w:val="0"/>
              <w:rPr>
                <w:rFonts w:ascii="Arial" w:hAnsi="Arial" w:cs="Arial"/>
                <w:sz w:val="16"/>
                <w:szCs w:val="16"/>
              </w:rPr>
            </w:pPr>
          </w:p>
        </w:tc>
      </w:tr>
      <w:tr w:rsidR="001E1B7F" w:rsidRPr="00E03A92" w14:paraId="57E276CC" w14:textId="77777777" w:rsidTr="001E1B7F">
        <w:trPr>
          <w:trHeight w:val="204"/>
        </w:trPr>
        <w:tc>
          <w:tcPr>
            <w:tcW w:w="2127" w:type="dxa"/>
            <w:tcBorders>
              <w:top w:val="nil"/>
              <w:left w:val="nil"/>
              <w:bottom w:val="nil"/>
              <w:right w:val="nil"/>
            </w:tcBorders>
            <w:shd w:val="clear" w:color="auto" w:fill="auto"/>
            <w:vAlign w:val="bottom"/>
            <w:hideMark/>
          </w:tcPr>
          <w:p w14:paraId="49C268CB" w14:textId="033624FA" w:rsidR="001E1B7F" w:rsidRPr="00E03A92" w:rsidRDefault="001E1B7F" w:rsidP="001E1B7F">
            <w:pPr>
              <w:spacing w:after="0" w:line="240" w:lineRule="auto"/>
              <w:jc w:val="left"/>
              <w:outlineLvl w:val="0"/>
              <w:rPr>
                <w:rFonts w:ascii="Arial" w:hAnsi="Arial" w:cs="Arial"/>
                <w:sz w:val="16"/>
                <w:szCs w:val="16"/>
              </w:rPr>
            </w:pPr>
            <w:r>
              <w:rPr>
                <w:rFonts w:ascii="Arial" w:hAnsi="Arial" w:cs="Arial"/>
                <w:sz w:val="16"/>
                <w:szCs w:val="16"/>
              </w:rPr>
              <w:t>Support to the Pacific and Timor-Leste — additional support</w:t>
            </w:r>
          </w:p>
        </w:tc>
        <w:tc>
          <w:tcPr>
            <w:tcW w:w="1046" w:type="dxa"/>
            <w:gridSpan w:val="2"/>
            <w:tcBorders>
              <w:top w:val="nil"/>
              <w:left w:val="nil"/>
              <w:bottom w:val="nil"/>
              <w:right w:val="nil"/>
            </w:tcBorders>
            <w:shd w:val="clear" w:color="auto" w:fill="auto"/>
            <w:noWrap/>
            <w:hideMark/>
          </w:tcPr>
          <w:p w14:paraId="423B0B1D" w14:textId="46B55187" w:rsidR="001E1B7F" w:rsidRPr="00E03A92" w:rsidRDefault="001E1B7F" w:rsidP="00DD4118">
            <w:pPr>
              <w:spacing w:after="0" w:line="240" w:lineRule="auto"/>
              <w:jc w:val="center"/>
              <w:outlineLvl w:val="0"/>
              <w:rPr>
                <w:rFonts w:ascii="Arial" w:hAnsi="Arial" w:cs="Arial"/>
                <w:sz w:val="16"/>
                <w:szCs w:val="16"/>
              </w:rPr>
            </w:pPr>
            <w:r>
              <w:rPr>
                <w:rFonts w:ascii="Arial" w:hAnsi="Arial" w:cs="Arial"/>
                <w:sz w:val="16"/>
                <w:szCs w:val="16"/>
              </w:rPr>
              <w:t>5.1, 5.2</w:t>
            </w:r>
          </w:p>
        </w:tc>
        <w:tc>
          <w:tcPr>
            <w:tcW w:w="852" w:type="dxa"/>
            <w:tcBorders>
              <w:top w:val="nil"/>
              <w:left w:val="nil"/>
              <w:bottom w:val="nil"/>
              <w:right w:val="nil"/>
            </w:tcBorders>
            <w:shd w:val="clear" w:color="000000" w:fill="E6E6E6"/>
            <w:noWrap/>
            <w:vAlign w:val="bottom"/>
            <w:hideMark/>
          </w:tcPr>
          <w:p w14:paraId="6E26296E" w14:textId="3505845B"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996" w:type="dxa"/>
            <w:tcBorders>
              <w:top w:val="nil"/>
              <w:left w:val="nil"/>
              <w:bottom w:val="nil"/>
              <w:right w:val="nil"/>
            </w:tcBorders>
            <w:shd w:val="clear" w:color="auto" w:fill="auto"/>
            <w:noWrap/>
            <w:vAlign w:val="bottom"/>
            <w:hideMark/>
          </w:tcPr>
          <w:p w14:paraId="49104F41" w14:textId="77777777" w:rsidR="001E1B7F" w:rsidRPr="00E03A92" w:rsidRDefault="001E1B7F" w:rsidP="001E1B7F">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11BD58D7" w14:textId="2FB36882"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2805FCFC" w14:textId="77777777" w:rsidR="001E1B7F" w:rsidRPr="00E03A92" w:rsidRDefault="001E1B7F" w:rsidP="001E1B7F">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08C710F7" w14:textId="10BD07B7" w:rsidR="001E1B7F" w:rsidRPr="00E03A92" w:rsidRDefault="001E1B7F" w:rsidP="001E1B7F">
            <w:pPr>
              <w:tabs>
                <w:tab w:val="left" w:pos="658"/>
              </w:tabs>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E03A92" w14:paraId="6A8AFAA5" w14:textId="77777777" w:rsidTr="001E1B7F">
        <w:trPr>
          <w:trHeight w:val="204"/>
        </w:trPr>
        <w:tc>
          <w:tcPr>
            <w:tcW w:w="2127" w:type="dxa"/>
            <w:tcBorders>
              <w:top w:val="nil"/>
              <w:left w:val="nil"/>
              <w:bottom w:val="nil"/>
              <w:right w:val="nil"/>
            </w:tcBorders>
            <w:shd w:val="clear" w:color="auto" w:fill="auto"/>
            <w:noWrap/>
            <w:vAlign w:val="bottom"/>
            <w:hideMark/>
          </w:tcPr>
          <w:p w14:paraId="25F44A40" w14:textId="59110962" w:rsidR="001E1B7F" w:rsidRPr="00E03A9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1046" w:type="dxa"/>
            <w:gridSpan w:val="2"/>
            <w:tcBorders>
              <w:top w:val="nil"/>
              <w:left w:val="nil"/>
              <w:bottom w:val="nil"/>
              <w:right w:val="nil"/>
            </w:tcBorders>
            <w:shd w:val="clear" w:color="auto" w:fill="auto"/>
            <w:noWrap/>
            <w:hideMark/>
          </w:tcPr>
          <w:p w14:paraId="27D1406F" w14:textId="77777777"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21A1AB3B" w14:textId="42FB1C6A"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96" w:type="dxa"/>
            <w:tcBorders>
              <w:top w:val="nil"/>
              <w:left w:val="nil"/>
              <w:bottom w:val="nil"/>
              <w:right w:val="nil"/>
            </w:tcBorders>
            <w:shd w:val="clear" w:color="auto" w:fill="auto"/>
            <w:noWrap/>
            <w:vAlign w:val="bottom"/>
            <w:hideMark/>
          </w:tcPr>
          <w:p w14:paraId="5232C628" w14:textId="15A982A1"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5,675 </w:t>
            </w:r>
          </w:p>
        </w:tc>
        <w:tc>
          <w:tcPr>
            <w:tcW w:w="928" w:type="dxa"/>
            <w:tcBorders>
              <w:top w:val="nil"/>
              <w:left w:val="nil"/>
              <w:bottom w:val="nil"/>
              <w:right w:val="nil"/>
            </w:tcBorders>
            <w:shd w:val="clear" w:color="000000" w:fill="E6E6E6"/>
            <w:noWrap/>
            <w:vAlign w:val="bottom"/>
            <w:hideMark/>
          </w:tcPr>
          <w:p w14:paraId="00E8D091" w14:textId="16963025"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7E95EA97" w14:textId="1285C8E0"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5855B198" w14:textId="61A66EC7"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E03A92" w14:paraId="01DB34CE" w14:textId="77777777" w:rsidTr="001E1B7F">
        <w:trPr>
          <w:trHeight w:val="204"/>
        </w:trPr>
        <w:tc>
          <w:tcPr>
            <w:tcW w:w="2127" w:type="dxa"/>
            <w:tcBorders>
              <w:top w:val="nil"/>
              <w:left w:val="nil"/>
              <w:bottom w:val="nil"/>
              <w:right w:val="nil"/>
            </w:tcBorders>
            <w:shd w:val="clear" w:color="auto" w:fill="auto"/>
            <w:noWrap/>
            <w:vAlign w:val="bottom"/>
            <w:hideMark/>
          </w:tcPr>
          <w:p w14:paraId="70BE7164" w14:textId="6F7D9BAC" w:rsidR="001E1B7F" w:rsidRPr="00E03A92" w:rsidRDefault="001E1B7F" w:rsidP="005B3671">
            <w:pPr>
              <w:spacing w:after="0" w:line="240" w:lineRule="auto"/>
              <w:ind w:left="113"/>
              <w:jc w:val="left"/>
              <w:rPr>
                <w:rFonts w:ascii="Arial" w:hAnsi="Arial" w:cs="Arial"/>
                <w:b/>
                <w:bCs/>
                <w:sz w:val="16"/>
                <w:szCs w:val="16"/>
              </w:rPr>
            </w:pPr>
            <w:r>
              <w:rPr>
                <w:rFonts w:ascii="Arial" w:hAnsi="Arial" w:cs="Arial"/>
                <w:sz w:val="16"/>
                <w:szCs w:val="16"/>
              </w:rPr>
              <w:t>Departmental payments</w:t>
            </w:r>
          </w:p>
        </w:tc>
        <w:tc>
          <w:tcPr>
            <w:tcW w:w="1046" w:type="dxa"/>
            <w:gridSpan w:val="2"/>
            <w:tcBorders>
              <w:top w:val="nil"/>
              <w:left w:val="nil"/>
              <w:bottom w:val="nil"/>
              <w:right w:val="nil"/>
            </w:tcBorders>
            <w:shd w:val="clear" w:color="auto" w:fill="auto"/>
            <w:noWrap/>
            <w:hideMark/>
          </w:tcPr>
          <w:p w14:paraId="55110748" w14:textId="77777777" w:rsidR="001E1B7F" w:rsidRPr="00DD4118"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09513C09" w14:textId="20A6B59B"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996" w:type="dxa"/>
            <w:tcBorders>
              <w:top w:val="nil"/>
              <w:left w:val="nil"/>
              <w:bottom w:val="nil"/>
              <w:right w:val="nil"/>
            </w:tcBorders>
            <w:shd w:val="clear" w:color="auto" w:fill="auto"/>
            <w:noWrap/>
            <w:vAlign w:val="bottom"/>
            <w:hideMark/>
          </w:tcPr>
          <w:p w14:paraId="0C78E7CF" w14:textId="0EEAFB2F"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328 </w:t>
            </w:r>
          </w:p>
        </w:tc>
        <w:tc>
          <w:tcPr>
            <w:tcW w:w="928" w:type="dxa"/>
            <w:tcBorders>
              <w:top w:val="nil"/>
              <w:left w:val="nil"/>
              <w:bottom w:val="nil"/>
              <w:right w:val="nil"/>
            </w:tcBorders>
            <w:shd w:val="clear" w:color="000000" w:fill="E6E6E6"/>
            <w:noWrap/>
            <w:vAlign w:val="bottom"/>
            <w:hideMark/>
          </w:tcPr>
          <w:p w14:paraId="1561AF11" w14:textId="58C58F92"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5F85E1DC" w14:textId="5FC1A3C2"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2E36A817" w14:textId="76C6A90C"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xml:space="preserve">- </w:t>
            </w:r>
          </w:p>
        </w:tc>
      </w:tr>
      <w:tr w:rsidR="001E1B7F" w:rsidRPr="00E03A92" w14:paraId="6DFD06DB" w14:textId="77777777" w:rsidTr="001E1B7F">
        <w:trPr>
          <w:trHeight w:val="204"/>
        </w:trPr>
        <w:tc>
          <w:tcPr>
            <w:tcW w:w="2127" w:type="dxa"/>
            <w:tcBorders>
              <w:top w:val="nil"/>
              <w:left w:val="nil"/>
              <w:bottom w:val="nil"/>
              <w:right w:val="nil"/>
            </w:tcBorders>
            <w:shd w:val="clear" w:color="auto" w:fill="auto"/>
            <w:vAlign w:val="bottom"/>
            <w:hideMark/>
          </w:tcPr>
          <w:p w14:paraId="51856A06" w14:textId="24D51B22" w:rsidR="001E1B7F" w:rsidRPr="00E03A9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1046" w:type="dxa"/>
            <w:gridSpan w:val="2"/>
            <w:tcBorders>
              <w:top w:val="nil"/>
              <w:left w:val="nil"/>
              <w:bottom w:val="nil"/>
              <w:right w:val="nil"/>
            </w:tcBorders>
            <w:shd w:val="clear" w:color="auto" w:fill="auto"/>
            <w:noWrap/>
            <w:hideMark/>
          </w:tcPr>
          <w:p w14:paraId="064141F3" w14:textId="1E7EB7D4"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108BC2A0" w14:textId="7E5EF6A3"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996" w:type="dxa"/>
            <w:tcBorders>
              <w:top w:val="nil"/>
              <w:left w:val="nil"/>
              <w:bottom w:val="nil"/>
              <w:right w:val="nil"/>
            </w:tcBorders>
            <w:shd w:val="clear" w:color="auto" w:fill="auto"/>
            <w:noWrap/>
            <w:vAlign w:val="bottom"/>
            <w:hideMark/>
          </w:tcPr>
          <w:p w14:paraId="5CB62234" w14:textId="1C28B504"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6,003 </w:t>
            </w:r>
          </w:p>
        </w:tc>
        <w:tc>
          <w:tcPr>
            <w:tcW w:w="928" w:type="dxa"/>
            <w:tcBorders>
              <w:top w:val="nil"/>
              <w:left w:val="nil"/>
              <w:bottom w:val="nil"/>
              <w:right w:val="nil"/>
            </w:tcBorders>
            <w:shd w:val="clear" w:color="000000" w:fill="E6E6E6"/>
            <w:noWrap/>
            <w:vAlign w:val="bottom"/>
            <w:hideMark/>
          </w:tcPr>
          <w:p w14:paraId="524B19EE" w14:textId="60B52036"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928" w:type="dxa"/>
            <w:tcBorders>
              <w:top w:val="nil"/>
              <w:left w:val="nil"/>
              <w:bottom w:val="nil"/>
              <w:right w:val="nil"/>
            </w:tcBorders>
            <w:shd w:val="clear" w:color="auto" w:fill="auto"/>
            <w:noWrap/>
            <w:vAlign w:val="bottom"/>
            <w:hideMark/>
          </w:tcPr>
          <w:p w14:paraId="262E8EA9" w14:textId="1FA19594"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928" w:type="dxa"/>
            <w:tcBorders>
              <w:top w:val="nil"/>
              <w:left w:val="nil"/>
              <w:bottom w:val="nil"/>
              <w:right w:val="nil"/>
            </w:tcBorders>
            <w:shd w:val="clear" w:color="000000" w:fill="E6E6E6"/>
            <w:noWrap/>
            <w:vAlign w:val="bottom"/>
            <w:hideMark/>
          </w:tcPr>
          <w:p w14:paraId="6323C302" w14:textId="14F42011"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E03A92" w14:paraId="09AA6402" w14:textId="77777777" w:rsidTr="001E1B7F">
        <w:trPr>
          <w:trHeight w:val="204"/>
        </w:trPr>
        <w:tc>
          <w:tcPr>
            <w:tcW w:w="2127" w:type="dxa"/>
            <w:tcBorders>
              <w:top w:val="nil"/>
              <w:left w:val="nil"/>
              <w:bottom w:val="nil"/>
              <w:right w:val="nil"/>
            </w:tcBorders>
            <w:shd w:val="clear" w:color="auto" w:fill="auto"/>
            <w:noWrap/>
            <w:vAlign w:val="bottom"/>
            <w:hideMark/>
          </w:tcPr>
          <w:p w14:paraId="1EFCE550" w14:textId="13CC0480" w:rsidR="001E1B7F" w:rsidRPr="00E03A92" w:rsidRDefault="001E1B7F" w:rsidP="001E1B7F">
            <w:pPr>
              <w:spacing w:after="0" w:line="240" w:lineRule="auto"/>
              <w:jc w:val="left"/>
              <w:outlineLvl w:val="0"/>
              <w:rPr>
                <w:rFonts w:ascii="Arial" w:hAnsi="Arial" w:cs="Arial"/>
                <w:sz w:val="16"/>
                <w:szCs w:val="16"/>
              </w:rPr>
            </w:pPr>
            <w:r>
              <w:rPr>
                <w:rFonts w:ascii="Arial" w:hAnsi="Arial" w:cs="Arial"/>
                <w:sz w:val="16"/>
                <w:szCs w:val="16"/>
              </w:rPr>
              <w:t>Supporting Regionalisation</w:t>
            </w:r>
          </w:p>
        </w:tc>
        <w:tc>
          <w:tcPr>
            <w:tcW w:w="1046" w:type="dxa"/>
            <w:gridSpan w:val="2"/>
            <w:tcBorders>
              <w:top w:val="nil"/>
              <w:left w:val="nil"/>
              <w:bottom w:val="nil"/>
              <w:right w:val="nil"/>
            </w:tcBorders>
            <w:shd w:val="clear" w:color="auto" w:fill="auto"/>
            <w:noWrap/>
            <w:hideMark/>
          </w:tcPr>
          <w:p w14:paraId="66F5FB50" w14:textId="42706796" w:rsidR="001E1B7F" w:rsidRPr="00E03A92" w:rsidRDefault="001E1B7F" w:rsidP="00DD4118">
            <w:pPr>
              <w:spacing w:after="0" w:line="240" w:lineRule="auto"/>
              <w:jc w:val="center"/>
              <w:outlineLvl w:val="0"/>
              <w:rPr>
                <w:rFonts w:ascii="Arial" w:hAnsi="Arial" w:cs="Arial"/>
                <w:sz w:val="16"/>
                <w:szCs w:val="16"/>
              </w:rPr>
            </w:pPr>
            <w:r>
              <w:rPr>
                <w:rFonts w:ascii="Arial" w:hAnsi="Arial" w:cs="Arial"/>
                <w:sz w:val="16"/>
                <w:szCs w:val="16"/>
              </w:rPr>
              <w:t>3.5</w:t>
            </w:r>
          </w:p>
        </w:tc>
        <w:tc>
          <w:tcPr>
            <w:tcW w:w="852" w:type="dxa"/>
            <w:tcBorders>
              <w:top w:val="nil"/>
              <w:left w:val="nil"/>
              <w:bottom w:val="nil"/>
              <w:right w:val="nil"/>
            </w:tcBorders>
            <w:shd w:val="clear" w:color="000000" w:fill="E6E6E6"/>
            <w:noWrap/>
            <w:vAlign w:val="bottom"/>
            <w:hideMark/>
          </w:tcPr>
          <w:p w14:paraId="05B71052" w14:textId="364DFF0F"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996" w:type="dxa"/>
            <w:tcBorders>
              <w:top w:val="nil"/>
              <w:left w:val="nil"/>
              <w:bottom w:val="nil"/>
              <w:right w:val="nil"/>
            </w:tcBorders>
            <w:shd w:val="clear" w:color="auto" w:fill="auto"/>
            <w:noWrap/>
            <w:vAlign w:val="bottom"/>
            <w:hideMark/>
          </w:tcPr>
          <w:p w14:paraId="5AF9CE9D" w14:textId="693EAE0D" w:rsidR="001E1B7F" w:rsidRPr="00E03A92" w:rsidRDefault="001E1B7F" w:rsidP="001E1B7F">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C78390C" w14:textId="5E0C6DBF"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6B315D4B" w14:textId="1DDB3286" w:rsidR="001E1B7F" w:rsidRPr="00E03A92" w:rsidRDefault="001E1B7F" w:rsidP="001E1B7F">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5FD50194" w14:textId="671CF549"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E03A92" w14:paraId="43158378" w14:textId="77777777" w:rsidTr="001E1B7F">
        <w:trPr>
          <w:trHeight w:val="204"/>
        </w:trPr>
        <w:tc>
          <w:tcPr>
            <w:tcW w:w="2127" w:type="dxa"/>
            <w:tcBorders>
              <w:top w:val="nil"/>
              <w:left w:val="nil"/>
              <w:bottom w:val="nil"/>
              <w:right w:val="nil"/>
            </w:tcBorders>
            <w:shd w:val="clear" w:color="auto" w:fill="auto"/>
            <w:noWrap/>
            <w:vAlign w:val="bottom"/>
            <w:hideMark/>
          </w:tcPr>
          <w:p w14:paraId="68CB6103" w14:textId="218E1E17" w:rsidR="001E1B7F" w:rsidRPr="00E03A92" w:rsidRDefault="001E1B7F" w:rsidP="005B367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1046" w:type="dxa"/>
            <w:gridSpan w:val="2"/>
            <w:tcBorders>
              <w:top w:val="nil"/>
              <w:left w:val="nil"/>
              <w:bottom w:val="nil"/>
              <w:right w:val="nil"/>
            </w:tcBorders>
            <w:shd w:val="clear" w:color="auto" w:fill="auto"/>
            <w:noWrap/>
            <w:hideMark/>
          </w:tcPr>
          <w:p w14:paraId="5D55AA72" w14:textId="77777777"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3A78C902" w14:textId="7D18727A"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96" w:type="dxa"/>
            <w:tcBorders>
              <w:top w:val="nil"/>
              <w:left w:val="nil"/>
              <w:bottom w:val="nil"/>
              <w:right w:val="nil"/>
            </w:tcBorders>
            <w:shd w:val="clear" w:color="auto" w:fill="auto"/>
            <w:noWrap/>
            <w:vAlign w:val="bottom"/>
            <w:hideMark/>
          </w:tcPr>
          <w:p w14:paraId="46C4134A" w14:textId="6CC30DD6"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5,347 </w:t>
            </w:r>
          </w:p>
        </w:tc>
        <w:tc>
          <w:tcPr>
            <w:tcW w:w="928" w:type="dxa"/>
            <w:tcBorders>
              <w:top w:val="nil"/>
              <w:left w:val="nil"/>
              <w:bottom w:val="nil"/>
              <w:right w:val="nil"/>
            </w:tcBorders>
            <w:shd w:val="clear" w:color="000000" w:fill="E6E6E6"/>
            <w:noWrap/>
            <w:vAlign w:val="bottom"/>
            <w:hideMark/>
          </w:tcPr>
          <w:p w14:paraId="6B24D53F" w14:textId="43F41650"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4,303 </w:t>
            </w:r>
          </w:p>
        </w:tc>
        <w:tc>
          <w:tcPr>
            <w:tcW w:w="928" w:type="dxa"/>
            <w:tcBorders>
              <w:top w:val="nil"/>
              <w:left w:val="nil"/>
              <w:bottom w:val="nil"/>
              <w:right w:val="nil"/>
            </w:tcBorders>
            <w:shd w:val="clear" w:color="auto" w:fill="auto"/>
            <w:noWrap/>
            <w:vAlign w:val="bottom"/>
            <w:hideMark/>
          </w:tcPr>
          <w:p w14:paraId="7F15CA25" w14:textId="1CD68857"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2,873 </w:t>
            </w:r>
          </w:p>
        </w:tc>
        <w:tc>
          <w:tcPr>
            <w:tcW w:w="928" w:type="dxa"/>
            <w:tcBorders>
              <w:top w:val="nil"/>
              <w:left w:val="nil"/>
              <w:bottom w:val="nil"/>
              <w:right w:val="nil"/>
            </w:tcBorders>
            <w:shd w:val="clear" w:color="000000" w:fill="E6E6E6"/>
            <w:noWrap/>
            <w:vAlign w:val="bottom"/>
            <w:hideMark/>
          </w:tcPr>
          <w:p w14:paraId="01F8DBD1" w14:textId="48021DC1"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1,970 </w:t>
            </w:r>
          </w:p>
        </w:tc>
      </w:tr>
      <w:tr w:rsidR="001E1B7F" w:rsidRPr="00E03A92" w14:paraId="7C82924F" w14:textId="77777777" w:rsidTr="001E1B7F">
        <w:trPr>
          <w:trHeight w:val="204"/>
        </w:trPr>
        <w:tc>
          <w:tcPr>
            <w:tcW w:w="2127" w:type="dxa"/>
            <w:tcBorders>
              <w:top w:val="nil"/>
              <w:left w:val="nil"/>
              <w:bottom w:val="nil"/>
              <w:right w:val="nil"/>
            </w:tcBorders>
            <w:shd w:val="clear" w:color="auto" w:fill="auto"/>
            <w:noWrap/>
            <w:vAlign w:val="bottom"/>
            <w:hideMark/>
          </w:tcPr>
          <w:p w14:paraId="2B616252" w14:textId="66A84F97" w:rsidR="001E1B7F" w:rsidRPr="00E03A92" w:rsidRDefault="001E1B7F" w:rsidP="001E1B7F">
            <w:pPr>
              <w:spacing w:after="0" w:line="240" w:lineRule="auto"/>
              <w:jc w:val="left"/>
              <w:outlineLvl w:val="0"/>
              <w:rPr>
                <w:rFonts w:ascii="Arial" w:hAnsi="Arial" w:cs="Arial"/>
                <w:b/>
                <w:bCs/>
                <w:sz w:val="16"/>
                <w:szCs w:val="16"/>
              </w:rPr>
            </w:pPr>
            <w:r>
              <w:rPr>
                <w:rFonts w:ascii="Arial" w:hAnsi="Arial" w:cs="Arial"/>
                <w:b/>
                <w:bCs/>
                <w:sz w:val="16"/>
                <w:szCs w:val="16"/>
              </w:rPr>
              <w:t>Total</w:t>
            </w:r>
          </w:p>
        </w:tc>
        <w:tc>
          <w:tcPr>
            <w:tcW w:w="1046" w:type="dxa"/>
            <w:gridSpan w:val="2"/>
            <w:tcBorders>
              <w:top w:val="nil"/>
              <w:left w:val="nil"/>
              <w:bottom w:val="nil"/>
              <w:right w:val="nil"/>
            </w:tcBorders>
            <w:shd w:val="clear" w:color="auto" w:fill="auto"/>
            <w:noWrap/>
            <w:hideMark/>
          </w:tcPr>
          <w:p w14:paraId="5205B875" w14:textId="77777777" w:rsidR="001E1B7F" w:rsidRPr="00DD4118"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40824415" w14:textId="0A7D01DF"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b/>
                <w:bCs/>
                <w:sz w:val="16"/>
                <w:szCs w:val="16"/>
              </w:rPr>
              <w:t xml:space="preserve">- </w:t>
            </w:r>
          </w:p>
        </w:tc>
        <w:tc>
          <w:tcPr>
            <w:tcW w:w="996" w:type="dxa"/>
            <w:tcBorders>
              <w:top w:val="nil"/>
              <w:left w:val="nil"/>
              <w:bottom w:val="nil"/>
              <w:right w:val="nil"/>
            </w:tcBorders>
            <w:shd w:val="clear" w:color="auto" w:fill="auto"/>
            <w:noWrap/>
            <w:vAlign w:val="bottom"/>
            <w:hideMark/>
          </w:tcPr>
          <w:p w14:paraId="607AC2D4" w14:textId="191D31BD"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b/>
                <w:bCs/>
                <w:sz w:val="16"/>
                <w:szCs w:val="16"/>
              </w:rPr>
              <w:t xml:space="preserve">5,347 </w:t>
            </w:r>
          </w:p>
        </w:tc>
        <w:tc>
          <w:tcPr>
            <w:tcW w:w="928" w:type="dxa"/>
            <w:tcBorders>
              <w:top w:val="nil"/>
              <w:left w:val="nil"/>
              <w:bottom w:val="nil"/>
              <w:right w:val="nil"/>
            </w:tcBorders>
            <w:shd w:val="clear" w:color="000000" w:fill="E6E6E6"/>
            <w:noWrap/>
            <w:vAlign w:val="bottom"/>
            <w:hideMark/>
          </w:tcPr>
          <w:p w14:paraId="609119C1" w14:textId="66401D01"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b/>
                <w:bCs/>
                <w:sz w:val="16"/>
                <w:szCs w:val="16"/>
              </w:rPr>
              <w:t xml:space="preserve">4,303 </w:t>
            </w:r>
          </w:p>
        </w:tc>
        <w:tc>
          <w:tcPr>
            <w:tcW w:w="928" w:type="dxa"/>
            <w:tcBorders>
              <w:top w:val="nil"/>
              <w:left w:val="nil"/>
              <w:bottom w:val="nil"/>
              <w:right w:val="nil"/>
            </w:tcBorders>
            <w:shd w:val="clear" w:color="auto" w:fill="auto"/>
            <w:noWrap/>
            <w:vAlign w:val="bottom"/>
            <w:hideMark/>
          </w:tcPr>
          <w:p w14:paraId="3995D9AE" w14:textId="1DFA9CA7"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b/>
                <w:bCs/>
                <w:sz w:val="16"/>
                <w:szCs w:val="16"/>
              </w:rPr>
              <w:t xml:space="preserve">2,873 </w:t>
            </w:r>
          </w:p>
        </w:tc>
        <w:tc>
          <w:tcPr>
            <w:tcW w:w="928" w:type="dxa"/>
            <w:tcBorders>
              <w:top w:val="nil"/>
              <w:left w:val="nil"/>
              <w:bottom w:val="nil"/>
              <w:right w:val="nil"/>
            </w:tcBorders>
            <w:shd w:val="clear" w:color="000000" w:fill="E6E6E6"/>
            <w:noWrap/>
            <w:vAlign w:val="bottom"/>
            <w:hideMark/>
          </w:tcPr>
          <w:p w14:paraId="44CCB683" w14:textId="03C97153"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b/>
                <w:bCs/>
                <w:sz w:val="16"/>
                <w:szCs w:val="16"/>
              </w:rPr>
              <w:t xml:space="preserve">1,970 </w:t>
            </w:r>
          </w:p>
        </w:tc>
      </w:tr>
      <w:tr w:rsidR="001E1B7F" w:rsidRPr="00E03A92" w14:paraId="098F540B" w14:textId="77777777" w:rsidTr="001E1B7F">
        <w:trPr>
          <w:trHeight w:val="204"/>
        </w:trPr>
        <w:tc>
          <w:tcPr>
            <w:tcW w:w="2127" w:type="dxa"/>
            <w:tcBorders>
              <w:top w:val="nil"/>
              <w:left w:val="nil"/>
              <w:bottom w:val="nil"/>
              <w:right w:val="nil"/>
            </w:tcBorders>
            <w:shd w:val="clear" w:color="auto" w:fill="auto"/>
            <w:vAlign w:val="bottom"/>
            <w:hideMark/>
          </w:tcPr>
          <w:p w14:paraId="3833CEEB" w14:textId="3DAB0AB6" w:rsidR="001E1B7F" w:rsidRPr="00E03A92" w:rsidRDefault="001E1B7F" w:rsidP="001E1B7F">
            <w:pPr>
              <w:spacing w:after="0" w:line="240" w:lineRule="auto"/>
              <w:jc w:val="left"/>
              <w:outlineLvl w:val="0"/>
              <w:rPr>
                <w:rFonts w:ascii="Arial" w:hAnsi="Arial" w:cs="Arial"/>
                <w:sz w:val="16"/>
                <w:szCs w:val="16"/>
              </w:rPr>
            </w:pPr>
            <w:r>
              <w:rPr>
                <w:rFonts w:ascii="Arial" w:hAnsi="Arial" w:cs="Arial"/>
                <w:sz w:val="16"/>
                <w:szCs w:val="16"/>
              </w:rPr>
              <w:t>Women's Leadership Package</w:t>
            </w:r>
          </w:p>
        </w:tc>
        <w:tc>
          <w:tcPr>
            <w:tcW w:w="1046" w:type="dxa"/>
            <w:gridSpan w:val="2"/>
            <w:tcBorders>
              <w:top w:val="nil"/>
              <w:left w:val="nil"/>
              <w:bottom w:val="nil"/>
              <w:right w:val="nil"/>
            </w:tcBorders>
            <w:shd w:val="clear" w:color="auto" w:fill="auto"/>
            <w:noWrap/>
            <w:vAlign w:val="bottom"/>
            <w:hideMark/>
          </w:tcPr>
          <w:p w14:paraId="3695EEB4" w14:textId="12A1A17C" w:rsidR="001E1B7F" w:rsidRPr="00E03A92" w:rsidRDefault="001E1B7F" w:rsidP="00DD4118">
            <w:pPr>
              <w:spacing w:after="0" w:line="240" w:lineRule="auto"/>
              <w:jc w:val="center"/>
              <w:outlineLvl w:val="0"/>
              <w:rPr>
                <w:rFonts w:ascii="Arial" w:hAnsi="Arial" w:cs="Arial"/>
                <w:sz w:val="16"/>
                <w:szCs w:val="16"/>
              </w:rPr>
            </w:pPr>
            <w:r>
              <w:rPr>
                <w:rFonts w:ascii="Arial" w:hAnsi="Arial" w:cs="Arial"/>
                <w:sz w:val="16"/>
                <w:szCs w:val="16"/>
              </w:rPr>
              <w:t>3.1</w:t>
            </w:r>
          </w:p>
        </w:tc>
        <w:tc>
          <w:tcPr>
            <w:tcW w:w="852" w:type="dxa"/>
            <w:tcBorders>
              <w:top w:val="nil"/>
              <w:left w:val="nil"/>
              <w:bottom w:val="nil"/>
              <w:right w:val="nil"/>
            </w:tcBorders>
            <w:shd w:val="clear" w:color="000000" w:fill="E6E6E6"/>
            <w:noWrap/>
            <w:vAlign w:val="bottom"/>
            <w:hideMark/>
          </w:tcPr>
          <w:p w14:paraId="30F3475C" w14:textId="5DBCC8BE"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996" w:type="dxa"/>
            <w:tcBorders>
              <w:top w:val="nil"/>
              <w:left w:val="nil"/>
              <w:bottom w:val="nil"/>
              <w:right w:val="nil"/>
            </w:tcBorders>
            <w:shd w:val="clear" w:color="auto" w:fill="auto"/>
            <w:noWrap/>
            <w:vAlign w:val="bottom"/>
            <w:hideMark/>
          </w:tcPr>
          <w:p w14:paraId="00055158" w14:textId="77777777" w:rsidR="001E1B7F" w:rsidRPr="00E03A92" w:rsidRDefault="001E1B7F" w:rsidP="001E1B7F">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70E43EE" w14:textId="2E6E11CB"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2950ECB0" w14:textId="77777777" w:rsidR="001E1B7F" w:rsidRPr="00E03A92" w:rsidRDefault="001E1B7F" w:rsidP="001E1B7F">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2094DA81" w14:textId="4FAD5A62"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w:t>
            </w:r>
          </w:p>
        </w:tc>
      </w:tr>
      <w:tr w:rsidR="001E1B7F" w:rsidRPr="00E03A92" w14:paraId="5F474002" w14:textId="77777777" w:rsidTr="001E1B7F">
        <w:trPr>
          <w:trHeight w:val="204"/>
        </w:trPr>
        <w:tc>
          <w:tcPr>
            <w:tcW w:w="2127" w:type="dxa"/>
            <w:tcBorders>
              <w:top w:val="nil"/>
              <w:left w:val="nil"/>
              <w:bottom w:val="nil"/>
              <w:right w:val="nil"/>
            </w:tcBorders>
            <w:shd w:val="clear" w:color="auto" w:fill="auto"/>
            <w:noWrap/>
            <w:vAlign w:val="bottom"/>
            <w:hideMark/>
          </w:tcPr>
          <w:p w14:paraId="5A97E0EB" w14:textId="3BAEA7F7" w:rsidR="001E1B7F" w:rsidRPr="00E03A9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1046" w:type="dxa"/>
            <w:gridSpan w:val="2"/>
            <w:tcBorders>
              <w:top w:val="nil"/>
              <w:left w:val="nil"/>
              <w:bottom w:val="nil"/>
              <w:right w:val="nil"/>
            </w:tcBorders>
            <w:shd w:val="clear" w:color="auto" w:fill="auto"/>
            <w:noWrap/>
            <w:vAlign w:val="bottom"/>
            <w:hideMark/>
          </w:tcPr>
          <w:p w14:paraId="0F9C76AF" w14:textId="77777777"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0081CCDA" w14:textId="46D978F9"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96" w:type="dxa"/>
            <w:tcBorders>
              <w:top w:val="nil"/>
              <w:left w:val="nil"/>
              <w:bottom w:val="nil"/>
              <w:right w:val="nil"/>
            </w:tcBorders>
            <w:shd w:val="clear" w:color="auto" w:fill="auto"/>
            <w:noWrap/>
            <w:vAlign w:val="bottom"/>
            <w:hideMark/>
          </w:tcPr>
          <w:p w14:paraId="0E9C804B" w14:textId="259CA702"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15,000 </w:t>
            </w:r>
          </w:p>
        </w:tc>
        <w:tc>
          <w:tcPr>
            <w:tcW w:w="928" w:type="dxa"/>
            <w:tcBorders>
              <w:top w:val="nil"/>
              <w:left w:val="nil"/>
              <w:bottom w:val="nil"/>
              <w:right w:val="nil"/>
            </w:tcBorders>
            <w:shd w:val="clear" w:color="000000" w:fill="E6E6E6"/>
            <w:noWrap/>
            <w:vAlign w:val="bottom"/>
            <w:hideMark/>
          </w:tcPr>
          <w:p w14:paraId="24F28076" w14:textId="25BE7410"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0636EB3A" w14:textId="7BD25F5F"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3EABC52" w14:textId="6A0ACCCB" w:rsidR="001E1B7F" w:rsidRPr="00E03A92" w:rsidRDefault="001E1B7F" w:rsidP="001E1B7F">
            <w:pPr>
              <w:spacing w:after="0" w:line="240" w:lineRule="auto"/>
              <w:jc w:val="right"/>
              <w:outlineLvl w:val="0"/>
              <w:rPr>
                <w:rFonts w:ascii="Arial" w:hAnsi="Arial" w:cs="Arial"/>
                <w:sz w:val="16"/>
                <w:szCs w:val="16"/>
              </w:rPr>
            </w:pPr>
            <w:r>
              <w:rPr>
                <w:rFonts w:ascii="Arial" w:hAnsi="Arial" w:cs="Arial"/>
                <w:sz w:val="16"/>
                <w:szCs w:val="16"/>
              </w:rPr>
              <w:t xml:space="preserve">- </w:t>
            </w:r>
          </w:p>
        </w:tc>
      </w:tr>
      <w:tr w:rsidR="001E1B7F" w:rsidRPr="00E03A92" w14:paraId="310EBC3D" w14:textId="77777777" w:rsidTr="001E1B7F">
        <w:trPr>
          <w:trHeight w:val="204"/>
        </w:trPr>
        <w:tc>
          <w:tcPr>
            <w:tcW w:w="2127" w:type="dxa"/>
            <w:tcBorders>
              <w:top w:val="nil"/>
              <w:left w:val="nil"/>
              <w:bottom w:val="nil"/>
              <w:right w:val="nil"/>
            </w:tcBorders>
            <w:shd w:val="clear" w:color="auto" w:fill="auto"/>
            <w:noWrap/>
            <w:vAlign w:val="bottom"/>
            <w:hideMark/>
          </w:tcPr>
          <w:p w14:paraId="4B6F8759" w14:textId="5651DC1A" w:rsidR="001E1B7F" w:rsidRPr="00E03A92" w:rsidRDefault="001E1B7F" w:rsidP="001E1B7F">
            <w:pPr>
              <w:spacing w:after="0" w:line="240" w:lineRule="auto"/>
              <w:jc w:val="left"/>
              <w:outlineLvl w:val="0"/>
              <w:rPr>
                <w:rFonts w:ascii="Arial" w:hAnsi="Arial" w:cs="Arial"/>
                <w:sz w:val="16"/>
                <w:szCs w:val="16"/>
              </w:rPr>
            </w:pPr>
            <w:r>
              <w:rPr>
                <w:rFonts w:ascii="Arial" w:hAnsi="Arial" w:cs="Arial"/>
                <w:b/>
                <w:bCs/>
                <w:sz w:val="16"/>
                <w:szCs w:val="16"/>
              </w:rPr>
              <w:t>Total</w:t>
            </w:r>
          </w:p>
        </w:tc>
        <w:tc>
          <w:tcPr>
            <w:tcW w:w="1046" w:type="dxa"/>
            <w:gridSpan w:val="2"/>
            <w:tcBorders>
              <w:top w:val="nil"/>
              <w:left w:val="nil"/>
              <w:bottom w:val="nil"/>
              <w:right w:val="nil"/>
            </w:tcBorders>
            <w:shd w:val="clear" w:color="auto" w:fill="auto"/>
            <w:noWrap/>
            <w:vAlign w:val="bottom"/>
            <w:hideMark/>
          </w:tcPr>
          <w:p w14:paraId="10A831CF" w14:textId="77777777"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1F8B88D3" w14:textId="4704F802"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996" w:type="dxa"/>
            <w:tcBorders>
              <w:top w:val="nil"/>
              <w:left w:val="nil"/>
              <w:bottom w:val="nil"/>
              <w:right w:val="nil"/>
            </w:tcBorders>
            <w:shd w:val="clear" w:color="auto" w:fill="auto"/>
            <w:noWrap/>
            <w:vAlign w:val="bottom"/>
            <w:hideMark/>
          </w:tcPr>
          <w:p w14:paraId="470CCA16" w14:textId="5A9FDA6C"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15,000 </w:t>
            </w:r>
          </w:p>
        </w:tc>
        <w:tc>
          <w:tcPr>
            <w:tcW w:w="928" w:type="dxa"/>
            <w:tcBorders>
              <w:top w:val="nil"/>
              <w:left w:val="nil"/>
              <w:bottom w:val="nil"/>
              <w:right w:val="nil"/>
            </w:tcBorders>
            <w:shd w:val="clear" w:color="000000" w:fill="E6E6E6"/>
            <w:noWrap/>
            <w:vAlign w:val="bottom"/>
            <w:hideMark/>
          </w:tcPr>
          <w:p w14:paraId="50B19A1D" w14:textId="160FB1F2"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928" w:type="dxa"/>
            <w:tcBorders>
              <w:top w:val="nil"/>
              <w:left w:val="nil"/>
              <w:bottom w:val="nil"/>
              <w:right w:val="nil"/>
            </w:tcBorders>
            <w:shd w:val="clear" w:color="auto" w:fill="auto"/>
            <w:noWrap/>
            <w:vAlign w:val="bottom"/>
            <w:hideMark/>
          </w:tcPr>
          <w:p w14:paraId="4872287F" w14:textId="3B4BB6EF"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c>
          <w:tcPr>
            <w:tcW w:w="928" w:type="dxa"/>
            <w:tcBorders>
              <w:top w:val="nil"/>
              <w:left w:val="nil"/>
              <w:bottom w:val="nil"/>
              <w:right w:val="nil"/>
            </w:tcBorders>
            <w:shd w:val="clear" w:color="000000" w:fill="E6E6E6"/>
            <w:noWrap/>
            <w:vAlign w:val="bottom"/>
            <w:hideMark/>
          </w:tcPr>
          <w:p w14:paraId="5E88616F" w14:textId="7421E4F1" w:rsidR="001E1B7F" w:rsidRPr="00E03A92" w:rsidRDefault="001E1B7F" w:rsidP="001E1B7F">
            <w:pPr>
              <w:spacing w:after="0" w:line="240" w:lineRule="auto"/>
              <w:jc w:val="right"/>
              <w:outlineLvl w:val="0"/>
              <w:rPr>
                <w:rFonts w:ascii="Arial" w:hAnsi="Arial" w:cs="Arial"/>
                <w:sz w:val="16"/>
                <w:szCs w:val="16"/>
              </w:rPr>
            </w:pPr>
            <w:r>
              <w:rPr>
                <w:rFonts w:ascii="Arial" w:hAnsi="Arial" w:cs="Arial"/>
                <w:b/>
                <w:bCs/>
                <w:sz w:val="16"/>
                <w:szCs w:val="16"/>
              </w:rPr>
              <w:t xml:space="preserve">- </w:t>
            </w:r>
          </w:p>
        </w:tc>
      </w:tr>
      <w:tr w:rsidR="001E1B7F" w:rsidRPr="00E03A92" w14:paraId="1103758D" w14:textId="77777777" w:rsidTr="001E1B7F">
        <w:trPr>
          <w:trHeight w:val="204"/>
        </w:trPr>
        <w:tc>
          <w:tcPr>
            <w:tcW w:w="2127" w:type="dxa"/>
            <w:tcBorders>
              <w:top w:val="nil"/>
              <w:left w:val="nil"/>
              <w:bottom w:val="nil"/>
              <w:right w:val="nil"/>
            </w:tcBorders>
            <w:shd w:val="clear" w:color="auto" w:fill="auto"/>
            <w:noWrap/>
            <w:vAlign w:val="bottom"/>
            <w:hideMark/>
          </w:tcPr>
          <w:p w14:paraId="1D582CA1" w14:textId="16000DB5" w:rsidR="001E1B7F" w:rsidRPr="00E03A92" w:rsidRDefault="001E1B7F" w:rsidP="001E1B7F">
            <w:pPr>
              <w:spacing w:after="0" w:line="240" w:lineRule="auto"/>
              <w:jc w:val="left"/>
              <w:outlineLvl w:val="0"/>
              <w:rPr>
                <w:rFonts w:ascii="Arial" w:hAnsi="Arial" w:cs="Arial"/>
                <w:b/>
                <w:bCs/>
                <w:sz w:val="16"/>
                <w:szCs w:val="16"/>
              </w:rPr>
            </w:pPr>
            <w:r>
              <w:rPr>
                <w:rFonts w:ascii="Arial" w:hAnsi="Arial" w:cs="Arial"/>
                <w:sz w:val="16"/>
                <w:szCs w:val="16"/>
              </w:rPr>
              <w:t>Women's Safety</w:t>
            </w:r>
          </w:p>
        </w:tc>
        <w:tc>
          <w:tcPr>
            <w:tcW w:w="1046" w:type="dxa"/>
            <w:gridSpan w:val="2"/>
            <w:tcBorders>
              <w:top w:val="nil"/>
              <w:left w:val="nil"/>
              <w:bottom w:val="nil"/>
              <w:right w:val="nil"/>
            </w:tcBorders>
            <w:shd w:val="clear" w:color="auto" w:fill="auto"/>
            <w:noWrap/>
            <w:vAlign w:val="bottom"/>
            <w:hideMark/>
          </w:tcPr>
          <w:p w14:paraId="5AB4E65E" w14:textId="1B1AA0B0" w:rsidR="001E1B7F" w:rsidRPr="00DD4118" w:rsidRDefault="001E1B7F" w:rsidP="00DD4118">
            <w:pPr>
              <w:spacing w:after="0" w:line="240" w:lineRule="auto"/>
              <w:jc w:val="center"/>
              <w:outlineLvl w:val="0"/>
              <w:rPr>
                <w:rFonts w:ascii="Arial" w:hAnsi="Arial" w:cs="Arial"/>
                <w:sz w:val="16"/>
                <w:szCs w:val="16"/>
              </w:rPr>
            </w:pPr>
            <w:r>
              <w:rPr>
                <w:rFonts w:ascii="Arial" w:hAnsi="Arial" w:cs="Arial"/>
                <w:sz w:val="16"/>
                <w:szCs w:val="16"/>
              </w:rPr>
              <w:t>5.1, 5.2</w:t>
            </w:r>
          </w:p>
        </w:tc>
        <w:tc>
          <w:tcPr>
            <w:tcW w:w="852" w:type="dxa"/>
            <w:tcBorders>
              <w:top w:val="nil"/>
              <w:left w:val="nil"/>
              <w:bottom w:val="nil"/>
              <w:right w:val="nil"/>
            </w:tcBorders>
            <w:shd w:val="clear" w:color="000000" w:fill="E6E6E6"/>
            <w:noWrap/>
            <w:vAlign w:val="bottom"/>
            <w:hideMark/>
          </w:tcPr>
          <w:p w14:paraId="68F681BB" w14:textId="1750225A"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996" w:type="dxa"/>
            <w:tcBorders>
              <w:top w:val="nil"/>
              <w:left w:val="nil"/>
              <w:bottom w:val="nil"/>
              <w:right w:val="nil"/>
            </w:tcBorders>
            <w:shd w:val="clear" w:color="auto" w:fill="auto"/>
            <w:noWrap/>
            <w:vAlign w:val="bottom"/>
            <w:hideMark/>
          </w:tcPr>
          <w:p w14:paraId="53DBDE1D" w14:textId="7842981B" w:rsidR="001E1B7F" w:rsidRPr="00E03A92" w:rsidRDefault="001E1B7F" w:rsidP="001E1B7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34E4F00D" w14:textId="74127515"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4DDA03AE" w14:textId="0322942E" w:rsidR="001E1B7F" w:rsidRPr="00E03A92" w:rsidRDefault="001E1B7F" w:rsidP="001E1B7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3FCC05B3" w14:textId="40A88C15" w:rsidR="001E1B7F" w:rsidRPr="00E03A92" w:rsidRDefault="001E1B7F" w:rsidP="001E1B7F">
            <w:pPr>
              <w:spacing w:after="0" w:line="240" w:lineRule="auto"/>
              <w:jc w:val="right"/>
              <w:outlineLvl w:val="0"/>
              <w:rPr>
                <w:rFonts w:ascii="Arial" w:hAnsi="Arial" w:cs="Arial"/>
                <w:b/>
                <w:bCs/>
                <w:sz w:val="16"/>
                <w:szCs w:val="16"/>
              </w:rPr>
            </w:pPr>
            <w:r>
              <w:rPr>
                <w:rFonts w:ascii="Arial" w:hAnsi="Arial" w:cs="Arial"/>
                <w:sz w:val="16"/>
                <w:szCs w:val="16"/>
              </w:rPr>
              <w:t> </w:t>
            </w:r>
          </w:p>
        </w:tc>
      </w:tr>
      <w:tr w:rsidR="001E1B7F" w:rsidRPr="00E03A92" w14:paraId="22D0702E" w14:textId="77777777" w:rsidTr="001E1B7F">
        <w:trPr>
          <w:trHeight w:val="204"/>
        </w:trPr>
        <w:tc>
          <w:tcPr>
            <w:tcW w:w="2127" w:type="dxa"/>
            <w:tcBorders>
              <w:top w:val="nil"/>
              <w:left w:val="nil"/>
              <w:bottom w:val="nil"/>
              <w:right w:val="nil"/>
            </w:tcBorders>
            <w:shd w:val="clear" w:color="auto" w:fill="auto"/>
            <w:vAlign w:val="bottom"/>
            <w:hideMark/>
          </w:tcPr>
          <w:p w14:paraId="61EB19C6" w14:textId="7577D369" w:rsidR="001E1B7F" w:rsidRPr="00E03A92" w:rsidRDefault="001E1B7F" w:rsidP="005B3671">
            <w:pPr>
              <w:spacing w:after="0" w:line="240" w:lineRule="auto"/>
              <w:ind w:left="113"/>
              <w:jc w:val="left"/>
              <w:rPr>
                <w:rFonts w:ascii="Arial" w:hAnsi="Arial" w:cs="Arial"/>
                <w:sz w:val="16"/>
                <w:szCs w:val="16"/>
              </w:rPr>
            </w:pPr>
            <w:r>
              <w:rPr>
                <w:rFonts w:ascii="Arial" w:hAnsi="Arial" w:cs="Arial"/>
                <w:sz w:val="16"/>
                <w:szCs w:val="16"/>
              </w:rPr>
              <w:t>Administered payments</w:t>
            </w:r>
          </w:p>
        </w:tc>
        <w:tc>
          <w:tcPr>
            <w:tcW w:w="1046" w:type="dxa"/>
            <w:gridSpan w:val="2"/>
            <w:tcBorders>
              <w:top w:val="nil"/>
              <w:left w:val="nil"/>
              <w:bottom w:val="nil"/>
              <w:right w:val="nil"/>
            </w:tcBorders>
            <w:shd w:val="clear" w:color="auto" w:fill="auto"/>
            <w:noWrap/>
            <w:vAlign w:val="bottom"/>
            <w:hideMark/>
          </w:tcPr>
          <w:p w14:paraId="1348B73F" w14:textId="10F66BAB"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67AA9818" w14:textId="588D30CC"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tcBorders>
              <w:top w:val="nil"/>
              <w:left w:val="nil"/>
              <w:bottom w:val="nil"/>
              <w:right w:val="nil"/>
            </w:tcBorders>
            <w:shd w:val="clear" w:color="auto" w:fill="auto"/>
            <w:noWrap/>
            <w:vAlign w:val="bottom"/>
            <w:hideMark/>
          </w:tcPr>
          <w:p w14:paraId="1699B101" w14:textId="3B95EC5C"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810 </w:t>
            </w:r>
          </w:p>
        </w:tc>
        <w:tc>
          <w:tcPr>
            <w:tcW w:w="928" w:type="dxa"/>
            <w:tcBorders>
              <w:top w:val="nil"/>
              <w:left w:val="nil"/>
              <w:bottom w:val="nil"/>
              <w:right w:val="nil"/>
            </w:tcBorders>
            <w:shd w:val="clear" w:color="000000" w:fill="E6E6E6"/>
            <w:noWrap/>
            <w:vAlign w:val="bottom"/>
            <w:hideMark/>
          </w:tcPr>
          <w:p w14:paraId="21283680" w14:textId="01994EA2"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810 </w:t>
            </w:r>
          </w:p>
        </w:tc>
        <w:tc>
          <w:tcPr>
            <w:tcW w:w="928" w:type="dxa"/>
            <w:tcBorders>
              <w:top w:val="nil"/>
              <w:left w:val="nil"/>
              <w:bottom w:val="nil"/>
              <w:right w:val="nil"/>
            </w:tcBorders>
            <w:shd w:val="clear" w:color="auto" w:fill="auto"/>
            <w:noWrap/>
            <w:vAlign w:val="bottom"/>
            <w:hideMark/>
          </w:tcPr>
          <w:p w14:paraId="1EBF9CC0" w14:textId="716A3BB8"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810 </w:t>
            </w:r>
          </w:p>
        </w:tc>
        <w:tc>
          <w:tcPr>
            <w:tcW w:w="928" w:type="dxa"/>
            <w:tcBorders>
              <w:top w:val="nil"/>
              <w:left w:val="nil"/>
              <w:bottom w:val="nil"/>
              <w:right w:val="nil"/>
            </w:tcBorders>
            <w:shd w:val="clear" w:color="000000" w:fill="E6E6E6"/>
            <w:noWrap/>
            <w:vAlign w:val="bottom"/>
            <w:hideMark/>
          </w:tcPr>
          <w:p w14:paraId="37ED39D5" w14:textId="1381FBC2"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810 </w:t>
            </w:r>
          </w:p>
        </w:tc>
      </w:tr>
      <w:tr w:rsidR="001E1B7F" w:rsidRPr="00E03A92" w14:paraId="3F1E98BC" w14:textId="77777777" w:rsidTr="001E1B7F">
        <w:trPr>
          <w:trHeight w:val="204"/>
        </w:trPr>
        <w:tc>
          <w:tcPr>
            <w:tcW w:w="2127" w:type="dxa"/>
            <w:tcBorders>
              <w:top w:val="nil"/>
              <w:left w:val="nil"/>
              <w:bottom w:val="nil"/>
              <w:right w:val="nil"/>
            </w:tcBorders>
            <w:shd w:val="clear" w:color="auto" w:fill="auto"/>
            <w:noWrap/>
            <w:vAlign w:val="bottom"/>
            <w:hideMark/>
          </w:tcPr>
          <w:p w14:paraId="316C5959" w14:textId="3801D16F" w:rsidR="001E1B7F" w:rsidRPr="00E03A92" w:rsidRDefault="001E1B7F" w:rsidP="005B3671">
            <w:pPr>
              <w:spacing w:after="0" w:line="240" w:lineRule="auto"/>
              <w:ind w:left="113"/>
              <w:jc w:val="left"/>
              <w:rPr>
                <w:rFonts w:ascii="Arial" w:hAnsi="Arial" w:cs="Arial"/>
                <w:sz w:val="16"/>
                <w:szCs w:val="16"/>
              </w:rPr>
            </w:pPr>
            <w:r>
              <w:rPr>
                <w:rFonts w:ascii="Arial" w:hAnsi="Arial" w:cs="Arial"/>
                <w:sz w:val="16"/>
                <w:szCs w:val="16"/>
              </w:rPr>
              <w:t>Departmental payments</w:t>
            </w:r>
          </w:p>
        </w:tc>
        <w:tc>
          <w:tcPr>
            <w:tcW w:w="1046" w:type="dxa"/>
            <w:gridSpan w:val="2"/>
            <w:tcBorders>
              <w:top w:val="nil"/>
              <w:left w:val="nil"/>
              <w:bottom w:val="nil"/>
              <w:right w:val="nil"/>
            </w:tcBorders>
            <w:shd w:val="clear" w:color="auto" w:fill="auto"/>
            <w:noWrap/>
            <w:vAlign w:val="bottom"/>
            <w:hideMark/>
          </w:tcPr>
          <w:p w14:paraId="24AC6D7F" w14:textId="77777777"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nil"/>
              <w:left w:val="nil"/>
              <w:right w:val="nil"/>
            </w:tcBorders>
            <w:shd w:val="clear" w:color="000000" w:fill="E6E6E6"/>
            <w:noWrap/>
            <w:vAlign w:val="bottom"/>
            <w:hideMark/>
          </w:tcPr>
          <w:p w14:paraId="05F16387" w14:textId="1638B2EE"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tcBorders>
              <w:top w:val="nil"/>
              <w:left w:val="nil"/>
              <w:right w:val="nil"/>
            </w:tcBorders>
            <w:shd w:val="clear" w:color="auto" w:fill="auto"/>
            <w:noWrap/>
            <w:vAlign w:val="bottom"/>
            <w:hideMark/>
          </w:tcPr>
          <w:p w14:paraId="1883E2F9" w14:textId="488670F1"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90 </w:t>
            </w:r>
          </w:p>
        </w:tc>
        <w:tc>
          <w:tcPr>
            <w:tcW w:w="928" w:type="dxa"/>
            <w:tcBorders>
              <w:top w:val="nil"/>
              <w:left w:val="nil"/>
              <w:right w:val="nil"/>
            </w:tcBorders>
            <w:shd w:val="clear" w:color="000000" w:fill="E6E6E6"/>
            <w:noWrap/>
            <w:vAlign w:val="bottom"/>
            <w:hideMark/>
          </w:tcPr>
          <w:p w14:paraId="16A73563" w14:textId="02B67A0A"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90 </w:t>
            </w:r>
          </w:p>
        </w:tc>
        <w:tc>
          <w:tcPr>
            <w:tcW w:w="928" w:type="dxa"/>
            <w:tcBorders>
              <w:top w:val="nil"/>
              <w:left w:val="nil"/>
              <w:right w:val="nil"/>
            </w:tcBorders>
            <w:shd w:val="clear" w:color="auto" w:fill="auto"/>
            <w:noWrap/>
            <w:vAlign w:val="bottom"/>
            <w:hideMark/>
          </w:tcPr>
          <w:p w14:paraId="27B7E305" w14:textId="69431EEE"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90 </w:t>
            </w:r>
          </w:p>
        </w:tc>
        <w:tc>
          <w:tcPr>
            <w:tcW w:w="928" w:type="dxa"/>
            <w:tcBorders>
              <w:top w:val="nil"/>
              <w:left w:val="nil"/>
              <w:right w:val="nil"/>
            </w:tcBorders>
            <w:shd w:val="clear" w:color="000000" w:fill="E6E6E6"/>
            <w:noWrap/>
            <w:vAlign w:val="bottom"/>
            <w:hideMark/>
          </w:tcPr>
          <w:p w14:paraId="548CF84E" w14:textId="49B7BDA1"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xml:space="preserve">90 </w:t>
            </w:r>
          </w:p>
        </w:tc>
      </w:tr>
      <w:tr w:rsidR="001E1B7F" w:rsidRPr="00E03A92" w14:paraId="5010A033" w14:textId="77777777" w:rsidTr="001E1B7F">
        <w:trPr>
          <w:trHeight w:val="204"/>
        </w:trPr>
        <w:tc>
          <w:tcPr>
            <w:tcW w:w="2127" w:type="dxa"/>
            <w:tcBorders>
              <w:top w:val="nil"/>
              <w:left w:val="nil"/>
              <w:bottom w:val="nil"/>
              <w:right w:val="nil"/>
            </w:tcBorders>
            <w:shd w:val="clear" w:color="auto" w:fill="auto"/>
            <w:noWrap/>
            <w:vAlign w:val="bottom"/>
            <w:hideMark/>
          </w:tcPr>
          <w:p w14:paraId="13D63A51" w14:textId="7E5F8B78" w:rsidR="001E1B7F" w:rsidRPr="00E03A92" w:rsidRDefault="001E1B7F" w:rsidP="001E1B7F">
            <w:pPr>
              <w:spacing w:after="0" w:line="240" w:lineRule="auto"/>
              <w:jc w:val="left"/>
              <w:rPr>
                <w:rFonts w:ascii="Arial" w:hAnsi="Arial" w:cs="Arial"/>
                <w:b/>
                <w:bCs/>
                <w:sz w:val="16"/>
                <w:szCs w:val="16"/>
              </w:rPr>
            </w:pPr>
            <w:r>
              <w:rPr>
                <w:rFonts w:ascii="Arial" w:hAnsi="Arial" w:cs="Arial"/>
                <w:b/>
                <w:bCs/>
                <w:sz w:val="16"/>
                <w:szCs w:val="16"/>
              </w:rPr>
              <w:t>Total</w:t>
            </w:r>
          </w:p>
        </w:tc>
        <w:tc>
          <w:tcPr>
            <w:tcW w:w="1046" w:type="dxa"/>
            <w:gridSpan w:val="2"/>
            <w:tcBorders>
              <w:top w:val="nil"/>
              <w:left w:val="nil"/>
              <w:bottom w:val="nil"/>
              <w:right w:val="nil"/>
            </w:tcBorders>
            <w:shd w:val="clear" w:color="auto" w:fill="auto"/>
            <w:noWrap/>
            <w:vAlign w:val="bottom"/>
            <w:hideMark/>
          </w:tcPr>
          <w:p w14:paraId="1C87FCFC" w14:textId="77777777" w:rsidR="001E1B7F" w:rsidRPr="00DD4118" w:rsidRDefault="001E1B7F" w:rsidP="00DD4118">
            <w:pPr>
              <w:spacing w:after="0" w:line="240" w:lineRule="auto"/>
              <w:jc w:val="center"/>
              <w:outlineLvl w:val="0"/>
              <w:rPr>
                <w:rFonts w:ascii="Arial" w:hAnsi="Arial" w:cs="Arial"/>
                <w:sz w:val="16"/>
                <w:szCs w:val="16"/>
              </w:rPr>
            </w:pPr>
          </w:p>
        </w:tc>
        <w:tc>
          <w:tcPr>
            <w:tcW w:w="852" w:type="dxa"/>
            <w:tcBorders>
              <w:top w:val="nil"/>
              <w:left w:val="nil"/>
              <w:bottom w:val="single" w:sz="4" w:space="0" w:color="auto"/>
              <w:right w:val="nil"/>
            </w:tcBorders>
            <w:shd w:val="clear" w:color="000000" w:fill="E6E6E6"/>
            <w:noWrap/>
            <w:vAlign w:val="bottom"/>
            <w:hideMark/>
          </w:tcPr>
          <w:p w14:paraId="280114EF" w14:textId="076E4922" w:rsidR="001E1B7F" w:rsidRPr="00E03A92" w:rsidRDefault="001E1B7F" w:rsidP="001E1B7F">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96" w:type="dxa"/>
            <w:tcBorders>
              <w:top w:val="nil"/>
              <w:left w:val="nil"/>
              <w:bottom w:val="single" w:sz="4" w:space="0" w:color="auto"/>
              <w:right w:val="nil"/>
            </w:tcBorders>
            <w:shd w:val="clear" w:color="auto" w:fill="auto"/>
            <w:noWrap/>
            <w:vAlign w:val="bottom"/>
            <w:hideMark/>
          </w:tcPr>
          <w:p w14:paraId="4C8CCFF1" w14:textId="4BA0D970" w:rsidR="001E1B7F" w:rsidRPr="00E03A92" w:rsidRDefault="001E1B7F" w:rsidP="001E1B7F">
            <w:pPr>
              <w:spacing w:after="0" w:line="240" w:lineRule="auto"/>
              <w:jc w:val="right"/>
              <w:rPr>
                <w:rFonts w:ascii="Arial" w:hAnsi="Arial" w:cs="Arial"/>
                <w:b/>
                <w:bCs/>
                <w:sz w:val="16"/>
                <w:szCs w:val="16"/>
              </w:rPr>
            </w:pPr>
            <w:r>
              <w:rPr>
                <w:rFonts w:ascii="Arial" w:hAnsi="Arial" w:cs="Arial"/>
                <w:b/>
                <w:bCs/>
                <w:sz w:val="16"/>
                <w:szCs w:val="16"/>
              </w:rPr>
              <w:t xml:space="preserve">900 </w:t>
            </w:r>
          </w:p>
        </w:tc>
        <w:tc>
          <w:tcPr>
            <w:tcW w:w="928" w:type="dxa"/>
            <w:tcBorders>
              <w:top w:val="nil"/>
              <w:left w:val="nil"/>
              <w:bottom w:val="single" w:sz="4" w:space="0" w:color="auto"/>
              <w:right w:val="nil"/>
            </w:tcBorders>
            <w:shd w:val="clear" w:color="000000" w:fill="E6E6E6"/>
            <w:noWrap/>
            <w:vAlign w:val="bottom"/>
            <w:hideMark/>
          </w:tcPr>
          <w:p w14:paraId="51123674" w14:textId="66AF0256" w:rsidR="001E1B7F" w:rsidRPr="00E03A92" w:rsidRDefault="001E1B7F" w:rsidP="001E1B7F">
            <w:pPr>
              <w:spacing w:after="0" w:line="240" w:lineRule="auto"/>
              <w:jc w:val="right"/>
              <w:rPr>
                <w:rFonts w:ascii="Arial" w:hAnsi="Arial" w:cs="Arial"/>
                <w:b/>
                <w:bCs/>
                <w:sz w:val="16"/>
                <w:szCs w:val="16"/>
              </w:rPr>
            </w:pPr>
            <w:r>
              <w:rPr>
                <w:rFonts w:ascii="Arial" w:hAnsi="Arial" w:cs="Arial"/>
                <w:b/>
                <w:bCs/>
                <w:sz w:val="16"/>
                <w:szCs w:val="16"/>
              </w:rPr>
              <w:t xml:space="preserve">900 </w:t>
            </w:r>
          </w:p>
        </w:tc>
        <w:tc>
          <w:tcPr>
            <w:tcW w:w="928" w:type="dxa"/>
            <w:tcBorders>
              <w:top w:val="nil"/>
              <w:left w:val="nil"/>
              <w:bottom w:val="single" w:sz="4" w:space="0" w:color="auto"/>
              <w:right w:val="nil"/>
            </w:tcBorders>
            <w:shd w:val="clear" w:color="auto" w:fill="auto"/>
            <w:noWrap/>
            <w:vAlign w:val="bottom"/>
            <w:hideMark/>
          </w:tcPr>
          <w:p w14:paraId="42BFDB2E" w14:textId="1CC973B6" w:rsidR="001E1B7F" w:rsidRPr="00E03A92" w:rsidRDefault="001E1B7F" w:rsidP="001E1B7F">
            <w:pPr>
              <w:spacing w:after="0" w:line="240" w:lineRule="auto"/>
              <w:jc w:val="right"/>
              <w:rPr>
                <w:rFonts w:ascii="Arial" w:hAnsi="Arial" w:cs="Arial"/>
                <w:b/>
                <w:bCs/>
                <w:sz w:val="16"/>
                <w:szCs w:val="16"/>
              </w:rPr>
            </w:pPr>
            <w:r>
              <w:rPr>
                <w:rFonts w:ascii="Arial" w:hAnsi="Arial" w:cs="Arial"/>
                <w:b/>
                <w:bCs/>
                <w:sz w:val="16"/>
                <w:szCs w:val="16"/>
              </w:rPr>
              <w:t xml:space="preserve">900 </w:t>
            </w:r>
          </w:p>
        </w:tc>
        <w:tc>
          <w:tcPr>
            <w:tcW w:w="928" w:type="dxa"/>
            <w:tcBorders>
              <w:top w:val="nil"/>
              <w:left w:val="nil"/>
              <w:bottom w:val="single" w:sz="4" w:space="0" w:color="auto"/>
              <w:right w:val="nil"/>
            </w:tcBorders>
            <w:shd w:val="clear" w:color="000000" w:fill="E6E6E6"/>
            <w:noWrap/>
            <w:vAlign w:val="bottom"/>
            <w:hideMark/>
          </w:tcPr>
          <w:p w14:paraId="554841C9" w14:textId="08AB9927" w:rsidR="001E1B7F" w:rsidRPr="00E03A92" w:rsidRDefault="001E1B7F" w:rsidP="001E1B7F">
            <w:pPr>
              <w:spacing w:after="0" w:line="240" w:lineRule="auto"/>
              <w:jc w:val="right"/>
              <w:rPr>
                <w:rFonts w:ascii="Arial" w:hAnsi="Arial" w:cs="Arial"/>
                <w:b/>
                <w:bCs/>
                <w:sz w:val="16"/>
                <w:szCs w:val="16"/>
              </w:rPr>
            </w:pPr>
            <w:r>
              <w:rPr>
                <w:rFonts w:ascii="Arial" w:hAnsi="Arial" w:cs="Arial"/>
                <w:b/>
                <w:bCs/>
                <w:sz w:val="16"/>
                <w:szCs w:val="16"/>
              </w:rPr>
              <w:t xml:space="preserve">900 </w:t>
            </w:r>
          </w:p>
        </w:tc>
      </w:tr>
      <w:tr w:rsidR="001E1B7F" w:rsidRPr="00E03A92" w14:paraId="370882D3" w14:textId="77777777" w:rsidTr="001E1B7F">
        <w:trPr>
          <w:trHeight w:val="204"/>
        </w:trPr>
        <w:tc>
          <w:tcPr>
            <w:tcW w:w="2127" w:type="dxa"/>
            <w:tcBorders>
              <w:top w:val="nil"/>
              <w:left w:val="nil"/>
              <w:bottom w:val="nil"/>
              <w:right w:val="nil"/>
            </w:tcBorders>
            <w:shd w:val="clear" w:color="auto" w:fill="auto"/>
            <w:vAlign w:val="bottom"/>
            <w:hideMark/>
          </w:tcPr>
          <w:p w14:paraId="28DE98C0" w14:textId="585F1E2A" w:rsidR="001E1B7F" w:rsidRPr="00E03A92" w:rsidRDefault="001E1B7F" w:rsidP="001E1B7F">
            <w:pPr>
              <w:spacing w:after="0" w:line="240" w:lineRule="auto"/>
              <w:jc w:val="left"/>
              <w:rPr>
                <w:rFonts w:ascii="Arial" w:hAnsi="Arial" w:cs="Arial"/>
                <w:sz w:val="16"/>
                <w:szCs w:val="16"/>
              </w:rPr>
            </w:pPr>
            <w:r>
              <w:rPr>
                <w:rFonts w:ascii="Arial" w:hAnsi="Arial" w:cs="Arial"/>
                <w:b/>
                <w:bCs/>
                <w:sz w:val="16"/>
                <w:szCs w:val="16"/>
              </w:rPr>
              <w:t>Total payment measures</w:t>
            </w:r>
          </w:p>
        </w:tc>
        <w:tc>
          <w:tcPr>
            <w:tcW w:w="1046" w:type="dxa"/>
            <w:gridSpan w:val="2"/>
            <w:tcBorders>
              <w:top w:val="nil"/>
              <w:left w:val="nil"/>
              <w:bottom w:val="nil"/>
              <w:right w:val="nil"/>
            </w:tcBorders>
            <w:shd w:val="clear" w:color="auto" w:fill="auto"/>
            <w:noWrap/>
            <w:vAlign w:val="bottom"/>
            <w:hideMark/>
          </w:tcPr>
          <w:p w14:paraId="7E96B784" w14:textId="5415040D" w:rsidR="001E1B7F" w:rsidRPr="00E03A92" w:rsidRDefault="001E1B7F" w:rsidP="00DD4118">
            <w:pPr>
              <w:spacing w:after="0" w:line="240" w:lineRule="auto"/>
              <w:jc w:val="center"/>
              <w:outlineLvl w:val="0"/>
              <w:rPr>
                <w:rFonts w:ascii="Arial" w:hAnsi="Arial" w:cs="Arial"/>
                <w:sz w:val="16"/>
                <w:szCs w:val="16"/>
              </w:rPr>
            </w:pPr>
          </w:p>
        </w:tc>
        <w:tc>
          <w:tcPr>
            <w:tcW w:w="852" w:type="dxa"/>
            <w:tcBorders>
              <w:top w:val="single" w:sz="4" w:space="0" w:color="auto"/>
              <w:left w:val="nil"/>
              <w:bottom w:val="nil"/>
              <w:right w:val="nil"/>
            </w:tcBorders>
            <w:shd w:val="clear" w:color="000000" w:fill="E6E6E6"/>
            <w:noWrap/>
            <w:vAlign w:val="bottom"/>
            <w:hideMark/>
          </w:tcPr>
          <w:p w14:paraId="770B44E0" w14:textId="45495BE9"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w:t>
            </w:r>
          </w:p>
        </w:tc>
        <w:tc>
          <w:tcPr>
            <w:tcW w:w="996" w:type="dxa"/>
            <w:tcBorders>
              <w:top w:val="single" w:sz="4" w:space="0" w:color="auto"/>
              <w:left w:val="nil"/>
              <w:bottom w:val="nil"/>
              <w:right w:val="nil"/>
            </w:tcBorders>
            <w:shd w:val="clear" w:color="auto" w:fill="auto"/>
            <w:noWrap/>
            <w:vAlign w:val="bottom"/>
            <w:hideMark/>
          </w:tcPr>
          <w:p w14:paraId="065E4462" w14:textId="77777777" w:rsidR="001E1B7F" w:rsidRPr="00E03A92" w:rsidRDefault="001E1B7F" w:rsidP="001E1B7F">
            <w:pPr>
              <w:spacing w:after="0" w:line="240" w:lineRule="auto"/>
              <w:jc w:val="right"/>
              <w:rPr>
                <w:rFonts w:ascii="Arial" w:hAnsi="Arial" w:cs="Arial"/>
                <w:sz w:val="16"/>
                <w:szCs w:val="16"/>
              </w:rPr>
            </w:pPr>
          </w:p>
        </w:tc>
        <w:tc>
          <w:tcPr>
            <w:tcW w:w="928" w:type="dxa"/>
            <w:tcBorders>
              <w:top w:val="single" w:sz="4" w:space="0" w:color="auto"/>
              <w:left w:val="nil"/>
              <w:bottom w:val="nil"/>
              <w:right w:val="nil"/>
            </w:tcBorders>
            <w:shd w:val="clear" w:color="000000" w:fill="E6E6E6"/>
            <w:noWrap/>
            <w:vAlign w:val="bottom"/>
            <w:hideMark/>
          </w:tcPr>
          <w:p w14:paraId="69721294" w14:textId="2A57D6C8"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w:t>
            </w:r>
          </w:p>
        </w:tc>
        <w:tc>
          <w:tcPr>
            <w:tcW w:w="928" w:type="dxa"/>
            <w:tcBorders>
              <w:top w:val="single" w:sz="4" w:space="0" w:color="auto"/>
              <w:left w:val="nil"/>
              <w:bottom w:val="nil"/>
              <w:right w:val="nil"/>
            </w:tcBorders>
            <w:shd w:val="clear" w:color="auto" w:fill="auto"/>
            <w:noWrap/>
            <w:vAlign w:val="bottom"/>
            <w:hideMark/>
          </w:tcPr>
          <w:p w14:paraId="583FB3B2" w14:textId="77777777" w:rsidR="001E1B7F" w:rsidRPr="00E03A92" w:rsidRDefault="001E1B7F" w:rsidP="001E1B7F">
            <w:pPr>
              <w:spacing w:after="0" w:line="240" w:lineRule="auto"/>
              <w:jc w:val="right"/>
              <w:rPr>
                <w:rFonts w:ascii="Arial" w:hAnsi="Arial" w:cs="Arial"/>
                <w:sz w:val="16"/>
                <w:szCs w:val="16"/>
              </w:rPr>
            </w:pPr>
          </w:p>
        </w:tc>
        <w:tc>
          <w:tcPr>
            <w:tcW w:w="928" w:type="dxa"/>
            <w:tcBorders>
              <w:top w:val="single" w:sz="4" w:space="0" w:color="auto"/>
              <w:left w:val="nil"/>
              <w:bottom w:val="nil"/>
              <w:right w:val="nil"/>
            </w:tcBorders>
            <w:shd w:val="clear" w:color="000000" w:fill="E6E6E6"/>
            <w:noWrap/>
            <w:vAlign w:val="bottom"/>
            <w:hideMark/>
          </w:tcPr>
          <w:p w14:paraId="1EDD9E24" w14:textId="06D78808" w:rsidR="001E1B7F" w:rsidRPr="00E03A92" w:rsidRDefault="001E1B7F" w:rsidP="001E1B7F">
            <w:pPr>
              <w:spacing w:after="0" w:line="240" w:lineRule="auto"/>
              <w:jc w:val="right"/>
              <w:rPr>
                <w:rFonts w:ascii="Arial" w:hAnsi="Arial" w:cs="Arial"/>
                <w:sz w:val="16"/>
                <w:szCs w:val="16"/>
              </w:rPr>
            </w:pPr>
            <w:r>
              <w:rPr>
                <w:rFonts w:ascii="Arial" w:hAnsi="Arial" w:cs="Arial"/>
                <w:sz w:val="16"/>
                <w:szCs w:val="16"/>
              </w:rPr>
              <w:t> </w:t>
            </w:r>
          </w:p>
        </w:tc>
      </w:tr>
      <w:tr w:rsidR="00E47926" w:rsidRPr="00E03A92" w14:paraId="53375634" w14:textId="77777777" w:rsidTr="001E1B7F">
        <w:trPr>
          <w:trHeight w:val="204"/>
        </w:trPr>
        <w:tc>
          <w:tcPr>
            <w:tcW w:w="2127" w:type="dxa"/>
            <w:tcBorders>
              <w:top w:val="nil"/>
              <w:left w:val="nil"/>
              <w:bottom w:val="nil"/>
              <w:right w:val="nil"/>
            </w:tcBorders>
            <w:shd w:val="clear" w:color="auto" w:fill="auto"/>
            <w:noWrap/>
            <w:vAlign w:val="bottom"/>
            <w:hideMark/>
          </w:tcPr>
          <w:p w14:paraId="5C8FB7E3" w14:textId="776F05F1" w:rsidR="00E47926" w:rsidRPr="00E03A92" w:rsidRDefault="00E47926" w:rsidP="00E47926">
            <w:pPr>
              <w:spacing w:after="0" w:line="240" w:lineRule="auto"/>
              <w:ind w:left="113"/>
              <w:jc w:val="left"/>
              <w:rPr>
                <w:rFonts w:ascii="Arial" w:hAnsi="Arial" w:cs="Arial"/>
                <w:sz w:val="16"/>
                <w:szCs w:val="16"/>
              </w:rPr>
            </w:pPr>
            <w:r>
              <w:rPr>
                <w:rFonts w:ascii="Arial" w:hAnsi="Arial" w:cs="Arial"/>
                <w:sz w:val="16"/>
                <w:szCs w:val="16"/>
              </w:rPr>
              <w:t>Administered</w:t>
            </w:r>
          </w:p>
        </w:tc>
        <w:tc>
          <w:tcPr>
            <w:tcW w:w="1046" w:type="dxa"/>
            <w:gridSpan w:val="2"/>
            <w:tcBorders>
              <w:top w:val="nil"/>
              <w:left w:val="nil"/>
              <w:bottom w:val="nil"/>
              <w:right w:val="nil"/>
            </w:tcBorders>
            <w:shd w:val="clear" w:color="auto" w:fill="auto"/>
            <w:noWrap/>
            <w:vAlign w:val="bottom"/>
            <w:hideMark/>
          </w:tcPr>
          <w:p w14:paraId="108E5423" w14:textId="77777777" w:rsidR="00E47926" w:rsidRPr="00E03A92" w:rsidRDefault="00E47926" w:rsidP="00DD4118">
            <w:pPr>
              <w:spacing w:after="0" w:line="240" w:lineRule="auto"/>
              <w:jc w:val="center"/>
              <w:outlineLvl w:val="0"/>
              <w:rPr>
                <w:rFonts w:ascii="Arial" w:hAnsi="Arial" w:cs="Arial"/>
                <w:sz w:val="16"/>
                <w:szCs w:val="16"/>
              </w:rPr>
            </w:pPr>
          </w:p>
        </w:tc>
        <w:tc>
          <w:tcPr>
            <w:tcW w:w="852" w:type="dxa"/>
            <w:tcBorders>
              <w:top w:val="nil"/>
              <w:left w:val="nil"/>
              <w:bottom w:val="nil"/>
              <w:right w:val="nil"/>
            </w:tcBorders>
            <w:shd w:val="clear" w:color="000000" w:fill="E6E6E6"/>
            <w:noWrap/>
            <w:vAlign w:val="bottom"/>
            <w:hideMark/>
          </w:tcPr>
          <w:p w14:paraId="3F3E7FEE" w14:textId="7C192EF1"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475,780 </w:t>
            </w:r>
          </w:p>
        </w:tc>
        <w:tc>
          <w:tcPr>
            <w:tcW w:w="996" w:type="dxa"/>
            <w:tcBorders>
              <w:top w:val="nil"/>
              <w:left w:val="nil"/>
              <w:bottom w:val="nil"/>
              <w:right w:val="nil"/>
            </w:tcBorders>
            <w:shd w:val="clear" w:color="auto" w:fill="auto"/>
            <w:noWrap/>
            <w:vAlign w:val="bottom"/>
            <w:hideMark/>
          </w:tcPr>
          <w:p w14:paraId="5BBEB6A9" w14:textId="20E4AF73"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796,775 </w:t>
            </w:r>
          </w:p>
        </w:tc>
        <w:tc>
          <w:tcPr>
            <w:tcW w:w="928" w:type="dxa"/>
            <w:tcBorders>
              <w:top w:val="nil"/>
              <w:left w:val="nil"/>
              <w:bottom w:val="nil"/>
              <w:right w:val="nil"/>
            </w:tcBorders>
            <w:shd w:val="clear" w:color="000000" w:fill="E6E6E6"/>
            <w:noWrap/>
            <w:vAlign w:val="bottom"/>
            <w:hideMark/>
          </w:tcPr>
          <w:p w14:paraId="3E724C22" w14:textId="21B7B7B3"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1,253,957 </w:t>
            </w:r>
          </w:p>
        </w:tc>
        <w:tc>
          <w:tcPr>
            <w:tcW w:w="928" w:type="dxa"/>
            <w:tcBorders>
              <w:top w:val="nil"/>
              <w:left w:val="nil"/>
              <w:bottom w:val="nil"/>
              <w:right w:val="nil"/>
            </w:tcBorders>
            <w:shd w:val="clear" w:color="auto" w:fill="auto"/>
            <w:noWrap/>
            <w:vAlign w:val="bottom"/>
            <w:hideMark/>
          </w:tcPr>
          <w:p w14:paraId="41DF8CEB" w14:textId="7CE738D4"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1,443,539 </w:t>
            </w:r>
          </w:p>
        </w:tc>
        <w:tc>
          <w:tcPr>
            <w:tcW w:w="928" w:type="dxa"/>
            <w:tcBorders>
              <w:top w:val="nil"/>
              <w:left w:val="nil"/>
              <w:bottom w:val="nil"/>
              <w:right w:val="nil"/>
            </w:tcBorders>
            <w:shd w:val="clear" w:color="000000" w:fill="E6E6E6"/>
            <w:noWrap/>
            <w:vAlign w:val="bottom"/>
            <w:hideMark/>
          </w:tcPr>
          <w:p w14:paraId="382DE1AC" w14:textId="2D9C3D8A"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1,060,011 </w:t>
            </w:r>
          </w:p>
        </w:tc>
      </w:tr>
      <w:tr w:rsidR="00E47926" w:rsidRPr="00E03A92" w14:paraId="5D42A0B8" w14:textId="77777777" w:rsidTr="001E1B7F">
        <w:trPr>
          <w:trHeight w:val="204"/>
        </w:trPr>
        <w:tc>
          <w:tcPr>
            <w:tcW w:w="2127" w:type="dxa"/>
            <w:tcBorders>
              <w:top w:val="nil"/>
              <w:left w:val="nil"/>
              <w:right w:val="nil"/>
            </w:tcBorders>
            <w:shd w:val="clear" w:color="auto" w:fill="auto"/>
            <w:noWrap/>
            <w:vAlign w:val="bottom"/>
            <w:hideMark/>
          </w:tcPr>
          <w:p w14:paraId="0CF2F71D" w14:textId="20BA835E" w:rsidR="00E47926" w:rsidRPr="00E03A92" w:rsidRDefault="00E47926" w:rsidP="00E47926">
            <w:pPr>
              <w:spacing w:after="0" w:line="240" w:lineRule="auto"/>
              <w:ind w:left="113"/>
              <w:jc w:val="left"/>
              <w:rPr>
                <w:rFonts w:ascii="Arial" w:hAnsi="Arial" w:cs="Arial"/>
                <w:sz w:val="16"/>
                <w:szCs w:val="16"/>
              </w:rPr>
            </w:pPr>
            <w:r>
              <w:rPr>
                <w:rFonts w:ascii="Arial" w:hAnsi="Arial" w:cs="Arial"/>
                <w:sz w:val="16"/>
                <w:szCs w:val="16"/>
              </w:rPr>
              <w:t>Departmental</w:t>
            </w:r>
          </w:p>
        </w:tc>
        <w:tc>
          <w:tcPr>
            <w:tcW w:w="1046" w:type="dxa"/>
            <w:gridSpan w:val="2"/>
            <w:tcBorders>
              <w:top w:val="nil"/>
              <w:left w:val="nil"/>
              <w:right w:val="nil"/>
            </w:tcBorders>
            <w:shd w:val="clear" w:color="auto" w:fill="auto"/>
            <w:noWrap/>
            <w:vAlign w:val="bottom"/>
            <w:hideMark/>
          </w:tcPr>
          <w:p w14:paraId="5FFECE6D" w14:textId="77777777" w:rsidR="00E47926" w:rsidRPr="00E03A92" w:rsidRDefault="00E47926" w:rsidP="00DD4118">
            <w:pPr>
              <w:spacing w:after="0" w:line="240" w:lineRule="auto"/>
              <w:jc w:val="center"/>
              <w:outlineLvl w:val="0"/>
              <w:rPr>
                <w:rFonts w:ascii="Arial" w:hAnsi="Arial" w:cs="Arial"/>
                <w:sz w:val="16"/>
                <w:szCs w:val="16"/>
              </w:rPr>
            </w:pPr>
          </w:p>
        </w:tc>
        <w:tc>
          <w:tcPr>
            <w:tcW w:w="852" w:type="dxa"/>
            <w:tcBorders>
              <w:top w:val="nil"/>
              <w:left w:val="nil"/>
              <w:right w:val="nil"/>
            </w:tcBorders>
            <w:shd w:val="clear" w:color="000000" w:fill="E6E6E6"/>
            <w:noWrap/>
            <w:vAlign w:val="bottom"/>
            <w:hideMark/>
          </w:tcPr>
          <w:p w14:paraId="4D4222F5" w14:textId="1B6FBA05"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864 </w:t>
            </w:r>
          </w:p>
        </w:tc>
        <w:tc>
          <w:tcPr>
            <w:tcW w:w="996" w:type="dxa"/>
            <w:tcBorders>
              <w:top w:val="nil"/>
              <w:left w:val="nil"/>
              <w:right w:val="nil"/>
            </w:tcBorders>
            <w:shd w:val="clear" w:color="auto" w:fill="auto"/>
            <w:noWrap/>
            <w:vAlign w:val="bottom"/>
            <w:hideMark/>
          </w:tcPr>
          <w:p w14:paraId="7D43F867" w14:textId="3E341C18"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63,359 </w:t>
            </w:r>
          </w:p>
        </w:tc>
        <w:tc>
          <w:tcPr>
            <w:tcW w:w="928" w:type="dxa"/>
            <w:tcBorders>
              <w:top w:val="nil"/>
              <w:left w:val="nil"/>
              <w:right w:val="nil"/>
            </w:tcBorders>
            <w:shd w:val="clear" w:color="000000" w:fill="E6E6E6"/>
            <w:noWrap/>
            <w:vAlign w:val="bottom"/>
            <w:hideMark/>
          </w:tcPr>
          <w:p w14:paraId="339D7ABC" w14:textId="15F3B63C"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47,176 </w:t>
            </w:r>
          </w:p>
        </w:tc>
        <w:tc>
          <w:tcPr>
            <w:tcW w:w="928" w:type="dxa"/>
            <w:tcBorders>
              <w:top w:val="nil"/>
              <w:left w:val="nil"/>
              <w:right w:val="nil"/>
            </w:tcBorders>
            <w:shd w:val="clear" w:color="auto" w:fill="auto"/>
            <w:noWrap/>
            <w:vAlign w:val="bottom"/>
            <w:hideMark/>
          </w:tcPr>
          <w:p w14:paraId="3B7A46C1" w14:textId="1F273465"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28,467 </w:t>
            </w:r>
          </w:p>
        </w:tc>
        <w:tc>
          <w:tcPr>
            <w:tcW w:w="928" w:type="dxa"/>
            <w:tcBorders>
              <w:top w:val="nil"/>
              <w:left w:val="nil"/>
              <w:right w:val="nil"/>
            </w:tcBorders>
            <w:shd w:val="clear" w:color="000000" w:fill="E6E6E6"/>
            <w:noWrap/>
            <w:vAlign w:val="bottom"/>
            <w:hideMark/>
          </w:tcPr>
          <w:p w14:paraId="5CF92664" w14:textId="4C952D76" w:rsidR="00E47926" w:rsidRPr="00E03A92" w:rsidRDefault="00E47926" w:rsidP="00E47926">
            <w:pPr>
              <w:spacing w:after="0" w:line="240" w:lineRule="auto"/>
              <w:jc w:val="right"/>
              <w:rPr>
                <w:rFonts w:ascii="Arial" w:hAnsi="Arial" w:cs="Arial"/>
                <w:sz w:val="16"/>
                <w:szCs w:val="16"/>
              </w:rPr>
            </w:pPr>
            <w:r>
              <w:rPr>
                <w:rFonts w:ascii="Arial" w:hAnsi="Arial" w:cs="Arial"/>
                <w:sz w:val="16"/>
                <w:szCs w:val="16"/>
              </w:rPr>
              <w:t xml:space="preserve">25,462 </w:t>
            </w:r>
          </w:p>
        </w:tc>
      </w:tr>
      <w:tr w:rsidR="00E47926" w:rsidRPr="00E03A92" w14:paraId="3A0650F8" w14:textId="77777777" w:rsidTr="001E1B7F">
        <w:trPr>
          <w:trHeight w:val="204"/>
        </w:trPr>
        <w:tc>
          <w:tcPr>
            <w:tcW w:w="2127" w:type="dxa"/>
            <w:tcBorders>
              <w:top w:val="nil"/>
              <w:left w:val="nil"/>
              <w:bottom w:val="single" w:sz="4" w:space="0" w:color="auto"/>
              <w:right w:val="nil"/>
            </w:tcBorders>
            <w:shd w:val="clear" w:color="auto" w:fill="auto"/>
            <w:noWrap/>
            <w:vAlign w:val="bottom"/>
            <w:hideMark/>
          </w:tcPr>
          <w:p w14:paraId="601C9D3E" w14:textId="62ED1671" w:rsidR="00E47926" w:rsidRPr="00E03A92" w:rsidRDefault="00E47926" w:rsidP="00E47926">
            <w:pPr>
              <w:spacing w:after="0" w:line="240" w:lineRule="auto"/>
              <w:jc w:val="left"/>
              <w:rPr>
                <w:rFonts w:ascii="Arial" w:hAnsi="Arial" w:cs="Arial"/>
                <w:b/>
                <w:bCs/>
                <w:sz w:val="16"/>
                <w:szCs w:val="16"/>
              </w:rPr>
            </w:pPr>
            <w:r>
              <w:rPr>
                <w:rFonts w:ascii="Arial" w:hAnsi="Arial" w:cs="Arial"/>
                <w:b/>
                <w:bCs/>
                <w:sz w:val="16"/>
                <w:szCs w:val="16"/>
              </w:rPr>
              <w:t>Total</w:t>
            </w:r>
          </w:p>
        </w:tc>
        <w:tc>
          <w:tcPr>
            <w:tcW w:w="1046" w:type="dxa"/>
            <w:gridSpan w:val="2"/>
            <w:tcBorders>
              <w:top w:val="nil"/>
              <w:left w:val="nil"/>
              <w:bottom w:val="single" w:sz="4" w:space="0" w:color="auto"/>
              <w:right w:val="nil"/>
            </w:tcBorders>
            <w:shd w:val="clear" w:color="auto" w:fill="auto"/>
            <w:noWrap/>
            <w:vAlign w:val="bottom"/>
            <w:hideMark/>
          </w:tcPr>
          <w:p w14:paraId="44C92AAA" w14:textId="77777777" w:rsidR="00E47926" w:rsidRPr="00DD4118" w:rsidRDefault="00E47926" w:rsidP="00DD4118">
            <w:pPr>
              <w:spacing w:after="0" w:line="240" w:lineRule="auto"/>
              <w:jc w:val="center"/>
              <w:outlineLvl w:val="0"/>
              <w:rPr>
                <w:rFonts w:ascii="Arial" w:hAnsi="Arial" w:cs="Arial"/>
                <w:sz w:val="16"/>
                <w:szCs w:val="16"/>
              </w:rPr>
            </w:pPr>
          </w:p>
        </w:tc>
        <w:tc>
          <w:tcPr>
            <w:tcW w:w="852" w:type="dxa"/>
            <w:tcBorders>
              <w:top w:val="nil"/>
              <w:left w:val="nil"/>
              <w:bottom w:val="single" w:sz="4" w:space="0" w:color="auto"/>
              <w:right w:val="nil"/>
            </w:tcBorders>
            <w:shd w:val="clear" w:color="000000" w:fill="E6E6E6"/>
            <w:noWrap/>
            <w:vAlign w:val="bottom"/>
            <w:hideMark/>
          </w:tcPr>
          <w:p w14:paraId="74769F1C" w14:textId="5338F4E4" w:rsidR="00E47926" w:rsidRPr="00E03A92" w:rsidRDefault="00E47926" w:rsidP="00E47926">
            <w:pPr>
              <w:spacing w:after="0" w:line="240" w:lineRule="auto"/>
              <w:jc w:val="right"/>
              <w:rPr>
                <w:rFonts w:ascii="Arial" w:hAnsi="Arial" w:cs="Arial"/>
                <w:b/>
                <w:bCs/>
                <w:sz w:val="16"/>
                <w:szCs w:val="16"/>
              </w:rPr>
            </w:pPr>
            <w:r>
              <w:rPr>
                <w:rFonts w:ascii="Arial" w:hAnsi="Arial" w:cs="Arial"/>
                <w:b/>
                <w:bCs/>
                <w:sz w:val="16"/>
                <w:szCs w:val="16"/>
              </w:rPr>
              <w:t xml:space="preserve">476,644 </w:t>
            </w:r>
          </w:p>
        </w:tc>
        <w:tc>
          <w:tcPr>
            <w:tcW w:w="996" w:type="dxa"/>
            <w:tcBorders>
              <w:top w:val="nil"/>
              <w:left w:val="nil"/>
              <w:bottom w:val="single" w:sz="4" w:space="0" w:color="auto"/>
              <w:right w:val="nil"/>
            </w:tcBorders>
            <w:shd w:val="clear" w:color="auto" w:fill="auto"/>
            <w:noWrap/>
            <w:vAlign w:val="bottom"/>
            <w:hideMark/>
          </w:tcPr>
          <w:p w14:paraId="05C2EFD5" w14:textId="67BF61FF" w:rsidR="00E47926" w:rsidRPr="00E03A92" w:rsidRDefault="00E47926" w:rsidP="00E47926">
            <w:pPr>
              <w:spacing w:after="0" w:line="240" w:lineRule="auto"/>
              <w:jc w:val="right"/>
              <w:rPr>
                <w:rFonts w:ascii="Arial" w:hAnsi="Arial" w:cs="Arial"/>
                <w:b/>
                <w:bCs/>
                <w:sz w:val="16"/>
                <w:szCs w:val="16"/>
              </w:rPr>
            </w:pPr>
            <w:r>
              <w:rPr>
                <w:rFonts w:ascii="Arial" w:hAnsi="Arial" w:cs="Arial"/>
                <w:b/>
                <w:bCs/>
                <w:sz w:val="16"/>
                <w:szCs w:val="16"/>
              </w:rPr>
              <w:t xml:space="preserve">860,134 </w:t>
            </w:r>
          </w:p>
        </w:tc>
        <w:tc>
          <w:tcPr>
            <w:tcW w:w="928" w:type="dxa"/>
            <w:tcBorders>
              <w:top w:val="nil"/>
              <w:left w:val="nil"/>
              <w:bottom w:val="single" w:sz="4" w:space="0" w:color="auto"/>
              <w:right w:val="nil"/>
            </w:tcBorders>
            <w:shd w:val="clear" w:color="000000" w:fill="E6E6E6"/>
            <w:noWrap/>
            <w:vAlign w:val="bottom"/>
            <w:hideMark/>
          </w:tcPr>
          <w:p w14:paraId="22777F32" w14:textId="3133C440" w:rsidR="00E47926" w:rsidRPr="00E03A92" w:rsidRDefault="00E47926" w:rsidP="00E47926">
            <w:pPr>
              <w:spacing w:after="0" w:line="240" w:lineRule="auto"/>
              <w:jc w:val="right"/>
              <w:rPr>
                <w:rFonts w:ascii="Arial" w:hAnsi="Arial" w:cs="Arial"/>
                <w:b/>
                <w:bCs/>
                <w:sz w:val="16"/>
                <w:szCs w:val="16"/>
              </w:rPr>
            </w:pPr>
            <w:r>
              <w:rPr>
                <w:rFonts w:ascii="Arial" w:hAnsi="Arial" w:cs="Arial"/>
                <w:b/>
                <w:bCs/>
                <w:sz w:val="16"/>
                <w:szCs w:val="16"/>
              </w:rPr>
              <w:t xml:space="preserve">1,301,133 </w:t>
            </w:r>
          </w:p>
        </w:tc>
        <w:tc>
          <w:tcPr>
            <w:tcW w:w="928" w:type="dxa"/>
            <w:tcBorders>
              <w:top w:val="nil"/>
              <w:left w:val="nil"/>
              <w:bottom w:val="single" w:sz="4" w:space="0" w:color="auto"/>
              <w:right w:val="nil"/>
            </w:tcBorders>
            <w:shd w:val="clear" w:color="auto" w:fill="auto"/>
            <w:noWrap/>
            <w:vAlign w:val="bottom"/>
            <w:hideMark/>
          </w:tcPr>
          <w:p w14:paraId="5D575935" w14:textId="5ADAC619" w:rsidR="00E47926" w:rsidRPr="00E03A92" w:rsidRDefault="00E47926" w:rsidP="00E47926">
            <w:pPr>
              <w:spacing w:after="0" w:line="240" w:lineRule="auto"/>
              <w:jc w:val="right"/>
              <w:rPr>
                <w:rFonts w:ascii="Arial" w:hAnsi="Arial" w:cs="Arial"/>
                <w:b/>
                <w:bCs/>
                <w:sz w:val="16"/>
                <w:szCs w:val="16"/>
              </w:rPr>
            </w:pPr>
            <w:r>
              <w:rPr>
                <w:rFonts w:ascii="Arial" w:hAnsi="Arial" w:cs="Arial"/>
                <w:b/>
                <w:bCs/>
                <w:sz w:val="16"/>
                <w:szCs w:val="16"/>
              </w:rPr>
              <w:t xml:space="preserve">1,472,006 </w:t>
            </w:r>
          </w:p>
        </w:tc>
        <w:tc>
          <w:tcPr>
            <w:tcW w:w="928" w:type="dxa"/>
            <w:tcBorders>
              <w:top w:val="nil"/>
              <w:left w:val="nil"/>
              <w:bottom w:val="single" w:sz="4" w:space="0" w:color="auto"/>
              <w:right w:val="nil"/>
            </w:tcBorders>
            <w:shd w:val="clear" w:color="000000" w:fill="E6E6E6"/>
            <w:noWrap/>
            <w:vAlign w:val="bottom"/>
            <w:hideMark/>
          </w:tcPr>
          <w:p w14:paraId="7B06415C" w14:textId="7BB21248" w:rsidR="00E47926" w:rsidRPr="00E03A92" w:rsidRDefault="00E47926" w:rsidP="00E47926">
            <w:pPr>
              <w:spacing w:after="0" w:line="240" w:lineRule="auto"/>
              <w:jc w:val="right"/>
              <w:rPr>
                <w:rFonts w:ascii="Arial" w:hAnsi="Arial" w:cs="Arial"/>
                <w:b/>
                <w:bCs/>
                <w:sz w:val="16"/>
                <w:szCs w:val="16"/>
              </w:rPr>
            </w:pPr>
            <w:r>
              <w:rPr>
                <w:rFonts w:ascii="Arial" w:hAnsi="Arial" w:cs="Arial"/>
                <w:b/>
                <w:bCs/>
                <w:sz w:val="16"/>
                <w:szCs w:val="16"/>
              </w:rPr>
              <w:t xml:space="preserve">1,085,473 </w:t>
            </w:r>
          </w:p>
        </w:tc>
      </w:tr>
    </w:tbl>
    <w:p w14:paraId="1DA1E2A5" w14:textId="108BC7FE" w:rsidR="00B91F3E" w:rsidRDefault="00B91F3E" w:rsidP="00520588">
      <w:pPr>
        <w:pStyle w:val="ChartandTableFootnote"/>
        <w:spacing w:before="60"/>
        <w:jc w:val="left"/>
      </w:pPr>
      <w:r w:rsidRPr="00704BB6">
        <w:t>Prepared on a Government Finance Statistics (Underlying Cash) basis. Figures displayed as a negative (-) represent a decrease in funds and a positive (+) represent an increase in funds.</w:t>
      </w:r>
    </w:p>
    <w:p w14:paraId="6B4B6E08" w14:textId="6015A542" w:rsidR="004F2024" w:rsidRDefault="004F2024" w:rsidP="00EB6CBF">
      <w:pPr>
        <w:pStyle w:val="ChartandTableFootnoteAlpha"/>
        <w:numPr>
          <w:ilvl w:val="0"/>
          <w:numId w:val="7"/>
        </w:numPr>
        <w:tabs>
          <w:tab w:val="clear" w:pos="284"/>
        </w:tabs>
        <w:jc w:val="left"/>
        <w:rPr>
          <w:rFonts w:cs="Arial"/>
          <w:szCs w:val="16"/>
        </w:rPr>
      </w:pPr>
      <w:r>
        <w:rPr>
          <w:rFonts w:cs="Arial"/>
          <w:szCs w:val="16"/>
        </w:rPr>
        <w:t>This measure was previously published in the 2021-22 Portfolio Additional Estimates Statement as Northern Australia Infrastructure Facility – Increased Appropriation.</w:t>
      </w:r>
    </w:p>
    <w:p w14:paraId="33F33EB7" w14:textId="5396BB83" w:rsidR="004F2024" w:rsidRDefault="004F2024" w:rsidP="00EB6CBF">
      <w:pPr>
        <w:pStyle w:val="ChartandTableFootnoteAlpha"/>
        <w:numPr>
          <w:ilvl w:val="0"/>
          <w:numId w:val="7"/>
        </w:numPr>
        <w:tabs>
          <w:tab w:val="clear" w:pos="284"/>
        </w:tabs>
        <w:jc w:val="left"/>
        <w:rPr>
          <w:rFonts w:cs="Arial"/>
          <w:szCs w:val="16"/>
        </w:rPr>
      </w:pPr>
      <w:r>
        <w:rPr>
          <w:rFonts w:cs="Arial"/>
          <w:szCs w:val="16"/>
        </w:rPr>
        <w:t>The impact of this measure is reported by the Treasury for payments through the States and Territories for National Partnership payments.</w:t>
      </w:r>
    </w:p>
    <w:p w14:paraId="6680A5E9" w14:textId="5E7E7D5F" w:rsidR="00B91F3E" w:rsidRDefault="00B91F3E" w:rsidP="003926A3">
      <w:pPr>
        <w:pStyle w:val="ChartandTableFootnoteAlpha"/>
        <w:numPr>
          <w:ilvl w:val="0"/>
          <w:numId w:val="7"/>
        </w:numPr>
        <w:jc w:val="left"/>
        <w:rPr>
          <w:rFonts w:cs="Arial"/>
          <w:szCs w:val="16"/>
        </w:rPr>
      </w:pPr>
      <w:r w:rsidRPr="003639A7">
        <w:rPr>
          <w:rFonts w:cs="Arial"/>
          <w:szCs w:val="16"/>
        </w:rPr>
        <w:t>‘nfp’ figures are not for publication due to commercial sensitivities and are not included in totals.</w:t>
      </w:r>
    </w:p>
    <w:p w14:paraId="70A2C0A1" w14:textId="77777777" w:rsidR="004B3735" w:rsidRPr="004B3735" w:rsidRDefault="004B3735" w:rsidP="004B3735">
      <w:pPr>
        <w:pStyle w:val="ChartandTableFootnoteAlpha"/>
        <w:numPr>
          <w:ilvl w:val="0"/>
          <w:numId w:val="7"/>
        </w:numPr>
        <w:rPr>
          <w:rFonts w:cs="Arial"/>
          <w:szCs w:val="16"/>
        </w:rPr>
      </w:pPr>
      <w:r w:rsidRPr="004B3735">
        <w:rPr>
          <w:rFonts w:cs="Arial"/>
          <w:szCs w:val="16"/>
        </w:rPr>
        <w:t>Includes funding for items previously classified as Decisions Taken But Not Yet Announced.</w:t>
      </w:r>
    </w:p>
    <w:p w14:paraId="359C93E2" w14:textId="77777777" w:rsidR="004B3735" w:rsidRPr="004B3735" w:rsidRDefault="004B3735" w:rsidP="004B3735"/>
    <w:p w14:paraId="761A45FB" w14:textId="77777777" w:rsidR="00B91F3E" w:rsidRDefault="00B91F3E" w:rsidP="00B91F3E">
      <w:pPr>
        <w:pStyle w:val="NoSpacing"/>
      </w:pPr>
    </w:p>
    <w:p w14:paraId="68FBB08F" w14:textId="77777777" w:rsidR="00B91F3E" w:rsidRDefault="00B91F3E" w:rsidP="00B91F3E">
      <w:pPr>
        <w:spacing w:after="0" w:line="240" w:lineRule="auto"/>
        <w:jc w:val="left"/>
        <w:rPr>
          <w:rFonts w:ascii="Arial Bold" w:hAnsi="Arial Bold"/>
          <w:b/>
        </w:rPr>
      </w:pPr>
      <w:r>
        <w:br w:type="page"/>
      </w:r>
    </w:p>
    <w:p w14:paraId="1AB139E4" w14:textId="77777777" w:rsidR="00B91F3E" w:rsidRPr="00810C6A" w:rsidRDefault="00B91F3E" w:rsidP="00B91F3E">
      <w:pPr>
        <w:pStyle w:val="Heading2-DITRDC"/>
      </w:pPr>
      <w:bookmarkStart w:id="19" w:name="_Toc444523512"/>
      <w:bookmarkStart w:id="20" w:name="_Toc190682312"/>
      <w:bookmarkStart w:id="21" w:name="_Toc190682530"/>
      <w:bookmarkStart w:id="22" w:name="_Toc99295947"/>
      <w:r w:rsidRPr="00810C6A">
        <w:lastRenderedPageBreak/>
        <w:t xml:space="preserve">Section 2: </w:t>
      </w:r>
      <w:r w:rsidRPr="00F12AB6">
        <w:t>Outcomes</w:t>
      </w:r>
      <w:r w:rsidRPr="00810C6A">
        <w:t xml:space="preserve"> and planned performance</w:t>
      </w:r>
      <w:bookmarkEnd w:id="19"/>
      <w:bookmarkEnd w:id="22"/>
    </w:p>
    <w:p w14:paraId="1C068E70" w14:textId="77777777" w:rsidR="00B91F3E" w:rsidRPr="005E6F2B" w:rsidRDefault="00B91F3E" w:rsidP="00B91F3E">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293116A" w14:textId="77777777" w:rsidR="00B91F3E" w:rsidRPr="00CF3A94" w:rsidRDefault="00B91F3E" w:rsidP="00B91F3E">
      <w:pPr>
        <w:jc w:val="left"/>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CF3A94">
        <w:rPr>
          <w:color w:val="000000" w:themeColor="text1"/>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B91F3E" w14:paraId="2F6800D3" w14:textId="77777777" w:rsidTr="00F96D8A">
        <w:tc>
          <w:tcPr>
            <w:tcW w:w="7700" w:type="dxa"/>
          </w:tcPr>
          <w:p w14:paraId="1F0FE83A" w14:textId="77777777" w:rsidR="00B91F3E" w:rsidRPr="006906E4" w:rsidRDefault="00B91F3E" w:rsidP="00F96D8A">
            <w:pPr>
              <w:spacing w:before="120" w:after="120" w:line="240" w:lineRule="auto"/>
              <w:jc w:val="left"/>
              <w:rPr>
                <w:b/>
              </w:rPr>
            </w:pPr>
            <w:r w:rsidRPr="006906E4">
              <w:rPr>
                <w:b/>
              </w:rPr>
              <w:t>Note:</w:t>
            </w:r>
          </w:p>
          <w:p w14:paraId="404CAEF2" w14:textId="75A2A202" w:rsidR="00B91F3E" w:rsidRDefault="00B91F3E" w:rsidP="009B4C08">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AF125E">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CD76EA">
              <w:t>–</w:t>
            </w:r>
            <w:r>
              <w:t xml:space="preserve"> to provide a complete picture of an entity’s planned and actual performance.</w:t>
            </w:r>
          </w:p>
          <w:p w14:paraId="58E04464" w14:textId="30535A59" w:rsidR="00B91F3E" w:rsidRPr="00F96D8A" w:rsidRDefault="00B91F3E" w:rsidP="00F96D8A">
            <w:pPr>
              <w:jc w:val="left"/>
            </w:pPr>
            <w:r w:rsidRPr="00F96D8A">
              <w:t xml:space="preserve">The most recent corporate plan for the </w:t>
            </w:r>
            <w:r w:rsidR="003C4CC6">
              <w:t>Department</w:t>
            </w:r>
            <w:r w:rsidRPr="00F96D8A">
              <w:t xml:space="preserve"> of Infrastructure, Transport, Regional Development and Communications can be found at: </w:t>
            </w:r>
            <w:r w:rsidRPr="00F96D8A">
              <w:rPr>
                <w:rFonts w:eastAsia="Calibri"/>
                <w:u w:val="single"/>
                <w:lang w:eastAsia="en-US"/>
              </w:rPr>
              <w:t>https://www.infrastructure.gov.au/</w:t>
            </w:r>
            <w:r w:rsidR="003C4CC6">
              <w:rPr>
                <w:rFonts w:eastAsia="Calibri"/>
                <w:u w:val="single"/>
                <w:lang w:eastAsia="en-US"/>
              </w:rPr>
              <w:t>Department</w:t>
            </w:r>
            <w:r w:rsidRPr="00F96D8A">
              <w:rPr>
                <w:rFonts w:eastAsia="Calibri"/>
                <w:u w:val="single"/>
                <w:lang w:eastAsia="en-US"/>
              </w:rPr>
              <w:t>/about/corporate-plan</w:t>
            </w:r>
            <w:r w:rsidRPr="00F96D8A">
              <w:t>.</w:t>
            </w:r>
          </w:p>
          <w:p w14:paraId="2EAC9F4C" w14:textId="5B433F61" w:rsidR="00B91F3E" w:rsidRDefault="00B91F3E" w:rsidP="00F96D8A">
            <w:pPr>
              <w:jc w:val="left"/>
            </w:pPr>
            <w:r>
              <w:t xml:space="preserve">The most recent annual performance statement can be found at: </w:t>
            </w:r>
            <w:hyperlink r:id="rId21" w:history="1">
              <w:r w:rsidRPr="00CF0E2C">
                <w:rPr>
                  <w:rStyle w:val="Hyperlink"/>
                  <w:u w:val="single"/>
                </w:rPr>
                <w:t>https://www.infrastructure.gov.au/</w:t>
              </w:r>
              <w:r w:rsidR="003C4CC6">
                <w:rPr>
                  <w:rStyle w:val="Hyperlink"/>
                  <w:u w:val="single"/>
                </w:rPr>
                <w:t>Department</w:t>
              </w:r>
              <w:r w:rsidRPr="00CF0E2C">
                <w:rPr>
                  <w:rStyle w:val="Hyperlink"/>
                  <w:u w:val="single"/>
                </w:rPr>
                <w:t>/annual_report</w:t>
              </w:r>
            </w:hyperlink>
            <w:r w:rsidRPr="00CF0E2C">
              <w:t>.</w:t>
            </w:r>
          </w:p>
        </w:tc>
      </w:tr>
    </w:tbl>
    <w:p w14:paraId="43F46CCD" w14:textId="77777777" w:rsidR="00B91F3E" w:rsidRDefault="00B91F3E" w:rsidP="00B91F3E">
      <w:pPr>
        <w:rPr>
          <w:highlight w:val="yellow"/>
        </w:rPr>
      </w:pPr>
    </w:p>
    <w:p w14:paraId="12FEDFA0" w14:textId="77777777" w:rsidR="00B91F3E" w:rsidRDefault="00B91F3E" w:rsidP="00B91F3E">
      <w:pPr>
        <w:pStyle w:val="Heading3"/>
        <w:sectPr w:rsidR="00B91F3E" w:rsidSect="00C5325F">
          <w:headerReference w:type="even" r:id="rId22"/>
          <w:headerReference w:type="default" r:id="rId23"/>
          <w:headerReference w:type="first" r:id="rId24"/>
          <w:footerReference w:type="first" r:id="rId25"/>
          <w:type w:val="oddPage"/>
          <w:pgSz w:w="11906" w:h="16838" w:code="9"/>
          <w:pgMar w:top="2466" w:right="2098" w:bottom="2466" w:left="2098" w:header="1814" w:footer="1814" w:gutter="0"/>
          <w:pgNumType w:start="21"/>
          <w:cols w:space="708"/>
          <w:titlePg/>
          <w:docGrid w:linePitch="360"/>
        </w:sectPr>
      </w:pPr>
    </w:p>
    <w:p w14:paraId="56D5A6DC" w14:textId="77777777" w:rsidR="00B91F3E" w:rsidRPr="00F743D8" w:rsidRDefault="00B91F3E" w:rsidP="00B91F3E">
      <w:pPr>
        <w:pStyle w:val="Heading3-DITRDC"/>
      </w:pPr>
      <w:bookmarkStart w:id="24" w:name="_Toc444523513"/>
      <w:bookmarkStart w:id="25" w:name="_Toc99295948"/>
      <w:r>
        <w:lastRenderedPageBreak/>
        <w:t>2.1</w:t>
      </w:r>
      <w:r w:rsidRPr="00F743D8">
        <w:t xml:space="preserve"> </w:t>
      </w:r>
      <w:r w:rsidRPr="00F743D8">
        <w:tab/>
        <w:t xml:space="preserve">Budgeted expenses and performance for Outcome </w:t>
      </w:r>
      <w:bookmarkEnd w:id="24"/>
      <w:r>
        <w:t>1</w:t>
      </w:r>
      <w:bookmarkEnd w:id="2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B91F3E" w:rsidRPr="00842923" w14:paraId="0C222201" w14:textId="77777777" w:rsidTr="00F96D8A">
        <w:tc>
          <w:tcPr>
            <w:tcW w:w="7704" w:type="dxa"/>
            <w:shd w:val="clear" w:color="auto" w:fill="E6E6E6"/>
          </w:tcPr>
          <w:p w14:paraId="5D6F266E" w14:textId="77777777" w:rsidR="00B91F3E" w:rsidRPr="00842923" w:rsidRDefault="00B91F3E" w:rsidP="00F96D8A">
            <w:pPr>
              <w:pStyle w:val="TableColumnHeadingLeft"/>
            </w:pPr>
            <w:r w:rsidRPr="00F862B3">
              <w:t xml:space="preserve">Outcome </w:t>
            </w:r>
            <w:r>
              <w:t>1</w:t>
            </w:r>
            <w:r w:rsidRPr="00F862B3">
              <w:t xml:space="preserve">: </w:t>
            </w:r>
            <w:r w:rsidRPr="00842923">
              <w:t>Improved infrastructure across Australia through investment in and coordination of transport and other infrastructure</w:t>
            </w:r>
          </w:p>
        </w:tc>
      </w:tr>
    </w:tbl>
    <w:p w14:paraId="147F4440" w14:textId="77777777" w:rsidR="00B91F3E" w:rsidRPr="005E6F2B" w:rsidRDefault="00B91F3E" w:rsidP="00B91F3E">
      <w:pPr>
        <w:pStyle w:val="NoSpacing"/>
      </w:pPr>
    </w:p>
    <w:p w14:paraId="716A1474" w14:textId="77777777" w:rsidR="00B91F3E" w:rsidRPr="007142B7" w:rsidRDefault="00B91F3E" w:rsidP="00B91F3E">
      <w:pPr>
        <w:pStyle w:val="Heading4"/>
        <w:rPr>
          <w:rStyle w:val="ExampletextCharChar"/>
          <w:b w:val="0"/>
          <w:bCs/>
          <w:iCs/>
          <w:color w:val="000000" w:themeColor="text1"/>
        </w:rPr>
      </w:pPr>
      <w:r w:rsidRPr="005E6F2B">
        <w:t xml:space="preserve">Linked </w:t>
      </w:r>
      <w:r w:rsidRPr="007142B7">
        <w:rPr>
          <w:color w:val="000000" w:themeColor="text1"/>
        </w:rPr>
        <w:t xml:space="preserve">programs </w:t>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2"/>
      </w:tblGrid>
      <w:tr w:rsidR="00B91F3E" w:rsidRPr="00FC696C" w14:paraId="5A47B533" w14:textId="77777777" w:rsidTr="00F96D8A">
        <w:trPr>
          <w:trHeight w:val="2156"/>
          <w:tblHeader/>
        </w:trPr>
        <w:tc>
          <w:tcPr>
            <w:tcW w:w="7542" w:type="dxa"/>
            <w:tcBorders>
              <w:bottom w:val="single" w:sz="4" w:space="0" w:color="auto"/>
            </w:tcBorders>
          </w:tcPr>
          <w:p w14:paraId="0D9F91BE" w14:textId="77777777" w:rsidR="00B91F3E" w:rsidRPr="00FC696C" w:rsidRDefault="00B91F3E" w:rsidP="00F96D8A">
            <w:pPr>
              <w:spacing w:before="60" w:after="60" w:line="240" w:lineRule="auto"/>
              <w:rPr>
                <w:b/>
              </w:rPr>
            </w:pPr>
            <w:r w:rsidRPr="00FC696C">
              <w:rPr>
                <w:b/>
              </w:rPr>
              <w:t>Director of National Parks</w:t>
            </w:r>
          </w:p>
          <w:p w14:paraId="3DA6D335" w14:textId="77777777" w:rsidR="00B91F3E" w:rsidRPr="00FC696C" w:rsidRDefault="00B91F3E" w:rsidP="00F96D8A">
            <w:pPr>
              <w:spacing w:before="60" w:after="60" w:line="240" w:lineRule="auto"/>
              <w:rPr>
                <w:b/>
              </w:rPr>
            </w:pPr>
            <w:r w:rsidRPr="00FC696C">
              <w:rPr>
                <w:b/>
              </w:rPr>
              <w:t>Programs</w:t>
            </w:r>
          </w:p>
          <w:p w14:paraId="44016009" w14:textId="77777777" w:rsidR="00B91F3E" w:rsidRPr="00FC696C" w:rsidRDefault="00B91F3E" w:rsidP="003926A3">
            <w:pPr>
              <w:numPr>
                <w:ilvl w:val="0"/>
                <w:numId w:val="8"/>
              </w:numPr>
              <w:spacing w:before="60" w:after="60" w:line="240" w:lineRule="auto"/>
              <w:ind w:left="357" w:hanging="357"/>
            </w:pPr>
            <w:r w:rsidRPr="00472C97">
              <w:rPr>
                <w:lang w:val="en-US"/>
              </w:rPr>
              <w:t>Program</w:t>
            </w:r>
            <w:r w:rsidRPr="00FC696C">
              <w:t xml:space="preserve"> 1.1: Parks and Reserves</w:t>
            </w:r>
          </w:p>
          <w:p w14:paraId="03CE1390" w14:textId="77777777" w:rsidR="00B91F3E" w:rsidRPr="00FC696C" w:rsidRDefault="00B91F3E" w:rsidP="00F96D8A">
            <w:pPr>
              <w:spacing w:before="60" w:after="60" w:line="240" w:lineRule="auto"/>
              <w:rPr>
                <w:b/>
              </w:rPr>
            </w:pPr>
            <w:r w:rsidRPr="00FC696C">
              <w:rPr>
                <w:b/>
              </w:rPr>
              <w:t>Contribution to Outcome 1 made by linked programs</w:t>
            </w:r>
          </w:p>
          <w:p w14:paraId="13D12A12" w14:textId="43E67647" w:rsidR="00B91F3E" w:rsidRPr="00FC696C" w:rsidRDefault="00B91F3E" w:rsidP="00F96D8A">
            <w:pPr>
              <w:spacing w:before="60" w:after="60" w:line="240" w:lineRule="auto"/>
              <w:jc w:val="left"/>
            </w:pPr>
            <w:r w:rsidRPr="00FB73DA">
              <w:t xml:space="preserve">The Director of National Parks is working with the </w:t>
            </w:r>
            <w:r w:rsidR="003C4CC6">
              <w:t>Department</w:t>
            </w:r>
            <w:r w:rsidRPr="00FB73DA">
              <w:t xml:space="preserve"> of Infrastructure, Transport, Regional Development and Communications to secure the future of Jabiru by supporting the township’s transition from a reliance on mining to a tourism-based economy that leverages its proximity to the Kakadu National Park. Funding of $70 million for roads within Kakadu National Park under the Infrastructure Investment Program will complement an investment of more than $100 million by the Australian Government to improve tourism infrastructure across the park and to bolster the local economy and support Indigenous businesses and employment</w:t>
            </w:r>
            <w:r w:rsidRPr="00FC696C">
              <w:t>.</w:t>
            </w:r>
          </w:p>
        </w:tc>
      </w:tr>
      <w:tr w:rsidR="00B91F3E" w:rsidRPr="00FC696C" w14:paraId="4DADCBD2" w14:textId="77777777" w:rsidTr="00F96D8A">
        <w:trPr>
          <w:trHeight w:val="2156"/>
          <w:tblHeader/>
        </w:trPr>
        <w:tc>
          <w:tcPr>
            <w:tcW w:w="7542" w:type="dxa"/>
            <w:tcBorders>
              <w:bottom w:val="single" w:sz="4" w:space="0" w:color="auto"/>
            </w:tcBorders>
          </w:tcPr>
          <w:p w14:paraId="0BFF5C5E" w14:textId="77777777" w:rsidR="00B91F3E" w:rsidRPr="00FC696C" w:rsidRDefault="00B91F3E" w:rsidP="00F96D8A">
            <w:pPr>
              <w:spacing w:before="60" w:after="60" w:line="240" w:lineRule="auto"/>
              <w:rPr>
                <w:b/>
              </w:rPr>
            </w:pPr>
            <w:r w:rsidRPr="00FC696C">
              <w:rPr>
                <w:b/>
              </w:rPr>
              <w:t>The Treasury</w:t>
            </w:r>
          </w:p>
          <w:p w14:paraId="5E8738C5" w14:textId="77777777" w:rsidR="00B91F3E" w:rsidRPr="00FC696C" w:rsidRDefault="00B91F3E" w:rsidP="00F96D8A">
            <w:pPr>
              <w:spacing w:before="60" w:after="60" w:line="240" w:lineRule="auto"/>
              <w:rPr>
                <w:b/>
              </w:rPr>
            </w:pPr>
            <w:r w:rsidRPr="00FC696C">
              <w:rPr>
                <w:b/>
              </w:rPr>
              <w:t>Programs</w:t>
            </w:r>
          </w:p>
          <w:p w14:paraId="0499C75E" w14:textId="77777777" w:rsidR="00B91F3E" w:rsidRPr="00FC696C" w:rsidRDefault="00B91F3E" w:rsidP="003926A3">
            <w:pPr>
              <w:numPr>
                <w:ilvl w:val="0"/>
                <w:numId w:val="8"/>
              </w:numPr>
              <w:spacing w:before="60" w:after="60" w:line="240" w:lineRule="auto"/>
              <w:ind w:left="357" w:hanging="357"/>
              <w:rPr>
                <w:i/>
              </w:rPr>
            </w:pPr>
            <w:r w:rsidRPr="00FC696C">
              <w:rPr>
                <w:lang w:val="en-US"/>
              </w:rPr>
              <w:t>Program 1.9: National Partnership Payments to the states</w:t>
            </w:r>
          </w:p>
          <w:p w14:paraId="1A8226E9" w14:textId="77777777" w:rsidR="00B91F3E" w:rsidRPr="00FC696C" w:rsidRDefault="00B91F3E" w:rsidP="00F96D8A">
            <w:pPr>
              <w:spacing w:before="60" w:after="60" w:line="240" w:lineRule="auto"/>
              <w:rPr>
                <w:b/>
                <w:i/>
              </w:rPr>
            </w:pPr>
            <w:r w:rsidRPr="00FC696C">
              <w:rPr>
                <w:b/>
                <w:lang w:val="en-US"/>
              </w:rPr>
              <w:t>Contribution to Outcome 1 made by linked programs</w:t>
            </w:r>
          </w:p>
          <w:p w14:paraId="0E1B703F" w14:textId="6C5DBDC4" w:rsidR="00B91F3E" w:rsidRPr="00FC696C" w:rsidRDefault="00B91F3E" w:rsidP="00F96D8A">
            <w:pPr>
              <w:spacing w:before="60" w:after="60" w:line="240" w:lineRule="auto"/>
              <w:jc w:val="left"/>
            </w:pPr>
            <w:r w:rsidRPr="00FB73DA">
              <w:t xml:space="preserve">The above linkage relates to National Partnership Payments which are paid through the </w:t>
            </w:r>
            <w:r w:rsidR="003C4CC6">
              <w:t>Department</w:t>
            </w:r>
            <w:r w:rsidRPr="00FB73DA">
              <w:t xml:space="preserve"> of the Treasury as part of the Federation Funding Agreements Framework</w:t>
            </w:r>
            <w:r w:rsidRPr="00FC696C">
              <w:t>.</w:t>
            </w:r>
          </w:p>
        </w:tc>
      </w:tr>
    </w:tbl>
    <w:p w14:paraId="1F711434" w14:textId="77777777" w:rsidR="00B91F3E" w:rsidRPr="00B3104B" w:rsidRDefault="00B91F3E" w:rsidP="00B91F3E">
      <w:pPr>
        <w:pStyle w:val="SingleParagraph"/>
      </w:pPr>
    </w:p>
    <w:p w14:paraId="5020CB5B" w14:textId="77777777" w:rsidR="00B91F3E" w:rsidRPr="00302493" w:rsidRDefault="00B91F3E" w:rsidP="00B91F3E">
      <w:pPr>
        <w:pStyle w:val="Heading5"/>
        <w:rPr>
          <w:b/>
        </w:rPr>
      </w:pPr>
      <w:r>
        <w:br w:type="page"/>
      </w:r>
      <w:r w:rsidRPr="00302493">
        <w:rPr>
          <w:b/>
        </w:rPr>
        <w:lastRenderedPageBreak/>
        <w:t>Budgeted expenses for Outcome 1</w:t>
      </w:r>
    </w:p>
    <w:p w14:paraId="1526524E" w14:textId="50169D2E" w:rsidR="00B91F3E" w:rsidRDefault="00B91F3E" w:rsidP="00B91F3E">
      <w:pPr>
        <w:jc w:val="left"/>
      </w:pPr>
      <w:r w:rsidRPr="00950281">
        <w:t xml:space="preserve">This table shows how much the </w:t>
      </w:r>
      <w:r w:rsidR="003C4CC6">
        <w:t>Department</w:t>
      </w:r>
      <w:r w:rsidRPr="00950281">
        <w:t xml:space="preserve"> intends to spend (on an accrual basis) on achieving the outcome, broken down by program, as well as by </w:t>
      </w:r>
      <w:r w:rsidR="0064083D">
        <w:t>a</w:t>
      </w:r>
      <w:r w:rsidRPr="00950281">
        <w:t>dministered an</w:t>
      </w:r>
      <w:r>
        <w:t xml:space="preserve">d </w:t>
      </w:r>
      <w:r w:rsidR="0064083D">
        <w:t>d</w:t>
      </w:r>
      <w:r w:rsidR="003C4CC6">
        <w:t>epartment</w:t>
      </w:r>
      <w:r>
        <w:t>al funding sources.</w:t>
      </w:r>
    </w:p>
    <w:p w14:paraId="7A30318E" w14:textId="77777777" w:rsidR="00B91F3E" w:rsidRPr="00C110E4" w:rsidRDefault="00B91F3E" w:rsidP="00B91F3E">
      <w:pPr>
        <w:spacing w:after="0"/>
        <w:rPr>
          <w:rFonts w:ascii="Arial" w:hAnsi="Arial" w:cs="Arial"/>
          <w:b/>
        </w:rPr>
      </w:pPr>
      <w:r w:rsidRPr="00C110E4">
        <w:rPr>
          <w:rFonts w:ascii="Arial" w:hAnsi="Arial" w:cs="Arial"/>
          <w:b/>
        </w:rPr>
        <w:t>Table 2.1.1: Budgeted expenses for Outcome 1</w:t>
      </w:r>
    </w:p>
    <w:tbl>
      <w:tblPr>
        <w:tblW w:w="7608" w:type="dxa"/>
        <w:tblLayout w:type="fixed"/>
        <w:tblLook w:val="04A0" w:firstRow="1" w:lastRow="0" w:firstColumn="1" w:lastColumn="0" w:noHBand="0" w:noVBand="1"/>
      </w:tblPr>
      <w:tblGrid>
        <w:gridCol w:w="2975"/>
        <w:gridCol w:w="69"/>
        <w:gridCol w:w="926"/>
        <w:gridCol w:w="850"/>
        <w:gridCol w:w="977"/>
        <w:gridCol w:w="19"/>
        <w:gridCol w:w="863"/>
        <w:gridCol w:w="31"/>
        <w:gridCol w:w="866"/>
        <w:gridCol w:w="32"/>
      </w:tblGrid>
      <w:tr w:rsidR="00B91F3E" w:rsidRPr="00A71EE7" w14:paraId="1F16E5B3" w14:textId="77777777" w:rsidTr="00F96D8A">
        <w:trPr>
          <w:gridAfter w:val="1"/>
          <w:wAfter w:w="32" w:type="dxa"/>
          <w:trHeight w:val="204"/>
        </w:trPr>
        <w:tc>
          <w:tcPr>
            <w:tcW w:w="2975" w:type="dxa"/>
            <w:tcBorders>
              <w:top w:val="single" w:sz="4" w:space="0" w:color="auto"/>
              <w:left w:val="nil"/>
              <w:bottom w:val="single" w:sz="4" w:space="0" w:color="auto"/>
              <w:right w:val="nil"/>
            </w:tcBorders>
            <w:shd w:val="clear" w:color="auto" w:fill="auto"/>
            <w:noWrap/>
            <w:vAlign w:val="bottom"/>
            <w:hideMark/>
          </w:tcPr>
          <w:p w14:paraId="25EA0FC5" w14:textId="77777777" w:rsidR="00B91F3E" w:rsidRPr="00A71EE7" w:rsidRDefault="00B91F3E" w:rsidP="00F96D8A">
            <w:pPr>
              <w:spacing w:after="0" w:line="240" w:lineRule="auto"/>
              <w:jc w:val="left"/>
              <w:rPr>
                <w:rFonts w:ascii="Arial" w:hAnsi="Arial" w:cs="Arial"/>
                <w:sz w:val="16"/>
                <w:szCs w:val="16"/>
              </w:rPr>
            </w:pPr>
            <w:r w:rsidRPr="00A71EE7">
              <w:rPr>
                <w:rFonts w:ascii="Arial" w:hAnsi="Arial" w:cs="Arial"/>
                <w:sz w:val="16"/>
                <w:szCs w:val="16"/>
              </w:rPr>
              <w:t> </w:t>
            </w:r>
          </w:p>
        </w:tc>
        <w:tc>
          <w:tcPr>
            <w:tcW w:w="995" w:type="dxa"/>
            <w:gridSpan w:val="2"/>
            <w:tcBorders>
              <w:top w:val="single" w:sz="4" w:space="0" w:color="auto"/>
              <w:left w:val="nil"/>
              <w:bottom w:val="single" w:sz="4" w:space="0" w:color="auto"/>
              <w:right w:val="nil"/>
            </w:tcBorders>
            <w:shd w:val="clear" w:color="auto" w:fill="auto"/>
            <w:vAlign w:val="bottom"/>
            <w:hideMark/>
          </w:tcPr>
          <w:p w14:paraId="1F6BC3B9"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2021-22</w:t>
            </w:r>
            <w:r w:rsidRPr="00A71EE7">
              <w:rPr>
                <w:rFonts w:ascii="Arial" w:hAnsi="Arial" w:cs="Arial"/>
                <w:sz w:val="16"/>
                <w:szCs w:val="16"/>
              </w:rPr>
              <w:br/>
              <w:t>Estimated  actual</w:t>
            </w:r>
            <w:r w:rsidRPr="00A71EE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E6E6E6"/>
            <w:vAlign w:val="bottom"/>
            <w:hideMark/>
          </w:tcPr>
          <w:p w14:paraId="04404ACE"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2022-23</w:t>
            </w:r>
            <w:r w:rsidRPr="00A71EE7">
              <w:rPr>
                <w:rFonts w:ascii="Arial" w:hAnsi="Arial" w:cs="Arial"/>
                <w:sz w:val="16"/>
                <w:szCs w:val="16"/>
              </w:rPr>
              <w:br/>
              <w:t xml:space="preserve"> Budget</w:t>
            </w:r>
            <w:r w:rsidRPr="00A71EE7">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318275F6"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2023-24</w:t>
            </w:r>
            <w:r w:rsidRPr="00A71EE7">
              <w:rPr>
                <w:rFonts w:ascii="Arial" w:hAnsi="Arial" w:cs="Arial"/>
                <w:sz w:val="16"/>
                <w:szCs w:val="16"/>
              </w:rPr>
              <w:br/>
              <w:t>Forward estimate</w:t>
            </w:r>
            <w:r w:rsidRPr="00A71EE7">
              <w:rPr>
                <w:rFonts w:ascii="Arial" w:hAnsi="Arial" w:cs="Arial"/>
                <w:sz w:val="16"/>
                <w:szCs w:val="16"/>
              </w:rPr>
              <w:br/>
              <w:t>$'000</w:t>
            </w:r>
          </w:p>
        </w:tc>
        <w:tc>
          <w:tcPr>
            <w:tcW w:w="882" w:type="dxa"/>
            <w:gridSpan w:val="2"/>
            <w:tcBorders>
              <w:top w:val="single" w:sz="4" w:space="0" w:color="auto"/>
              <w:left w:val="nil"/>
              <w:bottom w:val="single" w:sz="4" w:space="0" w:color="auto"/>
              <w:right w:val="nil"/>
            </w:tcBorders>
            <w:shd w:val="clear" w:color="auto" w:fill="auto"/>
            <w:vAlign w:val="bottom"/>
            <w:hideMark/>
          </w:tcPr>
          <w:p w14:paraId="74F42FE3"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2024-25</w:t>
            </w:r>
            <w:r w:rsidRPr="00A71EE7">
              <w:rPr>
                <w:rFonts w:ascii="Arial" w:hAnsi="Arial" w:cs="Arial"/>
                <w:sz w:val="16"/>
                <w:szCs w:val="16"/>
              </w:rPr>
              <w:br/>
              <w:t>Forward estimate</w:t>
            </w:r>
            <w:r w:rsidRPr="00A71EE7">
              <w:rPr>
                <w:rFonts w:ascii="Arial" w:hAnsi="Arial" w:cs="Arial"/>
                <w:sz w:val="16"/>
                <w:szCs w:val="16"/>
              </w:rPr>
              <w:br/>
              <w:t>$'000</w:t>
            </w:r>
          </w:p>
        </w:tc>
        <w:tc>
          <w:tcPr>
            <w:tcW w:w="897" w:type="dxa"/>
            <w:gridSpan w:val="2"/>
            <w:tcBorders>
              <w:top w:val="single" w:sz="4" w:space="0" w:color="auto"/>
              <w:left w:val="nil"/>
              <w:bottom w:val="single" w:sz="4" w:space="0" w:color="auto"/>
              <w:right w:val="nil"/>
            </w:tcBorders>
            <w:shd w:val="clear" w:color="auto" w:fill="auto"/>
            <w:vAlign w:val="bottom"/>
            <w:hideMark/>
          </w:tcPr>
          <w:p w14:paraId="56DE0948"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2025-26</w:t>
            </w:r>
            <w:r w:rsidRPr="00A71EE7">
              <w:rPr>
                <w:rFonts w:ascii="Arial" w:hAnsi="Arial" w:cs="Arial"/>
                <w:sz w:val="16"/>
                <w:szCs w:val="16"/>
              </w:rPr>
              <w:br/>
              <w:t>Forward estimate</w:t>
            </w:r>
            <w:r w:rsidRPr="00A71EE7">
              <w:rPr>
                <w:rFonts w:ascii="Arial" w:hAnsi="Arial" w:cs="Arial"/>
                <w:sz w:val="16"/>
                <w:szCs w:val="16"/>
              </w:rPr>
              <w:br/>
              <w:t>$'000</w:t>
            </w:r>
          </w:p>
        </w:tc>
      </w:tr>
      <w:tr w:rsidR="00B91F3E" w:rsidRPr="00A71EE7" w14:paraId="6B48F259" w14:textId="77777777" w:rsidTr="00F96D8A">
        <w:trPr>
          <w:gridAfter w:val="1"/>
          <w:wAfter w:w="32" w:type="dxa"/>
          <w:trHeight w:val="204"/>
        </w:trPr>
        <w:tc>
          <w:tcPr>
            <w:tcW w:w="3970" w:type="dxa"/>
            <w:gridSpan w:val="3"/>
            <w:tcBorders>
              <w:top w:val="nil"/>
              <w:left w:val="nil"/>
              <w:bottom w:val="single" w:sz="4" w:space="0" w:color="auto"/>
              <w:right w:val="nil"/>
            </w:tcBorders>
            <w:shd w:val="clear" w:color="000000" w:fill="E6E6E6"/>
            <w:noWrap/>
            <w:vAlign w:val="bottom"/>
            <w:hideMark/>
          </w:tcPr>
          <w:p w14:paraId="4C76D600" w14:textId="77777777" w:rsidR="00B91F3E" w:rsidRPr="00A71EE7" w:rsidRDefault="00B91F3E" w:rsidP="00F96D8A">
            <w:pPr>
              <w:spacing w:after="0" w:line="240" w:lineRule="auto"/>
              <w:jc w:val="left"/>
              <w:rPr>
                <w:rFonts w:ascii="Arial" w:hAnsi="Arial" w:cs="Arial"/>
                <w:sz w:val="16"/>
                <w:szCs w:val="16"/>
              </w:rPr>
            </w:pPr>
            <w:r w:rsidRPr="00A71EE7">
              <w:rPr>
                <w:rFonts w:ascii="Arial" w:hAnsi="Arial" w:cs="Arial"/>
                <w:b/>
                <w:bCs/>
                <w:sz w:val="16"/>
                <w:szCs w:val="16"/>
              </w:rPr>
              <w:t>Program 1.1: Infrastructure Investment</w:t>
            </w:r>
          </w:p>
        </w:tc>
        <w:tc>
          <w:tcPr>
            <w:tcW w:w="850" w:type="dxa"/>
            <w:tcBorders>
              <w:top w:val="nil"/>
              <w:left w:val="nil"/>
              <w:bottom w:val="single" w:sz="4" w:space="0" w:color="auto"/>
              <w:right w:val="nil"/>
            </w:tcBorders>
            <w:shd w:val="clear" w:color="000000" w:fill="E6E6E6"/>
            <w:noWrap/>
            <w:vAlign w:val="bottom"/>
            <w:hideMark/>
          </w:tcPr>
          <w:p w14:paraId="05FC8CE7" w14:textId="77777777" w:rsidR="00B91F3E" w:rsidRPr="00A71EE7" w:rsidRDefault="00B91F3E" w:rsidP="00F96D8A">
            <w:pPr>
              <w:spacing w:after="0" w:line="240" w:lineRule="auto"/>
              <w:jc w:val="right"/>
              <w:rPr>
                <w:rFonts w:ascii="Arial" w:hAnsi="Arial" w:cs="Arial"/>
                <w:sz w:val="16"/>
                <w:szCs w:val="16"/>
              </w:rPr>
            </w:pPr>
          </w:p>
        </w:tc>
        <w:tc>
          <w:tcPr>
            <w:tcW w:w="977" w:type="dxa"/>
            <w:tcBorders>
              <w:top w:val="nil"/>
              <w:left w:val="nil"/>
              <w:bottom w:val="single" w:sz="4" w:space="0" w:color="auto"/>
              <w:right w:val="nil"/>
            </w:tcBorders>
            <w:shd w:val="clear" w:color="000000" w:fill="E6E6E6"/>
            <w:noWrap/>
            <w:vAlign w:val="bottom"/>
            <w:hideMark/>
          </w:tcPr>
          <w:p w14:paraId="44B637A9" w14:textId="77777777" w:rsidR="00B91F3E" w:rsidRPr="00A71EE7" w:rsidRDefault="00B91F3E" w:rsidP="00F96D8A">
            <w:pPr>
              <w:spacing w:after="0" w:line="240" w:lineRule="auto"/>
              <w:jc w:val="right"/>
              <w:rPr>
                <w:rFonts w:ascii="Arial" w:hAnsi="Arial" w:cs="Arial"/>
                <w:sz w:val="16"/>
                <w:szCs w:val="16"/>
              </w:rPr>
            </w:pPr>
          </w:p>
        </w:tc>
        <w:tc>
          <w:tcPr>
            <w:tcW w:w="882" w:type="dxa"/>
            <w:gridSpan w:val="2"/>
            <w:tcBorders>
              <w:top w:val="nil"/>
              <w:left w:val="nil"/>
              <w:bottom w:val="single" w:sz="4" w:space="0" w:color="auto"/>
              <w:right w:val="nil"/>
            </w:tcBorders>
            <w:shd w:val="clear" w:color="000000" w:fill="E6E6E6"/>
            <w:noWrap/>
            <w:vAlign w:val="bottom"/>
            <w:hideMark/>
          </w:tcPr>
          <w:p w14:paraId="1D821BA6" w14:textId="77777777" w:rsidR="00B91F3E" w:rsidRPr="00A71EE7" w:rsidRDefault="00B91F3E" w:rsidP="00F96D8A">
            <w:pPr>
              <w:spacing w:after="0" w:line="240" w:lineRule="auto"/>
              <w:jc w:val="right"/>
              <w:rPr>
                <w:rFonts w:ascii="Arial" w:hAnsi="Arial" w:cs="Arial"/>
                <w:sz w:val="16"/>
                <w:szCs w:val="16"/>
              </w:rPr>
            </w:pPr>
          </w:p>
        </w:tc>
        <w:tc>
          <w:tcPr>
            <w:tcW w:w="897" w:type="dxa"/>
            <w:gridSpan w:val="2"/>
            <w:tcBorders>
              <w:top w:val="nil"/>
              <w:left w:val="nil"/>
              <w:bottom w:val="single" w:sz="4" w:space="0" w:color="auto"/>
              <w:right w:val="nil"/>
            </w:tcBorders>
            <w:shd w:val="clear" w:color="000000" w:fill="E6E6E6"/>
            <w:noWrap/>
            <w:vAlign w:val="bottom"/>
            <w:hideMark/>
          </w:tcPr>
          <w:p w14:paraId="236B6D33" w14:textId="77777777" w:rsidR="00B91F3E" w:rsidRPr="00A71EE7" w:rsidRDefault="00B91F3E" w:rsidP="00F96D8A">
            <w:pPr>
              <w:spacing w:after="0" w:line="240" w:lineRule="auto"/>
              <w:jc w:val="right"/>
              <w:rPr>
                <w:rFonts w:ascii="Arial" w:hAnsi="Arial" w:cs="Arial"/>
                <w:sz w:val="16"/>
                <w:szCs w:val="16"/>
              </w:rPr>
            </w:pPr>
          </w:p>
        </w:tc>
      </w:tr>
      <w:tr w:rsidR="00B91F3E" w:rsidRPr="00A71EE7" w14:paraId="58566689" w14:textId="77777777" w:rsidTr="00F96D8A">
        <w:trPr>
          <w:gridAfter w:val="1"/>
          <w:wAfter w:w="32" w:type="dxa"/>
          <w:trHeight w:val="204"/>
        </w:trPr>
        <w:tc>
          <w:tcPr>
            <w:tcW w:w="2975" w:type="dxa"/>
            <w:tcBorders>
              <w:top w:val="nil"/>
              <w:left w:val="nil"/>
              <w:bottom w:val="nil"/>
              <w:right w:val="nil"/>
            </w:tcBorders>
            <w:shd w:val="clear" w:color="auto" w:fill="auto"/>
            <w:noWrap/>
            <w:vAlign w:val="bottom"/>
            <w:hideMark/>
          </w:tcPr>
          <w:p w14:paraId="688642B5" w14:textId="77777777" w:rsidR="00B91F3E" w:rsidRPr="00A71EE7" w:rsidRDefault="00B91F3E" w:rsidP="00F96D8A">
            <w:pPr>
              <w:spacing w:after="0" w:line="240" w:lineRule="auto"/>
              <w:jc w:val="left"/>
              <w:rPr>
                <w:rFonts w:ascii="Arial" w:hAnsi="Arial" w:cs="Arial"/>
                <w:sz w:val="16"/>
                <w:szCs w:val="16"/>
              </w:rPr>
            </w:pPr>
            <w:r w:rsidRPr="00A71EE7">
              <w:rPr>
                <w:rFonts w:ascii="Arial" w:hAnsi="Arial" w:cs="Arial"/>
                <w:sz w:val="16"/>
                <w:szCs w:val="16"/>
              </w:rPr>
              <w:t>Administered expenses</w:t>
            </w:r>
          </w:p>
        </w:tc>
        <w:tc>
          <w:tcPr>
            <w:tcW w:w="995" w:type="dxa"/>
            <w:gridSpan w:val="2"/>
            <w:tcBorders>
              <w:top w:val="nil"/>
              <w:left w:val="nil"/>
              <w:bottom w:val="nil"/>
              <w:right w:val="nil"/>
            </w:tcBorders>
            <w:shd w:val="clear" w:color="auto" w:fill="auto"/>
            <w:noWrap/>
            <w:vAlign w:val="bottom"/>
            <w:hideMark/>
          </w:tcPr>
          <w:p w14:paraId="01B9F5B2" w14:textId="77777777" w:rsidR="00B91F3E" w:rsidRPr="00A71EE7"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6135C45" w14:textId="77777777" w:rsidR="00B91F3E" w:rsidRPr="00A71EE7"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FC79C29" w14:textId="77777777" w:rsidR="00B91F3E" w:rsidRPr="00A71EE7" w:rsidRDefault="00B91F3E" w:rsidP="00F96D8A">
            <w:pPr>
              <w:spacing w:after="0" w:line="240" w:lineRule="auto"/>
              <w:jc w:val="right"/>
              <w:rPr>
                <w:rFonts w:ascii="Arial" w:hAnsi="Arial" w:cs="Arial"/>
                <w:sz w:val="16"/>
                <w:szCs w:val="16"/>
              </w:rPr>
            </w:pPr>
          </w:p>
        </w:tc>
        <w:tc>
          <w:tcPr>
            <w:tcW w:w="882" w:type="dxa"/>
            <w:gridSpan w:val="2"/>
            <w:tcBorders>
              <w:top w:val="nil"/>
              <w:left w:val="nil"/>
              <w:bottom w:val="nil"/>
              <w:right w:val="nil"/>
            </w:tcBorders>
            <w:shd w:val="clear" w:color="auto" w:fill="auto"/>
            <w:noWrap/>
            <w:vAlign w:val="bottom"/>
            <w:hideMark/>
          </w:tcPr>
          <w:p w14:paraId="67BE9A3F" w14:textId="77777777" w:rsidR="00B91F3E" w:rsidRPr="00A71EE7" w:rsidRDefault="00B91F3E" w:rsidP="00F96D8A">
            <w:pPr>
              <w:spacing w:after="0" w:line="240" w:lineRule="auto"/>
              <w:jc w:val="right"/>
              <w:rPr>
                <w:rFonts w:ascii="Times New Roman" w:hAnsi="Times New Roman"/>
              </w:rPr>
            </w:pPr>
          </w:p>
        </w:tc>
        <w:tc>
          <w:tcPr>
            <w:tcW w:w="897" w:type="dxa"/>
            <w:gridSpan w:val="2"/>
            <w:tcBorders>
              <w:top w:val="nil"/>
              <w:left w:val="nil"/>
              <w:bottom w:val="nil"/>
              <w:right w:val="nil"/>
            </w:tcBorders>
            <w:shd w:val="clear" w:color="auto" w:fill="auto"/>
            <w:noWrap/>
            <w:vAlign w:val="bottom"/>
            <w:hideMark/>
          </w:tcPr>
          <w:p w14:paraId="16305C6C" w14:textId="77777777" w:rsidR="00B91F3E" w:rsidRPr="00A71EE7" w:rsidRDefault="00B91F3E" w:rsidP="00F96D8A">
            <w:pPr>
              <w:spacing w:after="0" w:line="240" w:lineRule="auto"/>
              <w:jc w:val="right"/>
              <w:rPr>
                <w:rFonts w:ascii="Times New Roman" w:hAnsi="Times New Roman"/>
              </w:rPr>
            </w:pPr>
          </w:p>
        </w:tc>
      </w:tr>
      <w:tr w:rsidR="000F0CD3" w:rsidRPr="00A71EE7" w14:paraId="6810E3A4" w14:textId="77777777" w:rsidTr="00F96D8A">
        <w:trPr>
          <w:gridAfter w:val="1"/>
          <w:wAfter w:w="32" w:type="dxa"/>
          <w:trHeight w:val="204"/>
        </w:trPr>
        <w:tc>
          <w:tcPr>
            <w:tcW w:w="2975" w:type="dxa"/>
            <w:tcBorders>
              <w:top w:val="nil"/>
              <w:left w:val="nil"/>
              <w:bottom w:val="nil"/>
              <w:right w:val="nil"/>
            </w:tcBorders>
            <w:shd w:val="clear" w:color="auto" w:fill="auto"/>
            <w:vAlign w:val="bottom"/>
            <w:hideMark/>
          </w:tcPr>
          <w:p w14:paraId="05A884AB" w14:textId="08C26979"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Ordinary Annual Services (Appropriation Act No. 1 and Bill No. 3)</w:t>
            </w:r>
          </w:p>
        </w:tc>
        <w:tc>
          <w:tcPr>
            <w:tcW w:w="995" w:type="dxa"/>
            <w:gridSpan w:val="2"/>
            <w:tcBorders>
              <w:top w:val="nil"/>
              <w:left w:val="nil"/>
              <w:bottom w:val="nil"/>
              <w:right w:val="nil"/>
            </w:tcBorders>
            <w:shd w:val="clear" w:color="auto" w:fill="auto"/>
            <w:noWrap/>
            <w:vAlign w:val="bottom"/>
            <w:hideMark/>
          </w:tcPr>
          <w:p w14:paraId="2CF64101" w14:textId="34C93770"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336,836 </w:t>
            </w:r>
          </w:p>
        </w:tc>
        <w:tc>
          <w:tcPr>
            <w:tcW w:w="850" w:type="dxa"/>
            <w:tcBorders>
              <w:top w:val="nil"/>
              <w:left w:val="nil"/>
              <w:bottom w:val="nil"/>
              <w:right w:val="nil"/>
            </w:tcBorders>
            <w:shd w:val="clear" w:color="auto" w:fill="E6E6E6"/>
            <w:noWrap/>
            <w:vAlign w:val="bottom"/>
            <w:hideMark/>
          </w:tcPr>
          <w:p w14:paraId="7E2895A2" w14:textId="5F384760"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205,003 </w:t>
            </w:r>
          </w:p>
        </w:tc>
        <w:tc>
          <w:tcPr>
            <w:tcW w:w="977" w:type="dxa"/>
            <w:tcBorders>
              <w:top w:val="nil"/>
              <w:left w:val="nil"/>
              <w:bottom w:val="nil"/>
              <w:right w:val="nil"/>
            </w:tcBorders>
            <w:shd w:val="clear" w:color="auto" w:fill="auto"/>
            <w:noWrap/>
            <w:vAlign w:val="bottom"/>
            <w:hideMark/>
          </w:tcPr>
          <w:p w14:paraId="7601529F" w14:textId="48EE7960"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45,167 </w:t>
            </w:r>
          </w:p>
        </w:tc>
        <w:tc>
          <w:tcPr>
            <w:tcW w:w="882" w:type="dxa"/>
            <w:gridSpan w:val="2"/>
            <w:tcBorders>
              <w:top w:val="nil"/>
              <w:left w:val="nil"/>
              <w:bottom w:val="nil"/>
              <w:right w:val="nil"/>
            </w:tcBorders>
            <w:shd w:val="clear" w:color="auto" w:fill="auto"/>
            <w:noWrap/>
            <w:vAlign w:val="bottom"/>
            <w:hideMark/>
          </w:tcPr>
          <w:p w14:paraId="2BCB97D2" w14:textId="17DA92EA"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20,483 </w:t>
            </w:r>
          </w:p>
        </w:tc>
        <w:tc>
          <w:tcPr>
            <w:tcW w:w="897" w:type="dxa"/>
            <w:gridSpan w:val="2"/>
            <w:tcBorders>
              <w:top w:val="nil"/>
              <w:left w:val="nil"/>
              <w:bottom w:val="nil"/>
              <w:right w:val="nil"/>
            </w:tcBorders>
            <w:shd w:val="clear" w:color="auto" w:fill="auto"/>
            <w:noWrap/>
            <w:vAlign w:val="bottom"/>
            <w:hideMark/>
          </w:tcPr>
          <w:p w14:paraId="3C8C2915" w14:textId="1B7C1FC1"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18,287 </w:t>
            </w:r>
          </w:p>
        </w:tc>
      </w:tr>
      <w:tr w:rsidR="000F0CD3" w:rsidRPr="00A71EE7" w14:paraId="616933D5" w14:textId="77777777" w:rsidTr="00F96D8A">
        <w:trPr>
          <w:gridAfter w:val="1"/>
          <w:wAfter w:w="32" w:type="dxa"/>
          <w:trHeight w:val="204"/>
        </w:trPr>
        <w:tc>
          <w:tcPr>
            <w:tcW w:w="2975" w:type="dxa"/>
            <w:tcBorders>
              <w:top w:val="nil"/>
              <w:left w:val="nil"/>
              <w:bottom w:val="nil"/>
              <w:right w:val="nil"/>
            </w:tcBorders>
            <w:shd w:val="clear" w:color="auto" w:fill="auto"/>
            <w:vAlign w:val="bottom"/>
            <w:hideMark/>
          </w:tcPr>
          <w:p w14:paraId="6AFA02B0" w14:textId="7EC65170"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Other Services (Appropriation Act No. 2 and Bill No. 4)</w:t>
            </w:r>
          </w:p>
        </w:tc>
        <w:tc>
          <w:tcPr>
            <w:tcW w:w="995" w:type="dxa"/>
            <w:gridSpan w:val="2"/>
            <w:tcBorders>
              <w:top w:val="nil"/>
              <w:left w:val="nil"/>
              <w:bottom w:val="nil"/>
              <w:right w:val="nil"/>
            </w:tcBorders>
            <w:shd w:val="clear" w:color="auto" w:fill="auto"/>
            <w:noWrap/>
            <w:vAlign w:val="bottom"/>
            <w:hideMark/>
          </w:tcPr>
          <w:p w14:paraId="1445FA4C" w14:textId="439AB8E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498,887 </w:t>
            </w:r>
          </w:p>
        </w:tc>
        <w:tc>
          <w:tcPr>
            <w:tcW w:w="850" w:type="dxa"/>
            <w:tcBorders>
              <w:top w:val="nil"/>
              <w:left w:val="nil"/>
              <w:bottom w:val="nil"/>
              <w:right w:val="nil"/>
            </w:tcBorders>
            <w:shd w:val="clear" w:color="000000" w:fill="E6E6E6"/>
            <w:noWrap/>
            <w:vAlign w:val="bottom"/>
            <w:hideMark/>
          </w:tcPr>
          <w:p w14:paraId="5B9FFFDD" w14:textId="36211A3F"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490,881 </w:t>
            </w:r>
          </w:p>
        </w:tc>
        <w:tc>
          <w:tcPr>
            <w:tcW w:w="977" w:type="dxa"/>
            <w:tcBorders>
              <w:top w:val="nil"/>
              <w:left w:val="nil"/>
              <w:bottom w:val="nil"/>
              <w:right w:val="nil"/>
            </w:tcBorders>
            <w:shd w:val="clear" w:color="auto" w:fill="auto"/>
            <w:noWrap/>
            <w:vAlign w:val="bottom"/>
            <w:hideMark/>
          </w:tcPr>
          <w:p w14:paraId="24279B5A" w14:textId="139E8916"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485,306 </w:t>
            </w:r>
          </w:p>
        </w:tc>
        <w:tc>
          <w:tcPr>
            <w:tcW w:w="882" w:type="dxa"/>
            <w:gridSpan w:val="2"/>
            <w:tcBorders>
              <w:top w:val="nil"/>
              <w:left w:val="nil"/>
              <w:bottom w:val="nil"/>
              <w:right w:val="nil"/>
            </w:tcBorders>
            <w:shd w:val="clear" w:color="auto" w:fill="auto"/>
            <w:noWrap/>
            <w:vAlign w:val="bottom"/>
            <w:hideMark/>
          </w:tcPr>
          <w:p w14:paraId="1E7F8BE9" w14:textId="7BBA067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499,516 </w:t>
            </w:r>
          </w:p>
        </w:tc>
        <w:tc>
          <w:tcPr>
            <w:tcW w:w="897" w:type="dxa"/>
            <w:gridSpan w:val="2"/>
            <w:tcBorders>
              <w:top w:val="nil"/>
              <w:left w:val="nil"/>
              <w:bottom w:val="nil"/>
              <w:right w:val="nil"/>
            </w:tcBorders>
            <w:shd w:val="clear" w:color="auto" w:fill="auto"/>
            <w:noWrap/>
            <w:vAlign w:val="bottom"/>
            <w:hideMark/>
          </w:tcPr>
          <w:p w14:paraId="1E2736AC" w14:textId="253CABE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499,516 </w:t>
            </w:r>
          </w:p>
        </w:tc>
      </w:tr>
      <w:tr w:rsidR="000F0CD3" w:rsidRPr="00A71EE7" w14:paraId="39BB55FB" w14:textId="77777777" w:rsidTr="00F96D8A">
        <w:trPr>
          <w:gridAfter w:val="1"/>
          <w:wAfter w:w="32" w:type="dxa"/>
          <w:trHeight w:val="204"/>
        </w:trPr>
        <w:tc>
          <w:tcPr>
            <w:tcW w:w="2975" w:type="dxa"/>
            <w:tcBorders>
              <w:top w:val="nil"/>
              <w:left w:val="nil"/>
              <w:bottom w:val="nil"/>
              <w:right w:val="nil"/>
            </w:tcBorders>
            <w:shd w:val="clear" w:color="auto" w:fill="auto"/>
            <w:noWrap/>
            <w:vAlign w:val="bottom"/>
            <w:hideMark/>
          </w:tcPr>
          <w:p w14:paraId="1BF659EF" w14:textId="37D311BC"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 xml:space="preserve">Payments to corporate entities </w:t>
            </w:r>
            <w:r w:rsidRPr="000F0CD3">
              <w:rPr>
                <w:rFonts w:ascii="Arial" w:hAnsi="Arial" w:cs="Arial"/>
                <w:sz w:val="16"/>
                <w:szCs w:val="16"/>
                <w:vertAlign w:val="superscript"/>
              </w:rPr>
              <w:t>(a)</w:t>
            </w:r>
          </w:p>
        </w:tc>
        <w:tc>
          <w:tcPr>
            <w:tcW w:w="995" w:type="dxa"/>
            <w:gridSpan w:val="2"/>
            <w:tcBorders>
              <w:top w:val="nil"/>
              <w:left w:val="nil"/>
              <w:bottom w:val="nil"/>
              <w:right w:val="nil"/>
            </w:tcBorders>
            <w:shd w:val="clear" w:color="auto" w:fill="auto"/>
            <w:noWrap/>
            <w:vAlign w:val="bottom"/>
            <w:hideMark/>
          </w:tcPr>
          <w:p w14:paraId="54E4DA59" w14:textId="630F265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12,853 </w:t>
            </w:r>
          </w:p>
        </w:tc>
        <w:tc>
          <w:tcPr>
            <w:tcW w:w="850" w:type="dxa"/>
            <w:tcBorders>
              <w:top w:val="nil"/>
              <w:left w:val="nil"/>
              <w:bottom w:val="nil"/>
              <w:right w:val="nil"/>
            </w:tcBorders>
            <w:shd w:val="clear" w:color="000000" w:fill="E6E6E6"/>
            <w:noWrap/>
            <w:vAlign w:val="bottom"/>
            <w:hideMark/>
          </w:tcPr>
          <w:p w14:paraId="6A996ED5" w14:textId="0F90D9AF"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12,733 </w:t>
            </w:r>
          </w:p>
        </w:tc>
        <w:tc>
          <w:tcPr>
            <w:tcW w:w="977" w:type="dxa"/>
            <w:tcBorders>
              <w:top w:val="nil"/>
              <w:left w:val="nil"/>
              <w:bottom w:val="nil"/>
              <w:right w:val="nil"/>
            </w:tcBorders>
            <w:shd w:val="clear" w:color="auto" w:fill="auto"/>
            <w:noWrap/>
            <w:vAlign w:val="bottom"/>
            <w:hideMark/>
          </w:tcPr>
          <w:p w14:paraId="1B3DCDCD" w14:textId="4F0E215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12,804 </w:t>
            </w:r>
          </w:p>
        </w:tc>
        <w:tc>
          <w:tcPr>
            <w:tcW w:w="882" w:type="dxa"/>
            <w:gridSpan w:val="2"/>
            <w:tcBorders>
              <w:top w:val="nil"/>
              <w:left w:val="nil"/>
              <w:bottom w:val="nil"/>
              <w:right w:val="nil"/>
            </w:tcBorders>
            <w:shd w:val="clear" w:color="auto" w:fill="auto"/>
            <w:noWrap/>
            <w:vAlign w:val="bottom"/>
            <w:hideMark/>
          </w:tcPr>
          <w:p w14:paraId="2D0D04F2" w14:textId="158DF931"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12,900 </w:t>
            </w:r>
          </w:p>
        </w:tc>
        <w:tc>
          <w:tcPr>
            <w:tcW w:w="897" w:type="dxa"/>
            <w:gridSpan w:val="2"/>
            <w:tcBorders>
              <w:top w:val="nil"/>
              <w:left w:val="nil"/>
              <w:bottom w:val="nil"/>
              <w:right w:val="nil"/>
            </w:tcBorders>
            <w:shd w:val="clear" w:color="auto" w:fill="auto"/>
            <w:noWrap/>
            <w:vAlign w:val="bottom"/>
            <w:hideMark/>
          </w:tcPr>
          <w:p w14:paraId="678378BA" w14:textId="7399040F"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12,981 </w:t>
            </w:r>
          </w:p>
        </w:tc>
      </w:tr>
      <w:tr w:rsidR="000F0CD3" w:rsidRPr="00A71EE7" w14:paraId="4CAC5633" w14:textId="77777777" w:rsidTr="00F96D8A">
        <w:trPr>
          <w:gridAfter w:val="1"/>
          <w:wAfter w:w="32" w:type="dxa"/>
          <w:trHeight w:val="204"/>
        </w:trPr>
        <w:tc>
          <w:tcPr>
            <w:tcW w:w="2975" w:type="dxa"/>
            <w:tcBorders>
              <w:top w:val="nil"/>
              <w:left w:val="nil"/>
              <w:bottom w:val="nil"/>
              <w:right w:val="nil"/>
            </w:tcBorders>
            <w:shd w:val="clear" w:color="auto" w:fill="auto"/>
            <w:vAlign w:val="bottom"/>
            <w:hideMark/>
          </w:tcPr>
          <w:p w14:paraId="62DE52ED" w14:textId="69DCF972"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 xml:space="preserve">Expenses not requiring appropriation in the Budget year </w:t>
            </w:r>
            <w:r w:rsidRPr="000F0CD3">
              <w:rPr>
                <w:rFonts w:ascii="Arial" w:hAnsi="Arial" w:cs="Arial"/>
                <w:sz w:val="16"/>
                <w:szCs w:val="16"/>
                <w:vertAlign w:val="superscript"/>
              </w:rPr>
              <w:t>(b)</w:t>
            </w:r>
          </w:p>
        </w:tc>
        <w:tc>
          <w:tcPr>
            <w:tcW w:w="995" w:type="dxa"/>
            <w:gridSpan w:val="2"/>
            <w:tcBorders>
              <w:top w:val="nil"/>
              <w:left w:val="nil"/>
              <w:bottom w:val="nil"/>
              <w:right w:val="nil"/>
            </w:tcBorders>
            <w:shd w:val="clear" w:color="auto" w:fill="auto"/>
            <w:noWrap/>
            <w:vAlign w:val="bottom"/>
            <w:hideMark/>
          </w:tcPr>
          <w:p w14:paraId="062038A6" w14:textId="71AAAD6D"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101,145 </w:t>
            </w:r>
          </w:p>
        </w:tc>
        <w:tc>
          <w:tcPr>
            <w:tcW w:w="850" w:type="dxa"/>
            <w:tcBorders>
              <w:top w:val="nil"/>
              <w:left w:val="nil"/>
              <w:bottom w:val="nil"/>
              <w:right w:val="nil"/>
            </w:tcBorders>
            <w:shd w:val="clear" w:color="000000" w:fill="E6E6E6"/>
            <w:noWrap/>
            <w:vAlign w:val="bottom"/>
            <w:hideMark/>
          </w:tcPr>
          <w:p w14:paraId="1D29F706" w14:textId="2237EB4A"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1,053 </w:t>
            </w:r>
          </w:p>
        </w:tc>
        <w:tc>
          <w:tcPr>
            <w:tcW w:w="977" w:type="dxa"/>
            <w:tcBorders>
              <w:top w:val="nil"/>
              <w:left w:val="nil"/>
              <w:bottom w:val="nil"/>
              <w:right w:val="nil"/>
            </w:tcBorders>
            <w:shd w:val="clear" w:color="auto" w:fill="auto"/>
            <w:noWrap/>
            <w:vAlign w:val="bottom"/>
            <w:hideMark/>
          </w:tcPr>
          <w:p w14:paraId="6DF655ED" w14:textId="78E78026"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 </w:t>
            </w:r>
          </w:p>
        </w:tc>
        <w:tc>
          <w:tcPr>
            <w:tcW w:w="882" w:type="dxa"/>
            <w:gridSpan w:val="2"/>
            <w:tcBorders>
              <w:top w:val="nil"/>
              <w:left w:val="nil"/>
              <w:bottom w:val="nil"/>
              <w:right w:val="nil"/>
            </w:tcBorders>
            <w:shd w:val="clear" w:color="auto" w:fill="auto"/>
            <w:noWrap/>
            <w:vAlign w:val="bottom"/>
            <w:hideMark/>
          </w:tcPr>
          <w:p w14:paraId="1E4B6082" w14:textId="0B654C7C"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 </w:t>
            </w:r>
          </w:p>
        </w:tc>
        <w:tc>
          <w:tcPr>
            <w:tcW w:w="897" w:type="dxa"/>
            <w:gridSpan w:val="2"/>
            <w:tcBorders>
              <w:top w:val="nil"/>
              <w:left w:val="nil"/>
              <w:bottom w:val="nil"/>
              <w:right w:val="nil"/>
            </w:tcBorders>
            <w:shd w:val="clear" w:color="auto" w:fill="auto"/>
            <w:noWrap/>
            <w:vAlign w:val="bottom"/>
            <w:hideMark/>
          </w:tcPr>
          <w:p w14:paraId="4CC214FF" w14:textId="09965D12"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 </w:t>
            </w:r>
          </w:p>
        </w:tc>
      </w:tr>
      <w:tr w:rsidR="000F0CD3" w:rsidRPr="00A71EE7" w14:paraId="578D4AA5" w14:textId="77777777" w:rsidTr="00F96D8A">
        <w:trPr>
          <w:gridAfter w:val="1"/>
          <w:wAfter w:w="32" w:type="dxa"/>
          <w:trHeight w:val="204"/>
        </w:trPr>
        <w:tc>
          <w:tcPr>
            <w:tcW w:w="2975" w:type="dxa"/>
            <w:tcBorders>
              <w:top w:val="nil"/>
              <w:left w:val="nil"/>
              <w:bottom w:val="nil"/>
              <w:right w:val="nil"/>
            </w:tcBorders>
            <w:shd w:val="clear" w:color="auto" w:fill="auto"/>
            <w:noWrap/>
            <w:vAlign w:val="bottom"/>
            <w:hideMark/>
          </w:tcPr>
          <w:p w14:paraId="0A73BB05" w14:textId="26E8CDF6" w:rsidR="000F0CD3" w:rsidRPr="00A71EE7" w:rsidRDefault="000F0CD3" w:rsidP="000F0CD3">
            <w:pPr>
              <w:spacing w:after="0" w:line="240" w:lineRule="auto"/>
              <w:jc w:val="left"/>
              <w:rPr>
                <w:rFonts w:ascii="Arial" w:hAnsi="Arial" w:cs="Arial"/>
                <w:b/>
                <w:bCs/>
                <w:sz w:val="16"/>
                <w:szCs w:val="16"/>
              </w:rPr>
            </w:pPr>
            <w:r>
              <w:rPr>
                <w:rFonts w:ascii="Arial" w:hAnsi="Arial" w:cs="Arial"/>
                <w:b/>
                <w:bCs/>
                <w:sz w:val="16"/>
                <w:szCs w:val="16"/>
              </w:rPr>
              <w:t>Total expenses for Program 1.1</w:t>
            </w:r>
          </w:p>
        </w:tc>
        <w:tc>
          <w:tcPr>
            <w:tcW w:w="995" w:type="dxa"/>
            <w:gridSpan w:val="2"/>
            <w:tcBorders>
              <w:top w:val="single" w:sz="4" w:space="0" w:color="auto"/>
              <w:left w:val="nil"/>
              <w:bottom w:val="single" w:sz="4" w:space="0" w:color="auto"/>
              <w:right w:val="nil"/>
            </w:tcBorders>
            <w:shd w:val="clear" w:color="auto" w:fill="auto"/>
            <w:noWrap/>
            <w:vAlign w:val="bottom"/>
            <w:hideMark/>
          </w:tcPr>
          <w:p w14:paraId="14DA7627" w14:textId="39E97006"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949,721 </w:t>
            </w:r>
          </w:p>
        </w:tc>
        <w:tc>
          <w:tcPr>
            <w:tcW w:w="850" w:type="dxa"/>
            <w:tcBorders>
              <w:top w:val="single" w:sz="4" w:space="0" w:color="auto"/>
              <w:left w:val="nil"/>
              <w:bottom w:val="single" w:sz="4" w:space="0" w:color="auto"/>
              <w:right w:val="nil"/>
            </w:tcBorders>
            <w:shd w:val="clear" w:color="000000" w:fill="E6E6E6"/>
            <w:noWrap/>
            <w:vAlign w:val="bottom"/>
            <w:hideMark/>
          </w:tcPr>
          <w:p w14:paraId="1BF366A6" w14:textId="5A6E1703"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709,670 </w:t>
            </w:r>
          </w:p>
        </w:tc>
        <w:tc>
          <w:tcPr>
            <w:tcW w:w="977" w:type="dxa"/>
            <w:tcBorders>
              <w:top w:val="single" w:sz="4" w:space="0" w:color="auto"/>
              <w:left w:val="nil"/>
              <w:bottom w:val="single" w:sz="4" w:space="0" w:color="auto"/>
              <w:right w:val="nil"/>
            </w:tcBorders>
            <w:shd w:val="clear" w:color="auto" w:fill="auto"/>
            <w:noWrap/>
            <w:vAlign w:val="bottom"/>
            <w:hideMark/>
          </w:tcPr>
          <w:p w14:paraId="63B5B5C9" w14:textId="5A5EB41F"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543,277 </w:t>
            </w:r>
          </w:p>
        </w:tc>
        <w:tc>
          <w:tcPr>
            <w:tcW w:w="882" w:type="dxa"/>
            <w:gridSpan w:val="2"/>
            <w:tcBorders>
              <w:top w:val="single" w:sz="4" w:space="0" w:color="auto"/>
              <w:left w:val="nil"/>
              <w:bottom w:val="single" w:sz="4" w:space="0" w:color="auto"/>
              <w:right w:val="nil"/>
            </w:tcBorders>
            <w:shd w:val="clear" w:color="auto" w:fill="auto"/>
            <w:noWrap/>
            <w:vAlign w:val="bottom"/>
            <w:hideMark/>
          </w:tcPr>
          <w:p w14:paraId="4D0BC4CC" w14:textId="35A7810E"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532,899 </w:t>
            </w:r>
          </w:p>
        </w:tc>
        <w:tc>
          <w:tcPr>
            <w:tcW w:w="897" w:type="dxa"/>
            <w:gridSpan w:val="2"/>
            <w:tcBorders>
              <w:top w:val="single" w:sz="4" w:space="0" w:color="auto"/>
              <w:left w:val="nil"/>
              <w:bottom w:val="single" w:sz="4" w:space="0" w:color="auto"/>
              <w:right w:val="nil"/>
            </w:tcBorders>
            <w:shd w:val="clear" w:color="auto" w:fill="auto"/>
            <w:noWrap/>
            <w:vAlign w:val="bottom"/>
            <w:hideMark/>
          </w:tcPr>
          <w:p w14:paraId="5789ABB6" w14:textId="321A7F76"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530,784 </w:t>
            </w:r>
          </w:p>
        </w:tc>
      </w:tr>
      <w:tr w:rsidR="00B91F3E" w:rsidRPr="00A71EE7" w14:paraId="6DB35644" w14:textId="77777777" w:rsidTr="00F96D8A">
        <w:trPr>
          <w:trHeight w:val="204"/>
        </w:trPr>
        <w:tc>
          <w:tcPr>
            <w:tcW w:w="3970" w:type="dxa"/>
            <w:gridSpan w:val="3"/>
            <w:tcBorders>
              <w:top w:val="single" w:sz="4" w:space="0" w:color="auto"/>
              <w:left w:val="nil"/>
              <w:bottom w:val="single" w:sz="4" w:space="0" w:color="auto"/>
              <w:right w:val="nil"/>
            </w:tcBorders>
            <w:shd w:val="clear" w:color="000000" w:fill="E6E6E6"/>
            <w:noWrap/>
            <w:vAlign w:val="bottom"/>
            <w:hideMark/>
          </w:tcPr>
          <w:p w14:paraId="62757A80" w14:textId="77777777" w:rsidR="00B91F3E" w:rsidRPr="00A71EE7" w:rsidRDefault="00B91F3E" w:rsidP="00F96D8A">
            <w:pPr>
              <w:spacing w:after="0" w:line="240" w:lineRule="auto"/>
              <w:jc w:val="left"/>
              <w:rPr>
                <w:rFonts w:ascii="Arial" w:hAnsi="Arial" w:cs="Arial"/>
                <w:b/>
                <w:bCs/>
                <w:sz w:val="16"/>
                <w:szCs w:val="16"/>
              </w:rPr>
            </w:pPr>
            <w:r w:rsidRPr="00A71EE7">
              <w:rPr>
                <w:rFonts w:ascii="Arial" w:hAnsi="Arial" w:cs="Arial"/>
                <w:b/>
                <w:bCs/>
                <w:sz w:val="16"/>
                <w:szCs w:val="16"/>
              </w:rPr>
              <w:t>Program 1.2: Program Support for Outcome 1</w:t>
            </w:r>
          </w:p>
        </w:tc>
        <w:tc>
          <w:tcPr>
            <w:tcW w:w="850" w:type="dxa"/>
            <w:tcBorders>
              <w:top w:val="single" w:sz="4" w:space="0" w:color="auto"/>
              <w:left w:val="nil"/>
              <w:bottom w:val="single" w:sz="4" w:space="0" w:color="auto"/>
              <w:right w:val="nil"/>
            </w:tcBorders>
            <w:shd w:val="clear" w:color="000000" w:fill="E6E6E6"/>
            <w:noWrap/>
            <w:vAlign w:val="bottom"/>
            <w:hideMark/>
          </w:tcPr>
          <w:p w14:paraId="4FE9632E"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478EBE04"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c>
          <w:tcPr>
            <w:tcW w:w="894" w:type="dxa"/>
            <w:gridSpan w:val="2"/>
            <w:tcBorders>
              <w:top w:val="single" w:sz="4" w:space="0" w:color="auto"/>
              <w:left w:val="nil"/>
              <w:bottom w:val="single" w:sz="4" w:space="0" w:color="auto"/>
              <w:right w:val="nil"/>
            </w:tcBorders>
            <w:shd w:val="clear" w:color="000000" w:fill="E6E6E6"/>
            <w:noWrap/>
            <w:vAlign w:val="bottom"/>
            <w:hideMark/>
          </w:tcPr>
          <w:p w14:paraId="4A1C8548"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c>
          <w:tcPr>
            <w:tcW w:w="898" w:type="dxa"/>
            <w:gridSpan w:val="2"/>
            <w:tcBorders>
              <w:top w:val="single" w:sz="4" w:space="0" w:color="auto"/>
              <w:left w:val="nil"/>
              <w:bottom w:val="single" w:sz="4" w:space="0" w:color="auto"/>
              <w:right w:val="nil"/>
            </w:tcBorders>
            <w:shd w:val="clear" w:color="000000" w:fill="E6E6E6"/>
            <w:noWrap/>
            <w:vAlign w:val="bottom"/>
            <w:hideMark/>
          </w:tcPr>
          <w:p w14:paraId="4331EF3A"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r>
      <w:tr w:rsidR="000F0CD3" w:rsidRPr="00A71EE7" w14:paraId="10E2E25E" w14:textId="77777777" w:rsidTr="00F96D8A">
        <w:trPr>
          <w:trHeight w:val="204"/>
        </w:trPr>
        <w:tc>
          <w:tcPr>
            <w:tcW w:w="3044" w:type="dxa"/>
            <w:gridSpan w:val="2"/>
            <w:tcBorders>
              <w:top w:val="nil"/>
              <w:left w:val="nil"/>
              <w:bottom w:val="nil"/>
              <w:right w:val="nil"/>
            </w:tcBorders>
            <w:shd w:val="clear" w:color="auto" w:fill="auto"/>
            <w:noWrap/>
            <w:vAlign w:val="bottom"/>
            <w:hideMark/>
          </w:tcPr>
          <w:p w14:paraId="14015283" w14:textId="5E3A80C1" w:rsidR="000F0CD3" w:rsidRPr="00A71EE7" w:rsidRDefault="000F0CD3" w:rsidP="000F0CD3">
            <w:pPr>
              <w:spacing w:after="0" w:line="240" w:lineRule="auto"/>
              <w:jc w:val="left"/>
              <w:rPr>
                <w:rFonts w:ascii="Arial" w:hAnsi="Arial" w:cs="Arial"/>
                <w:sz w:val="16"/>
                <w:szCs w:val="16"/>
              </w:rPr>
            </w:pPr>
            <w:r>
              <w:rPr>
                <w:rFonts w:ascii="Arial" w:hAnsi="Arial" w:cs="Arial"/>
                <w:sz w:val="16"/>
                <w:szCs w:val="16"/>
              </w:rPr>
              <w:t>Departmental expenses</w:t>
            </w:r>
          </w:p>
        </w:tc>
        <w:tc>
          <w:tcPr>
            <w:tcW w:w="926" w:type="dxa"/>
            <w:tcBorders>
              <w:top w:val="nil"/>
              <w:left w:val="nil"/>
              <w:bottom w:val="nil"/>
              <w:right w:val="nil"/>
            </w:tcBorders>
            <w:shd w:val="clear" w:color="auto" w:fill="auto"/>
            <w:noWrap/>
            <w:vAlign w:val="bottom"/>
            <w:hideMark/>
          </w:tcPr>
          <w:p w14:paraId="11C71CF9" w14:textId="77777777" w:rsidR="000F0CD3" w:rsidRPr="00A71EE7" w:rsidRDefault="000F0CD3" w:rsidP="000F0CD3">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EAF2479" w14:textId="056A491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4016E949" w14:textId="77777777" w:rsidR="000F0CD3" w:rsidRPr="00A71EE7" w:rsidRDefault="000F0CD3" w:rsidP="000F0CD3">
            <w:pPr>
              <w:spacing w:after="0" w:line="240" w:lineRule="auto"/>
              <w:jc w:val="right"/>
              <w:rPr>
                <w:rFonts w:ascii="Arial" w:hAnsi="Arial" w:cs="Arial"/>
                <w:sz w:val="16"/>
                <w:szCs w:val="16"/>
              </w:rPr>
            </w:pPr>
          </w:p>
        </w:tc>
        <w:tc>
          <w:tcPr>
            <w:tcW w:w="894" w:type="dxa"/>
            <w:gridSpan w:val="2"/>
            <w:tcBorders>
              <w:top w:val="nil"/>
              <w:left w:val="nil"/>
              <w:bottom w:val="nil"/>
              <w:right w:val="nil"/>
            </w:tcBorders>
            <w:shd w:val="clear" w:color="auto" w:fill="auto"/>
            <w:noWrap/>
            <w:vAlign w:val="bottom"/>
            <w:hideMark/>
          </w:tcPr>
          <w:p w14:paraId="4A005941" w14:textId="77777777" w:rsidR="000F0CD3" w:rsidRPr="00A71EE7" w:rsidRDefault="000F0CD3" w:rsidP="000F0CD3">
            <w:pPr>
              <w:spacing w:after="0" w:line="240" w:lineRule="auto"/>
              <w:jc w:val="right"/>
              <w:rPr>
                <w:rFonts w:ascii="Times New Roman" w:hAnsi="Times New Roman"/>
              </w:rPr>
            </w:pPr>
          </w:p>
        </w:tc>
        <w:tc>
          <w:tcPr>
            <w:tcW w:w="898" w:type="dxa"/>
            <w:gridSpan w:val="2"/>
            <w:tcBorders>
              <w:top w:val="nil"/>
              <w:left w:val="nil"/>
              <w:bottom w:val="nil"/>
              <w:right w:val="nil"/>
            </w:tcBorders>
            <w:shd w:val="clear" w:color="auto" w:fill="auto"/>
            <w:noWrap/>
            <w:vAlign w:val="bottom"/>
            <w:hideMark/>
          </w:tcPr>
          <w:p w14:paraId="0A6CF440" w14:textId="77777777" w:rsidR="000F0CD3" w:rsidRPr="00A71EE7" w:rsidRDefault="000F0CD3" w:rsidP="000F0CD3">
            <w:pPr>
              <w:spacing w:after="0" w:line="240" w:lineRule="auto"/>
              <w:jc w:val="right"/>
              <w:rPr>
                <w:rFonts w:ascii="Times New Roman" w:hAnsi="Times New Roman"/>
              </w:rPr>
            </w:pPr>
          </w:p>
        </w:tc>
      </w:tr>
      <w:tr w:rsidR="000F0CD3" w:rsidRPr="00A71EE7" w14:paraId="0A1EB45B" w14:textId="77777777" w:rsidTr="00F96D8A">
        <w:trPr>
          <w:trHeight w:val="204"/>
        </w:trPr>
        <w:tc>
          <w:tcPr>
            <w:tcW w:w="3044" w:type="dxa"/>
            <w:gridSpan w:val="2"/>
            <w:tcBorders>
              <w:top w:val="nil"/>
              <w:left w:val="nil"/>
              <w:bottom w:val="nil"/>
              <w:right w:val="nil"/>
            </w:tcBorders>
            <w:shd w:val="clear" w:color="auto" w:fill="auto"/>
            <w:vAlign w:val="bottom"/>
            <w:hideMark/>
          </w:tcPr>
          <w:p w14:paraId="6B12DC94" w14:textId="1BF67529"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Departmental appropriation</w:t>
            </w:r>
          </w:p>
        </w:tc>
        <w:tc>
          <w:tcPr>
            <w:tcW w:w="926" w:type="dxa"/>
            <w:tcBorders>
              <w:top w:val="nil"/>
              <w:left w:val="nil"/>
              <w:bottom w:val="nil"/>
              <w:right w:val="nil"/>
            </w:tcBorders>
            <w:shd w:val="clear" w:color="auto" w:fill="auto"/>
            <w:noWrap/>
            <w:vAlign w:val="bottom"/>
            <w:hideMark/>
          </w:tcPr>
          <w:p w14:paraId="4DA50EF4" w14:textId="71A41AA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76,501 </w:t>
            </w:r>
          </w:p>
        </w:tc>
        <w:tc>
          <w:tcPr>
            <w:tcW w:w="850" w:type="dxa"/>
            <w:tcBorders>
              <w:top w:val="nil"/>
              <w:left w:val="nil"/>
              <w:bottom w:val="nil"/>
              <w:right w:val="nil"/>
            </w:tcBorders>
            <w:shd w:val="clear" w:color="000000" w:fill="E6E6E6"/>
            <w:noWrap/>
            <w:vAlign w:val="bottom"/>
            <w:hideMark/>
          </w:tcPr>
          <w:p w14:paraId="503B83C7" w14:textId="57D7DFE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89,407 </w:t>
            </w:r>
          </w:p>
        </w:tc>
        <w:tc>
          <w:tcPr>
            <w:tcW w:w="996" w:type="dxa"/>
            <w:gridSpan w:val="2"/>
            <w:tcBorders>
              <w:top w:val="nil"/>
              <w:left w:val="nil"/>
              <w:bottom w:val="nil"/>
              <w:right w:val="nil"/>
            </w:tcBorders>
            <w:shd w:val="clear" w:color="auto" w:fill="auto"/>
            <w:noWrap/>
            <w:vAlign w:val="bottom"/>
            <w:hideMark/>
          </w:tcPr>
          <w:p w14:paraId="163B3AAB" w14:textId="500B1FA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66,075 </w:t>
            </w:r>
          </w:p>
        </w:tc>
        <w:tc>
          <w:tcPr>
            <w:tcW w:w="894" w:type="dxa"/>
            <w:gridSpan w:val="2"/>
            <w:tcBorders>
              <w:top w:val="nil"/>
              <w:left w:val="nil"/>
              <w:bottom w:val="nil"/>
              <w:right w:val="nil"/>
            </w:tcBorders>
            <w:shd w:val="clear" w:color="auto" w:fill="auto"/>
            <w:noWrap/>
            <w:vAlign w:val="bottom"/>
            <w:hideMark/>
          </w:tcPr>
          <w:p w14:paraId="79466FA2" w14:textId="60243F7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57,918 </w:t>
            </w:r>
          </w:p>
        </w:tc>
        <w:tc>
          <w:tcPr>
            <w:tcW w:w="898" w:type="dxa"/>
            <w:gridSpan w:val="2"/>
            <w:tcBorders>
              <w:top w:val="nil"/>
              <w:left w:val="nil"/>
              <w:bottom w:val="nil"/>
              <w:right w:val="nil"/>
            </w:tcBorders>
            <w:shd w:val="clear" w:color="auto" w:fill="auto"/>
            <w:noWrap/>
            <w:vAlign w:val="bottom"/>
            <w:hideMark/>
          </w:tcPr>
          <w:p w14:paraId="1E359EED" w14:textId="6C03D797"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57,946 </w:t>
            </w:r>
          </w:p>
        </w:tc>
      </w:tr>
      <w:tr w:rsidR="000F0CD3" w:rsidRPr="00A71EE7" w14:paraId="1830D017" w14:textId="77777777" w:rsidTr="00F96D8A">
        <w:trPr>
          <w:trHeight w:val="204"/>
        </w:trPr>
        <w:tc>
          <w:tcPr>
            <w:tcW w:w="3044" w:type="dxa"/>
            <w:gridSpan w:val="2"/>
            <w:tcBorders>
              <w:top w:val="nil"/>
              <w:left w:val="nil"/>
              <w:bottom w:val="nil"/>
              <w:right w:val="nil"/>
            </w:tcBorders>
            <w:shd w:val="clear" w:color="auto" w:fill="auto"/>
            <w:vAlign w:val="bottom"/>
            <w:hideMark/>
          </w:tcPr>
          <w:p w14:paraId="56F9BAC2" w14:textId="4F1B37D1"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 xml:space="preserve">s74 external revenues </w:t>
            </w:r>
            <w:r w:rsidRPr="000F0CD3">
              <w:rPr>
                <w:rFonts w:ascii="Arial" w:hAnsi="Arial" w:cs="Arial"/>
                <w:sz w:val="16"/>
                <w:szCs w:val="16"/>
                <w:vertAlign w:val="superscript"/>
              </w:rPr>
              <w:t>(c)</w:t>
            </w:r>
          </w:p>
        </w:tc>
        <w:tc>
          <w:tcPr>
            <w:tcW w:w="926" w:type="dxa"/>
            <w:tcBorders>
              <w:top w:val="nil"/>
              <w:left w:val="nil"/>
              <w:bottom w:val="nil"/>
              <w:right w:val="nil"/>
            </w:tcBorders>
            <w:shd w:val="clear" w:color="auto" w:fill="auto"/>
            <w:noWrap/>
            <w:vAlign w:val="bottom"/>
            <w:hideMark/>
          </w:tcPr>
          <w:p w14:paraId="457E8B0E" w14:textId="48EC783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2,183 </w:t>
            </w:r>
          </w:p>
        </w:tc>
        <w:tc>
          <w:tcPr>
            <w:tcW w:w="850" w:type="dxa"/>
            <w:tcBorders>
              <w:top w:val="nil"/>
              <w:left w:val="nil"/>
              <w:bottom w:val="nil"/>
              <w:right w:val="nil"/>
            </w:tcBorders>
            <w:shd w:val="clear" w:color="000000" w:fill="E6E6E6"/>
            <w:noWrap/>
            <w:vAlign w:val="bottom"/>
            <w:hideMark/>
          </w:tcPr>
          <w:p w14:paraId="22A9651D" w14:textId="6541CA0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2,112 </w:t>
            </w:r>
          </w:p>
        </w:tc>
        <w:tc>
          <w:tcPr>
            <w:tcW w:w="996" w:type="dxa"/>
            <w:gridSpan w:val="2"/>
            <w:tcBorders>
              <w:top w:val="nil"/>
              <w:left w:val="nil"/>
              <w:bottom w:val="nil"/>
              <w:right w:val="nil"/>
            </w:tcBorders>
            <w:shd w:val="clear" w:color="auto" w:fill="auto"/>
            <w:noWrap/>
            <w:vAlign w:val="bottom"/>
            <w:hideMark/>
          </w:tcPr>
          <w:p w14:paraId="5798D8E2" w14:textId="7164ED7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2,039 </w:t>
            </w:r>
          </w:p>
        </w:tc>
        <w:tc>
          <w:tcPr>
            <w:tcW w:w="894" w:type="dxa"/>
            <w:gridSpan w:val="2"/>
            <w:tcBorders>
              <w:top w:val="nil"/>
              <w:left w:val="nil"/>
              <w:bottom w:val="nil"/>
              <w:right w:val="nil"/>
            </w:tcBorders>
            <w:shd w:val="clear" w:color="auto" w:fill="auto"/>
            <w:noWrap/>
            <w:vAlign w:val="bottom"/>
            <w:hideMark/>
          </w:tcPr>
          <w:p w14:paraId="1DC53DA8" w14:textId="7CE5CF7D"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2,050 </w:t>
            </w:r>
          </w:p>
        </w:tc>
        <w:tc>
          <w:tcPr>
            <w:tcW w:w="898" w:type="dxa"/>
            <w:gridSpan w:val="2"/>
            <w:tcBorders>
              <w:top w:val="nil"/>
              <w:left w:val="nil"/>
              <w:bottom w:val="nil"/>
              <w:right w:val="nil"/>
            </w:tcBorders>
            <w:shd w:val="clear" w:color="auto" w:fill="auto"/>
            <w:noWrap/>
            <w:vAlign w:val="bottom"/>
            <w:hideMark/>
          </w:tcPr>
          <w:p w14:paraId="32DB0A8F" w14:textId="562E74AD"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2,096 </w:t>
            </w:r>
          </w:p>
        </w:tc>
      </w:tr>
      <w:tr w:rsidR="000F0CD3" w:rsidRPr="00A71EE7" w14:paraId="1B18005B" w14:textId="77777777" w:rsidTr="00F96D8A">
        <w:trPr>
          <w:trHeight w:val="204"/>
        </w:trPr>
        <w:tc>
          <w:tcPr>
            <w:tcW w:w="3044" w:type="dxa"/>
            <w:gridSpan w:val="2"/>
            <w:tcBorders>
              <w:top w:val="nil"/>
              <w:left w:val="nil"/>
              <w:bottom w:val="nil"/>
              <w:right w:val="nil"/>
            </w:tcBorders>
            <w:shd w:val="clear" w:color="auto" w:fill="auto"/>
            <w:vAlign w:val="bottom"/>
            <w:hideMark/>
          </w:tcPr>
          <w:p w14:paraId="23ABC86A" w14:textId="3CCF4753"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 xml:space="preserve">Expenses not requiring appropriation in the Budget year </w:t>
            </w:r>
            <w:r w:rsidRPr="000F0CD3">
              <w:rPr>
                <w:rFonts w:ascii="Arial" w:hAnsi="Arial" w:cs="Arial"/>
                <w:sz w:val="16"/>
                <w:szCs w:val="16"/>
                <w:vertAlign w:val="superscript"/>
              </w:rPr>
              <w:t>(d)</w:t>
            </w:r>
          </w:p>
        </w:tc>
        <w:tc>
          <w:tcPr>
            <w:tcW w:w="926" w:type="dxa"/>
            <w:tcBorders>
              <w:top w:val="nil"/>
              <w:left w:val="nil"/>
              <w:bottom w:val="nil"/>
              <w:right w:val="nil"/>
            </w:tcBorders>
            <w:shd w:val="clear" w:color="auto" w:fill="auto"/>
            <w:noWrap/>
            <w:vAlign w:val="bottom"/>
            <w:hideMark/>
          </w:tcPr>
          <w:p w14:paraId="10345DFB" w14:textId="7223144C"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1,471 </w:t>
            </w:r>
          </w:p>
        </w:tc>
        <w:tc>
          <w:tcPr>
            <w:tcW w:w="850" w:type="dxa"/>
            <w:tcBorders>
              <w:top w:val="nil"/>
              <w:left w:val="nil"/>
              <w:bottom w:val="nil"/>
              <w:right w:val="nil"/>
            </w:tcBorders>
            <w:shd w:val="clear" w:color="000000" w:fill="E6E6E6"/>
            <w:noWrap/>
            <w:vAlign w:val="bottom"/>
            <w:hideMark/>
          </w:tcPr>
          <w:p w14:paraId="440626FF" w14:textId="008A2E01"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1,520 </w:t>
            </w:r>
          </w:p>
        </w:tc>
        <w:tc>
          <w:tcPr>
            <w:tcW w:w="996" w:type="dxa"/>
            <w:gridSpan w:val="2"/>
            <w:tcBorders>
              <w:top w:val="nil"/>
              <w:left w:val="nil"/>
              <w:bottom w:val="nil"/>
              <w:right w:val="nil"/>
            </w:tcBorders>
            <w:shd w:val="clear" w:color="auto" w:fill="auto"/>
            <w:noWrap/>
            <w:vAlign w:val="bottom"/>
            <w:hideMark/>
          </w:tcPr>
          <w:p w14:paraId="3B12E30C" w14:textId="18E9A3A3"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1,316 </w:t>
            </w:r>
          </w:p>
        </w:tc>
        <w:tc>
          <w:tcPr>
            <w:tcW w:w="894" w:type="dxa"/>
            <w:gridSpan w:val="2"/>
            <w:tcBorders>
              <w:top w:val="nil"/>
              <w:left w:val="nil"/>
              <w:bottom w:val="nil"/>
              <w:right w:val="nil"/>
            </w:tcBorders>
            <w:shd w:val="clear" w:color="auto" w:fill="auto"/>
            <w:noWrap/>
            <w:vAlign w:val="bottom"/>
            <w:hideMark/>
          </w:tcPr>
          <w:p w14:paraId="5E9D181A" w14:textId="240F344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662 </w:t>
            </w:r>
          </w:p>
        </w:tc>
        <w:tc>
          <w:tcPr>
            <w:tcW w:w="898" w:type="dxa"/>
            <w:gridSpan w:val="2"/>
            <w:tcBorders>
              <w:top w:val="nil"/>
              <w:left w:val="nil"/>
              <w:bottom w:val="nil"/>
              <w:right w:val="nil"/>
            </w:tcBorders>
            <w:shd w:val="clear" w:color="auto" w:fill="auto"/>
            <w:noWrap/>
            <w:vAlign w:val="bottom"/>
            <w:hideMark/>
          </w:tcPr>
          <w:p w14:paraId="4BB287FE" w14:textId="33AC1808"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676 </w:t>
            </w:r>
          </w:p>
        </w:tc>
      </w:tr>
      <w:tr w:rsidR="000F0CD3" w:rsidRPr="00A71EE7" w14:paraId="1ABEBCA7" w14:textId="77777777" w:rsidTr="00F96D8A">
        <w:trPr>
          <w:trHeight w:val="204"/>
        </w:trPr>
        <w:tc>
          <w:tcPr>
            <w:tcW w:w="3044" w:type="dxa"/>
            <w:gridSpan w:val="2"/>
            <w:tcBorders>
              <w:top w:val="nil"/>
              <w:left w:val="nil"/>
              <w:bottom w:val="nil"/>
              <w:right w:val="nil"/>
            </w:tcBorders>
            <w:shd w:val="clear" w:color="auto" w:fill="auto"/>
            <w:noWrap/>
            <w:vAlign w:val="bottom"/>
            <w:hideMark/>
          </w:tcPr>
          <w:p w14:paraId="02D257D0" w14:textId="0A53428C" w:rsidR="000F0CD3" w:rsidRPr="00A71EE7" w:rsidRDefault="000F0CD3" w:rsidP="000F0CD3">
            <w:pPr>
              <w:spacing w:after="0" w:line="240" w:lineRule="auto"/>
              <w:jc w:val="left"/>
              <w:rPr>
                <w:rFonts w:ascii="Arial" w:hAnsi="Arial" w:cs="Arial"/>
                <w:b/>
                <w:bCs/>
                <w:sz w:val="16"/>
                <w:szCs w:val="16"/>
              </w:rPr>
            </w:pPr>
            <w:r>
              <w:rPr>
                <w:rFonts w:ascii="Arial" w:hAnsi="Arial" w:cs="Arial"/>
                <w:b/>
                <w:bCs/>
                <w:sz w:val="16"/>
                <w:szCs w:val="16"/>
              </w:rPr>
              <w:t>Total expenses for Program 1.2</w:t>
            </w:r>
          </w:p>
        </w:tc>
        <w:tc>
          <w:tcPr>
            <w:tcW w:w="926" w:type="dxa"/>
            <w:tcBorders>
              <w:top w:val="single" w:sz="4" w:space="0" w:color="auto"/>
              <w:left w:val="nil"/>
              <w:bottom w:val="single" w:sz="4" w:space="0" w:color="auto"/>
              <w:right w:val="nil"/>
            </w:tcBorders>
            <w:shd w:val="clear" w:color="auto" w:fill="auto"/>
            <w:noWrap/>
            <w:vAlign w:val="bottom"/>
            <w:hideMark/>
          </w:tcPr>
          <w:p w14:paraId="5A7F753E" w14:textId="4A0B9CD7"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80,155 </w:t>
            </w:r>
          </w:p>
        </w:tc>
        <w:tc>
          <w:tcPr>
            <w:tcW w:w="850" w:type="dxa"/>
            <w:tcBorders>
              <w:top w:val="single" w:sz="4" w:space="0" w:color="auto"/>
              <w:left w:val="nil"/>
              <w:bottom w:val="single" w:sz="4" w:space="0" w:color="auto"/>
              <w:right w:val="nil"/>
            </w:tcBorders>
            <w:shd w:val="clear" w:color="000000" w:fill="E6E6E6"/>
            <w:noWrap/>
            <w:vAlign w:val="bottom"/>
            <w:hideMark/>
          </w:tcPr>
          <w:p w14:paraId="66C1AB95" w14:textId="465F6791"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93,039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2EE05EBA" w14:textId="20D7C56C"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69,430 </w:t>
            </w:r>
          </w:p>
        </w:tc>
        <w:tc>
          <w:tcPr>
            <w:tcW w:w="894" w:type="dxa"/>
            <w:gridSpan w:val="2"/>
            <w:tcBorders>
              <w:top w:val="single" w:sz="4" w:space="0" w:color="auto"/>
              <w:left w:val="nil"/>
              <w:bottom w:val="single" w:sz="4" w:space="0" w:color="auto"/>
              <w:right w:val="nil"/>
            </w:tcBorders>
            <w:shd w:val="clear" w:color="auto" w:fill="auto"/>
            <w:noWrap/>
            <w:vAlign w:val="bottom"/>
            <w:hideMark/>
          </w:tcPr>
          <w:p w14:paraId="709ED91D" w14:textId="50BC0B64"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60,630 </w:t>
            </w:r>
          </w:p>
        </w:tc>
        <w:tc>
          <w:tcPr>
            <w:tcW w:w="898" w:type="dxa"/>
            <w:gridSpan w:val="2"/>
            <w:tcBorders>
              <w:top w:val="single" w:sz="4" w:space="0" w:color="auto"/>
              <w:left w:val="nil"/>
              <w:bottom w:val="single" w:sz="4" w:space="0" w:color="auto"/>
              <w:right w:val="nil"/>
            </w:tcBorders>
            <w:shd w:val="clear" w:color="auto" w:fill="auto"/>
            <w:noWrap/>
            <w:vAlign w:val="bottom"/>
            <w:hideMark/>
          </w:tcPr>
          <w:p w14:paraId="18FC1BAF" w14:textId="01FFAC93"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60,718 </w:t>
            </w:r>
          </w:p>
        </w:tc>
      </w:tr>
      <w:tr w:rsidR="00B91F3E" w:rsidRPr="00A71EE7" w14:paraId="28A4F6C1" w14:textId="77777777" w:rsidTr="00F96D8A">
        <w:trPr>
          <w:trHeight w:val="204"/>
        </w:trPr>
        <w:tc>
          <w:tcPr>
            <w:tcW w:w="3970" w:type="dxa"/>
            <w:gridSpan w:val="3"/>
            <w:tcBorders>
              <w:top w:val="single" w:sz="4" w:space="0" w:color="auto"/>
              <w:left w:val="nil"/>
              <w:bottom w:val="single" w:sz="4" w:space="0" w:color="auto"/>
              <w:right w:val="nil"/>
            </w:tcBorders>
            <w:shd w:val="clear" w:color="000000" w:fill="E6E6E6"/>
            <w:noWrap/>
            <w:vAlign w:val="bottom"/>
            <w:hideMark/>
          </w:tcPr>
          <w:p w14:paraId="22580F5D" w14:textId="77777777" w:rsidR="00B91F3E" w:rsidRPr="00472C97" w:rsidRDefault="00B91F3E" w:rsidP="00F96D8A">
            <w:pPr>
              <w:spacing w:after="0" w:line="240" w:lineRule="auto"/>
              <w:jc w:val="left"/>
              <w:rPr>
                <w:rFonts w:ascii="Arial" w:hAnsi="Arial" w:cs="Arial"/>
                <w:b/>
                <w:bCs/>
                <w:sz w:val="16"/>
                <w:szCs w:val="16"/>
              </w:rPr>
            </w:pPr>
            <w:r w:rsidRPr="00A71EE7">
              <w:rPr>
                <w:rFonts w:ascii="Arial" w:hAnsi="Arial" w:cs="Arial"/>
                <w:b/>
                <w:bCs/>
                <w:sz w:val="16"/>
                <w:szCs w:val="16"/>
              </w:rPr>
              <w:t>Outcome 1 Totals by appropriation type</w:t>
            </w:r>
          </w:p>
        </w:tc>
        <w:tc>
          <w:tcPr>
            <w:tcW w:w="850" w:type="dxa"/>
            <w:tcBorders>
              <w:top w:val="single" w:sz="4" w:space="0" w:color="auto"/>
              <w:left w:val="nil"/>
              <w:bottom w:val="single" w:sz="4" w:space="0" w:color="auto"/>
              <w:right w:val="nil"/>
            </w:tcBorders>
            <w:shd w:val="clear" w:color="000000" w:fill="E6E6E6"/>
            <w:noWrap/>
            <w:vAlign w:val="bottom"/>
            <w:hideMark/>
          </w:tcPr>
          <w:p w14:paraId="27521B35"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13EA917B"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c>
          <w:tcPr>
            <w:tcW w:w="894" w:type="dxa"/>
            <w:gridSpan w:val="2"/>
            <w:tcBorders>
              <w:top w:val="single" w:sz="4" w:space="0" w:color="auto"/>
              <w:left w:val="nil"/>
              <w:bottom w:val="single" w:sz="4" w:space="0" w:color="auto"/>
              <w:right w:val="nil"/>
            </w:tcBorders>
            <w:shd w:val="clear" w:color="000000" w:fill="E6E6E6"/>
            <w:noWrap/>
            <w:vAlign w:val="bottom"/>
            <w:hideMark/>
          </w:tcPr>
          <w:p w14:paraId="28DBCB44"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c>
          <w:tcPr>
            <w:tcW w:w="898" w:type="dxa"/>
            <w:gridSpan w:val="2"/>
            <w:tcBorders>
              <w:top w:val="single" w:sz="4" w:space="0" w:color="auto"/>
              <w:left w:val="nil"/>
              <w:bottom w:val="single" w:sz="4" w:space="0" w:color="auto"/>
              <w:right w:val="nil"/>
            </w:tcBorders>
            <w:shd w:val="clear" w:color="000000" w:fill="E6E6E6"/>
            <w:noWrap/>
            <w:vAlign w:val="bottom"/>
            <w:hideMark/>
          </w:tcPr>
          <w:p w14:paraId="1311B04B" w14:textId="77777777" w:rsidR="00B91F3E" w:rsidRPr="00A71EE7" w:rsidRDefault="00B91F3E" w:rsidP="00F96D8A">
            <w:pPr>
              <w:spacing w:after="0" w:line="240" w:lineRule="auto"/>
              <w:jc w:val="right"/>
              <w:rPr>
                <w:rFonts w:ascii="Arial" w:hAnsi="Arial" w:cs="Arial"/>
                <w:sz w:val="16"/>
                <w:szCs w:val="16"/>
              </w:rPr>
            </w:pPr>
            <w:r w:rsidRPr="00A71EE7">
              <w:rPr>
                <w:rFonts w:ascii="Arial" w:hAnsi="Arial" w:cs="Arial"/>
                <w:sz w:val="16"/>
                <w:szCs w:val="16"/>
              </w:rPr>
              <w:t> </w:t>
            </w:r>
          </w:p>
        </w:tc>
      </w:tr>
      <w:tr w:rsidR="00B91F3E" w:rsidRPr="00A71EE7" w14:paraId="42504B0D" w14:textId="77777777" w:rsidTr="00F96D8A">
        <w:trPr>
          <w:trHeight w:val="204"/>
        </w:trPr>
        <w:tc>
          <w:tcPr>
            <w:tcW w:w="2975" w:type="dxa"/>
            <w:tcBorders>
              <w:top w:val="nil"/>
              <w:left w:val="nil"/>
              <w:bottom w:val="nil"/>
              <w:right w:val="nil"/>
            </w:tcBorders>
            <w:shd w:val="clear" w:color="auto" w:fill="auto"/>
            <w:noWrap/>
            <w:vAlign w:val="bottom"/>
            <w:hideMark/>
          </w:tcPr>
          <w:p w14:paraId="5B9B04DB" w14:textId="77777777" w:rsidR="00B91F3E" w:rsidRPr="00A71EE7" w:rsidRDefault="00B91F3E" w:rsidP="00F96D8A">
            <w:pPr>
              <w:spacing w:after="0" w:line="240" w:lineRule="auto"/>
              <w:jc w:val="left"/>
              <w:rPr>
                <w:rFonts w:ascii="Arial" w:hAnsi="Arial" w:cs="Arial"/>
                <w:sz w:val="16"/>
                <w:szCs w:val="16"/>
              </w:rPr>
            </w:pPr>
            <w:r w:rsidRPr="00A71EE7">
              <w:rPr>
                <w:rFonts w:ascii="Arial" w:hAnsi="Arial" w:cs="Arial"/>
                <w:sz w:val="16"/>
                <w:szCs w:val="16"/>
              </w:rPr>
              <w:t>Administered expenses</w:t>
            </w:r>
          </w:p>
        </w:tc>
        <w:tc>
          <w:tcPr>
            <w:tcW w:w="995" w:type="dxa"/>
            <w:gridSpan w:val="2"/>
            <w:tcBorders>
              <w:top w:val="nil"/>
              <w:left w:val="nil"/>
              <w:bottom w:val="nil"/>
              <w:right w:val="nil"/>
            </w:tcBorders>
            <w:shd w:val="clear" w:color="auto" w:fill="auto"/>
            <w:noWrap/>
            <w:vAlign w:val="bottom"/>
            <w:hideMark/>
          </w:tcPr>
          <w:p w14:paraId="65162EFB" w14:textId="77777777" w:rsidR="00B91F3E" w:rsidRPr="00A71EE7"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F1542D4" w14:textId="77777777" w:rsidR="00B91F3E" w:rsidRPr="00A71EE7"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0DB18B39" w14:textId="77777777" w:rsidR="00B91F3E" w:rsidRPr="00A71EE7" w:rsidRDefault="00B91F3E" w:rsidP="00F96D8A">
            <w:pPr>
              <w:spacing w:after="0" w:line="240" w:lineRule="auto"/>
              <w:jc w:val="right"/>
              <w:rPr>
                <w:rFonts w:ascii="Arial" w:hAnsi="Arial" w:cs="Arial"/>
                <w:sz w:val="16"/>
                <w:szCs w:val="16"/>
              </w:rPr>
            </w:pPr>
          </w:p>
        </w:tc>
        <w:tc>
          <w:tcPr>
            <w:tcW w:w="894" w:type="dxa"/>
            <w:gridSpan w:val="2"/>
            <w:tcBorders>
              <w:top w:val="nil"/>
              <w:left w:val="nil"/>
              <w:bottom w:val="nil"/>
              <w:right w:val="nil"/>
            </w:tcBorders>
            <w:shd w:val="clear" w:color="auto" w:fill="auto"/>
            <w:noWrap/>
            <w:vAlign w:val="bottom"/>
            <w:hideMark/>
          </w:tcPr>
          <w:p w14:paraId="6F36B2C4" w14:textId="77777777" w:rsidR="00B91F3E" w:rsidRPr="00A71EE7" w:rsidRDefault="00B91F3E" w:rsidP="00F96D8A">
            <w:pPr>
              <w:spacing w:after="0" w:line="240" w:lineRule="auto"/>
              <w:jc w:val="right"/>
              <w:rPr>
                <w:rFonts w:ascii="Times New Roman" w:hAnsi="Times New Roman"/>
              </w:rPr>
            </w:pPr>
          </w:p>
        </w:tc>
        <w:tc>
          <w:tcPr>
            <w:tcW w:w="898" w:type="dxa"/>
            <w:gridSpan w:val="2"/>
            <w:tcBorders>
              <w:top w:val="nil"/>
              <w:left w:val="nil"/>
              <w:bottom w:val="nil"/>
              <w:right w:val="nil"/>
            </w:tcBorders>
            <w:shd w:val="clear" w:color="auto" w:fill="auto"/>
            <w:noWrap/>
            <w:vAlign w:val="bottom"/>
            <w:hideMark/>
          </w:tcPr>
          <w:p w14:paraId="2074F7BA" w14:textId="77777777" w:rsidR="00B91F3E" w:rsidRPr="00A71EE7" w:rsidRDefault="00B91F3E" w:rsidP="00F96D8A">
            <w:pPr>
              <w:spacing w:after="0" w:line="240" w:lineRule="auto"/>
              <w:jc w:val="right"/>
              <w:rPr>
                <w:rFonts w:ascii="Times New Roman" w:hAnsi="Times New Roman"/>
              </w:rPr>
            </w:pPr>
          </w:p>
        </w:tc>
      </w:tr>
      <w:tr w:rsidR="000F0CD3" w:rsidRPr="00A71EE7" w14:paraId="4A2F0336" w14:textId="77777777" w:rsidTr="00F96D8A">
        <w:trPr>
          <w:trHeight w:val="204"/>
        </w:trPr>
        <w:tc>
          <w:tcPr>
            <w:tcW w:w="2975" w:type="dxa"/>
            <w:tcBorders>
              <w:top w:val="nil"/>
              <w:left w:val="nil"/>
              <w:bottom w:val="nil"/>
              <w:right w:val="nil"/>
            </w:tcBorders>
            <w:shd w:val="clear" w:color="auto" w:fill="auto"/>
            <w:vAlign w:val="bottom"/>
            <w:hideMark/>
          </w:tcPr>
          <w:p w14:paraId="1D5BF935" w14:textId="77777777" w:rsidR="000F0CD3" w:rsidRPr="00A71EE7" w:rsidRDefault="000F0CD3" w:rsidP="000F0CD3">
            <w:pPr>
              <w:spacing w:after="0" w:line="240" w:lineRule="auto"/>
              <w:ind w:left="113"/>
              <w:jc w:val="left"/>
              <w:rPr>
                <w:rFonts w:ascii="Arial" w:hAnsi="Arial" w:cs="Arial"/>
                <w:sz w:val="16"/>
                <w:szCs w:val="16"/>
              </w:rPr>
            </w:pPr>
            <w:r w:rsidRPr="00A71EE7">
              <w:rPr>
                <w:rFonts w:ascii="Arial" w:hAnsi="Arial" w:cs="Arial"/>
                <w:sz w:val="16"/>
                <w:szCs w:val="16"/>
              </w:rPr>
              <w:t>Ordinary Annual Services (Appropriation Act No. 1 and Bill No.</w:t>
            </w:r>
            <w:r>
              <w:rPr>
                <w:rFonts w:ascii="Arial" w:hAnsi="Arial" w:cs="Arial"/>
                <w:sz w:val="16"/>
                <w:szCs w:val="16"/>
              </w:rPr>
              <w:t> </w:t>
            </w:r>
            <w:r w:rsidRPr="00A71EE7">
              <w:rPr>
                <w:rFonts w:ascii="Arial" w:hAnsi="Arial" w:cs="Arial"/>
                <w:sz w:val="16"/>
                <w:szCs w:val="16"/>
              </w:rPr>
              <w:t>3)</w:t>
            </w:r>
          </w:p>
        </w:tc>
        <w:tc>
          <w:tcPr>
            <w:tcW w:w="995" w:type="dxa"/>
            <w:gridSpan w:val="2"/>
            <w:tcBorders>
              <w:top w:val="nil"/>
              <w:left w:val="nil"/>
              <w:bottom w:val="nil"/>
              <w:right w:val="nil"/>
            </w:tcBorders>
            <w:shd w:val="clear" w:color="auto" w:fill="auto"/>
            <w:noWrap/>
            <w:vAlign w:val="bottom"/>
            <w:hideMark/>
          </w:tcPr>
          <w:p w14:paraId="6C7424AB" w14:textId="4D779487"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336,836 </w:t>
            </w:r>
          </w:p>
        </w:tc>
        <w:tc>
          <w:tcPr>
            <w:tcW w:w="850" w:type="dxa"/>
            <w:tcBorders>
              <w:top w:val="nil"/>
              <w:left w:val="nil"/>
              <w:bottom w:val="nil"/>
              <w:right w:val="nil"/>
            </w:tcBorders>
            <w:shd w:val="clear" w:color="000000" w:fill="E6E6E6"/>
            <w:noWrap/>
            <w:vAlign w:val="bottom"/>
            <w:hideMark/>
          </w:tcPr>
          <w:p w14:paraId="3EAF99B9" w14:textId="652FD4D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205,003 </w:t>
            </w:r>
          </w:p>
        </w:tc>
        <w:tc>
          <w:tcPr>
            <w:tcW w:w="996" w:type="dxa"/>
            <w:gridSpan w:val="2"/>
            <w:tcBorders>
              <w:top w:val="nil"/>
              <w:left w:val="nil"/>
              <w:bottom w:val="nil"/>
              <w:right w:val="nil"/>
            </w:tcBorders>
            <w:shd w:val="clear" w:color="auto" w:fill="auto"/>
            <w:noWrap/>
            <w:vAlign w:val="bottom"/>
            <w:hideMark/>
          </w:tcPr>
          <w:p w14:paraId="71A933BB" w14:textId="127C436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45,167 </w:t>
            </w:r>
          </w:p>
        </w:tc>
        <w:tc>
          <w:tcPr>
            <w:tcW w:w="894" w:type="dxa"/>
            <w:gridSpan w:val="2"/>
            <w:tcBorders>
              <w:top w:val="nil"/>
              <w:left w:val="nil"/>
              <w:bottom w:val="nil"/>
              <w:right w:val="nil"/>
            </w:tcBorders>
            <w:shd w:val="clear" w:color="auto" w:fill="auto"/>
            <w:noWrap/>
            <w:vAlign w:val="bottom"/>
            <w:hideMark/>
          </w:tcPr>
          <w:p w14:paraId="033291DC" w14:textId="69CFA0E2"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20,483 </w:t>
            </w:r>
          </w:p>
        </w:tc>
        <w:tc>
          <w:tcPr>
            <w:tcW w:w="898" w:type="dxa"/>
            <w:gridSpan w:val="2"/>
            <w:tcBorders>
              <w:top w:val="nil"/>
              <w:left w:val="nil"/>
              <w:bottom w:val="nil"/>
              <w:right w:val="nil"/>
            </w:tcBorders>
            <w:shd w:val="clear" w:color="auto" w:fill="auto"/>
            <w:noWrap/>
            <w:vAlign w:val="bottom"/>
            <w:hideMark/>
          </w:tcPr>
          <w:p w14:paraId="46126164" w14:textId="2863BF9F"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18,287 </w:t>
            </w:r>
          </w:p>
        </w:tc>
      </w:tr>
      <w:tr w:rsidR="000F0CD3" w:rsidRPr="00A71EE7" w14:paraId="150E93BC" w14:textId="77777777" w:rsidTr="00F96D8A">
        <w:trPr>
          <w:trHeight w:val="204"/>
        </w:trPr>
        <w:tc>
          <w:tcPr>
            <w:tcW w:w="2975" w:type="dxa"/>
            <w:tcBorders>
              <w:top w:val="nil"/>
              <w:left w:val="nil"/>
              <w:bottom w:val="nil"/>
              <w:right w:val="nil"/>
            </w:tcBorders>
            <w:shd w:val="clear" w:color="auto" w:fill="auto"/>
            <w:vAlign w:val="bottom"/>
            <w:hideMark/>
          </w:tcPr>
          <w:p w14:paraId="089AFCD9" w14:textId="77777777" w:rsidR="000F0CD3" w:rsidRPr="00A71EE7" w:rsidRDefault="000F0CD3" w:rsidP="000F0CD3">
            <w:pPr>
              <w:spacing w:after="0" w:line="240" w:lineRule="auto"/>
              <w:ind w:left="113"/>
              <w:jc w:val="left"/>
              <w:rPr>
                <w:rFonts w:ascii="Arial" w:hAnsi="Arial" w:cs="Arial"/>
                <w:sz w:val="16"/>
                <w:szCs w:val="16"/>
              </w:rPr>
            </w:pPr>
            <w:r w:rsidRPr="00A71EE7">
              <w:rPr>
                <w:rFonts w:ascii="Arial" w:hAnsi="Arial" w:cs="Arial"/>
                <w:sz w:val="16"/>
                <w:szCs w:val="16"/>
              </w:rPr>
              <w:t>Other Services (Appropriation Act No. 2 and Bill No. 4)</w:t>
            </w:r>
          </w:p>
        </w:tc>
        <w:tc>
          <w:tcPr>
            <w:tcW w:w="995" w:type="dxa"/>
            <w:gridSpan w:val="2"/>
            <w:tcBorders>
              <w:top w:val="nil"/>
              <w:left w:val="nil"/>
              <w:bottom w:val="nil"/>
              <w:right w:val="nil"/>
            </w:tcBorders>
            <w:shd w:val="clear" w:color="auto" w:fill="auto"/>
            <w:noWrap/>
            <w:vAlign w:val="bottom"/>
            <w:hideMark/>
          </w:tcPr>
          <w:p w14:paraId="3CE2B639" w14:textId="3FC16BEF"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498,887 </w:t>
            </w:r>
          </w:p>
        </w:tc>
        <w:tc>
          <w:tcPr>
            <w:tcW w:w="850" w:type="dxa"/>
            <w:tcBorders>
              <w:top w:val="nil"/>
              <w:left w:val="nil"/>
              <w:bottom w:val="nil"/>
              <w:right w:val="nil"/>
            </w:tcBorders>
            <w:shd w:val="clear" w:color="000000" w:fill="E6E6E6"/>
            <w:noWrap/>
            <w:vAlign w:val="bottom"/>
            <w:hideMark/>
          </w:tcPr>
          <w:p w14:paraId="607574AF" w14:textId="65874972"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490,881 </w:t>
            </w:r>
          </w:p>
        </w:tc>
        <w:tc>
          <w:tcPr>
            <w:tcW w:w="996" w:type="dxa"/>
            <w:gridSpan w:val="2"/>
            <w:tcBorders>
              <w:top w:val="nil"/>
              <w:left w:val="nil"/>
              <w:bottom w:val="nil"/>
              <w:right w:val="nil"/>
            </w:tcBorders>
            <w:shd w:val="clear" w:color="auto" w:fill="auto"/>
            <w:noWrap/>
            <w:vAlign w:val="bottom"/>
            <w:hideMark/>
          </w:tcPr>
          <w:p w14:paraId="150A3E76" w14:textId="76A1A6D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485,306 </w:t>
            </w:r>
          </w:p>
        </w:tc>
        <w:tc>
          <w:tcPr>
            <w:tcW w:w="894" w:type="dxa"/>
            <w:gridSpan w:val="2"/>
            <w:tcBorders>
              <w:top w:val="nil"/>
              <w:left w:val="nil"/>
              <w:bottom w:val="nil"/>
              <w:right w:val="nil"/>
            </w:tcBorders>
            <w:shd w:val="clear" w:color="auto" w:fill="auto"/>
            <w:noWrap/>
            <w:vAlign w:val="bottom"/>
            <w:hideMark/>
          </w:tcPr>
          <w:p w14:paraId="450AE306" w14:textId="2DB05C6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499,516 </w:t>
            </w:r>
          </w:p>
        </w:tc>
        <w:tc>
          <w:tcPr>
            <w:tcW w:w="898" w:type="dxa"/>
            <w:gridSpan w:val="2"/>
            <w:tcBorders>
              <w:top w:val="nil"/>
              <w:left w:val="nil"/>
              <w:bottom w:val="nil"/>
              <w:right w:val="nil"/>
            </w:tcBorders>
            <w:shd w:val="clear" w:color="auto" w:fill="auto"/>
            <w:noWrap/>
            <w:vAlign w:val="bottom"/>
            <w:hideMark/>
          </w:tcPr>
          <w:p w14:paraId="4DB432D2" w14:textId="6A19D216"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499,516 </w:t>
            </w:r>
          </w:p>
        </w:tc>
      </w:tr>
      <w:tr w:rsidR="000F0CD3" w:rsidRPr="00A71EE7" w14:paraId="6EF29815" w14:textId="77777777" w:rsidTr="00F96D8A">
        <w:trPr>
          <w:trHeight w:val="204"/>
        </w:trPr>
        <w:tc>
          <w:tcPr>
            <w:tcW w:w="2975" w:type="dxa"/>
            <w:tcBorders>
              <w:top w:val="nil"/>
              <w:left w:val="nil"/>
              <w:bottom w:val="nil"/>
              <w:right w:val="nil"/>
            </w:tcBorders>
            <w:shd w:val="clear" w:color="auto" w:fill="auto"/>
            <w:noWrap/>
            <w:vAlign w:val="bottom"/>
            <w:hideMark/>
          </w:tcPr>
          <w:p w14:paraId="6B4646EC" w14:textId="77777777" w:rsidR="000F0CD3" w:rsidRPr="00A71EE7" w:rsidRDefault="000F0CD3" w:rsidP="000F0CD3">
            <w:pPr>
              <w:spacing w:after="0" w:line="240" w:lineRule="auto"/>
              <w:ind w:left="113"/>
              <w:jc w:val="left"/>
              <w:rPr>
                <w:rFonts w:ascii="Arial" w:hAnsi="Arial" w:cs="Arial"/>
                <w:sz w:val="16"/>
                <w:szCs w:val="16"/>
              </w:rPr>
            </w:pPr>
            <w:r w:rsidRPr="00A71EE7">
              <w:rPr>
                <w:rFonts w:ascii="Arial" w:hAnsi="Arial" w:cs="Arial"/>
                <w:sz w:val="16"/>
                <w:szCs w:val="16"/>
              </w:rPr>
              <w:t xml:space="preserve">Payments to corporate entities </w:t>
            </w:r>
            <w:r w:rsidRPr="00A71EE7">
              <w:rPr>
                <w:rFonts w:ascii="Arial" w:hAnsi="Arial" w:cs="Arial"/>
                <w:sz w:val="16"/>
                <w:szCs w:val="16"/>
                <w:vertAlign w:val="superscript"/>
              </w:rPr>
              <w:t>(a)</w:t>
            </w:r>
          </w:p>
        </w:tc>
        <w:tc>
          <w:tcPr>
            <w:tcW w:w="995" w:type="dxa"/>
            <w:gridSpan w:val="2"/>
            <w:tcBorders>
              <w:top w:val="nil"/>
              <w:left w:val="nil"/>
              <w:bottom w:val="nil"/>
              <w:right w:val="nil"/>
            </w:tcBorders>
            <w:shd w:val="clear" w:color="auto" w:fill="auto"/>
            <w:noWrap/>
            <w:vAlign w:val="bottom"/>
            <w:hideMark/>
          </w:tcPr>
          <w:p w14:paraId="021BAB59" w14:textId="66E875B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12,853 </w:t>
            </w:r>
          </w:p>
        </w:tc>
        <w:tc>
          <w:tcPr>
            <w:tcW w:w="850" w:type="dxa"/>
            <w:tcBorders>
              <w:top w:val="nil"/>
              <w:left w:val="nil"/>
              <w:bottom w:val="nil"/>
              <w:right w:val="nil"/>
            </w:tcBorders>
            <w:shd w:val="clear" w:color="000000" w:fill="E6E6E6"/>
            <w:noWrap/>
            <w:vAlign w:val="bottom"/>
            <w:hideMark/>
          </w:tcPr>
          <w:p w14:paraId="7A89201D" w14:textId="37A1FE14"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12,733 </w:t>
            </w:r>
          </w:p>
        </w:tc>
        <w:tc>
          <w:tcPr>
            <w:tcW w:w="996" w:type="dxa"/>
            <w:gridSpan w:val="2"/>
            <w:tcBorders>
              <w:top w:val="nil"/>
              <w:left w:val="nil"/>
              <w:bottom w:val="nil"/>
              <w:right w:val="nil"/>
            </w:tcBorders>
            <w:shd w:val="clear" w:color="auto" w:fill="auto"/>
            <w:noWrap/>
            <w:vAlign w:val="bottom"/>
            <w:hideMark/>
          </w:tcPr>
          <w:p w14:paraId="79A1EDDF" w14:textId="1377183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12,804 </w:t>
            </w:r>
          </w:p>
        </w:tc>
        <w:tc>
          <w:tcPr>
            <w:tcW w:w="894" w:type="dxa"/>
            <w:gridSpan w:val="2"/>
            <w:tcBorders>
              <w:top w:val="nil"/>
              <w:left w:val="nil"/>
              <w:bottom w:val="nil"/>
              <w:right w:val="nil"/>
            </w:tcBorders>
            <w:shd w:val="clear" w:color="auto" w:fill="auto"/>
            <w:noWrap/>
            <w:vAlign w:val="bottom"/>
            <w:hideMark/>
          </w:tcPr>
          <w:p w14:paraId="542F8629" w14:textId="1FE0FC1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12,900 </w:t>
            </w:r>
          </w:p>
        </w:tc>
        <w:tc>
          <w:tcPr>
            <w:tcW w:w="898" w:type="dxa"/>
            <w:gridSpan w:val="2"/>
            <w:tcBorders>
              <w:top w:val="nil"/>
              <w:left w:val="nil"/>
              <w:bottom w:val="nil"/>
              <w:right w:val="nil"/>
            </w:tcBorders>
            <w:shd w:val="clear" w:color="auto" w:fill="auto"/>
            <w:noWrap/>
            <w:vAlign w:val="bottom"/>
            <w:hideMark/>
          </w:tcPr>
          <w:p w14:paraId="3E3AC05D" w14:textId="16944F04"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12,981 </w:t>
            </w:r>
          </w:p>
        </w:tc>
      </w:tr>
      <w:tr w:rsidR="000F0CD3" w:rsidRPr="00A71EE7" w14:paraId="2572A02C" w14:textId="77777777" w:rsidTr="00F96D8A">
        <w:trPr>
          <w:trHeight w:val="204"/>
        </w:trPr>
        <w:tc>
          <w:tcPr>
            <w:tcW w:w="2975" w:type="dxa"/>
            <w:tcBorders>
              <w:top w:val="nil"/>
              <w:left w:val="nil"/>
              <w:bottom w:val="nil"/>
              <w:right w:val="nil"/>
            </w:tcBorders>
            <w:shd w:val="clear" w:color="auto" w:fill="auto"/>
            <w:vAlign w:val="bottom"/>
            <w:hideMark/>
          </w:tcPr>
          <w:p w14:paraId="6BC157D6" w14:textId="77777777" w:rsidR="000F0CD3" w:rsidRPr="00A71EE7" w:rsidRDefault="000F0CD3" w:rsidP="000F0CD3">
            <w:pPr>
              <w:spacing w:after="0" w:line="240" w:lineRule="auto"/>
              <w:ind w:left="113"/>
              <w:jc w:val="left"/>
              <w:rPr>
                <w:rFonts w:ascii="Arial" w:hAnsi="Arial" w:cs="Arial"/>
                <w:sz w:val="16"/>
                <w:szCs w:val="16"/>
              </w:rPr>
            </w:pPr>
            <w:r w:rsidRPr="00A71EE7">
              <w:rPr>
                <w:rFonts w:ascii="Arial" w:hAnsi="Arial" w:cs="Arial"/>
                <w:sz w:val="16"/>
                <w:szCs w:val="16"/>
              </w:rPr>
              <w:t xml:space="preserve">Expenses not requiring appropriation in the Budget year </w:t>
            </w:r>
            <w:r w:rsidRPr="00A71EE7">
              <w:rPr>
                <w:rFonts w:ascii="Arial" w:hAnsi="Arial" w:cs="Arial"/>
                <w:sz w:val="16"/>
                <w:szCs w:val="16"/>
                <w:vertAlign w:val="superscript"/>
              </w:rPr>
              <w:t>(b)</w:t>
            </w:r>
          </w:p>
        </w:tc>
        <w:tc>
          <w:tcPr>
            <w:tcW w:w="995" w:type="dxa"/>
            <w:gridSpan w:val="2"/>
            <w:tcBorders>
              <w:top w:val="nil"/>
              <w:left w:val="nil"/>
              <w:bottom w:val="nil"/>
              <w:right w:val="nil"/>
            </w:tcBorders>
            <w:shd w:val="clear" w:color="auto" w:fill="auto"/>
            <w:noWrap/>
            <w:vAlign w:val="bottom"/>
            <w:hideMark/>
          </w:tcPr>
          <w:p w14:paraId="73539078" w14:textId="13D84AB4"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101,145 </w:t>
            </w:r>
          </w:p>
        </w:tc>
        <w:tc>
          <w:tcPr>
            <w:tcW w:w="850" w:type="dxa"/>
            <w:tcBorders>
              <w:top w:val="nil"/>
              <w:left w:val="nil"/>
              <w:bottom w:val="nil"/>
              <w:right w:val="nil"/>
            </w:tcBorders>
            <w:shd w:val="clear" w:color="000000" w:fill="E6E6E6"/>
            <w:noWrap/>
            <w:vAlign w:val="bottom"/>
            <w:hideMark/>
          </w:tcPr>
          <w:p w14:paraId="67DA42CD" w14:textId="55AAAB4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1,053 </w:t>
            </w:r>
          </w:p>
        </w:tc>
        <w:tc>
          <w:tcPr>
            <w:tcW w:w="996" w:type="dxa"/>
            <w:gridSpan w:val="2"/>
            <w:tcBorders>
              <w:top w:val="nil"/>
              <w:left w:val="nil"/>
              <w:bottom w:val="nil"/>
              <w:right w:val="nil"/>
            </w:tcBorders>
            <w:shd w:val="clear" w:color="auto" w:fill="auto"/>
            <w:noWrap/>
            <w:vAlign w:val="bottom"/>
            <w:hideMark/>
          </w:tcPr>
          <w:p w14:paraId="3B41B260" w14:textId="53BDB74C"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 </w:t>
            </w:r>
          </w:p>
        </w:tc>
        <w:tc>
          <w:tcPr>
            <w:tcW w:w="894" w:type="dxa"/>
            <w:gridSpan w:val="2"/>
            <w:tcBorders>
              <w:top w:val="nil"/>
              <w:left w:val="nil"/>
              <w:bottom w:val="nil"/>
              <w:right w:val="nil"/>
            </w:tcBorders>
            <w:shd w:val="clear" w:color="auto" w:fill="auto"/>
            <w:noWrap/>
            <w:vAlign w:val="bottom"/>
            <w:hideMark/>
          </w:tcPr>
          <w:p w14:paraId="6264E909" w14:textId="68F7F82F"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 </w:t>
            </w:r>
          </w:p>
        </w:tc>
        <w:tc>
          <w:tcPr>
            <w:tcW w:w="898" w:type="dxa"/>
            <w:gridSpan w:val="2"/>
            <w:tcBorders>
              <w:top w:val="nil"/>
              <w:left w:val="nil"/>
              <w:bottom w:val="nil"/>
              <w:right w:val="nil"/>
            </w:tcBorders>
            <w:shd w:val="clear" w:color="auto" w:fill="auto"/>
            <w:noWrap/>
            <w:vAlign w:val="bottom"/>
            <w:hideMark/>
          </w:tcPr>
          <w:p w14:paraId="544CE824" w14:textId="6C4A54D0"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 </w:t>
            </w:r>
          </w:p>
        </w:tc>
      </w:tr>
      <w:tr w:rsidR="000F0CD3" w:rsidRPr="00A71EE7" w14:paraId="2C1A66C5" w14:textId="77777777" w:rsidTr="000B0083">
        <w:trPr>
          <w:trHeight w:val="204"/>
        </w:trPr>
        <w:tc>
          <w:tcPr>
            <w:tcW w:w="2975" w:type="dxa"/>
            <w:tcBorders>
              <w:top w:val="nil"/>
              <w:left w:val="nil"/>
              <w:bottom w:val="nil"/>
              <w:right w:val="nil"/>
            </w:tcBorders>
            <w:shd w:val="clear" w:color="auto" w:fill="auto"/>
            <w:vAlign w:val="bottom"/>
            <w:hideMark/>
          </w:tcPr>
          <w:p w14:paraId="39776B76" w14:textId="2FC0C6E5" w:rsidR="000F0CD3" w:rsidRPr="00A71EE7" w:rsidRDefault="000F0CD3" w:rsidP="00F35F54">
            <w:pPr>
              <w:spacing w:after="0" w:line="240" w:lineRule="auto"/>
              <w:jc w:val="left"/>
              <w:rPr>
                <w:rFonts w:ascii="Arial" w:hAnsi="Arial" w:cs="Arial"/>
                <w:b/>
                <w:bCs/>
                <w:sz w:val="16"/>
                <w:szCs w:val="16"/>
              </w:rPr>
            </w:pPr>
            <w:r w:rsidRPr="00A71EE7">
              <w:rPr>
                <w:rFonts w:ascii="Arial" w:hAnsi="Arial" w:cs="Arial"/>
                <w:b/>
                <w:bCs/>
                <w:sz w:val="16"/>
                <w:szCs w:val="16"/>
              </w:rPr>
              <w:t xml:space="preserve">Total </w:t>
            </w:r>
            <w:r>
              <w:rPr>
                <w:rFonts w:ascii="Arial" w:hAnsi="Arial" w:cs="Arial"/>
                <w:b/>
                <w:bCs/>
                <w:sz w:val="16"/>
                <w:szCs w:val="16"/>
              </w:rPr>
              <w:t>A</w:t>
            </w:r>
            <w:r w:rsidRPr="00A71EE7">
              <w:rPr>
                <w:rFonts w:ascii="Arial" w:hAnsi="Arial" w:cs="Arial"/>
                <w:b/>
                <w:bCs/>
                <w:sz w:val="16"/>
                <w:szCs w:val="16"/>
              </w:rPr>
              <w:t>dministered expenses</w:t>
            </w:r>
          </w:p>
        </w:tc>
        <w:tc>
          <w:tcPr>
            <w:tcW w:w="995" w:type="dxa"/>
            <w:gridSpan w:val="2"/>
            <w:tcBorders>
              <w:top w:val="single" w:sz="4" w:space="0" w:color="auto"/>
              <w:left w:val="nil"/>
              <w:bottom w:val="single" w:sz="4" w:space="0" w:color="auto"/>
              <w:right w:val="nil"/>
            </w:tcBorders>
            <w:shd w:val="clear" w:color="auto" w:fill="auto"/>
            <w:noWrap/>
            <w:vAlign w:val="bottom"/>
            <w:hideMark/>
          </w:tcPr>
          <w:p w14:paraId="35625F8A" w14:textId="181DA4CD"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949,721 </w:t>
            </w:r>
          </w:p>
        </w:tc>
        <w:tc>
          <w:tcPr>
            <w:tcW w:w="850" w:type="dxa"/>
            <w:tcBorders>
              <w:top w:val="single" w:sz="4" w:space="0" w:color="auto"/>
              <w:left w:val="nil"/>
              <w:bottom w:val="single" w:sz="4" w:space="0" w:color="auto"/>
              <w:right w:val="nil"/>
            </w:tcBorders>
            <w:shd w:val="clear" w:color="auto" w:fill="E0E0E0"/>
            <w:noWrap/>
            <w:vAlign w:val="bottom"/>
            <w:hideMark/>
          </w:tcPr>
          <w:p w14:paraId="19F80A86" w14:textId="1BD380B1"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709,670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BB884E7" w14:textId="489562CB"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543,277 </w:t>
            </w:r>
          </w:p>
        </w:tc>
        <w:tc>
          <w:tcPr>
            <w:tcW w:w="894" w:type="dxa"/>
            <w:gridSpan w:val="2"/>
            <w:tcBorders>
              <w:top w:val="single" w:sz="4" w:space="0" w:color="auto"/>
              <w:left w:val="nil"/>
              <w:bottom w:val="single" w:sz="4" w:space="0" w:color="auto"/>
              <w:right w:val="nil"/>
            </w:tcBorders>
            <w:shd w:val="clear" w:color="auto" w:fill="auto"/>
            <w:noWrap/>
            <w:vAlign w:val="bottom"/>
            <w:hideMark/>
          </w:tcPr>
          <w:p w14:paraId="50CF8408" w14:textId="4B9D8514"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532,899 </w:t>
            </w:r>
          </w:p>
        </w:tc>
        <w:tc>
          <w:tcPr>
            <w:tcW w:w="898" w:type="dxa"/>
            <w:gridSpan w:val="2"/>
            <w:tcBorders>
              <w:top w:val="single" w:sz="4" w:space="0" w:color="auto"/>
              <w:left w:val="nil"/>
              <w:bottom w:val="single" w:sz="4" w:space="0" w:color="auto"/>
              <w:right w:val="nil"/>
            </w:tcBorders>
            <w:shd w:val="clear" w:color="auto" w:fill="auto"/>
            <w:noWrap/>
            <w:vAlign w:val="bottom"/>
            <w:hideMark/>
          </w:tcPr>
          <w:p w14:paraId="4409193F" w14:textId="2CA83959"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530,784 </w:t>
            </w:r>
          </w:p>
        </w:tc>
      </w:tr>
      <w:tr w:rsidR="007F54D0" w:rsidRPr="00A71EE7" w14:paraId="59044CA8" w14:textId="77777777" w:rsidTr="000B0083">
        <w:trPr>
          <w:trHeight w:val="204"/>
        </w:trPr>
        <w:tc>
          <w:tcPr>
            <w:tcW w:w="2975" w:type="dxa"/>
            <w:tcBorders>
              <w:top w:val="nil"/>
              <w:left w:val="nil"/>
              <w:bottom w:val="nil"/>
              <w:right w:val="nil"/>
            </w:tcBorders>
            <w:shd w:val="clear" w:color="auto" w:fill="auto"/>
            <w:noWrap/>
            <w:vAlign w:val="bottom"/>
            <w:hideMark/>
          </w:tcPr>
          <w:p w14:paraId="0BE56817" w14:textId="6A26A7B9" w:rsidR="007F54D0" w:rsidRPr="00A71EE7" w:rsidRDefault="003C4CC6" w:rsidP="007F54D0">
            <w:pPr>
              <w:spacing w:after="0" w:line="240" w:lineRule="auto"/>
              <w:jc w:val="left"/>
              <w:rPr>
                <w:rFonts w:ascii="Arial" w:hAnsi="Arial" w:cs="Arial"/>
                <w:sz w:val="16"/>
                <w:szCs w:val="16"/>
              </w:rPr>
            </w:pPr>
            <w:r>
              <w:rPr>
                <w:rFonts w:ascii="Arial" w:hAnsi="Arial" w:cs="Arial"/>
                <w:sz w:val="16"/>
                <w:szCs w:val="16"/>
              </w:rPr>
              <w:t>Department</w:t>
            </w:r>
            <w:r w:rsidR="007F54D0" w:rsidRPr="00A71EE7">
              <w:rPr>
                <w:rFonts w:ascii="Arial" w:hAnsi="Arial" w:cs="Arial"/>
                <w:sz w:val="16"/>
                <w:szCs w:val="16"/>
              </w:rPr>
              <w:t>al expenses</w:t>
            </w:r>
          </w:p>
        </w:tc>
        <w:tc>
          <w:tcPr>
            <w:tcW w:w="995" w:type="dxa"/>
            <w:gridSpan w:val="2"/>
            <w:tcBorders>
              <w:top w:val="nil"/>
              <w:left w:val="nil"/>
              <w:bottom w:val="nil"/>
              <w:right w:val="nil"/>
            </w:tcBorders>
            <w:shd w:val="clear" w:color="auto" w:fill="auto"/>
            <w:noWrap/>
            <w:vAlign w:val="bottom"/>
            <w:hideMark/>
          </w:tcPr>
          <w:p w14:paraId="7AD6E9A2" w14:textId="77777777" w:rsidR="007F54D0" w:rsidRPr="00A71EE7" w:rsidRDefault="007F54D0" w:rsidP="007F54D0">
            <w:pPr>
              <w:spacing w:after="0" w:line="240" w:lineRule="auto"/>
              <w:ind w:firstLineChars="100" w:firstLine="160"/>
              <w:jc w:val="right"/>
              <w:rPr>
                <w:rFonts w:ascii="Arial" w:hAnsi="Arial" w:cs="Arial"/>
                <w:sz w:val="16"/>
                <w:szCs w:val="16"/>
              </w:rPr>
            </w:pPr>
          </w:p>
        </w:tc>
        <w:tc>
          <w:tcPr>
            <w:tcW w:w="850" w:type="dxa"/>
            <w:tcBorders>
              <w:top w:val="nil"/>
              <w:left w:val="nil"/>
              <w:bottom w:val="nil"/>
              <w:right w:val="nil"/>
            </w:tcBorders>
            <w:shd w:val="clear" w:color="auto" w:fill="E0E0E0"/>
            <w:noWrap/>
            <w:vAlign w:val="bottom"/>
            <w:hideMark/>
          </w:tcPr>
          <w:p w14:paraId="21CDDD4C" w14:textId="14816572" w:rsidR="007F54D0" w:rsidRPr="00A71EE7" w:rsidRDefault="007F54D0" w:rsidP="007F54D0">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71AF6062" w14:textId="77777777" w:rsidR="007F54D0" w:rsidRPr="00A71EE7" w:rsidRDefault="007F54D0" w:rsidP="007F54D0">
            <w:pPr>
              <w:spacing w:after="0" w:line="240" w:lineRule="auto"/>
              <w:jc w:val="right"/>
              <w:rPr>
                <w:rFonts w:ascii="Arial" w:hAnsi="Arial" w:cs="Arial"/>
                <w:sz w:val="16"/>
                <w:szCs w:val="16"/>
              </w:rPr>
            </w:pPr>
          </w:p>
        </w:tc>
        <w:tc>
          <w:tcPr>
            <w:tcW w:w="894" w:type="dxa"/>
            <w:gridSpan w:val="2"/>
            <w:tcBorders>
              <w:top w:val="nil"/>
              <w:left w:val="nil"/>
              <w:bottom w:val="nil"/>
              <w:right w:val="nil"/>
            </w:tcBorders>
            <w:shd w:val="clear" w:color="auto" w:fill="auto"/>
            <w:noWrap/>
            <w:vAlign w:val="bottom"/>
            <w:hideMark/>
          </w:tcPr>
          <w:p w14:paraId="70117D25" w14:textId="77777777" w:rsidR="007F54D0" w:rsidRPr="00A71EE7" w:rsidRDefault="007F54D0" w:rsidP="007F54D0">
            <w:pPr>
              <w:spacing w:after="0" w:line="240" w:lineRule="auto"/>
              <w:jc w:val="right"/>
              <w:rPr>
                <w:rFonts w:ascii="Times New Roman" w:hAnsi="Times New Roman"/>
              </w:rPr>
            </w:pPr>
          </w:p>
        </w:tc>
        <w:tc>
          <w:tcPr>
            <w:tcW w:w="898" w:type="dxa"/>
            <w:gridSpan w:val="2"/>
            <w:tcBorders>
              <w:top w:val="nil"/>
              <w:left w:val="nil"/>
              <w:bottom w:val="nil"/>
              <w:right w:val="nil"/>
            </w:tcBorders>
            <w:shd w:val="clear" w:color="auto" w:fill="auto"/>
            <w:noWrap/>
            <w:vAlign w:val="bottom"/>
            <w:hideMark/>
          </w:tcPr>
          <w:p w14:paraId="69FAE3DC" w14:textId="77777777" w:rsidR="007F54D0" w:rsidRPr="00A71EE7" w:rsidRDefault="007F54D0" w:rsidP="007F54D0">
            <w:pPr>
              <w:spacing w:after="0" w:line="240" w:lineRule="auto"/>
              <w:jc w:val="right"/>
              <w:rPr>
                <w:rFonts w:ascii="Times New Roman" w:hAnsi="Times New Roman"/>
              </w:rPr>
            </w:pPr>
          </w:p>
        </w:tc>
      </w:tr>
      <w:tr w:rsidR="000F0CD3" w:rsidRPr="00A71EE7" w14:paraId="556D7267" w14:textId="77777777" w:rsidTr="000B0083">
        <w:trPr>
          <w:trHeight w:val="204"/>
        </w:trPr>
        <w:tc>
          <w:tcPr>
            <w:tcW w:w="2975" w:type="dxa"/>
            <w:tcBorders>
              <w:top w:val="nil"/>
              <w:left w:val="nil"/>
              <w:bottom w:val="nil"/>
              <w:right w:val="nil"/>
            </w:tcBorders>
            <w:shd w:val="clear" w:color="auto" w:fill="auto"/>
            <w:vAlign w:val="bottom"/>
            <w:hideMark/>
          </w:tcPr>
          <w:p w14:paraId="14FDABCA" w14:textId="7C0DE3D3" w:rsidR="000F0CD3" w:rsidRPr="00A71EE7" w:rsidRDefault="000F0CD3" w:rsidP="000F0CD3">
            <w:pPr>
              <w:spacing w:after="0" w:line="240" w:lineRule="auto"/>
              <w:ind w:left="113"/>
              <w:jc w:val="left"/>
              <w:rPr>
                <w:rFonts w:ascii="Arial" w:hAnsi="Arial" w:cs="Arial"/>
                <w:sz w:val="16"/>
                <w:szCs w:val="16"/>
              </w:rPr>
            </w:pPr>
            <w:r>
              <w:rPr>
                <w:rFonts w:ascii="Arial" w:hAnsi="Arial" w:cs="Arial"/>
                <w:sz w:val="16"/>
                <w:szCs w:val="16"/>
              </w:rPr>
              <w:t>Department</w:t>
            </w:r>
            <w:r w:rsidRPr="00A71EE7">
              <w:rPr>
                <w:rFonts w:ascii="Arial" w:hAnsi="Arial" w:cs="Arial"/>
                <w:sz w:val="16"/>
                <w:szCs w:val="16"/>
              </w:rPr>
              <w:t>al appropriation</w:t>
            </w:r>
          </w:p>
        </w:tc>
        <w:tc>
          <w:tcPr>
            <w:tcW w:w="995" w:type="dxa"/>
            <w:gridSpan w:val="2"/>
            <w:tcBorders>
              <w:top w:val="nil"/>
              <w:left w:val="nil"/>
              <w:bottom w:val="nil"/>
              <w:right w:val="nil"/>
            </w:tcBorders>
            <w:shd w:val="clear" w:color="auto" w:fill="auto"/>
            <w:noWrap/>
            <w:vAlign w:val="bottom"/>
            <w:hideMark/>
          </w:tcPr>
          <w:p w14:paraId="62B4274B" w14:textId="6E021A18"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76,501 </w:t>
            </w:r>
          </w:p>
        </w:tc>
        <w:tc>
          <w:tcPr>
            <w:tcW w:w="850" w:type="dxa"/>
            <w:tcBorders>
              <w:top w:val="nil"/>
              <w:left w:val="nil"/>
              <w:bottom w:val="nil"/>
              <w:right w:val="nil"/>
            </w:tcBorders>
            <w:shd w:val="clear" w:color="auto" w:fill="E0E0E0"/>
            <w:noWrap/>
            <w:vAlign w:val="bottom"/>
            <w:hideMark/>
          </w:tcPr>
          <w:p w14:paraId="345449F4" w14:textId="383E4150"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89,407 </w:t>
            </w:r>
          </w:p>
        </w:tc>
        <w:tc>
          <w:tcPr>
            <w:tcW w:w="996" w:type="dxa"/>
            <w:gridSpan w:val="2"/>
            <w:tcBorders>
              <w:top w:val="nil"/>
              <w:left w:val="nil"/>
              <w:bottom w:val="nil"/>
              <w:right w:val="nil"/>
            </w:tcBorders>
            <w:shd w:val="clear" w:color="auto" w:fill="auto"/>
            <w:noWrap/>
            <w:vAlign w:val="bottom"/>
            <w:hideMark/>
          </w:tcPr>
          <w:p w14:paraId="20A5EA16" w14:textId="41FF4945"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66,075 </w:t>
            </w:r>
          </w:p>
        </w:tc>
        <w:tc>
          <w:tcPr>
            <w:tcW w:w="894" w:type="dxa"/>
            <w:gridSpan w:val="2"/>
            <w:tcBorders>
              <w:top w:val="nil"/>
              <w:left w:val="nil"/>
              <w:bottom w:val="nil"/>
              <w:right w:val="nil"/>
            </w:tcBorders>
            <w:shd w:val="clear" w:color="auto" w:fill="auto"/>
            <w:noWrap/>
            <w:vAlign w:val="bottom"/>
            <w:hideMark/>
          </w:tcPr>
          <w:p w14:paraId="18121CAB" w14:textId="24A13C00"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57,918 </w:t>
            </w:r>
          </w:p>
        </w:tc>
        <w:tc>
          <w:tcPr>
            <w:tcW w:w="898" w:type="dxa"/>
            <w:gridSpan w:val="2"/>
            <w:tcBorders>
              <w:top w:val="nil"/>
              <w:left w:val="nil"/>
              <w:bottom w:val="nil"/>
              <w:right w:val="nil"/>
            </w:tcBorders>
            <w:shd w:val="clear" w:color="auto" w:fill="auto"/>
            <w:noWrap/>
            <w:vAlign w:val="bottom"/>
            <w:hideMark/>
          </w:tcPr>
          <w:p w14:paraId="09E29B53" w14:textId="623AB118"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57,946 </w:t>
            </w:r>
          </w:p>
        </w:tc>
      </w:tr>
      <w:tr w:rsidR="000F0CD3" w:rsidRPr="00A71EE7" w14:paraId="5A9B3CD8" w14:textId="77777777" w:rsidTr="000B0083">
        <w:trPr>
          <w:trHeight w:val="204"/>
        </w:trPr>
        <w:tc>
          <w:tcPr>
            <w:tcW w:w="2975" w:type="dxa"/>
            <w:tcBorders>
              <w:top w:val="nil"/>
              <w:left w:val="nil"/>
              <w:bottom w:val="nil"/>
              <w:right w:val="nil"/>
            </w:tcBorders>
            <w:shd w:val="clear" w:color="auto" w:fill="auto"/>
            <w:vAlign w:val="bottom"/>
            <w:hideMark/>
          </w:tcPr>
          <w:p w14:paraId="62CABC8C" w14:textId="77777777" w:rsidR="000F0CD3" w:rsidRPr="00A71EE7" w:rsidRDefault="000F0CD3" w:rsidP="000F0CD3">
            <w:pPr>
              <w:spacing w:after="0" w:line="240" w:lineRule="auto"/>
              <w:ind w:left="113"/>
              <w:jc w:val="left"/>
              <w:rPr>
                <w:rFonts w:ascii="Arial" w:hAnsi="Arial" w:cs="Arial"/>
                <w:sz w:val="16"/>
                <w:szCs w:val="16"/>
              </w:rPr>
            </w:pPr>
            <w:r w:rsidRPr="00A71EE7">
              <w:rPr>
                <w:rFonts w:ascii="Arial" w:hAnsi="Arial" w:cs="Arial"/>
                <w:sz w:val="16"/>
                <w:szCs w:val="16"/>
              </w:rPr>
              <w:t xml:space="preserve">s74 external revenues </w:t>
            </w:r>
            <w:r w:rsidRPr="00A71EE7">
              <w:rPr>
                <w:rFonts w:ascii="Arial" w:hAnsi="Arial" w:cs="Arial"/>
                <w:sz w:val="16"/>
                <w:szCs w:val="16"/>
                <w:vertAlign w:val="superscript"/>
              </w:rPr>
              <w:t>(c)</w:t>
            </w:r>
          </w:p>
        </w:tc>
        <w:tc>
          <w:tcPr>
            <w:tcW w:w="995" w:type="dxa"/>
            <w:gridSpan w:val="2"/>
            <w:tcBorders>
              <w:top w:val="nil"/>
              <w:left w:val="nil"/>
              <w:bottom w:val="nil"/>
              <w:right w:val="nil"/>
            </w:tcBorders>
            <w:shd w:val="clear" w:color="auto" w:fill="auto"/>
            <w:noWrap/>
            <w:vAlign w:val="bottom"/>
            <w:hideMark/>
          </w:tcPr>
          <w:p w14:paraId="16B02C9D" w14:textId="6564DBA3"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2,183 </w:t>
            </w:r>
          </w:p>
        </w:tc>
        <w:tc>
          <w:tcPr>
            <w:tcW w:w="850" w:type="dxa"/>
            <w:tcBorders>
              <w:top w:val="nil"/>
              <w:left w:val="nil"/>
              <w:bottom w:val="nil"/>
              <w:right w:val="nil"/>
            </w:tcBorders>
            <w:shd w:val="clear" w:color="auto" w:fill="E0E0E0"/>
            <w:noWrap/>
            <w:vAlign w:val="bottom"/>
            <w:hideMark/>
          </w:tcPr>
          <w:p w14:paraId="7FAC5022" w14:textId="7816A7C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2,112 </w:t>
            </w:r>
          </w:p>
        </w:tc>
        <w:tc>
          <w:tcPr>
            <w:tcW w:w="996" w:type="dxa"/>
            <w:gridSpan w:val="2"/>
            <w:tcBorders>
              <w:top w:val="nil"/>
              <w:left w:val="nil"/>
              <w:bottom w:val="nil"/>
              <w:right w:val="nil"/>
            </w:tcBorders>
            <w:shd w:val="clear" w:color="auto" w:fill="auto"/>
            <w:noWrap/>
            <w:vAlign w:val="bottom"/>
            <w:hideMark/>
          </w:tcPr>
          <w:p w14:paraId="108B2509" w14:textId="161BB6C3"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2,039 </w:t>
            </w:r>
          </w:p>
        </w:tc>
        <w:tc>
          <w:tcPr>
            <w:tcW w:w="894" w:type="dxa"/>
            <w:gridSpan w:val="2"/>
            <w:tcBorders>
              <w:top w:val="nil"/>
              <w:left w:val="nil"/>
              <w:bottom w:val="nil"/>
              <w:right w:val="nil"/>
            </w:tcBorders>
            <w:shd w:val="clear" w:color="auto" w:fill="auto"/>
            <w:noWrap/>
            <w:vAlign w:val="bottom"/>
            <w:hideMark/>
          </w:tcPr>
          <w:p w14:paraId="45188756" w14:textId="51610A3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2,050 </w:t>
            </w:r>
          </w:p>
        </w:tc>
        <w:tc>
          <w:tcPr>
            <w:tcW w:w="898" w:type="dxa"/>
            <w:gridSpan w:val="2"/>
            <w:tcBorders>
              <w:top w:val="nil"/>
              <w:left w:val="nil"/>
              <w:bottom w:val="nil"/>
              <w:right w:val="nil"/>
            </w:tcBorders>
            <w:shd w:val="clear" w:color="auto" w:fill="auto"/>
            <w:noWrap/>
            <w:vAlign w:val="bottom"/>
            <w:hideMark/>
          </w:tcPr>
          <w:p w14:paraId="590CC981" w14:textId="1CAB6D8B"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2,096 </w:t>
            </w:r>
          </w:p>
        </w:tc>
      </w:tr>
      <w:tr w:rsidR="000F0CD3" w:rsidRPr="00A71EE7" w14:paraId="0F5EC9AF" w14:textId="77777777" w:rsidTr="000B0083">
        <w:trPr>
          <w:trHeight w:val="204"/>
        </w:trPr>
        <w:tc>
          <w:tcPr>
            <w:tcW w:w="2975" w:type="dxa"/>
            <w:tcBorders>
              <w:top w:val="nil"/>
              <w:left w:val="nil"/>
              <w:bottom w:val="nil"/>
              <w:right w:val="nil"/>
            </w:tcBorders>
            <w:shd w:val="clear" w:color="auto" w:fill="auto"/>
            <w:vAlign w:val="bottom"/>
            <w:hideMark/>
          </w:tcPr>
          <w:p w14:paraId="107A024A" w14:textId="77777777" w:rsidR="000F0CD3" w:rsidRPr="00A71EE7" w:rsidRDefault="000F0CD3" w:rsidP="000F0CD3">
            <w:pPr>
              <w:spacing w:after="0" w:line="240" w:lineRule="auto"/>
              <w:ind w:left="113"/>
              <w:jc w:val="left"/>
              <w:rPr>
                <w:rFonts w:ascii="Arial" w:hAnsi="Arial" w:cs="Arial"/>
                <w:sz w:val="16"/>
                <w:szCs w:val="16"/>
              </w:rPr>
            </w:pPr>
            <w:r w:rsidRPr="00A71EE7">
              <w:rPr>
                <w:rFonts w:ascii="Arial" w:hAnsi="Arial" w:cs="Arial"/>
                <w:sz w:val="16"/>
                <w:szCs w:val="16"/>
              </w:rPr>
              <w:t xml:space="preserve">Expenses not requiring appropriation in the Budget year </w:t>
            </w:r>
            <w:r w:rsidRPr="00A71EE7">
              <w:rPr>
                <w:rFonts w:ascii="Arial" w:hAnsi="Arial" w:cs="Arial"/>
                <w:sz w:val="16"/>
                <w:szCs w:val="16"/>
                <w:vertAlign w:val="superscript"/>
              </w:rPr>
              <w:t>(d)</w:t>
            </w:r>
          </w:p>
        </w:tc>
        <w:tc>
          <w:tcPr>
            <w:tcW w:w="995" w:type="dxa"/>
            <w:gridSpan w:val="2"/>
            <w:tcBorders>
              <w:top w:val="nil"/>
              <w:left w:val="nil"/>
              <w:bottom w:val="nil"/>
              <w:right w:val="nil"/>
            </w:tcBorders>
            <w:shd w:val="clear" w:color="auto" w:fill="auto"/>
            <w:noWrap/>
            <w:vAlign w:val="bottom"/>
            <w:hideMark/>
          </w:tcPr>
          <w:p w14:paraId="33B67FDD" w14:textId="59F6AE87"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1,471 </w:t>
            </w:r>
          </w:p>
        </w:tc>
        <w:tc>
          <w:tcPr>
            <w:tcW w:w="850" w:type="dxa"/>
            <w:tcBorders>
              <w:top w:val="nil"/>
              <w:left w:val="nil"/>
              <w:bottom w:val="nil"/>
              <w:right w:val="nil"/>
            </w:tcBorders>
            <w:shd w:val="clear" w:color="auto" w:fill="E0E0E0"/>
            <w:noWrap/>
            <w:vAlign w:val="bottom"/>
            <w:hideMark/>
          </w:tcPr>
          <w:p w14:paraId="7B5416DA" w14:textId="730D493C"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1,520 </w:t>
            </w:r>
          </w:p>
        </w:tc>
        <w:tc>
          <w:tcPr>
            <w:tcW w:w="996" w:type="dxa"/>
            <w:gridSpan w:val="2"/>
            <w:tcBorders>
              <w:top w:val="nil"/>
              <w:left w:val="nil"/>
              <w:bottom w:val="nil"/>
              <w:right w:val="nil"/>
            </w:tcBorders>
            <w:shd w:val="clear" w:color="auto" w:fill="auto"/>
            <w:noWrap/>
            <w:vAlign w:val="bottom"/>
            <w:hideMark/>
          </w:tcPr>
          <w:p w14:paraId="63FD93AB" w14:textId="507BEF79"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1,316 </w:t>
            </w:r>
          </w:p>
        </w:tc>
        <w:tc>
          <w:tcPr>
            <w:tcW w:w="894" w:type="dxa"/>
            <w:gridSpan w:val="2"/>
            <w:tcBorders>
              <w:top w:val="nil"/>
              <w:left w:val="nil"/>
              <w:bottom w:val="nil"/>
              <w:right w:val="nil"/>
            </w:tcBorders>
            <w:shd w:val="clear" w:color="auto" w:fill="auto"/>
            <w:noWrap/>
            <w:vAlign w:val="bottom"/>
            <w:hideMark/>
          </w:tcPr>
          <w:p w14:paraId="1216E54F" w14:textId="0F08E9F3"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662 </w:t>
            </w:r>
          </w:p>
        </w:tc>
        <w:tc>
          <w:tcPr>
            <w:tcW w:w="898" w:type="dxa"/>
            <w:gridSpan w:val="2"/>
            <w:tcBorders>
              <w:top w:val="nil"/>
              <w:left w:val="nil"/>
              <w:bottom w:val="nil"/>
              <w:right w:val="nil"/>
            </w:tcBorders>
            <w:shd w:val="clear" w:color="auto" w:fill="auto"/>
            <w:noWrap/>
            <w:vAlign w:val="bottom"/>
            <w:hideMark/>
          </w:tcPr>
          <w:p w14:paraId="1367C78B" w14:textId="01B77C3E" w:rsidR="000F0CD3" w:rsidRPr="00A71EE7" w:rsidRDefault="000F0CD3" w:rsidP="000F0CD3">
            <w:pPr>
              <w:spacing w:after="0" w:line="240" w:lineRule="auto"/>
              <w:jc w:val="right"/>
              <w:rPr>
                <w:rFonts w:ascii="Arial" w:hAnsi="Arial" w:cs="Arial"/>
                <w:sz w:val="16"/>
                <w:szCs w:val="16"/>
              </w:rPr>
            </w:pPr>
            <w:r>
              <w:rPr>
                <w:rFonts w:ascii="Arial" w:hAnsi="Arial" w:cs="Arial"/>
                <w:sz w:val="16"/>
                <w:szCs w:val="16"/>
              </w:rPr>
              <w:t xml:space="preserve">676 </w:t>
            </w:r>
          </w:p>
        </w:tc>
      </w:tr>
      <w:tr w:rsidR="000F0CD3" w:rsidRPr="00A71EE7" w14:paraId="61BA905D" w14:textId="77777777" w:rsidTr="00F96D8A">
        <w:trPr>
          <w:trHeight w:val="204"/>
        </w:trPr>
        <w:tc>
          <w:tcPr>
            <w:tcW w:w="2975" w:type="dxa"/>
            <w:tcBorders>
              <w:top w:val="nil"/>
              <w:left w:val="nil"/>
              <w:bottom w:val="nil"/>
              <w:right w:val="nil"/>
            </w:tcBorders>
            <w:shd w:val="clear" w:color="auto" w:fill="auto"/>
            <w:vAlign w:val="bottom"/>
            <w:hideMark/>
          </w:tcPr>
          <w:p w14:paraId="426BFC2A" w14:textId="1FB6D47A" w:rsidR="000F0CD3" w:rsidRPr="00A71EE7" w:rsidRDefault="000F0CD3" w:rsidP="00F35F54">
            <w:pPr>
              <w:spacing w:after="0" w:line="240" w:lineRule="auto"/>
              <w:jc w:val="left"/>
              <w:rPr>
                <w:rFonts w:ascii="Arial" w:hAnsi="Arial" w:cs="Arial"/>
                <w:b/>
                <w:bCs/>
                <w:sz w:val="16"/>
                <w:szCs w:val="16"/>
              </w:rPr>
            </w:pPr>
            <w:r w:rsidRPr="00A71EE7">
              <w:rPr>
                <w:rFonts w:ascii="Arial" w:hAnsi="Arial" w:cs="Arial"/>
                <w:b/>
                <w:bCs/>
                <w:sz w:val="16"/>
                <w:szCs w:val="16"/>
              </w:rPr>
              <w:t xml:space="preserve">Total </w:t>
            </w:r>
            <w:r>
              <w:rPr>
                <w:rFonts w:ascii="Arial" w:hAnsi="Arial" w:cs="Arial"/>
                <w:b/>
                <w:bCs/>
                <w:sz w:val="16"/>
                <w:szCs w:val="16"/>
              </w:rPr>
              <w:t>Department</w:t>
            </w:r>
            <w:r w:rsidRPr="00A71EE7">
              <w:rPr>
                <w:rFonts w:ascii="Arial" w:hAnsi="Arial" w:cs="Arial"/>
                <w:b/>
                <w:bCs/>
                <w:sz w:val="16"/>
                <w:szCs w:val="16"/>
              </w:rPr>
              <w:t>al expenses</w:t>
            </w:r>
          </w:p>
        </w:tc>
        <w:tc>
          <w:tcPr>
            <w:tcW w:w="995" w:type="dxa"/>
            <w:gridSpan w:val="2"/>
            <w:tcBorders>
              <w:top w:val="single" w:sz="4" w:space="0" w:color="auto"/>
              <w:left w:val="nil"/>
              <w:bottom w:val="single" w:sz="4" w:space="0" w:color="auto"/>
              <w:right w:val="nil"/>
            </w:tcBorders>
            <w:shd w:val="clear" w:color="auto" w:fill="auto"/>
            <w:noWrap/>
            <w:vAlign w:val="bottom"/>
            <w:hideMark/>
          </w:tcPr>
          <w:p w14:paraId="43B5BCF0" w14:textId="09F88C91"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80,155 </w:t>
            </w:r>
          </w:p>
        </w:tc>
        <w:tc>
          <w:tcPr>
            <w:tcW w:w="850" w:type="dxa"/>
            <w:tcBorders>
              <w:top w:val="single" w:sz="4" w:space="0" w:color="auto"/>
              <w:left w:val="nil"/>
              <w:bottom w:val="single" w:sz="4" w:space="0" w:color="auto"/>
              <w:right w:val="nil"/>
            </w:tcBorders>
            <w:shd w:val="clear" w:color="000000" w:fill="E6E6E6"/>
            <w:noWrap/>
            <w:vAlign w:val="bottom"/>
            <w:hideMark/>
          </w:tcPr>
          <w:p w14:paraId="2E1E0952" w14:textId="5893210C"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93,039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158693A" w14:textId="6967C51B"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69,430 </w:t>
            </w:r>
          </w:p>
        </w:tc>
        <w:tc>
          <w:tcPr>
            <w:tcW w:w="894" w:type="dxa"/>
            <w:gridSpan w:val="2"/>
            <w:tcBorders>
              <w:top w:val="single" w:sz="4" w:space="0" w:color="auto"/>
              <w:left w:val="nil"/>
              <w:bottom w:val="single" w:sz="4" w:space="0" w:color="auto"/>
              <w:right w:val="nil"/>
            </w:tcBorders>
            <w:shd w:val="clear" w:color="auto" w:fill="auto"/>
            <w:noWrap/>
            <w:vAlign w:val="bottom"/>
            <w:hideMark/>
          </w:tcPr>
          <w:p w14:paraId="47C9B920" w14:textId="50256274"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60,630 </w:t>
            </w:r>
          </w:p>
        </w:tc>
        <w:tc>
          <w:tcPr>
            <w:tcW w:w="898" w:type="dxa"/>
            <w:gridSpan w:val="2"/>
            <w:tcBorders>
              <w:top w:val="single" w:sz="4" w:space="0" w:color="auto"/>
              <w:left w:val="nil"/>
              <w:bottom w:val="single" w:sz="4" w:space="0" w:color="auto"/>
              <w:right w:val="nil"/>
            </w:tcBorders>
            <w:shd w:val="clear" w:color="auto" w:fill="auto"/>
            <w:noWrap/>
            <w:vAlign w:val="bottom"/>
            <w:hideMark/>
          </w:tcPr>
          <w:p w14:paraId="20CFDF69" w14:textId="17A68438"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60,718 </w:t>
            </w:r>
          </w:p>
        </w:tc>
      </w:tr>
      <w:tr w:rsidR="000F0CD3" w:rsidRPr="00A71EE7" w14:paraId="1569CFEC" w14:textId="77777777" w:rsidTr="00F96D8A">
        <w:trPr>
          <w:trHeight w:val="204"/>
        </w:trPr>
        <w:tc>
          <w:tcPr>
            <w:tcW w:w="2975" w:type="dxa"/>
            <w:tcBorders>
              <w:top w:val="nil"/>
              <w:left w:val="nil"/>
              <w:bottom w:val="single" w:sz="4" w:space="0" w:color="auto"/>
              <w:right w:val="nil"/>
            </w:tcBorders>
            <w:shd w:val="clear" w:color="auto" w:fill="auto"/>
            <w:noWrap/>
            <w:vAlign w:val="bottom"/>
            <w:hideMark/>
          </w:tcPr>
          <w:p w14:paraId="4D413C17" w14:textId="77777777" w:rsidR="000F0CD3" w:rsidRPr="00A71EE7" w:rsidRDefault="000F0CD3" w:rsidP="000F0CD3">
            <w:pPr>
              <w:spacing w:after="0" w:line="240" w:lineRule="auto"/>
              <w:jc w:val="left"/>
              <w:rPr>
                <w:rFonts w:ascii="Arial" w:hAnsi="Arial" w:cs="Arial"/>
                <w:b/>
                <w:bCs/>
                <w:sz w:val="16"/>
                <w:szCs w:val="16"/>
              </w:rPr>
            </w:pPr>
            <w:r w:rsidRPr="00A71EE7">
              <w:rPr>
                <w:rFonts w:ascii="Arial" w:hAnsi="Arial" w:cs="Arial"/>
                <w:b/>
                <w:bCs/>
                <w:sz w:val="16"/>
                <w:szCs w:val="16"/>
              </w:rPr>
              <w:t>Total expenses for Outcome 1</w:t>
            </w:r>
          </w:p>
        </w:tc>
        <w:tc>
          <w:tcPr>
            <w:tcW w:w="995" w:type="dxa"/>
            <w:gridSpan w:val="2"/>
            <w:tcBorders>
              <w:top w:val="nil"/>
              <w:left w:val="nil"/>
              <w:bottom w:val="single" w:sz="4" w:space="0" w:color="auto"/>
              <w:right w:val="nil"/>
            </w:tcBorders>
            <w:shd w:val="clear" w:color="auto" w:fill="auto"/>
            <w:noWrap/>
            <w:vAlign w:val="bottom"/>
            <w:hideMark/>
          </w:tcPr>
          <w:p w14:paraId="5AAB254E" w14:textId="1248B3C1"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1,029,876 </w:t>
            </w:r>
          </w:p>
        </w:tc>
        <w:tc>
          <w:tcPr>
            <w:tcW w:w="850" w:type="dxa"/>
            <w:tcBorders>
              <w:top w:val="nil"/>
              <w:left w:val="nil"/>
              <w:bottom w:val="single" w:sz="4" w:space="0" w:color="auto"/>
              <w:right w:val="nil"/>
            </w:tcBorders>
            <w:shd w:val="clear" w:color="000000" w:fill="E6E6E6"/>
            <w:noWrap/>
            <w:vAlign w:val="bottom"/>
            <w:hideMark/>
          </w:tcPr>
          <w:p w14:paraId="72C31133" w14:textId="3D39E7F5"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802,709 </w:t>
            </w:r>
          </w:p>
        </w:tc>
        <w:tc>
          <w:tcPr>
            <w:tcW w:w="996" w:type="dxa"/>
            <w:gridSpan w:val="2"/>
            <w:tcBorders>
              <w:top w:val="nil"/>
              <w:left w:val="nil"/>
              <w:bottom w:val="single" w:sz="4" w:space="0" w:color="auto"/>
              <w:right w:val="nil"/>
            </w:tcBorders>
            <w:shd w:val="clear" w:color="auto" w:fill="auto"/>
            <w:noWrap/>
            <w:vAlign w:val="bottom"/>
            <w:hideMark/>
          </w:tcPr>
          <w:p w14:paraId="4077D8FF" w14:textId="0022FB14"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612,707 </w:t>
            </w:r>
          </w:p>
        </w:tc>
        <w:tc>
          <w:tcPr>
            <w:tcW w:w="894" w:type="dxa"/>
            <w:gridSpan w:val="2"/>
            <w:tcBorders>
              <w:top w:val="nil"/>
              <w:left w:val="nil"/>
              <w:bottom w:val="single" w:sz="4" w:space="0" w:color="auto"/>
              <w:right w:val="nil"/>
            </w:tcBorders>
            <w:shd w:val="clear" w:color="auto" w:fill="auto"/>
            <w:noWrap/>
            <w:vAlign w:val="bottom"/>
            <w:hideMark/>
          </w:tcPr>
          <w:p w14:paraId="50CC980F" w14:textId="792E7AC3"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593,529 </w:t>
            </w:r>
          </w:p>
        </w:tc>
        <w:tc>
          <w:tcPr>
            <w:tcW w:w="898" w:type="dxa"/>
            <w:gridSpan w:val="2"/>
            <w:tcBorders>
              <w:top w:val="nil"/>
              <w:left w:val="nil"/>
              <w:bottom w:val="single" w:sz="4" w:space="0" w:color="auto"/>
              <w:right w:val="nil"/>
            </w:tcBorders>
            <w:shd w:val="clear" w:color="auto" w:fill="auto"/>
            <w:noWrap/>
            <w:vAlign w:val="bottom"/>
            <w:hideMark/>
          </w:tcPr>
          <w:p w14:paraId="53F26717" w14:textId="373D4FD5" w:rsidR="000F0CD3" w:rsidRPr="00A71EE7" w:rsidRDefault="000F0CD3" w:rsidP="000F0CD3">
            <w:pPr>
              <w:spacing w:after="0" w:line="240" w:lineRule="auto"/>
              <w:jc w:val="right"/>
              <w:rPr>
                <w:rFonts w:ascii="Arial" w:hAnsi="Arial" w:cs="Arial"/>
                <w:b/>
                <w:bCs/>
                <w:sz w:val="16"/>
                <w:szCs w:val="16"/>
              </w:rPr>
            </w:pPr>
            <w:r>
              <w:rPr>
                <w:rFonts w:ascii="Arial" w:hAnsi="Arial" w:cs="Arial"/>
                <w:b/>
                <w:bCs/>
                <w:sz w:val="16"/>
                <w:szCs w:val="16"/>
              </w:rPr>
              <w:t xml:space="preserve">591,502 </w:t>
            </w:r>
          </w:p>
        </w:tc>
      </w:tr>
    </w:tbl>
    <w:p w14:paraId="175A6029" w14:textId="77777777" w:rsidR="00B91F3E" w:rsidRDefault="00B91F3E" w:rsidP="00B91F3E"/>
    <w:p w14:paraId="0127CD0E" w14:textId="77777777" w:rsidR="00B91F3E" w:rsidRPr="00EC20DD" w:rsidRDefault="00B91F3E" w:rsidP="00B91F3E">
      <w:pPr>
        <w:pStyle w:val="TableHeading"/>
        <w:rPr>
          <w:lang w:val="en-AU"/>
        </w:rPr>
      </w:pPr>
      <w:r>
        <w:br w:type="page"/>
      </w:r>
      <w:r>
        <w:lastRenderedPageBreak/>
        <w:t>Table 2.</w:t>
      </w:r>
      <w:r>
        <w:rPr>
          <w:lang w:val="en-US"/>
        </w:rPr>
        <w:t>1</w:t>
      </w:r>
      <w:r>
        <w:t>.1: Budgeted expenses for Outcome 1</w:t>
      </w:r>
      <w:r>
        <w:rPr>
          <w:lang w:val="en-AU"/>
        </w:rPr>
        <w:t xml:space="preserve"> (continued)</w:t>
      </w:r>
    </w:p>
    <w:tbl>
      <w:tblPr>
        <w:tblW w:w="0" w:type="auto"/>
        <w:tblLayout w:type="fixed"/>
        <w:tblLook w:val="04A0" w:firstRow="1" w:lastRow="0" w:firstColumn="1" w:lastColumn="0" w:noHBand="0" w:noVBand="1"/>
      </w:tblPr>
      <w:tblGrid>
        <w:gridCol w:w="2694"/>
        <w:gridCol w:w="996"/>
        <w:gridCol w:w="977"/>
        <w:gridCol w:w="977"/>
        <w:gridCol w:w="977"/>
        <w:gridCol w:w="977"/>
      </w:tblGrid>
      <w:tr w:rsidR="00B91F3E" w:rsidRPr="00EC20DD" w14:paraId="5CD98E37" w14:textId="77777777" w:rsidTr="00F96D8A">
        <w:trPr>
          <w:trHeight w:val="204"/>
        </w:trPr>
        <w:tc>
          <w:tcPr>
            <w:tcW w:w="2694" w:type="dxa"/>
            <w:tcBorders>
              <w:top w:val="single" w:sz="4" w:space="0" w:color="auto"/>
              <w:left w:val="nil"/>
              <w:bottom w:val="nil"/>
              <w:right w:val="nil"/>
            </w:tcBorders>
            <w:shd w:val="clear" w:color="auto" w:fill="auto"/>
            <w:noWrap/>
            <w:vAlign w:val="bottom"/>
            <w:hideMark/>
          </w:tcPr>
          <w:p w14:paraId="6EF2427D" w14:textId="77777777" w:rsidR="00B91F3E" w:rsidRPr="00EC20DD" w:rsidRDefault="00B91F3E" w:rsidP="00F96D8A">
            <w:pPr>
              <w:spacing w:after="0" w:line="240" w:lineRule="auto"/>
              <w:jc w:val="left"/>
              <w:rPr>
                <w:rFonts w:ascii="Arial" w:hAnsi="Arial" w:cs="Arial"/>
                <w:b/>
                <w:bCs/>
                <w:sz w:val="16"/>
                <w:szCs w:val="16"/>
              </w:rPr>
            </w:pPr>
            <w:r w:rsidRPr="00EC20DD">
              <w:rPr>
                <w:rFonts w:ascii="Arial" w:hAnsi="Arial" w:cs="Arial"/>
                <w:b/>
                <w:bCs/>
                <w:sz w:val="16"/>
                <w:szCs w:val="16"/>
              </w:rPr>
              <w:t> </w:t>
            </w:r>
          </w:p>
        </w:tc>
        <w:tc>
          <w:tcPr>
            <w:tcW w:w="996" w:type="dxa"/>
            <w:tcBorders>
              <w:top w:val="single" w:sz="4" w:space="0" w:color="auto"/>
              <w:left w:val="nil"/>
              <w:bottom w:val="single" w:sz="4" w:space="0" w:color="auto"/>
              <w:right w:val="nil"/>
            </w:tcBorders>
            <w:shd w:val="clear" w:color="auto" w:fill="auto"/>
            <w:vAlign w:val="bottom"/>
            <w:hideMark/>
          </w:tcPr>
          <w:p w14:paraId="5EED9C49"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2021-22 Actual expenses $'000</w:t>
            </w:r>
          </w:p>
        </w:tc>
        <w:tc>
          <w:tcPr>
            <w:tcW w:w="977" w:type="dxa"/>
            <w:tcBorders>
              <w:top w:val="single" w:sz="4" w:space="0" w:color="auto"/>
              <w:left w:val="nil"/>
              <w:bottom w:val="single" w:sz="4" w:space="0" w:color="auto"/>
              <w:right w:val="nil"/>
            </w:tcBorders>
            <w:shd w:val="clear" w:color="000000" w:fill="E6E6E6"/>
            <w:vAlign w:val="bottom"/>
            <w:hideMark/>
          </w:tcPr>
          <w:p w14:paraId="5C919108" w14:textId="77777777" w:rsidR="00B91F3E" w:rsidRDefault="00B91F3E" w:rsidP="00F96D8A">
            <w:pPr>
              <w:spacing w:after="0" w:line="240" w:lineRule="auto"/>
              <w:jc w:val="right"/>
              <w:rPr>
                <w:rFonts w:ascii="Arial" w:hAnsi="Arial" w:cs="Arial"/>
                <w:sz w:val="16"/>
                <w:szCs w:val="16"/>
              </w:rPr>
            </w:pPr>
            <w:r w:rsidRPr="00EC20DD">
              <w:rPr>
                <w:rFonts w:ascii="Arial" w:hAnsi="Arial" w:cs="Arial"/>
                <w:sz w:val="16"/>
                <w:szCs w:val="16"/>
              </w:rPr>
              <w:t xml:space="preserve">2022-23 </w:t>
            </w:r>
            <w:r>
              <w:rPr>
                <w:rFonts w:ascii="Arial" w:hAnsi="Arial" w:cs="Arial"/>
                <w:sz w:val="16"/>
                <w:szCs w:val="16"/>
              </w:rPr>
              <w:t>Budget</w:t>
            </w:r>
          </w:p>
          <w:p w14:paraId="5775CB0D" w14:textId="77777777" w:rsidR="00B91F3E" w:rsidRDefault="00B91F3E" w:rsidP="00F96D8A">
            <w:pPr>
              <w:spacing w:after="0" w:line="240" w:lineRule="auto"/>
              <w:jc w:val="right"/>
              <w:rPr>
                <w:rFonts w:ascii="Arial" w:hAnsi="Arial" w:cs="Arial"/>
                <w:sz w:val="16"/>
                <w:szCs w:val="16"/>
              </w:rPr>
            </w:pPr>
          </w:p>
          <w:p w14:paraId="5CFBA82F"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3D6FF395"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2023-24 Forward estimate $'000</w:t>
            </w:r>
          </w:p>
        </w:tc>
        <w:tc>
          <w:tcPr>
            <w:tcW w:w="977" w:type="dxa"/>
            <w:tcBorders>
              <w:top w:val="single" w:sz="4" w:space="0" w:color="auto"/>
              <w:left w:val="nil"/>
              <w:bottom w:val="single" w:sz="4" w:space="0" w:color="auto"/>
              <w:right w:val="nil"/>
            </w:tcBorders>
            <w:shd w:val="clear" w:color="auto" w:fill="auto"/>
            <w:vAlign w:val="bottom"/>
            <w:hideMark/>
          </w:tcPr>
          <w:p w14:paraId="0AE0732C"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2024-25 Forward estimate $'000</w:t>
            </w:r>
          </w:p>
        </w:tc>
        <w:tc>
          <w:tcPr>
            <w:tcW w:w="977" w:type="dxa"/>
            <w:tcBorders>
              <w:top w:val="single" w:sz="4" w:space="0" w:color="auto"/>
              <w:left w:val="nil"/>
              <w:bottom w:val="single" w:sz="4" w:space="0" w:color="auto"/>
              <w:right w:val="nil"/>
            </w:tcBorders>
            <w:shd w:val="clear" w:color="auto" w:fill="auto"/>
            <w:vAlign w:val="bottom"/>
            <w:hideMark/>
          </w:tcPr>
          <w:p w14:paraId="5FAF22DE"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2025-26 Forward estimate $'000</w:t>
            </w:r>
          </w:p>
        </w:tc>
      </w:tr>
      <w:tr w:rsidR="00B91F3E" w:rsidRPr="00EC20DD" w14:paraId="4D80D01F" w14:textId="77777777" w:rsidTr="00F96D8A">
        <w:trPr>
          <w:trHeight w:val="204"/>
        </w:trPr>
        <w:tc>
          <w:tcPr>
            <w:tcW w:w="2694" w:type="dxa"/>
            <w:tcBorders>
              <w:top w:val="nil"/>
              <w:left w:val="nil"/>
              <w:bottom w:val="nil"/>
              <w:right w:val="nil"/>
            </w:tcBorders>
            <w:shd w:val="clear" w:color="auto" w:fill="auto"/>
            <w:vAlign w:val="bottom"/>
            <w:hideMark/>
          </w:tcPr>
          <w:p w14:paraId="2131BF94" w14:textId="77777777" w:rsidR="00B91F3E" w:rsidRPr="00EC20DD" w:rsidRDefault="00B91F3E" w:rsidP="00F96D8A">
            <w:pPr>
              <w:spacing w:after="0" w:line="240" w:lineRule="auto"/>
              <w:jc w:val="left"/>
              <w:rPr>
                <w:rFonts w:ascii="Arial" w:hAnsi="Arial" w:cs="Arial"/>
                <w:b/>
                <w:bCs/>
                <w:sz w:val="16"/>
                <w:szCs w:val="16"/>
              </w:rPr>
            </w:pPr>
            <w:r w:rsidRPr="00EC20DD">
              <w:rPr>
                <w:rFonts w:ascii="Arial" w:hAnsi="Arial" w:cs="Arial"/>
                <w:b/>
                <w:bCs/>
                <w:sz w:val="16"/>
                <w:szCs w:val="16"/>
              </w:rPr>
              <w:t>Movement of adm</w:t>
            </w:r>
            <w:r>
              <w:rPr>
                <w:rFonts w:ascii="Arial" w:hAnsi="Arial" w:cs="Arial"/>
                <w:b/>
                <w:bCs/>
                <w:sz w:val="16"/>
                <w:szCs w:val="16"/>
              </w:rPr>
              <w:t xml:space="preserve">inistered funds between years </w:t>
            </w:r>
            <w:r w:rsidRPr="00EC20DD">
              <w:rPr>
                <w:rFonts w:ascii="Arial" w:hAnsi="Arial" w:cs="Arial"/>
                <w:b/>
                <w:bCs/>
                <w:sz w:val="16"/>
                <w:szCs w:val="16"/>
                <w:vertAlign w:val="superscript"/>
              </w:rPr>
              <w:t>(e)</w:t>
            </w:r>
          </w:p>
        </w:tc>
        <w:tc>
          <w:tcPr>
            <w:tcW w:w="996" w:type="dxa"/>
            <w:tcBorders>
              <w:top w:val="nil"/>
              <w:left w:val="nil"/>
              <w:bottom w:val="nil"/>
              <w:right w:val="nil"/>
            </w:tcBorders>
            <w:shd w:val="clear" w:color="auto" w:fill="auto"/>
            <w:vAlign w:val="bottom"/>
            <w:hideMark/>
          </w:tcPr>
          <w:p w14:paraId="0C8F6450" w14:textId="77777777" w:rsidR="00B91F3E" w:rsidRPr="00EC20DD" w:rsidRDefault="00B91F3E" w:rsidP="00F96D8A">
            <w:pPr>
              <w:spacing w:after="0" w:line="240" w:lineRule="auto"/>
              <w:jc w:val="right"/>
              <w:rPr>
                <w:rFonts w:ascii="Arial" w:hAnsi="Arial" w:cs="Arial"/>
                <w:b/>
                <w:bCs/>
                <w:sz w:val="16"/>
                <w:szCs w:val="16"/>
              </w:rPr>
            </w:pPr>
          </w:p>
        </w:tc>
        <w:tc>
          <w:tcPr>
            <w:tcW w:w="977" w:type="dxa"/>
            <w:tcBorders>
              <w:top w:val="nil"/>
              <w:left w:val="nil"/>
              <w:bottom w:val="nil"/>
              <w:right w:val="nil"/>
            </w:tcBorders>
            <w:shd w:val="clear" w:color="000000" w:fill="E6E6E6"/>
            <w:noWrap/>
            <w:vAlign w:val="bottom"/>
            <w:hideMark/>
          </w:tcPr>
          <w:p w14:paraId="740818D7" w14:textId="77777777" w:rsidR="00B91F3E" w:rsidRPr="00EC20D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75ADF0C1" w14:textId="77777777" w:rsidR="00B91F3E" w:rsidRPr="00EC20D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2CFA17AC" w14:textId="77777777" w:rsidR="00B91F3E" w:rsidRPr="00EC20DD" w:rsidRDefault="00B91F3E" w:rsidP="00F96D8A">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vAlign w:val="bottom"/>
            <w:hideMark/>
          </w:tcPr>
          <w:p w14:paraId="116AE932" w14:textId="77777777" w:rsidR="00B91F3E" w:rsidRPr="00EC20DD" w:rsidRDefault="00B91F3E" w:rsidP="00F96D8A">
            <w:pPr>
              <w:spacing w:after="0" w:line="240" w:lineRule="auto"/>
              <w:jc w:val="right"/>
              <w:rPr>
                <w:rFonts w:ascii="Times New Roman" w:hAnsi="Times New Roman"/>
              </w:rPr>
            </w:pPr>
          </w:p>
        </w:tc>
      </w:tr>
      <w:tr w:rsidR="00B91F3E" w:rsidRPr="00EC20DD" w14:paraId="0B6AB78E" w14:textId="77777777" w:rsidTr="0064083D">
        <w:trPr>
          <w:trHeight w:val="204"/>
        </w:trPr>
        <w:tc>
          <w:tcPr>
            <w:tcW w:w="2694" w:type="dxa"/>
            <w:tcBorders>
              <w:top w:val="nil"/>
              <w:left w:val="nil"/>
              <w:bottom w:val="nil"/>
              <w:right w:val="nil"/>
            </w:tcBorders>
            <w:shd w:val="clear" w:color="auto" w:fill="auto"/>
            <w:noWrap/>
            <w:vAlign w:val="bottom"/>
            <w:hideMark/>
          </w:tcPr>
          <w:p w14:paraId="61BD0E80" w14:textId="77777777" w:rsidR="00B91F3E" w:rsidRPr="00EC20DD" w:rsidRDefault="00B91F3E" w:rsidP="00F96D8A">
            <w:pPr>
              <w:spacing w:after="0" w:line="240" w:lineRule="auto"/>
              <w:jc w:val="left"/>
              <w:rPr>
                <w:rFonts w:ascii="Arial" w:hAnsi="Arial" w:cs="Arial"/>
                <w:sz w:val="16"/>
                <w:szCs w:val="16"/>
              </w:rPr>
            </w:pPr>
            <w:r w:rsidRPr="00EC20DD">
              <w:rPr>
                <w:rFonts w:ascii="Arial" w:hAnsi="Arial" w:cs="Arial"/>
                <w:sz w:val="16"/>
                <w:szCs w:val="16"/>
              </w:rPr>
              <w:t>Outcome 1:</w:t>
            </w:r>
          </w:p>
        </w:tc>
        <w:tc>
          <w:tcPr>
            <w:tcW w:w="996" w:type="dxa"/>
            <w:tcBorders>
              <w:top w:val="nil"/>
              <w:left w:val="nil"/>
              <w:right w:val="nil"/>
            </w:tcBorders>
            <w:shd w:val="clear" w:color="auto" w:fill="auto"/>
            <w:noWrap/>
            <w:vAlign w:val="bottom"/>
            <w:hideMark/>
          </w:tcPr>
          <w:p w14:paraId="2CE22B27" w14:textId="77777777" w:rsidR="00B91F3E" w:rsidRPr="00EC20DD" w:rsidRDefault="00B91F3E" w:rsidP="00F96D8A">
            <w:pPr>
              <w:spacing w:after="0" w:line="240" w:lineRule="auto"/>
              <w:jc w:val="right"/>
              <w:rPr>
                <w:rFonts w:ascii="Arial" w:hAnsi="Arial" w:cs="Arial"/>
                <w:sz w:val="16"/>
                <w:szCs w:val="16"/>
              </w:rPr>
            </w:pPr>
          </w:p>
        </w:tc>
        <w:tc>
          <w:tcPr>
            <w:tcW w:w="977" w:type="dxa"/>
            <w:tcBorders>
              <w:top w:val="nil"/>
              <w:left w:val="nil"/>
              <w:right w:val="nil"/>
            </w:tcBorders>
            <w:shd w:val="clear" w:color="000000" w:fill="E6E6E6"/>
            <w:noWrap/>
            <w:vAlign w:val="bottom"/>
            <w:hideMark/>
          </w:tcPr>
          <w:p w14:paraId="7B9E4B29" w14:textId="77777777" w:rsidR="00B91F3E" w:rsidRPr="00EC20DD" w:rsidRDefault="00B91F3E" w:rsidP="00F96D8A">
            <w:pPr>
              <w:spacing w:after="0" w:line="240" w:lineRule="auto"/>
              <w:jc w:val="right"/>
              <w:rPr>
                <w:rFonts w:ascii="Arial" w:hAnsi="Arial" w:cs="Arial"/>
                <w:sz w:val="16"/>
                <w:szCs w:val="16"/>
              </w:rPr>
            </w:pPr>
          </w:p>
        </w:tc>
        <w:tc>
          <w:tcPr>
            <w:tcW w:w="977" w:type="dxa"/>
            <w:tcBorders>
              <w:top w:val="nil"/>
              <w:left w:val="nil"/>
              <w:right w:val="nil"/>
            </w:tcBorders>
            <w:shd w:val="clear" w:color="auto" w:fill="auto"/>
            <w:noWrap/>
            <w:vAlign w:val="bottom"/>
            <w:hideMark/>
          </w:tcPr>
          <w:p w14:paraId="02B6557D" w14:textId="77777777" w:rsidR="00B91F3E" w:rsidRPr="00EC20DD" w:rsidRDefault="00B91F3E" w:rsidP="00F96D8A">
            <w:pPr>
              <w:spacing w:after="0" w:line="240" w:lineRule="auto"/>
              <w:jc w:val="right"/>
              <w:rPr>
                <w:rFonts w:ascii="Arial" w:hAnsi="Arial" w:cs="Arial"/>
                <w:sz w:val="16"/>
                <w:szCs w:val="16"/>
              </w:rPr>
            </w:pPr>
          </w:p>
        </w:tc>
        <w:tc>
          <w:tcPr>
            <w:tcW w:w="977" w:type="dxa"/>
            <w:tcBorders>
              <w:top w:val="nil"/>
              <w:left w:val="nil"/>
              <w:right w:val="nil"/>
            </w:tcBorders>
            <w:shd w:val="clear" w:color="auto" w:fill="auto"/>
            <w:noWrap/>
            <w:vAlign w:val="bottom"/>
            <w:hideMark/>
          </w:tcPr>
          <w:p w14:paraId="27FA5DF9" w14:textId="77777777" w:rsidR="00B91F3E" w:rsidRPr="00EC20DD" w:rsidRDefault="00B91F3E" w:rsidP="00F96D8A">
            <w:pPr>
              <w:spacing w:after="0" w:line="240" w:lineRule="auto"/>
              <w:jc w:val="right"/>
              <w:rPr>
                <w:rFonts w:ascii="Times New Roman" w:hAnsi="Times New Roman"/>
              </w:rPr>
            </w:pPr>
          </w:p>
        </w:tc>
        <w:tc>
          <w:tcPr>
            <w:tcW w:w="977" w:type="dxa"/>
            <w:tcBorders>
              <w:top w:val="nil"/>
              <w:left w:val="nil"/>
              <w:right w:val="nil"/>
            </w:tcBorders>
            <w:shd w:val="clear" w:color="auto" w:fill="auto"/>
            <w:noWrap/>
            <w:vAlign w:val="bottom"/>
            <w:hideMark/>
          </w:tcPr>
          <w:p w14:paraId="4AF3F0D3" w14:textId="77777777" w:rsidR="00B91F3E" w:rsidRPr="00EC20DD" w:rsidRDefault="00B91F3E" w:rsidP="00F96D8A">
            <w:pPr>
              <w:spacing w:after="0" w:line="240" w:lineRule="auto"/>
              <w:jc w:val="right"/>
              <w:rPr>
                <w:rFonts w:ascii="Times New Roman" w:hAnsi="Times New Roman"/>
              </w:rPr>
            </w:pPr>
          </w:p>
        </w:tc>
      </w:tr>
      <w:tr w:rsidR="00E12FCC" w:rsidRPr="00EC20DD" w14:paraId="0FFDA74A" w14:textId="77777777" w:rsidTr="0064083D">
        <w:trPr>
          <w:trHeight w:val="204"/>
        </w:trPr>
        <w:tc>
          <w:tcPr>
            <w:tcW w:w="2694" w:type="dxa"/>
            <w:tcBorders>
              <w:top w:val="nil"/>
              <w:left w:val="nil"/>
              <w:right w:val="nil"/>
            </w:tcBorders>
            <w:shd w:val="clear" w:color="auto" w:fill="auto"/>
            <w:noWrap/>
            <w:vAlign w:val="bottom"/>
            <w:hideMark/>
          </w:tcPr>
          <w:p w14:paraId="18108174" w14:textId="77777777" w:rsidR="00E12FCC" w:rsidRPr="00EC20DD" w:rsidRDefault="00E12FCC" w:rsidP="00E12FCC">
            <w:pPr>
              <w:spacing w:after="0" w:line="240" w:lineRule="auto"/>
              <w:ind w:left="113"/>
              <w:jc w:val="left"/>
              <w:rPr>
                <w:rFonts w:ascii="Arial" w:hAnsi="Arial" w:cs="Arial"/>
                <w:sz w:val="16"/>
                <w:szCs w:val="16"/>
              </w:rPr>
            </w:pPr>
            <w:r w:rsidRPr="00EC20DD">
              <w:rPr>
                <w:rFonts w:ascii="Arial" w:hAnsi="Arial" w:cs="Arial"/>
                <w:sz w:val="16"/>
                <w:szCs w:val="16"/>
              </w:rPr>
              <w:t>Program 1.1: Infrastructure Investment</w:t>
            </w:r>
          </w:p>
        </w:tc>
        <w:tc>
          <w:tcPr>
            <w:tcW w:w="996" w:type="dxa"/>
            <w:tcBorders>
              <w:top w:val="nil"/>
              <w:left w:val="nil"/>
              <w:bottom w:val="single" w:sz="4" w:space="0" w:color="auto"/>
              <w:right w:val="nil"/>
            </w:tcBorders>
            <w:shd w:val="clear" w:color="auto" w:fill="auto"/>
            <w:noWrap/>
            <w:vAlign w:val="bottom"/>
            <w:hideMark/>
          </w:tcPr>
          <w:p w14:paraId="4C4301D4" w14:textId="1AD40291" w:rsidR="00E12FCC" w:rsidRPr="00EC20DD" w:rsidRDefault="00E12FCC" w:rsidP="00E12FCC">
            <w:pPr>
              <w:spacing w:after="0" w:line="240" w:lineRule="auto"/>
              <w:jc w:val="right"/>
              <w:rPr>
                <w:rFonts w:ascii="Arial" w:hAnsi="Arial" w:cs="Arial"/>
                <w:sz w:val="16"/>
                <w:szCs w:val="16"/>
              </w:rPr>
            </w:pPr>
            <w:r>
              <w:rPr>
                <w:rFonts w:ascii="Arial" w:hAnsi="Arial" w:cs="Arial"/>
                <w:sz w:val="16"/>
                <w:szCs w:val="16"/>
              </w:rPr>
              <w:t>(6,470)</w:t>
            </w:r>
          </w:p>
        </w:tc>
        <w:tc>
          <w:tcPr>
            <w:tcW w:w="977" w:type="dxa"/>
            <w:tcBorders>
              <w:top w:val="nil"/>
              <w:left w:val="nil"/>
              <w:bottom w:val="single" w:sz="4" w:space="0" w:color="auto"/>
              <w:right w:val="nil"/>
            </w:tcBorders>
            <w:shd w:val="clear" w:color="000000" w:fill="E6E6E6"/>
            <w:noWrap/>
            <w:vAlign w:val="bottom"/>
            <w:hideMark/>
          </w:tcPr>
          <w:p w14:paraId="41A9EED1" w14:textId="26CF923B" w:rsidR="00E12FCC" w:rsidRPr="00EC20DD" w:rsidRDefault="00E12FCC" w:rsidP="00E12FCC">
            <w:pPr>
              <w:spacing w:after="0" w:line="240" w:lineRule="auto"/>
              <w:jc w:val="right"/>
              <w:rPr>
                <w:rFonts w:ascii="Arial" w:hAnsi="Arial" w:cs="Arial"/>
                <w:sz w:val="16"/>
                <w:szCs w:val="16"/>
              </w:rPr>
            </w:pPr>
            <w:r>
              <w:rPr>
                <w:rFonts w:ascii="Arial" w:hAnsi="Arial" w:cs="Arial"/>
                <w:sz w:val="16"/>
                <w:szCs w:val="16"/>
              </w:rPr>
              <w:t>(10,230)</w:t>
            </w:r>
          </w:p>
        </w:tc>
        <w:tc>
          <w:tcPr>
            <w:tcW w:w="977" w:type="dxa"/>
            <w:tcBorders>
              <w:top w:val="nil"/>
              <w:left w:val="nil"/>
              <w:bottom w:val="single" w:sz="4" w:space="0" w:color="auto"/>
              <w:right w:val="nil"/>
            </w:tcBorders>
            <w:shd w:val="clear" w:color="auto" w:fill="auto"/>
            <w:noWrap/>
            <w:vAlign w:val="bottom"/>
            <w:hideMark/>
          </w:tcPr>
          <w:p w14:paraId="2F3BA8BC" w14:textId="4C0B8BC1" w:rsidR="00E12FCC" w:rsidRPr="00EC20DD" w:rsidRDefault="00E12FCC" w:rsidP="00E12FCC">
            <w:pPr>
              <w:spacing w:after="0" w:line="240" w:lineRule="auto"/>
              <w:jc w:val="right"/>
              <w:rPr>
                <w:rFonts w:ascii="Arial" w:hAnsi="Arial" w:cs="Arial"/>
                <w:sz w:val="16"/>
                <w:szCs w:val="16"/>
              </w:rPr>
            </w:pPr>
            <w:r>
              <w:rPr>
                <w:rFonts w:ascii="Arial" w:hAnsi="Arial" w:cs="Arial"/>
                <w:sz w:val="16"/>
                <w:szCs w:val="16"/>
              </w:rPr>
              <w:t xml:space="preserve">14,700 </w:t>
            </w:r>
          </w:p>
        </w:tc>
        <w:tc>
          <w:tcPr>
            <w:tcW w:w="977" w:type="dxa"/>
            <w:tcBorders>
              <w:top w:val="nil"/>
              <w:left w:val="nil"/>
              <w:bottom w:val="single" w:sz="4" w:space="0" w:color="auto"/>
              <w:right w:val="nil"/>
            </w:tcBorders>
            <w:shd w:val="clear" w:color="auto" w:fill="auto"/>
            <w:noWrap/>
            <w:vAlign w:val="bottom"/>
            <w:hideMark/>
          </w:tcPr>
          <w:p w14:paraId="1EC501DA" w14:textId="1BC3FC65" w:rsidR="00E12FCC" w:rsidRPr="00EC20DD" w:rsidRDefault="00E12FCC" w:rsidP="00E12FCC">
            <w:pPr>
              <w:spacing w:after="0" w:line="240" w:lineRule="auto"/>
              <w:jc w:val="right"/>
              <w:rPr>
                <w:rFonts w:ascii="Arial" w:hAnsi="Arial" w:cs="Arial"/>
                <w:sz w:val="16"/>
                <w:szCs w:val="16"/>
              </w:rPr>
            </w:pPr>
            <w:r>
              <w:rPr>
                <w:rFonts w:ascii="Arial" w:hAnsi="Arial" w:cs="Arial"/>
                <w:sz w:val="16"/>
                <w:szCs w:val="16"/>
              </w:rPr>
              <w:t xml:space="preserve">2,000 </w:t>
            </w:r>
          </w:p>
        </w:tc>
        <w:tc>
          <w:tcPr>
            <w:tcW w:w="977" w:type="dxa"/>
            <w:tcBorders>
              <w:top w:val="nil"/>
              <w:left w:val="nil"/>
              <w:bottom w:val="single" w:sz="4" w:space="0" w:color="auto"/>
              <w:right w:val="nil"/>
            </w:tcBorders>
            <w:shd w:val="clear" w:color="auto" w:fill="auto"/>
            <w:noWrap/>
            <w:vAlign w:val="bottom"/>
            <w:hideMark/>
          </w:tcPr>
          <w:p w14:paraId="06E4BB9A" w14:textId="181A5AB6" w:rsidR="00E12FCC" w:rsidRPr="00EC20DD"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EC20DD" w14:paraId="3CAD05CD" w14:textId="77777777" w:rsidTr="0064083D">
        <w:trPr>
          <w:trHeight w:val="204"/>
        </w:trPr>
        <w:tc>
          <w:tcPr>
            <w:tcW w:w="2694" w:type="dxa"/>
            <w:tcBorders>
              <w:top w:val="nil"/>
              <w:left w:val="nil"/>
              <w:bottom w:val="single" w:sz="4" w:space="0" w:color="auto"/>
              <w:right w:val="nil"/>
            </w:tcBorders>
            <w:shd w:val="clear" w:color="auto" w:fill="auto"/>
            <w:vAlign w:val="bottom"/>
            <w:hideMark/>
          </w:tcPr>
          <w:p w14:paraId="11077909" w14:textId="77777777" w:rsidR="00E12FCC" w:rsidRPr="00EC20DD" w:rsidRDefault="00E12FCC" w:rsidP="00E12FCC">
            <w:pPr>
              <w:spacing w:after="0" w:line="240" w:lineRule="auto"/>
              <w:jc w:val="left"/>
              <w:rPr>
                <w:rFonts w:ascii="Arial" w:hAnsi="Arial" w:cs="Arial"/>
                <w:b/>
                <w:bCs/>
                <w:sz w:val="16"/>
                <w:szCs w:val="16"/>
              </w:rPr>
            </w:pPr>
            <w:r w:rsidRPr="00EC20DD">
              <w:rPr>
                <w:rFonts w:ascii="Arial" w:hAnsi="Arial" w:cs="Arial"/>
                <w:b/>
                <w:bCs/>
                <w:sz w:val="16"/>
                <w:szCs w:val="16"/>
              </w:rPr>
              <w:t>Total movement of administered funds between years</w:t>
            </w:r>
          </w:p>
        </w:tc>
        <w:tc>
          <w:tcPr>
            <w:tcW w:w="996" w:type="dxa"/>
            <w:tcBorders>
              <w:top w:val="single" w:sz="4" w:space="0" w:color="auto"/>
              <w:left w:val="nil"/>
              <w:bottom w:val="single" w:sz="4" w:space="0" w:color="auto"/>
              <w:right w:val="nil"/>
            </w:tcBorders>
            <w:shd w:val="clear" w:color="auto" w:fill="auto"/>
            <w:noWrap/>
            <w:vAlign w:val="bottom"/>
            <w:hideMark/>
          </w:tcPr>
          <w:p w14:paraId="66BAF5C1" w14:textId="6DD6027E" w:rsidR="00E12FCC" w:rsidRPr="00EC20DD" w:rsidRDefault="00E12FCC" w:rsidP="00E12FCC">
            <w:pPr>
              <w:spacing w:after="0" w:line="240" w:lineRule="auto"/>
              <w:jc w:val="right"/>
              <w:rPr>
                <w:rFonts w:ascii="Arial" w:hAnsi="Arial" w:cs="Arial"/>
                <w:b/>
                <w:bCs/>
                <w:sz w:val="16"/>
                <w:szCs w:val="16"/>
              </w:rPr>
            </w:pPr>
            <w:r>
              <w:rPr>
                <w:rFonts w:ascii="Arial" w:hAnsi="Arial" w:cs="Arial"/>
                <w:b/>
                <w:bCs/>
                <w:sz w:val="16"/>
                <w:szCs w:val="16"/>
              </w:rPr>
              <w:t>(6,470)</w:t>
            </w:r>
          </w:p>
        </w:tc>
        <w:tc>
          <w:tcPr>
            <w:tcW w:w="977" w:type="dxa"/>
            <w:tcBorders>
              <w:top w:val="single" w:sz="4" w:space="0" w:color="auto"/>
              <w:left w:val="nil"/>
              <w:bottom w:val="single" w:sz="4" w:space="0" w:color="auto"/>
              <w:right w:val="nil"/>
            </w:tcBorders>
            <w:shd w:val="clear" w:color="000000" w:fill="E6E6E6"/>
            <w:noWrap/>
            <w:vAlign w:val="bottom"/>
            <w:hideMark/>
          </w:tcPr>
          <w:p w14:paraId="2D72E2C1" w14:textId="6A83A504" w:rsidR="00E12FCC" w:rsidRPr="00EC20DD" w:rsidRDefault="00E12FCC" w:rsidP="00E12FCC">
            <w:pPr>
              <w:spacing w:after="0" w:line="240" w:lineRule="auto"/>
              <w:jc w:val="right"/>
              <w:rPr>
                <w:rFonts w:ascii="Arial" w:hAnsi="Arial" w:cs="Arial"/>
                <w:b/>
                <w:bCs/>
                <w:sz w:val="16"/>
                <w:szCs w:val="16"/>
              </w:rPr>
            </w:pPr>
            <w:r>
              <w:rPr>
                <w:rFonts w:ascii="Arial" w:hAnsi="Arial" w:cs="Arial"/>
                <w:b/>
                <w:bCs/>
                <w:sz w:val="16"/>
                <w:szCs w:val="16"/>
              </w:rPr>
              <w:t>(10,230)</w:t>
            </w:r>
          </w:p>
        </w:tc>
        <w:tc>
          <w:tcPr>
            <w:tcW w:w="977" w:type="dxa"/>
            <w:tcBorders>
              <w:top w:val="single" w:sz="4" w:space="0" w:color="auto"/>
              <w:left w:val="nil"/>
              <w:bottom w:val="single" w:sz="4" w:space="0" w:color="auto"/>
              <w:right w:val="nil"/>
            </w:tcBorders>
            <w:shd w:val="clear" w:color="auto" w:fill="auto"/>
            <w:noWrap/>
            <w:vAlign w:val="bottom"/>
            <w:hideMark/>
          </w:tcPr>
          <w:p w14:paraId="2B71C056" w14:textId="5D316C49" w:rsidR="00E12FCC" w:rsidRPr="00EC20DD"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14,700 </w:t>
            </w:r>
          </w:p>
        </w:tc>
        <w:tc>
          <w:tcPr>
            <w:tcW w:w="977" w:type="dxa"/>
            <w:tcBorders>
              <w:top w:val="single" w:sz="4" w:space="0" w:color="auto"/>
              <w:left w:val="nil"/>
              <w:bottom w:val="single" w:sz="4" w:space="0" w:color="auto"/>
              <w:right w:val="nil"/>
            </w:tcBorders>
            <w:shd w:val="clear" w:color="auto" w:fill="auto"/>
            <w:noWrap/>
            <w:vAlign w:val="bottom"/>
            <w:hideMark/>
          </w:tcPr>
          <w:p w14:paraId="45EC5BE3" w14:textId="385B9C8D" w:rsidR="00E12FCC" w:rsidRPr="00EC20DD"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2,000 </w:t>
            </w:r>
          </w:p>
        </w:tc>
        <w:tc>
          <w:tcPr>
            <w:tcW w:w="977" w:type="dxa"/>
            <w:tcBorders>
              <w:top w:val="single" w:sz="4" w:space="0" w:color="auto"/>
              <w:left w:val="nil"/>
              <w:bottom w:val="single" w:sz="4" w:space="0" w:color="auto"/>
              <w:right w:val="nil"/>
            </w:tcBorders>
            <w:shd w:val="clear" w:color="auto" w:fill="auto"/>
            <w:noWrap/>
            <w:vAlign w:val="bottom"/>
            <w:hideMark/>
          </w:tcPr>
          <w:p w14:paraId="178DF998" w14:textId="45479F11" w:rsidR="00E12FCC" w:rsidRPr="00EC20DD"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54C44B2F" w14:textId="77777777" w:rsidR="00B91F3E" w:rsidRPr="00EC20DD" w:rsidRDefault="00B91F3E" w:rsidP="00B91F3E">
      <w:pPr>
        <w:spacing w:after="0"/>
        <w:rPr>
          <w:lang w:eastAsia="x-none"/>
        </w:rPr>
      </w:pPr>
    </w:p>
    <w:tbl>
      <w:tblPr>
        <w:tblW w:w="4706" w:type="dxa"/>
        <w:tblLook w:val="04A0" w:firstRow="1" w:lastRow="0" w:firstColumn="1" w:lastColumn="0" w:noHBand="0" w:noVBand="1"/>
      </w:tblPr>
      <w:tblGrid>
        <w:gridCol w:w="2694"/>
        <w:gridCol w:w="1016"/>
        <w:gridCol w:w="996"/>
      </w:tblGrid>
      <w:tr w:rsidR="00B91F3E" w:rsidRPr="00EC20DD" w14:paraId="144FAE32" w14:textId="77777777" w:rsidTr="00F96D8A">
        <w:trPr>
          <w:trHeight w:val="204"/>
        </w:trPr>
        <w:tc>
          <w:tcPr>
            <w:tcW w:w="2694" w:type="dxa"/>
            <w:tcBorders>
              <w:top w:val="single" w:sz="4" w:space="0" w:color="auto"/>
              <w:left w:val="nil"/>
              <w:bottom w:val="nil"/>
              <w:right w:val="nil"/>
            </w:tcBorders>
            <w:shd w:val="clear" w:color="auto" w:fill="auto"/>
            <w:noWrap/>
            <w:vAlign w:val="bottom"/>
            <w:hideMark/>
          </w:tcPr>
          <w:p w14:paraId="09852F62" w14:textId="77777777" w:rsidR="00B91F3E" w:rsidRPr="00EC20DD" w:rsidRDefault="00B91F3E" w:rsidP="00F96D8A">
            <w:pPr>
              <w:spacing w:after="0" w:line="240" w:lineRule="auto"/>
              <w:jc w:val="left"/>
              <w:rPr>
                <w:rFonts w:ascii="Arial" w:hAnsi="Arial" w:cs="Arial"/>
                <w:sz w:val="16"/>
                <w:szCs w:val="16"/>
              </w:rPr>
            </w:pPr>
            <w:r w:rsidRPr="00EC20DD">
              <w:rPr>
                <w:rFonts w:ascii="Arial" w:hAnsi="Arial" w:cs="Arial"/>
                <w:sz w:val="16"/>
                <w:szCs w:val="16"/>
              </w:rPr>
              <w:t> </w:t>
            </w:r>
          </w:p>
        </w:tc>
        <w:tc>
          <w:tcPr>
            <w:tcW w:w="1016" w:type="dxa"/>
            <w:tcBorders>
              <w:top w:val="single" w:sz="4" w:space="0" w:color="auto"/>
              <w:left w:val="nil"/>
              <w:bottom w:val="single" w:sz="4" w:space="0" w:color="auto"/>
              <w:right w:val="nil"/>
            </w:tcBorders>
            <w:shd w:val="clear" w:color="auto" w:fill="auto"/>
            <w:noWrap/>
            <w:vAlign w:val="bottom"/>
            <w:hideMark/>
          </w:tcPr>
          <w:p w14:paraId="557765E4"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2021-22</w:t>
            </w:r>
          </w:p>
        </w:tc>
        <w:tc>
          <w:tcPr>
            <w:tcW w:w="996" w:type="dxa"/>
            <w:tcBorders>
              <w:top w:val="single" w:sz="4" w:space="0" w:color="auto"/>
              <w:left w:val="nil"/>
              <w:bottom w:val="single" w:sz="4" w:space="0" w:color="auto"/>
              <w:right w:val="nil"/>
            </w:tcBorders>
            <w:shd w:val="clear" w:color="000000" w:fill="E6E6E6"/>
            <w:noWrap/>
            <w:vAlign w:val="bottom"/>
            <w:hideMark/>
          </w:tcPr>
          <w:p w14:paraId="608CCADF" w14:textId="77777777" w:rsidR="00B91F3E" w:rsidRPr="00EC20DD" w:rsidRDefault="00B91F3E" w:rsidP="00F96D8A">
            <w:pPr>
              <w:spacing w:after="0" w:line="240" w:lineRule="auto"/>
              <w:jc w:val="right"/>
              <w:rPr>
                <w:rFonts w:ascii="Arial" w:hAnsi="Arial" w:cs="Arial"/>
                <w:sz w:val="16"/>
                <w:szCs w:val="16"/>
              </w:rPr>
            </w:pPr>
            <w:r w:rsidRPr="00EC20DD">
              <w:rPr>
                <w:rFonts w:ascii="Arial" w:hAnsi="Arial" w:cs="Arial"/>
                <w:sz w:val="16"/>
                <w:szCs w:val="16"/>
              </w:rPr>
              <w:t>2022-23</w:t>
            </w:r>
          </w:p>
        </w:tc>
      </w:tr>
      <w:tr w:rsidR="007F54D0" w:rsidRPr="00EC20DD" w14:paraId="034FAED7" w14:textId="77777777" w:rsidTr="00760AF3">
        <w:trPr>
          <w:trHeight w:val="204"/>
        </w:trPr>
        <w:tc>
          <w:tcPr>
            <w:tcW w:w="2694" w:type="dxa"/>
            <w:tcBorders>
              <w:top w:val="nil"/>
              <w:left w:val="nil"/>
              <w:bottom w:val="single" w:sz="4" w:space="0" w:color="auto"/>
              <w:right w:val="nil"/>
            </w:tcBorders>
            <w:shd w:val="clear" w:color="auto" w:fill="auto"/>
            <w:noWrap/>
            <w:vAlign w:val="bottom"/>
            <w:hideMark/>
          </w:tcPr>
          <w:p w14:paraId="4FDA7E31" w14:textId="77777777" w:rsidR="007F54D0" w:rsidRPr="00EC20DD" w:rsidRDefault="007F54D0" w:rsidP="007F54D0">
            <w:pPr>
              <w:spacing w:after="0" w:line="240" w:lineRule="auto"/>
              <w:jc w:val="left"/>
              <w:rPr>
                <w:rFonts w:ascii="Arial" w:hAnsi="Arial" w:cs="Arial"/>
                <w:b/>
                <w:bCs/>
                <w:sz w:val="16"/>
                <w:szCs w:val="16"/>
              </w:rPr>
            </w:pPr>
            <w:r w:rsidRPr="00EC20DD">
              <w:rPr>
                <w:rFonts w:ascii="Arial" w:hAnsi="Arial" w:cs="Arial"/>
                <w:b/>
                <w:bCs/>
                <w:sz w:val="16"/>
                <w:szCs w:val="16"/>
              </w:rPr>
              <w:t>Average staffing level (number)</w:t>
            </w:r>
          </w:p>
        </w:tc>
        <w:tc>
          <w:tcPr>
            <w:tcW w:w="1016" w:type="dxa"/>
            <w:tcBorders>
              <w:top w:val="nil"/>
              <w:left w:val="nil"/>
              <w:bottom w:val="single" w:sz="4" w:space="0" w:color="auto"/>
              <w:right w:val="nil"/>
            </w:tcBorders>
            <w:shd w:val="clear" w:color="auto" w:fill="auto"/>
            <w:noWrap/>
            <w:vAlign w:val="bottom"/>
            <w:hideMark/>
          </w:tcPr>
          <w:p w14:paraId="0C280954" w14:textId="0FE3415B" w:rsidR="007F54D0" w:rsidRPr="00EC20DD" w:rsidRDefault="007F54D0" w:rsidP="007F54D0">
            <w:pPr>
              <w:spacing w:after="0" w:line="240" w:lineRule="auto"/>
              <w:jc w:val="right"/>
              <w:rPr>
                <w:rFonts w:ascii="Arial" w:hAnsi="Arial" w:cs="Arial"/>
                <w:sz w:val="16"/>
                <w:szCs w:val="16"/>
              </w:rPr>
            </w:pPr>
            <w:r>
              <w:rPr>
                <w:rFonts w:ascii="Arial" w:hAnsi="Arial" w:cs="Arial"/>
                <w:sz w:val="16"/>
                <w:szCs w:val="16"/>
              </w:rPr>
              <w:t>272</w:t>
            </w:r>
          </w:p>
        </w:tc>
        <w:tc>
          <w:tcPr>
            <w:tcW w:w="996" w:type="dxa"/>
            <w:tcBorders>
              <w:top w:val="nil"/>
              <w:left w:val="nil"/>
              <w:bottom w:val="single" w:sz="4" w:space="0" w:color="auto"/>
              <w:right w:val="nil"/>
            </w:tcBorders>
            <w:shd w:val="clear" w:color="auto" w:fill="E6E6E6"/>
            <w:noWrap/>
            <w:vAlign w:val="bottom"/>
            <w:hideMark/>
          </w:tcPr>
          <w:p w14:paraId="76FA81BA" w14:textId="1C4EFF3A" w:rsidR="007F54D0" w:rsidRPr="00EC20DD" w:rsidRDefault="007F54D0" w:rsidP="007F54D0">
            <w:pPr>
              <w:spacing w:after="0" w:line="240" w:lineRule="auto"/>
              <w:jc w:val="right"/>
              <w:rPr>
                <w:rFonts w:ascii="Arial" w:hAnsi="Arial" w:cs="Arial"/>
                <w:sz w:val="16"/>
                <w:szCs w:val="16"/>
              </w:rPr>
            </w:pPr>
            <w:r>
              <w:rPr>
                <w:rFonts w:ascii="Arial" w:hAnsi="Arial" w:cs="Arial"/>
                <w:sz w:val="16"/>
                <w:szCs w:val="16"/>
              </w:rPr>
              <w:t>270</w:t>
            </w:r>
          </w:p>
        </w:tc>
      </w:tr>
    </w:tbl>
    <w:p w14:paraId="22F321BC" w14:textId="1C8B1D9A" w:rsidR="00B91F3E" w:rsidRPr="00EC20DD" w:rsidRDefault="00B91F3E" w:rsidP="003926A3">
      <w:pPr>
        <w:pStyle w:val="ListParagraph"/>
        <w:numPr>
          <w:ilvl w:val="0"/>
          <w:numId w:val="13"/>
        </w:numPr>
        <w:spacing w:before="60" w:after="0"/>
        <w:ind w:left="284" w:hanging="284"/>
        <w:rPr>
          <w:rFonts w:ascii="Arial" w:hAnsi="Arial" w:cs="Arial"/>
          <w:sz w:val="16"/>
          <w:szCs w:val="16"/>
        </w:rPr>
      </w:pPr>
      <w:r w:rsidRPr="00EC20DD">
        <w:rPr>
          <w:rFonts w:ascii="Arial" w:hAnsi="Arial" w:cs="Arial"/>
          <w:sz w:val="16"/>
          <w:szCs w:val="16"/>
        </w:rPr>
        <w:t xml:space="preserve">Relates to appropriation for corporate entities provided through the </w:t>
      </w:r>
      <w:r w:rsidR="003C4CC6">
        <w:rPr>
          <w:rFonts w:ascii="Arial" w:hAnsi="Arial" w:cs="Arial"/>
          <w:sz w:val="16"/>
          <w:szCs w:val="16"/>
        </w:rPr>
        <w:t>Department</w:t>
      </w:r>
      <w:r w:rsidRPr="00EC20DD">
        <w:rPr>
          <w:rFonts w:ascii="Arial" w:hAnsi="Arial" w:cs="Arial"/>
          <w:sz w:val="16"/>
          <w:szCs w:val="16"/>
        </w:rPr>
        <w:t>.</w:t>
      </w:r>
    </w:p>
    <w:p w14:paraId="2C932610" w14:textId="77777777" w:rsidR="00E12FCC" w:rsidRDefault="00B91F3E" w:rsidP="00E12FCC">
      <w:pPr>
        <w:pStyle w:val="ListParagraph"/>
        <w:numPr>
          <w:ilvl w:val="0"/>
          <w:numId w:val="13"/>
        </w:numPr>
        <w:ind w:left="284" w:hanging="284"/>
        <w:rPr>
          <w:rFonts w:ascii="Arial" w:hAnsi="Arial" w:cs="Arial"/>
          <w:sz w:val="16"/>
          <w:szCs w:val="16"/>
        </w:rPr>
      </w:pPr>
      <w:r w:rsidRPr="00EC20DD">
        <w:rPr>
          <w:rFonts w:ascii="Arial" w:hAnsi="Arial" w:cs="Arial"/>
          <w:sz w:val="16"/>
          <w:szCs w:val="16"/>
        </w:rPr>
        <w:t>Administered ‘Expenses not requiring appropriation in the Budget year’ comprises expenses relating to concessional loans, accruals, payments made from prior year appropriations and other non–cash expenses.</w:t>
      </w:r>
    </w:p>
    <w:p w14:paraId="1A3CD6A6" w14:textId="6DFA0B5F" w:rsidR="00B91F3E" w:rsidRPr="00E12FCC" w:rsidRDefault="00E12FCC" w:rsidP="00E12FCC">
      <w:pPr>
        <w:pStyle w:val="ListParagraph"/>
        <w:numPr>
          <w:ilvl w:val="0"/>
          <w:numId w:val="13"/>
        </w:numPr>
        <w:ind w:left="284" w:hanging="284"/>
        <w:rPr>
          <w:rFonts w:ascii="Arial" w:hAnsi="Arial" w:cs="Arial"/>
          <w:sz w:val="16"/>
          <w:szCs w:val="16"/>
        </w:rPr>
      </w:pPr>
      <w:r w:rsidRPr="00E12FCC">
        <w:rPr>
          <w:rFonts w:ascii="Arial" w:hAnsi="Arial" w:cs="Arial"/>
          <w:sz w:val="16"/>
          <w:szCs w:val="16"/>
        </w:rPr>
        <w:t>Estimated expenses incurred in relation to receipts retained under section 74 of the PGPA Act.</w:t>
      </w:r>
    </w:p>
    <w:p w14:paraId="2B036437" w14:textId="095CD8FC" w:rsidR="00B91F3E" w:rsidRPr="00EC20DD" w:rsidRDefault="003C4CC6" w:rsidP="003926A3">
      <w:pPr>
        <w:pStyle w:val="ListParagraph"/>
        <w:numPr>
          <w:ilvl w:val="0"/>
          <w:numId w:val="13"/>
        </w:numPr>
        <w:ind w:left="284" w:hanging="284"/>
        <w:rPr>
          <w:rFonts w:ascii="Arial" w:hAnsi="Arial" w:cs="Arial"/>
          <w:sz w:val="16"/>
          <w:szCs w:val="16"/>
        </w:rPr>
      </w:pPr>
      <w:r>
        <w:rPr>
          <w:rFonts w:ascii="Arial" w:hAnsi="Arial" w:cs="Arial"/>
          <w:sz w:val="16"/>
          <w:szCs w:val="16"/>
        </w:rPr>
        <w:t>Department</w:t>
      </w:r>
      <w:r w:rsidR="00B91F3E" w:rsidRPr="00EC20DD">
        <w:rPr>
          <w:rFonts w:ascii="Arial" w:hAnsi="Arial" w:cs="Arial"/>
          <w:sz w:val="16"/>
          <w:szCs w:val="16"/>
        </w:rPr>
        <w:t>al ‘Expenses not requiring appropriation in the Budget year’ is made up of depreciation and amortisation expenses and expenses that are reduced by associated receipts.</w:t>
      </w:r>
    </w:p>
    <w:p w14:paraId="3C285784" w14:textId="77777777" w:rsidR="00B91F3E" w:rsidRDefault="00B91F3E" w:rsidP="003926A3">
      <w:pPr>
        <w:pStyle w:val="ListParagraph"/>
        <w:numPr>
          <w:ilvl w:val="0"/>
          <w:numId w:val="13"/>
        </w:numPr>
        <w:ind w:left="284" w:hanging="284"/>
        <w:rPr>
          <w:rFonts w:ascii="Arial" w:hAnsi="Arial" w:cs="Arial"/>
          <w:sz w:val="16"/>
          <w:szCs w:val="16"/>
        </w:rPr>
      </w:pPr>
      <w:r w:rsidRPr="00EC20DD">
        <w:rPr>
          <w:rFonts w:ascii="Arial" w:hAnsi="Arial" w:cs="Arial"/>
          <w:sz w:val="16"/>
          <w:szCs w:val="16"/>
        </w:rPr>
        <w:t>Figures displayed as a negative (–) represent a decrease in funds and a positive (+) represent an increase in funds.</w:t>
      </w:r>
    </w:p>
    <w:p w14:paraId="72B22C01" w14:textId="0814233A" w:rsidR="00B91F3E" w:rsidRDefault="00B91F3E" w:rsidP="00B91F3E">
      <w:pPr>
        <w:pStyle w:val="ListParagraph"/>
        <w:spacing w:after="0"/>
        <w:ind w:left="0"/>
        <w:rPr>
          <w:rFonts w:ascii="Arial" w:hAnsi="Arial" w:cs="Arial"/>
          <w:sz w:val="16"/>
          <w:szCs w:val="16"/>
        </w:rPr>
      </w:pPr>
      <w:r w:rsidRPr="009E38A9">
        <w:rPr>
          <w:rFonts w:ascii="Arial" w:hAnsi="Arial" w:cs="Arial"/>
          <w:sz w:val="16"/>
          <w:szCs w:val="16"/>
        </w:rPr>
        <w:t xml:space="preserve">Note: </w:t>
      </w:r>
      <w:r w:rsidR="003C4CC6">
        <w:rPr>
          <w:rFonts w:ascii="Arial" w:hAnsi="Arial" w:cs="Arial"/>
          <w:sz w:val="16"/>
          <w:szCs w:val="16"/>
        </w:rPr>
        <w:t>Department</w:t>
      </w:r>
      <w:r w:rsidRPr="009E38A9">
        <w:rPr>
          <w:rFonts w:ascii="Arial" w:hAnsi="Arial" w:cs="Arial"/>
          <w:sz w:val="16"/>
          <w:szCs w:val="16"/>
        </w:rPr>
        <w:t>al appropriation splits and totals are indicative estimates and m</w:t>
      </w:r>
      <w:r w:rsidR="006B398F">
        <w:rPr>
          <w:rFonts w:ascii="Arial" w:hAnsi="Arial" w:cs="Arial"/>
          <w:sz w:val="16"/>
          <w:szCs w:val="16"/>
        </w:rPr>
        <w:t>ay change in the course of the B</w:t>
      </w:r>
      <w:r w:rsidRPr="009E38A9">
        <w:rPr>
          <w:rFonts w:ascii="Arial" w:hAnsi="Arial" w:cs="Arial"/>
          <w:sz w:val="16"/>
          <w:szCs w:val="16"/>
        </w:rPr>
        <w:t>udget year as government priorities change.</w:t>
      </w:r>
    </w:p>
    <w:p w14:paraId="384F2663" w14:textId="77777777" w:rsidR="00B91F3E" w:rsidRDefault="00B91F3E" w:rsidP="00B91F3E">
      <w:pPr>
        <w:pStyle w:val="TableHeadingcontinued"/>
        <w:rPr>
          <w:rStyle w:val="TableHeadingChar"/>
        </w:rPr>
      </w:pPr>
      <w:r w:rsidRPr="00B166C6">
        <w:rPr>
          <w:rStyle w:val="TableHeadingChar"/>
        </w:rPr>
        <w:t xml:space="preserve"> </w:t>
      </w:r>
    </w:p>
    <w:p w14:paraId="4F807FE7" w14:textId="77777777" w:rsidR="00B91F3E" w:rsidRDefault="00B91F3E" w:rsidP="00B91F3E">
      <w:pPr>
        <w:spacing w:after="160" w:line="259" w:lineRule="auto"/>
        <w:jc w:val="left"/>
        <w:rPr>
          <w:rStyle w:val="TableHeadingChar"/>
          <w:b w:val="0"/>
        </w:rPr>
      </w:pPr>
      <w:r>
        <w:rPr>
          <w:rStyle w:val="TableHeadingChar"/>
        </w:rPr>
        <w:br w:type="page"/>
      </w:r>
    </w:p>
    <w:p w14:paraId="10FDFE8F" w14:textId="267666CF" w:rsidR="00B91F3E" w:rsidRDefault="00B91F3E" w:rsidP="00B91F3E">
      <w:pPr>
        <w:spacing w:after="0"/>
        <w:rPr>
          <w:color w:val="000000" w:themeColor="text1"/>
        </w:rPr>
      </w:pPr>
      <w:r w:rsidRPr="00B166C6">
        <w:rPr>
          <w:rStyle w:val="TableHeadingChar"/>
        </w:rPr>
        <w:lastRenderedPageBreak/>
        <w:t>Table 2.</w:t>
      </w:r>
      <w:r>
        <w:rPr>
          <w:rStyle w:val="TableHeadingChar"/>
          <w:lang w:val="en-US"/>
        </w:rPr>
        <w:t>1</w:t>
      </w:r>
      <w:r w:rsidRPr="00B166C6">
        <w:rPr>
          <w:rStyle w:val="TableHeadingChar"/>
        </w:rPr>
        <w:t xml:space="preserve">.2: Program components of </w:t>
      </w:r>
      <w:r w:rsidRPr="00274C4C">
        <w:rPr>
          <w:rStyle w:val="TableHeadingChar"/>
          <w:color w:val="000000" w:themeColor="text1"/>
        </w:rPr>
        <w:t xml:space="preserve">Outcome </w:t>
      </w:r>
      <w:r w:rsidRPr="00274C4C">
        <w:rPr>
          <w:rStyle w:val="TableHeadingChar"/>
          <w:color w:val="000000" w:themeColor="text1"/>
          <w:lang w:val="en-US"/>
        </w:rPr>
        <w:t>1</w:t>
      </w:r>
      <w:r w:rsidRPr="00274C4C">
        <w:rPr>
          <w:color w:val="000000" w:themeColor="text1"/>
        </w:rPr>
        <w:t xml:space="preserve"> </w:t>
      </w:r>
    </w:p>
    <w:tbl>
      <w:tblPr>
        <w:tblW w:w="0" w:type="auto"/>
        <w:tblLayout w:type="fixed"/>
        <w:tblLook w:val="04A0" w:firstRow="1" w:lastRow="0" w:firstColumn="1" w:lastColumn="0" w:noHBand="0" w:noVBand="1"/>
      </w:tblPr>
      <w:tblGrid>
        <w:gridCol w:w="2817"/>
        <w:gridCol w:w="928"/>
        <w:gridCol w:w="977"/>
        <w:gridCol w:w="976"/>
        <w:gridCol w:w="976"/>
        <w:gridCol w:w="976"/>
      </w:tblGrid>
      <w:tr w:rsidR="00B91F3E" w:rsidRPr="00D94BC4" w14:paraId="5D9346F1" w14:textId="77777777" w:rsidTr="007F54D0">
        <w:trPr>
          <w:trHeight w:val="204"/>
        </w:trPr>
        <w:tc>
          <w:tcPr>
            <w:tcW w:w="2817" w:type="dxa"/>
            <w:tcBorders>
              <w:top w:val="single" w:sz="4" w:space="0" w:color="auto"/>
              <w:left w:val="nil"/>
              <w:bottom w:val="single" w:sz="4" w:space="0" w:color="auto"/>
              <w:right w:val="nil"/>
            </w:tcBorders>
            <w:shd w:val="clear" w:color="auto" w:fill="auto"/>
            <w:noWrap/>
            <w:vAlign w:val="bottom"/>
            <w:hideMark/>
          </w:tcPr>
          <w:p w14:paraId="7B1B664C" w14:textId="77777777" w:rsidR="00B91F3E" w:rsidRPr="00D94BC4" w:rsidRDefault="00B91F3E" w:rsidP="00F96D8A">
            <w:pPr>
              <w:spacing w:after="0" w:line="240" w:lineRule="auto"/>
              <w:jc w:val="left"/>
              <w:rPr>
                <w:rFonts w:ascii="Arial" w:hAnsi="Arial" w:cs="Arial"/>
                <w:sz w:val="16"/>
                <w:szCs w:val="16"/>
              </w:rPr>
            </w:pPr>
            <w:r w:rsidRPr="00D94BC4">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5307435"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2021-22</w:t>
            </w:r>
            <w:r w:rsidRPr="00D94BC4">
              <w:rPr>
                <w:rFonts w:ascii="Arial" w:hAnsi="Arial" w:cs="Arial"/>
                <w:sz w:val="16"/>
                <w:szCs w:val="16"/>
              </w:rPr>
              <w:br/>
              <w:t>Estimated  actual</w:t>
            </w:r>
            <w:r w:rsidRPr="00D94BC4">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bottom"/>
            <w:hideMark/>
          </w:tcPr>
          <w:p w14:paraId="0EE7062D"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2022-23</w:t>
            </w:r>
            <w:r w:rsidRPr="00D94BC4">
              <w:rPr>
                <w:rFonts w:ascii="Arial" w:hAnsi="Arial" w:cs="Arial"/>
                <w:sz w:val="16"/>
                <w:szCs w:val="16"/>
              </w:rPr>
              <w:br/>
              <w:t xml:space="preserve"> Budget</w:t>
            </w:r>
            <w:r w:rsidRPr="00D94BC4">
              <w:rPr>
                <w:rFonts w:ascii="Arial" w:hAnsi="Arial" w:cs="Arial"/>
                <w:sz w:val="16"/>
                <w:szCs w:val="16"/>
              </w:rPr>
              <w:br/>
              <w:t xml:space="preserve">                                      $'000</w:t>
            </w:r>
          </w:p>
        </w:tc>
        <w:tc>
          <w:tcPr>
            <w:tcW w:w="976" w:type="dxa"/>
            <w:tcBorders>
              <w:top w:val="single" w:sz="4" w:space="0" w:color="auto"/>
              <w:left w:val="nil"/>
              <w:bottom w:val="single" w:sz="4" w:space="0" w:color="auto"/>
              <w:right w:val="nil"/>
            </w:tcBorders>
            <w:shd w:val="clear" w:color="auto" w:fill="auto"/>
            <w:vAlign w:val="bottom"/>
            <w:hideMark/>
          </w:tcPr>
          <w:p w14:paraId="4FE4958F"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2023-24</w:t>
            </w:r>
            <w:r w:rsidRPr="00D94BC4">
              <w:rPr>
                <w:rFonts w:ascii="Arial" w:hAnsi="Arial" w:cs="Arial"/>
                <w:sz w:val="16"/>
                <w:szCs w:val="16"/>
              </w:rPr>
              <w:br/>
              <w:t>Forward estimate</w:t>
            </w:r>
            <w:r w:rsidRPr="00D94BC4">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auto" w:fill="auto"/>
            <w:vAlign w:val="bottom"/>
            <w:hideMark/>
          </w:tcPr>
          <w:p w14:paraId="0F4A650C"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2024-25</w:t>
            </w:r>
            <w:r w:rsidRPr="00D94BC4">
              <w:rPr>
                <w:rFonts w:ascii="Arial" w:hAnsi="Arial" w:cs="Arial"/>
                <w:sz w:val="16"/>
                <w:szCs w:val="16"/>
              </w:rPr>
              <w:br/>
              <w:t>Forward estimate</w:t>
            </w:r>
            <w:r w:rsidRPr="00D94BC4">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auto" w:fill="auto"/>
            <w:vAlign w:val="bottom"/>
            <w:hideMark/>
          </w:tcPr>
          <w:p w14:paraId="34132586"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2025-26</w:t>
            </w:r>
            <w:r w:rsidRPr="00D94BC4">
              <w:rPr>
                <w:rFonts w:ascii="Arial" w:hAnsi="Arial" w:cs="Arial"/>
                <w:sz w:val="16"/>
                <w:szCs w:val="16"/>
              </w:rPr>
              <w:br/>
              <w:t>Forward estimate</w:t>
            </w:r>
            <w:r w:rsidRPr="00D94BC4">
              <w:rPr>
                <w:rFonts w:ascii="Arial" w:hAnsi="Arial" w:cs="Arial"/>
                <w:sz w:val="16"/>
                <w:szCs w:val="16"/>
              </w:rPr>
              <w:br/>
              <w:t>$'000</w:t>
            </w:r>
          </w:p>
        </w:tc>
      </w:tr>
      <w:tr w:rsidR="00B91F3E" w:rsidRPr="00D94BC4" w14:paraId="1597BFB7" w14:textId="77777777" w:rsidTr="007F54D0">
        <w:trPr>
          <w:trHeight w:val="204"/>
        </w:trPr>
        <w:tc>
          <w:tcPr>
            <w:tcW w:w="4722" w:type="dxa"/>
            <w:gridSpan w:val="3"/>
            <w:tcBorders>
              <w:top w:val="single" w:sz="4" w:space="0" w:color="auto"/>
              <w:left w:val="nil"/>
              <w:bottom w:val="single" w:sz="4" w:space="0" w:color="auto"/>
              <w:right w:val="nil"/>
            </w:tcBorders>
            <w:shd w:val="clear" w:color="000000" w:fill="E6E6E6"/>
            <w:noWrap/>
            <w:vAlign w:val="bottom"/>
            <w:hideMark/>
          </w:tcPr>
          <w:p w14:paraId="76156D67" w14:textId="77777777" w:rsidR="00B91F3E" w:rsidRPr="00D94BC4" w:rsidRDefault="00B91F3E" w:rsidP="00F96D8A">
            <w:pPr>
              <w:spacing w:after="0" w:line="240" w:lineRule="auto"/>
              <w:jc w:val="left"/>
              <w:rPr>
                <w:rFonts w:ascii="Arial" w:hAnsi="Arial" w:cs="Arial"/>
                <w:b/>
                <w:bCs/>
                <w:sz w:val="16"/>
                <w:szCs w:val="16"/>
              </w:rPr>
            </w:pPr>
            <w:r w:rsidRPr="00D94BC4">
              <w:rPr>
                <w:rFonts w:ascii="Arial" w:hAnsi="Arial" w:cs="Arial"/>
                <w:b/>
                <w:bCs/>
                <w:sz w:val="16"/>
                <w:szCs w:val="16"/>
              </w:rPr>
              <w:t>Components for Program 1.1: Infrastructure Investment</w:t>
            </w:r>
          </w:p>
        </w:tc>
        <w:tc>
          <w:tcPr>
            <w:tcW w:w="976" w:type="dxa"/>
            <w:tcBorders>
              <w:top w:val="nil"/>
              <w:left w:val="nil"/>
              <w:bottom w:val="single" w:sz="4" w:space="0" w:color="auto"/>
              <w:right w:val="nil"/>
            </w:tcBorders>
            <w:shd w:val="clear" w:color="000000" w:fill="E6E6E6"/>
            <w:noWrap/>
            <w:vAlign w:val="bottom"/>
            <w:hideMark/>
          </w:tcPr>
          <w:p w14:paraId="2F13112A"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 </w:t>
            </w:r>
          </w:p>
        </w:tc>
        <w:tc>
          <w:tcPr>
            <w:tcW w:w="976" w:type="dxa"/>
            <w:tcBorders>
              <w:top w:val="nil"/>
              <w:left w:val="nil"/>
              <w:bottom w:val="single" w:sz="4" w:space="0" w:color="auto"/>
              <w:right w:val="nil"/>
            </w:tcBorders>
            <w:shd w:val="clear" w:color="000000" w:fill="E6E6E6"/>
            <w:noWrap/>
            <w:vAlign w:val="bottom"/>
            <w:hideMark/>
          </w:tcPr>
          <w:p w14:paraId="09863EC5"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 </w:t>
            </w:r>
          </w:p>
        </w:tc>
        <w:tc>
          <w:tcPr>
            <w:tcW w:w="976" w:type="dxa"/>
            <w:tcBorders>
              <w:top w:val="nil"/>
              <w:left w:val="nil"/>
              <w:bottom w:val="single" w:sz="4" w:space="0" w:color="auto"/>
              <w:right w:val="nil"/>
            </w:tcBorders>
            <w:shd w:val="clear" w:color="000000" w:fill="E6E6E6"/>
            <w:noWrap/>
            <w:vAlign w:val="bottom"/>
            <w:hideMark/>
          </w:tcPr>
          <w:p w14:paraId="7E22BC1E" w14:textId="77777777" w:rsidR="00B91F3E" w:rsidRPr="00D94BC4" w:rsidRDefault="00B91F3E" w:rsidP="00F96D8A">
            <w:pPr>
              <w:spacing w:after="0" w:line="240" w:lineRule="auto"/>
              <w:jc w:val="right"/>
              <w:rPr>
                <w:rFonts w:ascii="Arial" w:hAnsi="Arial" w:cs="Arial"/>
                <w:sz w:val="16"/>
                <w:szCs w:val="16"/>
              </w:rPr>
            </w:pPr>
            <w:r w:rsidRPr="00D94BC4">
              <w:rPr>
                <w:rFonts w:ascii="Arial" w:hAnsi="Arial" w:cs="Arial"/>
                <w:sz w:val="16"/>
                <w:szCs w:val="16"/>
              </w:rPr>
              <w:t> </w:t>
            </w:r>
          </w:p>
        </w:tc>
      </w:tr>
      <w:tr w:rsidR="00B91F3E" w:rsidRPr="00D94BC4" w14:paraId="16AB5937" w14:textId="77777777" w:rsidTr="007F54D0">
        <w:trPr>
          <w:trHeight w:val="204"/>
        </w:trPr>
        <w:tc>
          <w:tcPr>
            <w:tcW w:w="2817" w:type="dxa"/>
            <w:tcBorders>
              <w:top w:val="nil"/>
              <w:left w:val="nil"/>
              <w:bottom w:val="nil"/>
              <w:right w:val="nil"/>
            </w:tcBorders>
            <w:shd w:val="clear" w:color="auto" w:fill="auto"/>
            <w:noWrap/>
            <w:vAlign w:val="bottom"/>
            <w:hideMark/>
          </w:tcPr>
          <w:p w14:paraId="79A289D9" w14:textId="77777777" w:rsidR="00B91F3E" w:rsidRPr="00CF661C" w:rsidRDefault="00B91F3E" w:rsidP="00F96D8A">
            <w:pPr>
              <w:spacing w:after="0" w:line="240" w:lineRule="auto"/>
              <w:jc w:val="left"/>
              <w:rPr>
                <w:rFonts w:ascii="Arial" w:hAnsi="Arial" w:cs="Arial"/>
                <w:sz w:val="16"/>
                <w:szCs w:val="16"/>
              </w:rPr>
            </w:pPr>
            <w:r w:rsidRPr="00CF661C">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6B8F36C7" w14:textId="77777777" w:rsidR="00B91F3E" w:rsidRPr="00CF661C"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70354E53" w14:textId="77777777" w:rsidR="00B91F3E" w:rsidRPr="00CF661C" w:rsidRDefault="00B91F3E" w:rsidP="00F96D8A">
            <w:pPr>
              <w:spacing w:after="0" w:line="240" w:lineRule="auto"/>
              <w:jc w:val="right"/>
              <w:rPr>
                <w:rFonts w:ascii="Arial" w:hAnsi="Arial" w:cs="Arial"/>
                <w:sz w:val="16"/>
                <w:szCs w:val="16"/>
              </w:rPr>
            </w:pPr>
            <w:r w:rsidRPr="00CF661C">
              <w:rPr>
                <w:rFonts w:ascii="Arial" w:hAnsi="Arial" w:cs="Arial"/>
                <w:sz w:val="16"/>
                <w:szCs w:val="16"/>
              </w:rPr>
              <w:t> </w:t>
            </w:r>
          </w:p>
        </w:tc>
        <w:tc>
          <w:tcPr>
            <w:tcW w:w="976" w:type="dxa"/>
            <w:tcBorders>
              <w:top w:val="nil"/>
              <w:left w:val="nil"/>
              <w:bottom w:val="nil"/>
              <w:right w:val="nil"/>
            </w:tcBorders>
            <w:shd w:val="clear" w:color="auto" w:fill="auto"/>
            <w:noWrap/>
            <w:vAlign w:val="bottom"/>
            <w:hideMark/>
          </w:tcPr>
          <w:p w14:paraId="480AC4DB" w14:textId="77777777" w:rsidR="00B91F3E" w:rsidRPr="00CF661C"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602EE564" w14:textId="77777777" w:rsidR="00B91F3E" w:rsidRPr="00CF661C"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02231362" w14:textId="77777777" w:rsidR="00B91F3E" w:rsidRPr="00CF661C" w:rsidRDefault="00B91F3E" w:rsidP="00F96D8A">
            <w:pPr>
              <w:spacing w:after="0" w:line="240" w:lineRule="auto"/>
              <w:jc w:val="right"/>
              <w:rPr>
                <w:rFonts w:ascii="Arial" w:hAnsi="Arial" w:cs="Arial"/>
                <w:sz w:val="16"/>
                <w:szCs w:val="16"/>
              </w:rPr>
            </w:pPr>
          </w:p>
        </w:tc>
      </w:tr>
      <w:tr w:rsidR="00E12FCC" w:rsidRPr="00D94BC4" w14:paraId="5CDA1BCA" w14:textId="77777777" w:rsidTr="007F54D0">
        <w:trPr>
          <w:trHeight w:val="204"/>
        </w:trPr>
        <w:tc>
          <w:tcPr>
            <w:tcW w:w="2817" w:type="dxa"/>
            <w:tcBorders>
              <w:top w:val="nil"/>
              <w:left w:val="nil"/>
              <w:bottom w:val="nil"/>
              <w:right w:val="nil"/>
            </w:tcBorders>
            <w:shd w:val="clear" w:color="auto" w:fill="auto"/>
            <w:vAlign w:val="bottom"/>
            <w:hideMark/>
          </w:tcPr>
          <w:p w14:paraId="468A58D1" w14:textId="06F5175A" w:rsidR="00E12FCC" w:rsidRPr="00CF661C" w:rsidRDefault="00E12FCC" w:rsidP="00E12FCC">
            <w:pPr>
              <w:spacing w:after="0" w:line="240" w:lineRule="auto"/>
              <w:ind w:left="227"/>
              <w:jc w:val="left"/>
              <w:rPr>
                <w:rFonts w:ascii="Arial" w:hAnsi="Arial" w:cs="Arial"/>
                <w:sz w:val="16"/>
                <w:szCs w:val="16"/>
              </w:rPr>
            </w:pPr>
            <w:r>
              <w:rPr>
                <w:rFonts w:ascii="Arial" w:hAnsi="Arial" w:cs="Arial"/>
                <w:sz w:val="16"/>
                <w:szCs w:val="16"/>
              </w:rPr>
              <w:t>Building our Future campaign</w:t>
            </w:r>
          </w:p>
        </w:tc>
        <w:tc>
          <w:tcPr>
            <w:tcW w:w="928" w:type="dxa"/>
            <w:tcBorders>
              <w:top w:val="nil"/>
              <w:left w:val="nil"/>
              <w:bottom w:val="nil"/>
              <w:right w:val="nil"/>
            </w:tcBorders>
            <w:shd w:val="clear" w:color="auto" w:fill="auto"/>
            <w:noWrap/>
            <w:vAlign w:val="bottom"/>
            <w:hideMark/>
          </w:tcPr>
          <w:p w14:paraId="447E1F7E" w14:textId="69575AB0"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1,531 </w:t>
            </w:r>
          </w:p>
        </w:tc>
        <w:tc>
          <w:tcPr>
            <w:tcW w:w="977" w:type="dxa"/>
            <w:tcBorders>
              <w:top w:val="nil"/>
              <w:left w:val="nil"/>
              <w:bottom w:val="nil"/>
              <w:right w:val="nil"/>
            </w:tcBorders>
            <w:shd w:val="clear" w:color="000000" w:fill="E6E6E6"/>
            <w:noWrap/>
            <w:vAlign w:val="bottom"/>
            <w:hideMark/>
          </w:tcPr>
          <w:p w14:paraId="358B0F3F" w14:textId="2621295C"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32D4C1FF" w14:textId="68A656A2"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272332DF" w14:textId="1F1C1FB6"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0C6369AF" w14:textId="3D7BAC81"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D94BC4" w14:paraId="03741BE3" w14:textId="77777777" w:rsidTr="007F54D0">
        <w:trPr>
          <w:trHeight w:val="204"/>
        </w:trPr>
        <w:tc>
          <w:tcPr>
            <w:tcW w:w="2817" w:type="dxa"/>
            <w:tcBorders>
              <w:top w:val="nil"/>
              <w:left w:val="nil"/>
              <w:bottom w:val="nil"/>
              <w:right w:val="nil"/>
            </w:tcBorders>
            <w:shd w:val="clear" w:color="auto" w:fill="auto"/>
            <w:vAlign w:val="bottom"/>
            <w:hideMark/>
          </w:tcPr>
          <w:p w14:paraId="3668FD95" w14:textId="25A2C2FA" w:rsidR="00E12FCC" w:rsidRPr="00CF661C" w:rsidRDefault="00E12FCC" w:rsidP="00E12FCC">
            <w:pPr>
              <w:spacing w:after="0" w:line="240" w:lineRule="auto"/>
              <w:ind w:left="227"/>
              <w:jc w:val="left"/>
              <w:rPr>
                <w:rFonts w:ascii="Arial" w:hAnsi="Arial" w:cs="Arial"/>
                <w:sz w:val="16"/>
                <w:szCs w:val="16"/>
              </w:rPr>
            </w:pPr>
            <w:r>
              <w:rPr>
                <w:rFonts w:ascii="Arial" w:hAnsi="Arial" w:cs="Arial"/>
                <w:sz w:val="16"/>
                <w:szCs w:val="16"/>
              </w:rPr>
              <w:t xml:space="preserve">Infrastructure Investment Program </w:t>
            </w:r>
            <w:r w:rsidRPr="00E12FCC">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4D517DD" w14:textId="77777777" w:rsidR="00E12FCC" w:rsidRPr="00CF661C" w:rsidRDefault="00E12FCC" w:rsidP="00E12FCC">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E017837" w14:textId="701EBBAC"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w:t>
            </w:r>
          </w:p>
        </w:tc>
        <w:tc>
          <w:tcPr>
            <w:tcW w:w="976" w:type="dxa"/>
            <w:tcBorders>
              <w:top w:val="nil"/>
              <w:left w:val="nil"/>
              <w:bottom w:val="nil"/>
              <w:right w:val="nil"/>
            </w:tcBorders>
            <w:shd w:val="clear" w:color="auto" w:fill="auto"/>
            <w:noWrap/>
            <w:vAlign w:val="bottom"/>
            <w:hideMark/>
          </w:tcPr>
          <w:p w14:paraId="096DA46F" w14:textId="77777777" w:rsidR="00E12FCC" w:rsidRPr="00CF661C" w:rsidRDefault="00E12FCC" w:rsidP="00E12FCC">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4E49F09E" w14:textId="77777777" w:rsidR="00E12FCC" w:rsidRPr="00CF661C" w:rsidRDefault="00E12FCC" w:rsidP="00E12FCC">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05A0C361" w14:textId="77777777" w:rsidR="00E12FCC" w:rsidRPr="00CF661C" w:rsidRDefault="00E12FCC" w:rsidP="00E12FCC">
            <w:pPr>
              <w:spacing w:after="0" w:line="240" w:lineRule="auto"/>
              <w:jc w:val="right"/>
              <w:rPr>
                <w:rFonts w:ascii="Arial" w:hAnsi="Arial" w:cs="Arial"/>
                <w:sz w:val="16"/>
                <w:szCs w:val="16"/>
              </w:rPr>
            </w:pPr>
          </w:p>
        </w:tc>
      </w:tr>
      <w:tr w:rsidR="00E12FCC" w:rsidRPr="00D94BC4" w14:paraId="18043551" w14:textId="77777777" w:rsidTr="007F54D0">
        <w:trPr>
          <w:trHeight w:val="204"/>
        </w:trPr>
        <w:tc>
          <w:tcPr>
            <w:tcW w:w="2817" w:type="dxa"/>
            <w:tcBorders>
              <w:top w:val="nil"/>
              <w:left w:val="nil"/>
              <w:bottom w:val="nil"/>
              <w:right w:val="nil"/>
            </w:tcBorders>
            <w:shd w:val="clear" w:color="auto" w:fill="auto"/>
            <w:vAlign w:val="bottom"/>
            <w:hideMark/>
          </w:tcPr>
          <w:p w14:paraId="185E770F" w14:textId="73B4B694" w:rsidR="00E12FCC" w:rsidRPr="00CF661C" w:rsidRDefault="00E12FCC" w:rsidP="00E12FCC">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Investment and Roads to Recovery</w:t>
            </w:r>
          </w:p>
        </w:tc>
        <w:tc>
          <w:tcPr>
            <w:tcW w:w="928" w:type="dxa"/>
            <w:tcBorders>
              <w:top w:val="nil"/>
              <w:left w:val="nil"/>
              <w:bottom w:val="nil"/>
              <w:right w:val="nil"/>
            </w:tcBorders>
            <w:shd w:val="clear" w:color="auto" w:fill="auto"/>
            <w:noWrap/>
            <w:vAlign w:val="bottom"/>
            <w:hideMark/>
          </w:tcPr>
          <w:p w14:paraId="7B0A38A3" w14:textId="3D8653CE"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404,502 </w:t>
            </w:r>
          </w:p>
        </w:tc>
        <w:tc>
          <w:tcPr>
            <w:tcW w:w="977" w:type="dxa"/>
            <w:tcBorders>
              <w:top w:val="nil"/>
              <w:left w:val="nil"/>
              <w:bottom w:val="nil"/>
              <w:right w:val="nil"/>
            </w:tcBorders>
            <w:shd w:val="clear" w:color="000000" w:fill="E6E6E6"/>
            <w:noWrap/>
            <w:vAlign w:val="bottom"/>
            <w:hideMark/>
          </w:tcPr>
          <w:p w14:paraId="522BBC46" w14:textId="5AE6663F"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196,286 </w:t>
            </w:r>
          </w:p>
        </w:tc>
        <w:tc>
          <w:tcPr>
            <w:tcW w:w="976" w:type="dxa"/>
            <w:tcBorders>
              <w:top w:val="nil"/>
              <w:left w:val="nil"/>
              <w:bottom w:val="nil"/>
              <w:right w:val="nil"/>
            </w:tcBorders>
            <w:shd w:val="clear" w:color="auto" w:fill="auto"/>
            <w:noWrap/>
            <w:vAlign w:val="bottom"/>
            <w:hideMark/>
          </w:tcPr>
          <w:p w14:paraId="72E2BB65" w14:textId="564BC864"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41,077 </w:t>
            </w:r>
          </w:p>
        </w:tc>
        <w:tc>
          <w:tcPr>
            <w:tcW w:w="976" w:type="dxa"/>
            <w:tcBorders>
              <w:top w:val="nil"/>
              <w:left w:val="nil"/>
              <w:bottom w:val="nil"/>
              <w:right w:val="nil"/>
            </w:tcBorders>
            <w:shd w:val="clear" w:color="auto" w:fill="auto"/>
            <w:noWrap/>
            <w:vAlign w:val="bottom"/>
            <w:hideMark/>
          </w:tcPr>
          <w:p w14:paraId="7F3BF617" w14:textId="0626DABD"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19,483 </w:t>
            </w:r>
          </w:p>
        </w:tc>
        <w:tc>
          <w:tcPr>
            <w:tcW w:w="976" w:type="dxa"/>
            <w:tcBorders>
              <w:top w:val="nil"/>
              <w:left w:val="nil"/>
              <w:bottom w:val="nil"/>
              <w:right w:val="nil"/>
            </w:tcBorders>
            <w:shd w:val="clear" w:color="auto" w:fill="auto"/>
            <w:noWrap/>
            <w:vAlign w:val="bottom"/>
            <w:hideMark/>
          </w:tcPr>
          <w:p w14:paraId="3A5CDFD8" w14:textId="3B221370"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16,787 </w:t>
            </w:r>
          </w:p>
        </w:tc>
      </w:tr>
      <w:tr w:rsidR="00E12FCC" w:rsidRPr="00D94BC4" w14:paraId="00D13969" w14:textId="77777777" w:rsidTr="007F54D0">
        <w:trPr>
          <w:trHeight w:val="204"/>
        </w:trPr>
        <w:tc>
          <w:tcPr>
            <w:tcW w:w="2817" w:type="dxa"/>
            <w:tcBorders>
              <w:top w:val="nil"/>
              <w:left w:val="nil"/>
              <w:bottom w:val="nil"/>
              <w:right w:val="nil"/>
            </w:tcBorders>
            <w:shd w:val="clear" w:color="auto" w:fill="auto"/>
            <w:vAlign w:val="bottom"/>
            <w:hideMark/>
          </w:tcPr>
          <w:p w14:paraId="747E21B7" w14:textId="1B576D22" w:rsidR="00E12FCC" w:rsidRPr="00CF661C" w:rsidRDefault="00E12FCC" w:rsidP="00E12FCC">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Roads to Recovery</w:t>
            </w:r>
          </w:p>
        </w:tc>
        <w:tc>
          <w:tcPr>
            <w:tcW w:w="928" w:type="dxa"/>
            <w:tcBorders>
              <w:top w:val="nil"/>
              <w:left w:val="nil"/>
              <w:bottom w:val="nil"/>
              <w:right w:val="nil"/>
            </w:tcBorders>
            <w:shd w:val="clear" w:color="auto" w:fill="auto"/>
            <w:noWrap/>
            <w:vAlign w:val="bottom"/>
            <w:hideMark/>
          </w:tcPr>
          <w:p w14:paraId="25E059A6" w14:textId="6F43F83F"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499,516 </w:t>
            </w:r>
          </w:p>
        </w:tc>
        <w:tc>
          <w:tcPr>
            <w:tcW w:w="977" w:type="dxa"/>
            <w:tcBorders>
              <w:top w:val="nil"/>
              <w:left w:val="nil"/>
              <w:bottom w:val="nil"/>
              <w:right w:val="nil"/>
            </w:tcBorders>
            <w:shd w:val="clear" w:color="000000" w:fill="E6E6E6"/>
            <w:noWrap/>
            <w:vAlign w:val="bottom"/>
            <w:hideMark/>
          </w:tcPr>
          <w:p w14:paraId="2ADC0C00" w14:textId="59FD02E5"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490,881 </w:t>
            </w:r>
          </w:p>
        </w:tc>
        <w:tc>
          <w:tcPr>
            <w:tcW w:w="976" w:type="dxa"/>
            <w:tcBorders>
              <w:top w:val="nil"/>
              <w:left w:val="nil"/>
              <w:bottom w:val="nil"/>
              <w:right w:val="nil"/>
            </w:tcBorders>
            <w:shd w:val="clear" w:color="auto" w:fill="auto"/>
            <w:noWrap/>
            <w:vAlign w:val="bottom"/>
            <w:hideMark/>
          </w:tcPr>
          <w:p w14:paraId="56C5158B" w14:textId="6BC754AC"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485,306 </w:t>
            </w:r>
          </w:p>
        </w:tc>
        <w:tc>
          <w:tcPr>
            <w:tcW w:w="976" w:type="dxa"/>
            <w:tcBorders>
              <w:top w:val="nil"/>
              <w:left w:val="nil"/>
              <w:bottom w:val="nil"/>
              <w:right w:val="nil"/>
            </w:tcBorders>
            <w:shd w:val="clear" w:color="auto" w:fill="auto"/>
            <w:noWrap/>
            <w:vAlign w:val="bottom"/>
            <w:hideMark/>
          </w:tcPr>
          <w:p w14:paraId="61D86284" w14:textId="29C2262D"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499,516 </w:t>
            </w:r>
          </w:p>
        </w:tc>
        <w:tc>
          <w:tcPr>
            <w:tcW w:w="976" w:type="dxa"/>
            <w:tcBorders>
              <w:top w:val="nil"/>
              <w:left w:val="nil"/>
              <w:bottom w:val="nil"/>
              <w:right w:val="nil"/>
            </w:tcBorders>
            <w:shd w:val="clear" w:color="auto" w:fill="auto"/>
            <w:noWrap/>
            <w:vAlign w:val="bottom"/>
            <w:hideMark/>
          </w:tcPr>
          <w:p w14:paraId="454846CE" w14:textId="5331B1C1"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499,516 </w:t>
            </w:r>
          </w:p>
        </w:tc>
      </w:tr>
      <w:tr w:rsidR="00E12FCC" w:rsidRPr="00D94BC4" w14:paraId="52390191" w14:textId="77777777" w:rsidTr="007F54D0">
        <w:trPr>
          <w:trHeight w:val="204"/>
        </w:trPr>
        <w:tc>
          <w:tcPr>
            <w:tcW w:w="2817" w:type="dxa"/>
            <w:tcBorders>
              <w:top w:val="nil"/>
              <w:left w:val="nil"/>
              <w:bottom w:val="nil"/>
              <w:right w:val="nil"/>
            </w:tcBorders>
            <w:shd w:val="clear" w:color="auto" w:fill="auto"/>
            <w:vAlign w:val="bottom"/>
            <w:hideMark/>
          </w:tcPr>
          <w:p w14:paraId="75942C2F" w14:textId="40522986" w:rsidR="00E12FCC" w:rsidRPr="00CF661C" w:rsidRDefault="00E12FCC" w:rsidP="00E12FCC">
            <w:pPr>
              <w:spacing w:after="0" w:line="240" w:lineRule="auto"/>
              <w:ind w:left="227"/>
              <w:jc w:val="left"/>
              <w:rPr>
                <w:rFonts w:ascii="Arial" w:hAnsi="Arial" w:cs="Arial"/>
                <w:sz w:val="16"/>
                <w:szCs w:val="16"/>
              </w:rPr>
            </w:pPr>
            <w:r>
              <w:rPr>
                <w:rFonts w:ascii="Arial" w:hAnsi="Arial" w:cs="Arial"/>
                <w:sz w:val="16"/>
                <w:szCs w:val="16"/>
              </w:rPr>
              <w:t>Regional Australia Level Crossing Program</w:t>
            </w:r>
          </w:p>
        </w:tc>
        <w:tc>
          <w:tcPr>
            <w:tcW w:w="928" w:type="dxa"/>
            <w:tcBorders>
              <w:top w:val="nil"/>
              <w:left w:val="nil"/>
              <w:bottom w:val="nil"/>
              <w:right w:val="nil"/>
            </w:tcBorders>
            <w:shd w:val="clear" w:color="auto" w:fill="auto"/>
            <w:noWrap/>
            <w:vAlign w:val="bottom"/>
            <w:hideMark/>
          </w:tcPr>
          <w:p w14:paraId="50700C5F" w14:textId="19B980EA"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1,280 </w:t>
            </w:r>
          </w:p>
        </w:tc>
        <w:tc>
          <w:tcPr>
            <w:tcW w:w="977" w:type="dxa"/>
            <w:tcBorders>
              <w:top w:val="nil"/>
              <w:left w:val="nil"/>
              <w:bottom w:val="nil"/>
              <w:right w:val="nil"/>
            </w:tcBorders>
            <w:shd w:val="clear" w:color="000000" w:fill="E6E6E6"/>
            <w:noWrap/>
            <w:vAlign w:val="bottom"/>
            <w:hideMark/>
          </w:tcPr>
          <w:p w14:paraId="75978348" w14:textId="385DFEBB"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5,590 </w:t>
            </w:r>
          </w:p>
        </w:tc>
        <w:tc>
          <w:tcPr>
            <w:tcW w:w="976" w:type="dxa"/>
            <w:tcBorders>
              <w:top w:val="nil"/>
              <w:left w:val="nil"/>
              <w:bottom w:val="nil"/>
              <w:right w:val="nil"/>
            </w:tcBorders>
            <w:shd w:val="clear" w:color="auto" w:fill="auto"/>
            <w:noWrap/>
            <w:vAlign w:val="bottom"/>
            <w:hideMark/>
          </w:tcPr>
          <w:p w14:paraId="50945B24" w14:textId="2E879B9C"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4,090 </w:t>
            </w:r>
          </w:p>
        </w:tc>
        <w:tc>
          <w:tcPr>
            <w:tcW w:w="976" w:type="dxa"/>
            <w:tcBorders>
              <w:top w:val="nil"/>
              <w:left w:val="nil"/>
              <w:bottom w:val="nil"/>
              <w:right w:val="nil"/>
            </w:tcBorders>
            <w:shd w:val="clear" w:color="auto" w:fill="auto"/>
            <w:noWrap/>
            <w:vAlign w:val="bottom"/>
            <w:hideMark/>
          </w:tcPr>
          <w:p w14:paraId="667942D3" w14:textId="1F2FA1E8"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1,000 </w:t>
            </w:r>
          </w:p>
        </w:tc>
        <w:tc>
          <w:tcPr>
            <w:tcW w:w="976" w:type="dxa"/>
            <w:tcBorders>
              <w:top w:val="nil"/>
              <w:left w:val="nil"/>
              <w:bottom w:val="nil"/>
              <w:right w:val="nil"/>
            </w:tcBorders>
            <w:shd w:val="clear" w:color="auto" w:fill="auto"/>
            <w:noWrap/>
            <w:vAlign w:val="bottom"/>
            <w:hideMark/>
          </w:tcPr>
          <w:p w14:paraId="5505952F" w14:textId="4FA761DE"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1,500 </w:t>
            </w:r>
          </w:p>
        </w:tc>
      </w:tr>
      <w:tr w:rsidR="00E12FCC" w:rsidRPr="00D94BC4" w14:paraId="28D0D9A2" w14:textId="77777777" w:rsidTr="006D1A5A">
        <w:trPr>
          <w:trHeight w:val="204"/>
        </w:trPr>
        <w:tc>
          <w:tcPr>
            <w:tcW w:w="2817" w:type="dxa"/>
            <w:tcBorders>
              <w:top w:val="nil"/>
              <w:left w:val="nil"/>
              <w:bottom w:val="nil"/>
              <w:right w:val="nil"/>
            </w:tcBorders>
            <w:shd w:val="clear" w:color="auto" w:fill="auto"/>
            <w:hideMark/>
          </w:tcPr>
          <w:p w14:paraId="6FFDFB2E" w14:textId="50765ADF" w:rsidR="00E12FCC" w:rsidRPr="00CF661C" w:rsidRDefault="00E12FCC" w:rsidP="00E12FCC">
            <w:pPr>
              <w:spacing w:after="0" w:line="240" w:lineRule="auto"/>
              <w:ind w:left="227"/>
              <w:jc w:val="left"/>
              <w:rPr>
                <w:rFonts w:ascii="Arial" w:hAnsi="Arial" w:cs="Arial"/>
                <w:sz w:val="16"/>
                <w:szCs w:val="16"/>
              </w:rPr>
            </w:pPr>
            <w:r>
              <w:rPr>
                <w:rFonts w:ascii="Arial" w:hAnsi="Arial" w:cs="Arial"/>
                <w:sz w:val="16"/>
                <w:szCs w:val="16"/>
              </w:rPr>
              <w:t>Significant Projects Investment Delivery Office Specialised Advice</w:t>
            </w:r>
          </w:p>
        </w:tc>
        <w:tc>
          <w:tcPr>
            <w:tcW w:w="928" w:type="dxa"/>
            <w:tcBorders>
              <w:top w:val="nil"/>
              <w:left w:val="nil"/>
              <w:bottom w:val="nil"/>
              <w:right w:val="nil"/>
            </w:tcBorders>
            <w:shd w:val="clear" w:color="auto" w:fill="auto"/>
            <w:noWrap/>
            <w:vAlign w:val="bottom"/>
            <w:hideMark/>
          </w:tcPr>
          <w:p w14:paraId="7D99F5F0" w14:textId="0DE5AA30"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167CFD7D" w14:textId="33D6C804"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4,180 </w:t>
            </w:r>
          </w:p>
        </w:tc>
        <w:tc>
          <w:tcPr>
            <w:tcW w:w="976" w:type="dxa"/>
            <w:tcBorders>
              <w:top w:val="nil"/>
              <w:left w:val="nil"/>
              <w:bottom w:val="nil"/>
              <w:right w:val="nil"/>
            </w:tcBorders>
            <w:shd w:val="clear" w:color="auto" w:fill="auto"/>
            <w:noWrap/>
            <w:vAlign w:val="bottom"/>
            <w:hideMark/>
          </w:tcPr>
          <w:p w14:paraId="54155D48" w14:textId="6A244BC1"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52A867D3" w14:textId="463FD65E"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21A3ED3C" w14:textId="69305672"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D94BC4" w14:paraId="234B8720" w14:textId="77777777" w:rsidTr="006D1A5A">
        <w:trPr>
          <w:trHeight w:val="204"/>
        </w:trPr>
        <w:tc>
          <w:tcPr>
            <w:tcW w:w="2817" w:type="dxa"/>
            <w:tcBorders>
              <w:top w:val="nil"/>
              <w:left w:val="nil"/>
              <w:bottom w:val="nil"/>
              <w:right w:val="nil"/>
            </w:tcBorders>
            <w:shd w:val="clear" w:color="auto" w:fill="auto"/>
            <w:hideMark/>
          </w:tcPr>
          <w:p w14:paraId="6F39F696" w14:textId="5C6548C9" w:rsidR="00E12FCC" w:rsidRPr="00CF661C" w:rsidRDefault="00E12FCC" w:rsidP="00E12FCC">
            <w:pPr>
              <w:spacing w:after="0" w:line="240" w:lineRule="auto"/>
              <w:ind w:left="227"/>
              <w:jc w:val="left"/>
              <w:rPr>
                <w:rFonts w:ascii="Arial" w:hAnsi="Arial" w:cs="Arial"/>
                <w:sz w:val="16"/>
                <w:szCs w:val="16"/>
              </w:rPr>
            </w:pPr>
            <w:r>
              <w:rPr>
                <w:rFonts w:ascii="Arial" w:hAnsi="Arial" w:cs="Arial"/>
                <w:sz w:val="16"/>
                <w:szCs w:val="16"/>
              </w:rPr>
              <w:t>Supporting National Freight and Supply Chain Priorities – Inland Rail Interface Improvement Program</w:t>
            </w:r>
          </w:p>
        </w:tc>
        <w:tc>
          <w:tcPr>
            <w:tcW w:w="928" w:type="dxa"/>
            <w:tcBorders>
              <w:top w:val="nil"/>
              <w:left w:val="nil"/>
              <w:bottom w:val="nil"/>
              <w:right w:val="nil"/>
            </w:tcBorders>
            <w:shd w:val="clear" w:color="auto" w:fill="auto"/>
            <w:noWrap/>
            <w:vAlign w:val="bottom"/>
            <w:hideMark/>
          </w:tcPr>
          <w:p w14:paraId="1DB5D76C" w14:textId="65B1994C"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30,039 </w:t>
            </w:r>
          </w:p>
        </w:tc>
        <w:tc>
          <w:tcPr>
            <w:tcW w:w="977" w:type="dxa"/>
            <w:tcBorders>
              <w:top w:val="nil"/>
              <w:left w:val="nil"/>
              <w:bottom w:val="nil"/>
              <w:right w:val="nil"/>
            </w:tcBorders>
            <w:shd w:val="clear" w:color="000000" w:fill="E6E6E6"/>
            <w:noWrap/>
            <w:vAlign w:val="bottom"/>
            <w:hideMark/>
          </w:tcPr>
          <w:p w14:paraId="641618AF" w14:textId="2BFB3972"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3EBDD23B" w14:textId="6F26DEE3"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1337076A" w14:textId="0B6BDFD8"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auto" w:fill="auto"/>
            <w:noWrap/>
            <w:vAlign w:val="bottom"/>
            <w:hideMark/>
          </w:tcPr>
          <w:p w14:paraId="41242927" w14:textId="25A80DE4"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D94BC4" w14:paraId="3CC7BA9D" w14:textId="77777777" w:rsidTr="007F54D0">
        <w:trPr>
          <w:trHeight w:val="204"/>
        </w:trPr>
        <w:tc>
          <w:tcPr>
            <w:tcW w:w="2817" w:type="dxa"/>
            <w:tcBorders>
              <w:top w:val="nil"/>
              <w:left w:val="nil"/>
              <w:bottom w:val="nil"/>
              <w:right w:val="nil"/>
            </w:tcBorders>
            <w:shd w:val="clear" w:color="auto" w:fill="auto"/>
            <w:noWrap/>
            <w:vAlign w:val="bottom"/>
            <w:hideMark/>
          </w:tcPr>
          <w:p w14:paraId="238B94D1" w14:textId="4A86847E" w:rsidR="00E12FCC" w:rsidRPr="00CF661C" w:rsidRDefault="00E12FCC" w:rsidP="00E12FCC">
            <w:pPr>
              <w:spacing w:after="0" w:line="240" w:lineRule="auto"/>
              <w:ind w:left="113"/>
              <w:jc w:val="left"/>
              <w:rPr>
                <w:rFonts w:ascii="Arial" w:hAnsi="Arial" w:cs="Arial"/>
                <w:sz w:val="16"/>
                <w:szCs w:val="16"/>
              </w:rPr>
            </w:pPr>
            <w:r>
              <w:rPr>
                <w:rFonts w:ascii="Arial" w:hAnsi="Arial" w:cs="Arial"/>
                <w:sz w:val="16"/>
                <w:szCs w:val="16"/>
              </w:rPr>
              <w:t xml:space="preserve">Payments to corporate entities </w:t>
            </w:r>
            <w:r w:rsidRPr="00E12FCC">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3CD8E6A0" w14:textId="77777777" w:rsidR="00E12FCC" w:rsidRPr="00CF661C" w:rsidRDefault="00E12FCC" w:rsidP="00E12FCC">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681453A7" w14:textId="2595B156"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w:t>
            </w:r>
          </w:p>
        </w:tc>
        <w:tc>
          <w:tcPr>
            <w:tcW w:w="976" w:type="dxa"/>
            <w:tcBorders>
              <w:top w:val="nil"/>
              <w:left w:val="nil"/>
              <w:bottom w:val="nil"/>
              <w:right w:val="nil"/>
            </w:tcBorders>
            <w:shd w:val="clear" w:color="auto" w:fill="auto"/>
            <w:noWrap/>
            <w:vAlign w:val="bottom"/>
            <w:hideMark/>
          </w:tcPr>
          <w:p w14:paraId="6EDA0B1A" w14:textId="77777777" w:rsidR="00E12FCC" w:rsidRPr="00CF661C" w:rsidRDefault="00E12FCC" w:rsidP="00E12FCC">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3DE8D1B1" w14:textId="77777777" w:rsidR="00E12FCC" w:rsidRPr="00CF661C" w:rsidRDefault="00E12FCC" w:rsidP="00E12FCC">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27C146D9" w14:textId="77777777" w:rsidR="00E12FCC" w:rsidRPr="00CF661C" w:rsidRDefault="00E12FCC" w:rsidP="00E12FCC">
            <w:pPr>
              <w:spacing w:after="0" w:line="240" w:lineRule="auto"/>
              <w:jc w:val="right"/>
              <w:rPr>
                <w:rFonts w:ascii="Arial" w:hAnsi="Arial" w:cs="Arial"/>
                <w:sz w:val="16"/>
                <w:szCs w:val="16"/>
              </w:rPr>
            </w:pPr>
          </w:p>
        </w:tc>
      </w:tr>
      <w:tr w:rsidR="00E12FCC" w:rsidRPr="00D94BC4" w14:paraId="36BE20FE" w14:textId="77777777" w:rsidTr="007F54D0">
        <w:trPr>
          <w:trHeight w:val="204"/>
        </w:trPr>
        <w:tc>
          <w:tcPr>
            <w:tcW w:w="2817" w:type="dxa"/>
            <w:tcBorders>
              <w:top w:val="nil"/>
              <w:left w:val="nil"/>
              <w:bottom w:val="nil"/>
              <w:right w:val="nil"/>
            </w:tcBorders>
            <w:shd w:val="clear" w:color="auto" w:fill="auto"/>
            <w:noWrap/>
            <w:vAlign w:val="bottom"/>
            <w:hideMark/>
          </w:tcPr>
          <w:p w14:paraId="554EF353" w14:textId="5A78DBA1" w:rsidR="00E12FCC" w:rsidRPr="00CF661C" w:rsidRDefault="00E12FCC" w:rsidP="00E12FCC">
            <w:pPr>
              <w:pStyle w:val="ListParagraph"/>
              <w:numPr>
                <w:ilvl w:val="0"/>
                <w:numId w:val="200"/>
              </w:numPr>
              <w:spacing w:after="0" w:line="240" w:lineRule="auto"/>
              <w:ind w:left="313" w:hanging="142"/>
              <w:rPr>
                <w:rFonts w:ascii="Arial" w:hAnsi="Arial" w:cs="Arial"/>
                <w:sz w:val="16"/>
                <w:szCs w:val="16"/>
              </w:rPr>
            </w:pPr>
            <w:r>
              <w:rPr>
                <w:rFonts w:ascii="Arial" w:hAnsi="Arial" w:cs="Arial"/>
                <w:sz w:val="16"/>
                <w:szCs w:val="16"/>
              </w:rPr>
              <w:t>Infrastructure Australia</w:t>
            </w:r>
          </w:p>
        </w:tc>
        <w:tc>
          <w:tcPr>
            <w:tcW w:w="928" w:type="dxa"/>
            <w:tcBorders>
              <w:top w:val="nil"/>
              <w:left w:val="nil"/>
              <w:bottom w:val="nil"/>
              <w:right w:val="nil"/>
            </w:tcBorders>
            <w:shd w:val="clear" w:color="auto" w:fill="auto"/>
            <w:noWrap/>
            <w:vAlign w:val="bottom"/>
            <w:hideMark/>
          </w:tcPr>
          <w:p w14:paraId="50D98C45" w14:textId="1BC4325D"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12,853 </w:t>
            </w:r>
          </w:p>
        </w:tc>
        <w:tc>
          <w:tcPr>
            <w:tcW w:w="977" w:type="dxa"/>
            <w:tcBorders>
              <w:top w:val="nil"/>
              <w:left w:val="nil"/>
              <w:bottom w:val="nil"/>
              <w:right w:val="nil"/>
            </w:tcBorders>
            <w:shd w:val="clear" w:color="000000" w:fill="E6E6E6"/>
            <w:noWrap/>
            <w:vAlign w:val="bottom"/>
            <w:hideMark/>
          </w:tcPr>
          <w:p w14:paraId="44E71A18" w14:textId="5D8F0221"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12,733 </w:t>
            </w:r>
          </w:p>
        </w:tc>
        <w:tc>
          <w:tcPr>
            <w:tcW w:w="976" w:type="dxa"/>
            <w:tcBorders>
              <w:top w:val="nil"/>
              <w:left w:val="nil"/>
              <w:bottom w:val="nil"/>
              <w:right w:val="nil"/>
            </w:tcBorders>
            <w:shd w:val="clear" w:color="auto" w:fill="auto"/>
            <w:noWrap/>
            <w:vAlign w:val="bottom"/>
            <w:hideMark/>
          </w:tcPr>
          <w:p w14:paraId="70E0DB30" w14:textId="1E485384"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12,804 </w:t>
            </w:r>
          </w:p>
        </w:tc>
        <w:tc>
          <w:tcPr>
            <w:tcW w:w="976" w:type="dxa"/>
            <w:tcBorders>
              <w:top w:val="nil"/>
              <w:left w:val="nil"/>
              <w:bottom w:val="nil"/>
              <w:right w:val="nil"/>
            </w:tcBorders>
            <w:shd w:val="clear" w:color="auto" w:fill="auto"/>
            <w:noWrap/>
            <w:vAlign w:val="bottom"/>
            <w:hideMark/>
          </w:tcPr>
          <w:p w14:paraId="7D45C3C9" w14:textId="628F585F"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12,900 </w:t>
            </w:r>
          </w:p>
        </w:tc>
        <w:tc>
          <w:tcPr>
            <w:tcW w:w="976" w:type="dxa"/>
            <w:tcBorders>
              <w:top w:val="nil"/>
              <w:left w:val="nil"/>
              <w:bottom w:val="nil"/>
              <w:right w:val="nil"/>
            </w:tcBorders>
            <w:shd w:val="clear" w:color="auto" w:fill="auto"/>
            <w:noWrap/>
            <w:vAlign w:val="bottom"/>
            <w:hideMark/>
          </w:tcPr>
          <w:p w14:paraId="7874DFE4" w14:textId="59854FAC" w:rsidR="00E12FCC" w:rsidRPr="00CF661C" w:rsidRDefault="00E12FCC" w:rsidP="00E12FCC">
            <w:pPr>
              <w:spacing w:after="0" w:line="240" w:lineRule="auto"/>
              <w:jc w:val="right"/>
              <w:rPr>
                <w:rFonts w:ascii="Arial" w:hAnsi="Arial" w:cs="Arial"/>
                <w:sz w:val="16"/>
                <w:szCs w:val="16"/>
              </w:rPr>
            </w:pPr>
            <w:r>
              <w:rPr>
                <w:rFonts w:ascii="Arial" w:hAnsi="Arial" w:cs="Arial"/>
                <w:sz w:val="16"/>
                <w:szCs w:val="16"/>
              </w:rPr>
              <w:t xml:space="preserve">12,981 </w:t>
            </w:r>
          </w:p>
        </w:tc>
      </w:tr>
      <w:tr w:rsidR="00E12FCC" w:rsidRPr="00D94BC4" w14:paraId="26B87761" w14:textId="77777777" w:rsidTr="007F54D0">
        <w:trPr>
          <w:trHeight w:val="204"/>
        </w:trPr>
        <w:tc>
          <w:tcPr>
            <w:tcW w:w="2817" w:type="dxa"/>
            <w:tcBorders>
              <w:top w:val="nil"/>
              <w:left w:val="nil"/>
              <w:bottom w:val="single" w:sz="4" w:space="0" w:color="auto"/>
              <w:right w:val="nil"/>
            </w:tcBorders>
            <w:shd w:val="clear" w:color="auto" w:fill="auto"/>
            <w:noWrap/>
            <w:vAlign w:val="bottom"/>
            <w:hideMark/>
          </w:tcPr>
          <w:p w14:paraId="37049128" w14:textId="5E79F3CD" w:rsidR="00E12FCC" w:rsidRPr="00CF661C" w:rsidRDefault="00E12FCC" w:rsidP="00E12FCC">
            <w:pPr>
              <w:spacing w:after="0" w:line="240" w:lineRule="auto"/>
              <w:jc w:val="left"/>
              <w:rPr>
                <w:rFonts w:ascii="Arial" w:hAnsi="Arial" w:cs="Arial"/>
                <w:b/>
                <w:bCs/>
                <w:sz w:val="16"/>
                <w:szCs w:val="16"/>
              </w:rPr>
            </w:pPr>
            <w:r>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4541800D" w14:textId="746F275A" w:rsidR="00E12FCC" w:rsidRPr="00CF661C"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949,721 </w:t>
            </w:r>
          </w:p>
        </w:tc>
        <w:tc>
          <w:tcPr>
            <w:tcW w:w="977" w:type="dxa"/>
            <w:tcBorders>
              <w:top w:val="single" w:sz="4" w:space="0" w:color="auto"/>
              <w:left w:val="nil"/>
              <w:bottom w:val="single" w:sz="4" w:space="0" w:color="auto"/>
              <w:right w:val="nil"/>
            </w:tcBorders>
            <w:shd w:val="clear" w:color="000000" w:fill="E6E6E6"/>
            <w:noWrap/>
            <w:vAlign w:val="bottom"/>
            <w:hideMark/>
          </w:tcPr>
          <w:p w14:paraId="7CDA485D" w14:textId="7641348F" w:rsidR="00E12FCC" w:rsidRPr="00CF661C"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709,670 </w:t>
            </w:r>
          </w:p>
        </w:tc>
        <w:tc>
          <w:tcPr>
            <w:tcW w:w="976" w:type="dxa"/>
            <w:tcBorders>
              <w:top w:val="single" w:sz="4" w:space="0" w:color="auto"/>
              <w:left w:val="nil"/>
              <w:bottom w:val="single" w:sz="4" w:space="0" w:color="auto"/>
              <w:right w:val="nil"/>
            </w:tcBorders>
            <w:shd w:val="clear" w:color="auto" w:fill="auto"/>
            <w:noWrap/>
            <w:vAlign w:val="bottom"/>
            <w:hideMark/>
          </w:tcPr>
          <w:p w14:paraId="5D17093A" w14:textId="57F4FC94" w:rsidR="00E12FCC" w:rsidRPr="00CF661C"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543,277 </w:t>
            </w:r>
          </w:p>
        </w:tc>
        <w:tc>
          <w:tcPr>
            <w:tcW w:w="976" w:type="dxa"/>
            <w:tcBorders>
              <w:top w:val="single" w:sz="4" w:space="0" w:color="auto"/>
              <w:left w:val="nil"/>
              <w:bottom w:val="single" w:sz="4" w:space="0" w:color="auto"/>
              <w:right w:val="nil"/>
            </w:tcBorders>
            <w:shd w:val="clear" w:color="auto" w:fill="auto"/>
            <w:noWrap/>
            <w:vAlign w:val="bottom"/>
            <w:hideMark/>
          </w:tcPr>
          <w:p w14:paraId="57C9D035" w14:textId="1A4D9E7E" w:rsidR="00E12FCC" w:rsidRPr="00CF661C"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532,899 </w:t>
            </w:r>
          </w:p>
        </w:tc>
        <w:tc>
          <w:tcPr>
            <w:tcW w:w="976" w:type="dxa"/>
            <w:tcBorders>
              <w:top w:val="single" w:sz="4" w:space="0" w:color="auto"/>
              <w:left w:val="nil"/>
              <w:bottom w:val="single" w:sz="4" w:space="0" w:color="auto"/>
              <w:right w:val="nil"/>
            </w:tcBorders>
            <w:shd w:val="clear" w:color="auto" w:fill="auto"/>
            <w:noWrap/>
            <w:vAlign w:val="bottom"/>
            <w:hideMark/>
          </w:tcPr>
          <w:p w14:paraId="74456ECC" w14:textId="7F6F3373" w:rsidR="00E12FCC" w:rsidRPr="00CF661C"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530,784 </w:t>
            </w:r>
          </w:p>
        </w:tc>
      </w:tr>
    </w:tbl>
    <w:p w14:paraId="0DC8940A" w14:textId="0053D6E0" w:rsidR="00B91F3E" w:rsidRPr="00E12FCC" w:rsidRDefault="00E12FCC" w:rsidP="00E12FCC">
      <w:pPr>
        <w:pStyle w:val="ChartandTableFootnoteAlpha"/>
        <w:numPr>
          <w:ilvl w:val="0"/>
          <w:numId w:val="63"/>
        </w:numPr>
        <w:spacing w:before="60"/>
        <w:jc w:val="left"/>
        <w:rPr>
          <w:rFonts w:cs="Arial"/>
          <w:szCs w:val="16"/>
        </w:rPr>
      </w:pPr>
      <w:r w:rsidRPr="00E12FCC">
        <w:rPr>
          <w:rFonts w:cs="Arial"/>
          <w:szCs w:val="16"/>
        </w:rPr>
        <w:t>Excludes expenses relating to payments made to and through the states and territories by the Treasury for the Infrastructure Investment Program (Black Spots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Urban Congestion Initiative) and Infrastructure Growth Package (New Investments and Western Sydney Infrastructure Plan) administered items.</w:t>
      </w:r>
    </w:p>
    <w:p w14:paraId="62E40844" w14:textId="5BA2B127" w:rsidR="00B91F3E" w:rsidRPr="00AE599E" w:rsidRDefault="00E12FCC" w:rsidP="00E12FCC">
      <w:pPr>
        <w:pStyle w:val="ChartandTableFootnoteAlpha"/>
        <w:numPr>
          <w:ilvl w:val="0"/>
          <w:numId w:val="7"/>
        </w:numPr>
        <w:jc w:val="left"/>
      </w:pPr>
      <w:bookmarkStart w:id="26" w:name="_Toc190682315"/>
      <w:bookmarkStart w:id="27" w:name="_Toc190682532"/>
      <w:bookmarkEnd w:id="20"/>
      <w:bookmarkEnd w:id="21"/>
      <w:r w:rsidRPr="00E12FCC">
        <w:t xml:space="preserve">Relates to appropriation for corporate entities provided through the </w:t>
      </w:r>
      <w:r>
        <w:t>D</w:t>
      </w:r>
      <w:r w:rsidRPr="00E12FCC">
        <w:t>epartment.</w:t>
      </w:r>
    </w:p>
    <w:p w14:paraId="611E013A" w14:textId="77777777" w:rsidR="00B91F3E" w:rsidRPr="00F71634" w:rsidRDefault="00B91F3E" w:rsidP="00B91F3E">
      <w:pPr>
        <w:pStyle w:val="TableHeading"/>
      </w:pPr>
      <w:r w:rsidRPr="00E05C5D">
        <w:rPr>
          <w:lang w:val="en-US"/>
        </w:rPr>
        <w:br w:type="page"/>
      </w:r>
      <w:r w:rsidRPr="00E05C5D">
        <w:lastRenderedPageBreak/>
        <w:t>Table 2.</w:t>
      </w:r>
      <w:r w:rsidRPr="00E05C5D">
        <w:rPr>
          <w:lang w:val="en-GB"/>
        </w:rPr>
        <w:t>1</w:t>
      </w:r>
      <w:r w:rsidRPr="00E05C5D">
        <w:t xml:space="preserve">.3: Performance </w:t>
      </w:r>
      <w:r w:rsidRPr="00E05C5D">
        <w:rPr>
          <w:lang w:val="en-AU"/>
        </w:rPr>
        <w:t>measure</w:t>
      </w:r>
      <w:r w:rsidRPr="00E05C5D">
        <w:t xml:space="preserve"> for Outcome </w:t>
      </w:r>
      <w:r w:rsidRPr="00E05C5D">
        <w:rPr>
          <w:lang w:val="en-GB"/>
        </w:rPr>
        <w:t>1</w:t>
      </w:r>
    </w:p>
    <w:p w14:paraId="5721F6D2" w14:textId="77777777" w:rsidR="00B91F3E" w:rsidRDefault="00B91F3E" w:rsidP="00B91F3E">
      <w:pPr>
        <w:jc w:val="left"/>
      </w:pPr>
      <w:r w:rsidRPr="001B2F81">
        <w:t>Table 2.</w:t>
      </w:r>
      <w:r>
        <w:t>1</w:t>
      </w:r>
      <w:r w:rsidRPr="001B2F81">
        <w:t>.</w:t>
      </w:r>
      <w:r>
        <w:t>3</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B2F81" w14:paraId="274F8BC5" w14:textId="77777777" w:rsidTr="004C5CB1">
        <w:trPr>
          <w:trHeight w:val="569"/>
          <w:tblHeader/>
        </w:trPr>
        <w:tc>
          <w:tcPr>
            <w:tcW w:w="7655" w:type="dxa"/>
            <w:gridSpan w:val="3"/>
            <w:shd w:val="clear" w:color="auto" w:fill="F2F2F2"/>
          </w:tcPr>
          <w:bookmarkEnd w:id="26"/>
          <w:bookmarkEnd w:id="27"/>
          <w:p w14:paraId="3FC5EE30" w14:textId="77777777" w:rsidR="004C5CB1" w:rsidRPr="007B3D51" w:rsidRDefault="004C5CB1" w:rsidP="004C5CB1">
            <w:pPr>
              <w:pStyle w:val="TableColumnHeadingLeft"/>
            </w:pPr>
            <w:r w:rsidRPr="00EC0B13">
              <w:rPr>
                <w:rStyle w:val="TableHeadingChar"/>
                <w:b/>
              </w:rPr>
              <w:t xml:space="preserve">Outcome </w:t>
            </w:r>
            <w:r w:rsidRPr="00EC0B13">
              <w:rPr>
                <w:rStyle w:val="TableHeadingChar"/>
                <w:b/>
                <w:lang w:val="en-GB"/>
              </w:rPr>
              <w:t>1</w:t>
            </w:r>
            <w:r w:rsidRPr="007B3D51">
              <w:t xml:space="preserve"> </w:t>
            </w:r>
            <w:r w:rsidRPr="007B3D51">
              <w:rPr>
                <w:b w:val="0"/>
              </w:rPr>
              <w:t xml:space="preserve">– </w:t>
            </w:r>
            <w:r w:rsidRPr="007B3D51">
              <w:rPr>
                <w:rFonts w:eastAsia="Calibri" w:cs="Arial"/>
                <w:b w:val="0"/>
                <w:lang w:eastAsia="en-US"/>
              </w:rPr>
              <w:t>Improved infrastructure across Australia through investment in and coordination of transport and other infrastructure</w:t>
            </w:r>
          </w:p>
        </w:tc>
      </w:tr>
      <w:tr w:rsidR="004C5CB1" w:rsidRPr="001B2F81" w14:paraId="66FB165F" w14:textId="77777777" w:rsidTr="004C5CB1">
        <w:trPr>
          <w:trHeight w:val="522"/>
          <w:tblHeader/>
        </w:trPr>
        <w:tc>
          <w:tcPr>
            <w:tcW w:w="7655" w:type="dxa"/>
            <w:gridSpan w:val="3"/>
            <w:shd w:val="clear" w:color="auto" w:fill="F2F2F2"/>
          </w:tcPr>
          <w:p w14:paraId="31B1C05C" w14:textId="77777777" w:rsidR="004C5CB1" w:rsidRPr="00EC0B13" w:rsidRDefault="004C5CB1" w:rsidP="004C5CB1">
            <w:pPr>
              <w:pStyle w:val="TableTextLeft"/>
              <w:rPr>
                <w:b/>
              </w:rPr>
            </w:pPr>
            <w:bookmarkStart w:id="28" w:name="Infrastructureinvestment1_1"/>
            <w:r w:rsidRPr="00EC0B13">
              <w:rPr>
                <w:b/>
              </w:rPr>
              <w:t>Program 1.1 – Infrastructure Investment</w:t>
            </w:r>
            <w:bookmarkEnd w:id="28"/>
          </w:p>
          <w:p w14:paraId="0B2D6151" w14:textId="77777777" w:rsidR="004C5CB1" w:rsidRPr="005134E8" w:rsidRDefault="004C5CB1" w:rsidP="004C5CB1">
            <w:pPr>
              <w:pStyle w:val="TableTextLeft"/>
              <w:rPr>
                <w:highlight w:val="yellow"/>
              </w:rPr>
            </w:pPr>
            <w:r w:rsidRPr="007B3D51">
              <w:t>The infrastructure investment program supports economic growth, makes travel safer, increases transport access and supports regional development. It increases the efficiency, productivity, sustainability and safety of Australia's land transport infrastructure through programs and policy to improve connectivity for communities and freight.</w:t>
            </w:r>
          </w:p>
        </w:tc>
      </w:tr>
      <w:tr w:rsidR="004C5CB1" w:rsidRPr="001B2F81" w14:paraId="2B6D4277" w14:textId="77777777" w:rsidTr="004C5CB1">
        <w:trPr>
          <w:trHeight w:val="694"/>
        </w:trPr>
        <w:tc>
          <w:tcPr>
            <w:tcW w:w="1560" w:type="dxa"/>
            <w:tcBorders>
              <w:bottom w:val="double" w:sz="4" w:space="0" w:color="auto"/>
            </w:tcBorders>
          </w:tcPr>
          <w:p w14:paraId="49963252" w14:textId="77777777" w:rsidR="004C5CB1" w:rsidRPr="00160C23" w:rsidRDefault="004C5CB1" w:rsidP="004C5CB1">
            <w:pPr>
              <w:tabs>
                <w:tab w:val="left" w:pos="709"/>
              </w:tabs>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r w:rsidRPr="008C723A">
              <w:rPr>
                <w:rFonts w:ascii="Arial" w:eastAsia="Calibri" w:hAnsi="Arial" w:cs="Arial"/>
                <w:b/>
                <w:sz w:val="16"/>
                <w:szCs w:val="16"/>
                <w:vertAlign w:val="superscript"/>
                <w:lang w:eastAsia="en-US"/>
              </w:rPr>
              <w:t>(a)</w:t>
            </w:r>
          </w:p>
        </w:tc>
        <w:tc>
          <w:tcPr>
            <w:tcW w:w="6095" w:type="dxa"/>
            <w:gridSpan w:val="2"/>
            <w:tcBorders>
              <w:bottom w:val="double" w:sz="4" w:space="0" w:color="auto"/>
            </w:tcBorders>
          </w:tcPr>
          <w:p w14:paraId="22155EA4" w14:textId="77777777" w:rsidR="004C5CB1" w:rsidRPr="0040251D"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40251D">
              <w:rPr>
                <w:rFonts w:ascii="Arial" w:eastAsia="Calibri" w:hAnsi="Arial" w:cs="Arial"/>
                <w:sz w:val="16"/>
                <w:szCs w:val="16"/>
                <w:lang w:eastAsia="en-US"/>
              </w:rPr>
              <w:t>Deliver and manage the Infrastructure Investment Program</w:t>
            </w:r>
          </w:p>
          <w:p w14:paraId="28DC6DCE" w14:textId="77777777" w:rsidR="004C5CB1" w:rsidRPr="00160C23" w:rsidRDefault="004C5CB1" w:rsidP="004C5CB1">
            <w:pPr>
              <w:numPr>
                <w:ilvl w:val="0"/>
                <w:numId w:val="39"/>
              </w:numPr>
              <w:spacing w:before="60" w:after="60" w:line="240" w:lineRule="auto"/>
              <w:ind w:left="179" w:hanging="218"/>
              <w:jc w:val="left"/>
              <w:rPr>
                <w:rFonts w:ascii="Arial" w:hAnsi="Arial" w:cs="Arial"/>
                <w:i/>
                <w:sz w:val="16"/>
                <w:szCs w:val="16"/>
              </w:rPr>
            </w:pPr>
            <w:r w:rsidRPr="0040251D">
              <w:rPr>
                <w:rFonts w:ascii="Arial" w:eastAsia="Calibri" w:hAnsi="Arial" w:cs="Arial"/>
                <w:sz w:val="16"/>
                <w:szCs w:val="16"/>
                <w:lang w:eastAsia="en-US"/>
              </w:rPr>
              <w:t>Lead policy (with the Department of Finance) and shape the delivery of major transport infrastructure projects</w:t>
            </w:r>
            <w:r>
              <w:rPr>
                <w:rFonts w:ascii="Arial" w:eastAsia="Calibri" w:hAnsi="Arial" w:cs="Arial"/>
                <w:sz w:val="16"/>
                <w:szCs w:val="16"/>
                <w:vertAlign w:val="superscript"/>
                <w:lang w:eastAsia="en-US"/>
              </w:rPr>
              <w:t xml:space="preserve"> (b)</w:t>
            </w:r>
          </w:p>
        </w:tc>
      </w:tr>
      <w:tr w:rsidR="004C5CB1" w:rsidRPr="001B2F81" w14:paraId="1305D009" w14:textId="77777777" w:rsidTr="004C5CB1">
        <w:trPr>
          <w:trHeight w:val="258"/>
        </w:trPr>
        <w:tc>
          <w:tcPr>
            <w:tcW w:w="1560" w:type="dxa"/>
            <w:tcBorders>
              <w:top w:val="double" w:sz="4" w:space="0" w:color="auto"/>
              <w:bottom w:val="single" w:sz="4" w:space="0" w:color="auto"/>
              <w:right w:val="single" w:sz="4" w:space="0" w:color="auto"/>
            </w:tcBorders>
          </w:tcPr>
          <w:p w14:paraId="199BA5C6" w14:textId="77777777" w:rsidR="004C5CB1" w:rsidRPr="00160C23" w:rsidRDefault="004C5CB1" w:rsidP="004C5CB1">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3336EE8"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73262D1"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1B2F81" w14:paraId="57A3A9F9" w14:textId="77777777" w:rsidTr="004C5CB1">
        <w:trPr>
          <w:cantSplit/>
          <w:trHeight w:val="642"/>
        </w:trPr>
        <w:tc>
          <w:tcPr>
            <w:tcW w:w="1560" w:type="dxa"/>
            <w:tcBorders>
              <w:top w:val="single" w:sz="4" w:space="0" w:color="auto"/>
              <w:bottom w:val="nil"/>
              <w:right w:val="single" w:sz="4" w:space="0" w:color="auto"/>
            </w:tcBorders>
          </w:tcPr>
          <w:p w14:paraId="610AA729" w14:textId="77777777" w:rsidR="004C5CB1" w:rsidRPr="00160C23" w:rsidRDefault="004C5CB1" w:rsidP="004C5CB1">
            <w:pPr>
              <w:pStyle w:val="TableTextBase"/>
              <w:rPr>
                <w:sz w:val="16"/>
                <w:szCs w:val="16"/>
              </w:rPr>
            </w:pPr>
            <w:r w:rsidRPr="00160C23">
              <w:rPr>
                <w:sz w:val="16"/>
                <w:szCs w:val="16"/>
              </w:rPr>
              <w:t xml:space="preserve">Current year </w:t>
            </w:r>
          </w:p>
          <w:p w14:paraId="70BBAB14" w14:textId="77777777" w:rsidR="004C5CB1" w:rsidRPr="00160C23" w:rsidRDefault="004C5CB1" w:rsidP="004C5CB1">
            <w:pPr>
              <w:pStyle w:val="TableTextBase"/>
              <w:rPr>
                <w:sz w:val="16"/>
                <w:szCs w:val="16"/>
              </w:rPr>
            </w:pPr>
            <w:r>
              <w:rPr>
                <w:sz w:val="16"/>
                <w:szCs w:val="16"/>
              </w:rPr>
              <w:t>2021</w:t>
            </w:r>
            <w:r>
              <w:rPr>
                <w:sz w:val="16"/>
                <w:szCs w:val="16"/>
              </w:rPr>
              <w:softHyphen/>
              <w:t>–</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6A9F20A3" w14:textId="77777777" w:rsidR="004C5CB1" w:rsidRPr="00D0167C" w:rsidRDefault="004C5CB1" w:rsidP="0064083D">
            <w:pPr>
              <w:spacing w:before="60" w:after="60" w:line="240" w:lineRule="auto"/>
              <w:jc w:val="left"/>
              <w:rPr>
                <w:sz w:val="16"/>
                <w:szCs w:val="16"/>
              </w:rPr>
            </w:pPr>
            <w:r w:rsidRPr="00D0167C">
              <w:rPr>
                <w:rFonts w:ascii="Arial" w:eastAsia="Calibri" w:hAnsi="Arial" w:cs="Arial"/>
                <w:sz w:val="16"/>
                <w:szCs w:val="16"/>
                <w:lang w:eastAsia="en-US"/>
              </w:rPr>
              <w:t>Progress of land transport infrastructure investment projects up to $250 million</w:t>
            </w:r>
          </w:p>
        </w:tc>
        <w:tc>
          <w:tcPr>
            <w:tcW w:w="2977" w:type="dxa"/>
            <w:tcBorders>
              <w:top w:val="single" w:sz="4" w:space="0" w:color="auto"/>
              <w:left w:val="single" w:sz="4" w:space="0" w:color="auto"/>
              <w:bottom w:val="single" w:sz="4" w:space="0" w:color="auto"/>
            </w:tcBorders>
          </w:tcPr>
          <w:p w14:paraId="75B40F83"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 xml:space="preserve">By June 2022, projects progressed in accordance with agreed timeframes </w:t>
            </w:r>
          </w:p>
          <w:p w14:paraId="17C40FED"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Target expected to be met</w:t>
            </w:r>
          </w:p>
        </w:tc>
      </w:tr>
      <w:tr w:rsidR="004C5CB1" w:rsidRPr="001B2F81" w14:paraId="30DCBBD8" w14:textId="77777777" w:rsidTr="004C5CB1">
        <w:trPr>
          <w:cantSplit/>
          <w:trHeight w:val="642"/>
        </w:trPr>
        <w:tc>
          <w:tcPr>
            <w:tcW w:w="1560" w:type="dxa"/>
            <w:tcBorders>
              <w:top w:val="nil"/>
              <w:bottom w:val="nil"/>
              <w:right w:val="single" w:sz="4" w:space="0" w:color="auto"/>
            </w:tcBorders>
          </w:tcPr>
          <w:p w14:paraId="3CBC9C1C"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ABDB22B"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Progress of land transport infrastructure investment projects over $250 million</w:t>
            </w:r>
          </w:p>
        </w:tc>
        <w:tc>
          <w:tcPr>
            <w:tcW w:w="2977" w:type="dxa"/>
            <w:tcBorders>
              <w:top w:val="single" w:sz="4" w:space="0" w:color="auto"/>
              <w:left w:val="single" w:sz="4" w:space="0" w:color="auto"/>
              <w:bottom w:val="single" w:sz="4" w:space="0" w:color="auto"/>
            </w:tcBorders>
          </w:tcPr>
          <w:p w14:paraId="4A68E6D9"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 xml:space="preserve">By June 2022, projects progressed in accordance with agreed timeframes </w:t>
            </w:r>
          </w:p>
          <w:p w14:paraId="356CFAC2"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Target expected to be met</w:t>
            </w:r>
          </w:p>
        </w:tc>
      </w:tr>
      <w:tr w:rsidR="004C5CB1" w:rsidRPr="001B2F81" w14:paraId="5A7168CC" w14:textId="77777777" w:rsidTr="004C5CB1">
        <w:trPr>
          <w:cantSplit/>
          <w:trHeight w:val="642"/>
        </w:trPr>
        <w:tc>
          <w:tcPr>
            <w:tcW w:w="1560" w:type="dxa"/>
            <w:tcBorders>
              <w:top w:val="nil"/>
              <w:bottom w:val="nil"/>
              <w:right w:val="single" w:sz="4" w:space="0" w:color="auto"/>
            </w:tcBorders>
          </w:tcPr>
          <w:p w14:paraId="1F1F1F5E"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8032115"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hAnsi="Arial" w:cs="Arial"/>
                <w:sz w:val="16"/>
                <w:szCs w:val="16"/>
              </w:rPr>
              <w:t>Average time taken to prepare Infrastructure Investment Monthly Program of Works reports</w:t>
            </w:r>
            <w:r>
              <w:rPr>
                <w:rFonts w:ascii="Arial" w:hAnsi="Arial" w:cs="Arial"/>
                <w:sz w:val="16"/>
                <w:szCs w:val="16"/>
              </w:rPr>
              <w:t xml:space="preserve"> </w:t>
            </w:r>
            <w:r w:rsidRPr="008C723A">
              <w:rPr>
                <w:rFonts w:ascii="Arial" w:hAnsi="Arial" w:cs="Arial"/>
                <w:sz w:val="16"/>
                <w:szCs w:val="16"/>
                <w:vertAlign w:val="superscript"/>
              </w:rPr>
              <w:t>(c)</w:t>
            </w:r>
          </w:p>
        </w:tc>
        <w:tc>
          <w:tcPr>
            <w:tcW w:w="2977" w:type="dxa"/>
            <w:tcBorders>
              <w:top w:val="single" w:sz="4" w:space="0" w:color="auto"/>
              <w:left w:val="single" w:sz="4" w:space="0" w:color="auto"/>
              <w:bottom w:val="single" w:sz="4" w:space="0" w:color="auto"/>
            </w:tcBorders>
          </w:tcPr>
          <w:p w14:paraId="7B18E47D" w14:textId="77777777" w:rsidR="004C5CB1" w:rsidRPr="00D0167C" w:rsidRDefault="004C5CB1" w:rsidP="0064083D">
            <w:pPr>
              <w:spacing w:before="60" w:after="60" w:line="240" w:lineRule="auto"/>
              <w:jc w:val="left"/>
              <w:rPr>
                <w:rFonts w:ascii="Arial" w:hAnsi="Arial" w:cs="Arial"/>
                <w:sz w:val="16"/>
                <w:szCs w:val="16"/>
              </w:rPr>
            </w:pPr>
            <w:r w:rsidRPr="00D0167C">
              <w:rPr>
                <w:rFonts w:ascii="Arial" w:hAnsi="Arial" w:cs="Arial"/>
                <w:sz w:val="16"/>
                <w:szCs w:val="16"/>
              </w:rPr>
              <w:t>At the end of 2021–22, 5</w:t>
            </w:r>
            <w:r>
              <w:rPr>
                <w:rFonts w:ascii="Arial" w:hAnsi="Arial" w:cs="Arial"/>
                <w:sz w:val="16"/>
                <w:szCs w:val="16"/>
              </w:rPr>
              <w:t>%</w:t>
            </w:r>
            <w:r w:rsidRPr="00D0167C">
              <w:rPr>
                <w:rFonts w:ascii="Arial" w:hAnsi="Arial" w:cs="Arial"/>
                <w:sz w:val="16"/>
                <w:szCs w:val="16"/>
              </w:rPr>
              <w:t xml:space="preserve"> reduction in the average time taken to prepare reports compared to previous year</w:t>
            </w:r>
          </w:p>
          <w:p w14:paraId="050282A7" w14:textId="77777777" w:rsidR="004C5CB1" w:rsidRPr="00D0167C" w:rsidRDefault="004C5CB1" w:rsidP="0064083D">
            <w:pPr>
              <w:spacing w:before="60" w:after="60" w:line="240" w:lineRule="auto"/>
              <w:jc w:val="left"/>
              <w:rPr>
                <w:rFonts w:ascii="Arial" w:hAnsi="Arial" w:cs="Arial"/>
                <w:sz w:val="16"/>
                <w:szCs w:val="16"/>
              </w:rPr>
            </w:pPr>
            <w:r w:rsidRPr="00D0167C">
              <w:rPr>
                <w:rFonts w:ascii="Arial" w:hAnsi="Arial" w:cs="Arial"/>
                <w:sz w:val="16"/>
                <w:szCs w:val="16"/>
              </w:rPr>
              <w:t>Target expected to be met</w:t>
            </w:r>
          </w:p>
          <w:p w14:paraId="4C5B023B" w14:textId="77777777" w:rsidR="004C5CB1" w:rsidRPr="00D0167C" w:rsidRDefault="004C5CB1" w:rsidP="0064083D">
            <w:pPr>
              <w:spacing w:before="60" w:after="60" w:line="240" w:lineRule="auto"/>
              <w:jc w:val="left"/>
              <w:rPr>
                <w:rFonts w:ascii="Arial" w:eastAsia="Calibri" w:hAnsi="Arial" w:cs="Arial"/>
                <w:sz w:val="16"/>
                <w:szCs w:val="16"/>
                <w:lang w:eastAsia="en-US"/>
              </w:rPr>
            </w:pPr>
            <w:r w:rsidRPr="00D0167C">
              <w:rPr>
                <w:rFonts w:ascii="Arial" w:hAnsi="Arial" w:cs="Arial"/>
                <w:sz w:val="16"/>
                <w:szCs w:val="16"/>
              </w:rPr>
              <w:t>While the Reporting and Program Management System was not in place in 2021–22, we have implemented process efficiencies resulting in a reduction by more than 5</w:t>
            </w:r>
            <w:r>
              <w:rPr>
                <w:rFonts w:ascii="Arial" w:hAnsi="Arial" w:cs="Arial"/>
                <w:sz w:val="16"/>
                <w:szCs w:val="16"/>
              </w:rPr>
              <w:t>%</w:t>
            </w:r>
            <w:r w:rsidRPr="00D0167C">
              <w:rPr>
                <w:rFonts w:ascii="Arial" w:hAnsi="Arial" w:cs="Arial"/>
                <w:sz w:val="16"/>
                <w:szCs w:val="16"/>
              </w:rPr>
              <w:t xml:space="preserve"> in the average time taken to prepare reports in 2021–22 compared to the previous year</w:t>
            </w:r>
          </w:p>
        </w:tc>
      </w:tr>
      <w:tr w:rsidR="004C5CB1" w:rsidRPr="001B2F81" w14:paraId="3D890D0C" w14:textId="77777777" w:rsidTr="004C5CB1">
        <w:trPr>
          <w:cantSplit/>
          <w:trHeight w:val="642"/>
        </w:trPr>
        <w:tc>
          <w:tcPr>
            <w:tcW w:w="1560" w:type="dxa"/>
            <w:tcBorders>
              <w:top w:val="nil"/>
              <w:bottom w:val="single" w:sz="4" w:space="0" w:color="auto"/>
              <w:right w:val="single" w:sz="4" w:space="0" w:color="auto"/>
            </w:tcBorders>
          </w:tcPr>
          <w:p w14:paraId="4BCE525E"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53ACE71" w14:textId="77777777" w:rsidR="004C5CB1" w:rsidRPr="00D0167C" w:rsidRDefault="004C5CB1" w:rsidP="0064083D">
            <w:pPr>
              <w:spacing w:before="60" w:after="60" w:line="240" w:lineRule="auto"/>
              <w:jc w:val="left"/>
              <w:rPr>
                <w:rFonts w:ascii="Arial" w:hAnsi="Arial" w:cs="Arial"/>
                <w:sz w:val="16"/>
                <w:szCs w:val="16"/>
              </w:rPr>
            </w:pPr>
            <w:r w:rsidRPr="00D0167C">
              <w:rPr>
                <w:rFonts w:ascii="Arial" w:hAnsi="Arial" w:cs="Arial"/>
                <w:sz w:val="16"/>
                <w:szCs w:val="16"/>
              </w:rPr>
              <w:t>Implementation of Moorebank Intermodal Terminal</w:t>
            </w:r>
          </w:p>
        </w:tc>
        <w:tc>
          <w:tcPr>
            <w:tcW w:w="2977" w:type="dxa"/>
            <w:tcBorders>
              <w:top w:val="single" w:sz="4" w:space="0" w:color="auto"/>
              <w:left w:val="single" w:sz="4" w:space="0" w:color="auto"/>
              <w:bottom w:val="single" w:sz="4" w:space="0" w:color="auto"/>
            </w:tcBorders>
          </w:tcPr>
          <w:p w14:paraId="7C0EAD46" w14:textId="77777777" w:rsidR="004C5CB1" w:rsidRPr="00D0167C" w:rsidRDefault="004C5CB1" w:rsidP="0064083D">
            <w:pPr>
              <w:spacing w:before="60" w:after="60" w:line="240" w:lineRule="auto"/>
              <w:jc w:val="left"/>
              <w:rPr>
                <w:rFonts w:ascii="Arial" w:hAnsi="Arial" w:cs="Arial"/>
                <w:sz w:val="16"/>
                <w:szCs w:val="16"/>
              </w:rPr>
            </w:pPr>
            <w:r w:rsidRPr="00D0167C">
              <w:rPr>
                <w:rFonts w:ascii="Arial" w:hAnsi="Arial" w:cs="Arial"/>
                <w:sz w:val="16"/>
                <w:szCs w:val="16"/>
              </w:rPr>
              <w:t>Deliv</w:t>
            </w:r>
            <w:r>
              <w:rPr>
                <w:rFonts w:ascii="Arial" w:hAnsi="Arial" w:cs="Arial"/>
                <w:sz w:val="16"/>
                <w:szCs w:val="16"/>
              </w:rPr>
              <w:t>ery milestones are met for</w:t>
            </w:r>
            <w:r>
              <w:rPr>
                <w:rFonts w:ascii="Arial" w:hAnsi="Arial" w:cs="Arial"/>
                <w:sz w:val="16"/>
                <w:szCs w:val="16"/>
              </w:rPr>
              <w:br/>
              <w:t>2021</w:t>
            </w:r>
            <w:r>
              <w:rPr>
                <w:rFonts w:ascii="Arial" w:hAnsi="Arial" w:cs="Arial"/>
                <w:sz w:val="16"/>
                <w:szCs w:val="16"/>
              </w:rPr>
              <w:softHyphen/>
              <w:t>–</w:t>
            </w:r>
            <w:r w:rsidRPr="00D0167C">
              <w:rPr>
                <w:rFonts w:ascii="Arial" w:hAnsi="Arial" w:cs="Arial"/>
                <w:sz w:val="16"/>
                <w:szCs w:val="16"/>
              </w:rPr>
              <w:t>22</w:t>
            </w:r>
          </w:p>
          <w:p w14:paraId="5A1A49AB" w14:textId="77777777" w:rsidR="004C5CB1" w:rsidRPr="00D0167C" w:rsidRDefault="004C5CB1" w:rsidP="0064083D">
            <w:pPr>
              <w:spacing w:before="60" w:after="60" w:line="240" w:lineRule="auto"/>
              <w:jc w:val="left"/>
              <w:rPr>
                <w:rFonts w:ascii="Arial" w:hAnsi="Arial" w:cs="Arial"/>
                <w:sz w:val="16"/>
                <w:szCs w:val="16"/>
              </w:rPr>
            </w:pPr>
            <w:r w:rsidRPr="00D0167C">
              <w:rPr>
                <w:rFonts w:ascii="Arial" w:hAnsi="Arial" w:cs="Arial"/>
                <w:sz w:val="16"/>
                <w:szCs w:val="16"/>
              </w:rPr>
              <w:t>Target expected to be met</w:t>
            </w:r>
          </w:p>
        </w:tc>
      </w:tr>
    </w:tbl>
    <w:p w14:paraId="4E038753" w14:textId="77777777" w:rsidR="004C5CB1" w:rsidRDefault="004C5CB1"/>
    <w:p w14:paraId="63F499BB" w14:textId="77777777" w:rsidR="00B91F3E" w:rsidRDefault="00B91F3E" w:rsidP="00B91F3E">
      <w:pPr>
        <w:spacing w:after="160" w:line="259" w:lineRule="auto"/>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402"/>
      </w:tblGrid>
      <w:tr w:rsidR="004C5CB1" w:rsidRPr="00160C23" w14:paraId="780C6179" w14:textId="77777777" w:rsidTr="004C5CB1">
        <w:trPr>
          <w:trHeight w:val="258"/>
        </w:trPr>
        <w:tc>
          <w:tcPr>
            <w:tcW w:w="1560" w:type="dxa"/>
            <w:tcBorders>
              <w:top w:val="double" w:sz="4" w:space="0" w:color="auto"/>
              <w:bottom w:val="single" w:sz="4" w:space="0" w:color="auto"/>
              <w:right w:val="single" w:sz="4" w:space="0" w:color="auto"/>
            </w:tcBorders>
          </w:tcPr>
          <w:p w14:paraId="1DE16BFD" w14:textId="77777777" w:rsidR="004C5CB1" w:rsidRPr="00160C23" w:rsidRDefault="004C5CB1" w:rsidP="004C5CB1">
            <w:pPr>
              <w:pStyle w:val="TableTextBase"/>
              <w:rPr>
                <w:b/>
                <w:sz w:val="16"/>
                <w:szCs w:val="16"/>
              </w:rPr>
            </w:pPr>
            <w:r w:rsidRPr="00160C23">
              <w:rPr>
                <w:b/>
                <w:sz w:val="16"/>
                <w:szCs w:val="16"/>
              </w:rPr>
              <w:lastRenderedPageBreak/>
              <w:t>Year</w:t>
            </w:r>
          </w:p>
        </w:tc>
        <w:tc>
          <w:tcPr>
            <w:tcW w:w="2693" w:type="dxa"/>
            <w:tcBorders>
              <w:top w:val="double" w:sz="4" w:space="0" w:color="auto"/>
              <w:left w:val="single" w:sz="4" w:space="0" w:color="auto"/>
              <w:bottom w:val="single" w:sz="4" w:space="0" w:color="auto"/>
              <w:right w:val="single" w:sz="4" w:space="0" w:color="auto"/>
            </w:tcBorders>
          </w:tcPr>
          <w:p w14:paraId="6BF8786A"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3402" w:type="dxa"/>
            <w:tcBorders>
              <w:top w:val="double" w:sz="4" w:space="0" w:color="auto"/>
              <w:left w:val="single" w:sz="4" w:space="0" w:color="auto"/>
              <w:bottom w:val="single" w:sz="4" w:space="0" w:color="auto"/>
            </w:tcBorders>
          </w:tcPr>
          <w:p w14:paraId="36305A7E"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1B2F81" w14:paraId="2988CA8F" w14:textId="77777777" w:rsidTr="004C5CB1">
        <w:trPr>
          <w:cantSplit/>
          <w:trHeight w:val="642"/>
        </w:trPr>
        <w:tc>
          <w:tcPr>
            <w:tcW w:w="1560" w:type="dxa"/>
            <w:tcBorders>
              <w:top w:val="single" w:sz="4" w:space="0" w:color="auto"/>
              <w:bottom w:val="nil"/>
              <w:right w:val="single" w:sz="4" w:space="0" w:color="auto"/>
            </w:tcBorders>
          </w:tcPr>
          <w:p w14:paraId="0E0446A9" w14:textId="77777777" w:rsidR="004C5CB1" w:rsidRPr="00160C23" w:rsidRDefault="004C5CB1" w:rsidP="004C5CB1">
            <w:pPr>
              <w:pStyle w:val="TableTextBase"/>
              <w:rPr>
                <w:sz w:val="16"/>
                <w:szCs w:val="16"/>
              </w:rPr>
            </w:pPr>
            <w:r w:rsidRPr="00160C23">
              <w:rPr>
                <w:sz w:val="16"/>
                <w:szCs w:val="16"/>
              </w:rPr>
              <w:t xml:space="preserve">Current year </w:t>
            </w:r>
          </w:p>
          <w:p w14:paraId="551783DB" w14:textId="77777777" w:rsidR="004C5CB1" w:rsidRPr="00160C23" w:rsidRDefault="004C5CB1" w:rsidP="004C5CB1">
            <w:pPr>
              <w:pStyle w:val="TableTextBase"/>
              <w:rPr>
                <w:sz w:val="16"/>
                <w:szCs w:val="16"/>
              </w:rPr>
            </w:pPr>
            <w:r w:rsidRPr="00160C23">
              <w:rPr>
                <w:sz w:val="16"/>
                <w:szCs w:val="16"/>
              </w:rPr>
              <w:t>2021</w:t>
            </w:r>
            <w:r>
              <w:rPr>
                <w:sz w:val="16"/>
                <w:szCs w:val="16"/>
              </w:rPr>
              <w:t>–</w:t>
            </w:r>
            <w:r w:rsidRPr="00160C23">
              <w:rPr>
                <w:sz w:val="16"/>
                <w:szCs w:val="16"/>
              </w:rPr>
              <w:t>22</w:t>
            </w:r>
            <w:r>
              <w:rPr>
                <w:sz w:val="16"/>
                <w:szCs w:val="16"/>
              </w:rPr>
              <w:t xml:space="preserve"> cont.</w:t>
            </w:r>
          </w:p>
        </w:tc>
        <w:tc>
          <w:tcPr>
            <w:tcW w:w="2693" w:type="dxa"/>
            <w:tcBorders>
              <w:top w:val="single" w:sz="4" w:space="0" w:color="auto"/>
              <w:left w:val="single" w:sz="4" w:space="0" w:color="auto"/>
              <w:bottom w:val="single" w:sz="4" w:space="0" w:color="auto"/>
              <w:right w:val="single" w:sz="4" w:space="0" w:color="auto"/>
            </w:tcBorders>
          </w:tcPr>
          <w:p w14:paraId="022A46D3" w14:textId="77777777" w:rsidR="004C5CB1" w:rsidRPr="00D0167C" w:rsidRDefault="004C5CB1" w:rsidP="004C5CB1">
            <w:pPr>
              <w:pStyle w:val="TableTextBase"/>
              <w:rPr>
                <w:sz w:val="16"/>
                <w:szCs w:val="16"/>
              </w:rPr>
            </w:pPr>
            <w:r w:rsidRPr="00D0167C">
              <w:rPr>
                <w:rFonts w:cs="Arial"/>
                <w:sz w:val="16"/>
                <w:szCs w:val="16"/>
              </w:rPr>
              <w:t>Implementation of Intermodal Terminal Business Cases</w:t>
            </w:r>
          </w:p>
        </w:tc>
        <w:tc>
          <w:tcPr>
            <w:tcW w:w="3402" w:type="dxa"/>
            <w:tcBorders>
              <w:top w:val="single" w:sz="4" w:space="0" w:color="auto"/>
              <w:left w:val="single" w:sz="4" w:space="0" w:color="auto"/>
              <w:bottom w:val="single" w:sz="4" w:space="0" w:color="auto"/>
            </w:tcBorders>
          </w:tcPr>
          <w:p w14:paraId="2AEBAD19" w14:textId="77777777" w:rsidR="004C5CB1" w:rsidRPr="00D0167C" w:rsidRDefault="004C5CB1" w:rsidP="004C5CB1">
            <w:pPr>
              <w:spacing w:before="60" w:after="0" w:line="240" w:lineRule="auto"/>
              <w:jc w:val="left"/>
              <w:rPr>
                <w:rFonts w:ascii="Arial" w:hAnsi="Arial" w:cs="Arial"/>
                <w:sz w:val="16"/>
                <w:szCs w:val="16"/>
              </w:rPr>
            </w:pPr>
            <w:r w:rsidRPr="00D0167C">
              <w:rPr>
                <w:rFonts w:ascii="Arial" w:hAnsi="Arial" w:cs="Arial"/>
                <w:sz w:val="16"/>
                <w:szCs w:val="16"/>
              </w:rPr>
              <w:t>Delivery milestones are met for 2021–22</w:t>
            </w:r>
          </w:p>
          <w:p w14:paraId="2E5C6483" w14:textId="77777777" w:rsidR="004C5CB1" w:rsidRPr="00D0167C" w:rsidRDefault="004C5CB1" w:rsidP="004C5CB1">
            <w:pPr>
              <w:spacing w:before="60" w:after="0" w:line="240" w:lineRule="auto"/>
              <w:jc w:val="left"/>
              <w:rPr>
                <w:sz w:val="16"/>
                <w:szCs w:val="16"/>
              </w:rPr>
            </w:pPr>
            <w:r w:rsidRPr="00D0167C">
              <w:rPr>
                <w:rFonts w:ascii="Arial" w:hAnsi="Arial" w:cs="Arial"/>
                <w:sz w:val="16"/>
                <w:szCs w:val="16"/>
              </w:rPr>
              <w:t>Target expected to be met</w:t>
            </w:r>
          </w:p>
        </w:tc>
      </w:tr>
      <w:tr w:rsidR="004C5CB1" w:rsidRPr="001B2F81" w14:paraId="5225C8EC" w14:textId="77777777" w:rsidTr="004C5CB1">
        <w:trPr>
          <w:cantSplit/>
          <w:trHeight w:val="642"/>
        </w:trPr>
        <w:tc>
          <w:tcPr>
            <w:tcW w:w="1560" w:type="dxa"/>
            <w:tcBorders>
              <w:top w:val="nil"/>
              <w:bottom w:val="nil"/>
              <w:right w:val="single" w:sz="4" w:space="0" w:color="auto"/>
            </w:tcBorders>
          </w:tcPr>
          <w:p w14:paraId="7FCFA909" w14:textId="77777777" w:rsidR="004C5CB1" w:rsidRPr="00160C23" w:rsidRDefault="004C5CB1" w:rsidP="004C5CB1">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C94BD59" w14:textId="77777777" w:rsidR="004C5CB1" w:rsidRPr="00D0167C" w:rsidRDefault="004C5CB1" w:rsidP="004C5CB1">
            <w:pPr>
              <w:spacing w:before="60" w:after="0" w:line="240" w:lineRule="auto"/>
              <w:jc w:val="left"/>
              <w:rPr>
                <w:sz w:val="16"/>
                <w:szCs w:val="16"/>
              </w:rPr>
            </w:pPr>
            <w:r w:rsidRPr="00D0167C">
              <w:rPr>
                <w:rFonts w:ascii="Arial" w:hAnsi="Arial" w:cs="Arial"/>
                <w:sz w:val="16"/>
                <w:szCs w:val="16"/>
              </w:rPr>
              <w:t>Implementation of Inland Rail</w:t>
            </w:r>
            <w:r w:rsidRPr="00262F91">
              <w:rPr>
                <w:rFonts w:ascii="Arial" w:hAnsi="Arial" w:cs="Arial"/>
                <w:sz w:val="16"/>
                <w:szCs w:val="16"/>
                <w:vertAlign w:val="superscript"/>
              </w:rPr>
              <w:t>(c)</w:t>
            </w:r>
          </w:p>
        </w:tc>
        <w:tc>
          <w:tcPr>
            <w:tcW w:w="3402" w:type="dxa"/>
            <w:tcBorders>
              <w:top w:val="single" w:sz="4" w:space="0" w:color="auto"/>
              <w:left w:val="single" w:sz="4" w:space="0" w:color="auto"/>
              <w:bottom w:val="single" w:sz="4" w:space="0" w:color="auto"/>
            </w:tcBorders>
          </w:tcPr>
          <w:p w14:paraId="5130DB91" w14:textId="77777777" w:rsidR="004C5CB1" w:rsidRPr="00D0167C" w:rsidRDefault="004C5CB1" w:rsidP="004C5CB1">
            <w:pPr>
              <w:spacing w:before="60" w:after="0" w:line="240" w:lineRule="auto"/>
              <w:jc w:val="left"/>
              <w:rPr>
                <w:rFonts w:ascii="Arial" w:hAnsi="Arial" w:cs="Arial"/>
                <w:sz w:val="16"/>
                <w:szCs w:val="16"/>
              </w:rPr>
            </w:pPr>
            <w:r w:rsidRPr="00D0167C">
              <w:rPr>
                <w:rFonts w:ascii="Arial" w:hAnsi="Arial" w:cs="Arial"/>
                <w:sz w:val="16"/>
                <w:szCs w:val="16"/>
              </w:rPr>
              <w:t>Delivery milestones are met for 2021–22</w:t>
            </w:r>
          </w:p>
          <w:p w14:paraId="5A643A84" w14:textId="77777777" w:rsidR="004C5CB1" w:rsidRPr="00D0167C" w:rsidRDefault="004C5CB1" w:rsidP="004C5CB1">
            <w:pPr>
              <w:pStyle w:val="TableTextBase"/>
              <w:rPr>
                <w:rFonts w:eastAsia="Calibri" w:cs="Arial"/>
                <w:sz w:val="16"/>
                <w:szCs w:val="16"/>
                <w:lang w:eastAsia="en-US"/>
              </w:rPr>
            </w:pPr>
            <w:r w:rsidRPr="00D0167C">
              <w:rPr>
                <w:rFonts w:cs="Arial"/>
                <w:sz w:val="16"/>
                <w:szCs w:val="16"/>
              </w:rPr>
              <w:t>Target expected to be met</w:t>
            </w:r>
          </w:p>
        </w:tc>
      </w:tr>
      <w:tr w:rsidR="004C5CB1" w:rsidRPr="001B2F81" w14:paraId="14E932A1" w14:textId="77777777" w:rsidTr="004C5CB1">
        <w:trPr>
          <w:cantSplit/>
          <w:trHeight w:val="642"/>
        </w:trPr>
        <w:tc>
          <w:tcPr>
            <w:tcW w:w="1560" w:type="dxa"/>
            <w:tcBorders>
              <w:top w:val="nil"/>
              <w:bottom w:val="nil"/>
              <w:right w:val="single" w:sz="4" w:space="0" w:color="auto"/>
            </w:tcBorders>
          </w:tcPr>
          <w:p w14:paraId="0E99DFF4" w14:textId="77777777" w:rsidR="004C5CB1" w:rsidRPr="00160C23" w:rsidRDefault="004C5CB1" w:rsidP="004C5CB1">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0313B6E" w14:textId="77777777" w:rsidR="004C5CB1" w:rsidRPr="00D0167C" w:rsidRDefault="004C5CB1" w:rsidP="004C5CB1">
            <w:pPr>
              <w:spacing w:before="60" w:after="0" w:line="240" w:lineRule="auto"/>
              <w:jc w:val="left"/>
              <w:rPr>
                <w:sz w:val="16"/>
                <w:szCs w:val="16"/>
              </w:rPr>
            </w:pPr>
            <w:r w:rsidRPr="00D0167C">
              <w:rPr>
                <w:rFonts w:ascii="Arial" w:eastAsia="Calibri" w:hAnsi="Arial" w:cs="Arial"/>
                <w:sz w:val="16"/>
                <w:szCs w:val="16"/>
                <w:lang w:eastAsia="en-US"/>
              </w:rPr>
              <w:t>Implementation of Inland Rail Interface Improvement Program</w:t>
            </w:r>
            <w:r w:rsidRPr="00262F91">
              <w:rPr>
                <w:rFonts w:ascii="Arial" w:eastAsia="Calibri" w:hAnsi="Arial" w:cs="Arial"/>
                <w:sz w:val="16"/>
                <w:szCs w:val="16"/>
                <w:vertAlign w:val="superscript"/>
                <w:lang w:eastAsia="en-US"/>
              </w:rPr>
              <w:t>(c)</w:t>
            </w:r>
          </w:p>
        </w:tc>
        <w:tc>
          <w:tcPr>
            <w:tcW w:w="3402" w:type="dxa"/>
            <w:tcBorders>
              <w:top w:val="single" w:sz="4" w:space="0" w:color="auto"/>
              <w:left w:val="single" w:sz="4" w:space="0" w:color="auto"/>
              <w:bottom w:val="single" w:sz="4" w:space="0" w:color="auto"/>
            </w:tcBorders>
          </w:tcPr>
          <w:p w14:paraId="3BC1AFBF" w14:textId="77777777" w:rsidR="004C5CB1" w:rsidRPr="00D0167C" w:rsidRDefault="004C5CB1" w:rsidP="00B917D6">
            <w:pPr>
              <w:spacing w:before="60" w:after="60" w:line="240" w:lineRule="auto"/>
              <w:ind w:right="-12"/>
              <w:jc w:val="left"/>
              <w:rPr>
                <w:rFonts w:ascii="Arial" w:eastAsia="Calibri" w:hAnsi="Arial" w:cs="Arial"/>
                <w:sz w:val="16"/>
                <w:szCs w:val="16"/>
                <w:lang w:eastAsia="en-US"/>
              </w:rPr>
            </w:pPr>
            <w:r w:rsidRPr="00D0167C">
              <w:rPr>
                <w:rFonts w:ascii="Arial" w:eastAsia="Calibri" w:hAnsi="Arial" w:cs="Arial"/>
                <w:sz w:val="16"/>
                <w:szCs w:val="16"/>
                <w:lang w:eastAsia="en-US"/>
              </w:rPr>
              <w:t>Completion by June 2022</w:t>
            </w:r>
          </w:p>
          <w:p w14:paraId="1080027D" w14:textId="77777777" w:rsidR="004C5CB1" w:rsidRPr="00D0167C" w:rsidRDefault="004C5CB1" w:rsidP="00B917D6">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Target not expected to be met</w:t>
            </w:r>
          </w:p>
          <w:p w14:paraId="7DB10596" w14:textId="77777777" w:rsidR="00B917D6" w:rsidRDefault="004C5CB1" w:rsidP="00B917D6">
            <w:pPr>
              <w:spacing w:before="60" w:after="6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COVID-19 pandemic caused delays to proponent engagement and the developme</w:t>
            </w:r>
            <w:r>
              <w:rPr>
                <w:rFonts w:ascii="Arial" w:eastAsia="Calibri" w:hAnsi="Arial" w:cs="Arial"/>
                <w:sz w:val="16"/>
                <w:szCs w:val="16"/>
                <w:lang w:eastAsia="en-US"/>
              </w:rPr>
              <w:t>nt of subsequent business cases</w:t>
            </w:r>
          </w:p>
          <w:p w14:paraId="19EC2F8F" w14:textId="36FAF083" w:rsidR="004C5CB1" w:rsidRPr="00D0167C" w:rsidRDefault="004C5CB1" w:rsidP="00B917D6">
            <w:pPr>
              <w:spacing w:before="60" w:after="60" w:line="240" w:lineRule="auto"/>
              <w:jc w:val="left"/>
              <w:rPr>
                <w:rFonts w:eastAsia="Calibri" w:cs="Arial"/>
                <w:sz w:val="16"/>
                <w:szCs w:val="16"/>
                <w:lang w:eastAsia="en-US"/>
              </w:rPr>
            </w:pPr>
            <w:r>
              <w:rPr>
                <w:rFonts w:ascii="Arial" w:eastAsia="Calibri" w:hAnsi="Arial" w:cs="Arial"/>
                <w:sz w:val="16"/>
                <w:szCs w:val="16"/>
                <w:lang w:eastAsia="en-US"/>
              </w:rPr>
              <w:t>T</w:t>
            </w:r>
            <w:r w:rsidRPr="00D0167C">
              <w:rPr>
                <w:rFonts w:ascii="Arial" w:eastAsia="Calibri" w:hAnsi="Arial" w:cs="Arial"/>
                <w:sz w:val="16"/>
                <w:szCs w:val="16"/>
                <w:lang w:eastAsia="en-US"/>
              </w:rPr>
              <w:t>he target completion date for implementation of the Interface Improvement Program is June 2023</w:t>
            </w:r>
          </w:p>
        </w:tc>
      </w:tr>
      <w:tr w:rsidR="004C5CB1" w:rsidRPr="001B2F81" w14:paraId="006C8580" w14:textId="77777777" w:rsidTr="004C5CB1">
        <w:trPr>
          <w:cantSplit/>
          <w:trHeight w:val="642"/>
        </w:trPr>
        <w:tc>
          <w:tcPr>
            <w:tcW w:w="1560" w:type="dxa"/>
            <w:tcBorders>
              <w:top w:val="nil"/>
              <w:bottom w:val="nil"/>
              <w:right w:val="single" w:sz="4" w:space="0" w:color="auto"/>
            </w:tcBorders>
          </w:tcPr>
          <w:p w14:paraId="51480E5F" w14:textId="77777777" w:rsidR="004C5CB1" w:rsidRPr="00160C23" w:rsidRDefault="004C5CB1" w:rsidP="004C5CB1">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45C4214" w14:textId="046226E3" w:rsidR="004C5CB1" w:rsidRPr="00D0167C" w:rsidRDefault="004C5CB1" w:rsidP="004C5CB1">
            <w:pPr>
              <w:spacing w:before="60" w:after="0" w:line="240" w:lineRule="auto"/>
              <w:jc w:val="left"/>
              <w:rPr>
                <w:sz w:val="16"/>
                <w:szCs w:val="16"/>
              </w:rPr>
            </w:pPr>
            <w:r w:rsidRPr="00D0167C">
              <w:rPr>
                <w:rFonts w:ascii="Arial" w:eastAsia="Calibri" w:hAnsi="Arial" w:cs="Arial"/>
                <w:sz w:val="16"/>
                <w:szCs w:val="16"/>
                <w:lang w:eastAsia="en-US"/>
              </w:rPr>
              <w:t>Number of Significant Project Investment Delivery Office (SPIDO) Priority Projects available to the Australian Government for further consideration</w:t>
            </w:r>
            <w:r w:rsidR="0064083D">
              <w:rPr>
                <w:rFonts w:ascii="Arial" w:eastAsia="Calibri" w:hAnsi="Arial" w:cs="Arial"/>
                <w:sz w:val="16"/>
                <w:szCs w:val="16"/>
                <w:lang w:eastAsia="en-US"/>
              </w:rPr>
              <w:t xml:space="preserve"> </w:t>
            </w:r>
            <w:r w:rsidRPr="00262F91">
              <w:rPr>
                <w:rFonts w:ascii="Arial" w:eastAsia="Calibri" w:hAnsi="Arial" w:cs="Arial"/>
                <w:sz w:val="16"/>
                <w:szCs w:val="16"/>
                <w:vertAlign w:val="superscript"/>
                <w:lang w:eastAsia="en-US"/>
              </w:rPr>
              <w:t>(c)</w:t>
            </w:r>
          </w:p>
        </w:tc>
        <w:tc>
          <w:tcPr>
            <w:tcW w:w="3402" w:type="dxa"/>
            <w:tcBorders>
              <w:top w:val="single" w:sz="4" w:space="0" w:color="auto"/>
              <w:left w:val="single" w:sz="4" w:space="0" w:color="auto"/>
              <w:bottom w:val="single" w:sz="4" w:space="0" w:color="auto"/>
            </w:tcBorders>
          </w:tcPr>
          <w:p w14:paraId="725FE4DC" w14:textId="77777777" w:rsidR="004C5CB1" w:rsidRPr="00D0167C" w:rsidRDefault="004C5CB1" w:rsidP="004C5CB1">
            <w:pPr>
              <w:spacing w:before="60" w:after="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By June 2022, the Australian Government has options available for consideration</w:t>
            </w:r>
          </w:p>
          <w:p w14:paraId="63DBC5D4" w14:textId="77777777" w:rsidR="004C5CB1" w:rsidRPr="00D0167C" w:rsidRDefault="004C5CB1" w:rsidP="004C5CB1">
            <w:pPr>
              <w:spacing w:before="60" w:after="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Target met</w:t>
            </w:r>
          </w:p>
          <w:p w14:paraId="0141443D" w14:textId="77777777" w:rsidR="004C5CB1" w:rsidRPr="00D0167C" w:rsidRDefault="004C5CB1" w:rsidP="004C5CB1">
            <w:pPr>
              <w:numPr>
                <w:ilvl w:val="0"/>
                <w:numId w:val="15"/>
              </w:numPr>
              <w:spacing w:before="60" w:after="60" w:line="240" w:lineRule="auto"/>
              <w:ind w:left="170" w:hanging="170"/>
              <w:jc w:val="left"/>
              <w:rPr>
                <w:rFonts w:ascii="Arial" w:eastAsia="Calibri" w:hAnsi="Arial" w:cs="Arial"/>
                <w:sz w:val="16"/>
                <w:szCs w:val="16"/>
                <w:lang w:eastAsia="en-US"/>
              </w:rPr>
            </w:pPr>
            <w:r w:rsidRPr="00D0167C">
              <w:rPr>
                <w:rFonts w:ascii="Arial" w:eastAsia="Calibri" w:hAnsi="Arial" w:cs="Arial"/>
                <w:sz w:val="16"/>
                <w:szCs w:val="16"/>
                <w:lang w:eastAsia="en-US"/>
              </w:rPr>
              <w:t>supported the Government announcement in September 2021 of a $10 million business case for the Toowoomba to Gladstone Inland Rail extension, which will unlock economic opportunities in regional Queensland;</w:t>
            </w:r>
          </w:p>
          <w:p w14:paraId="3FE3930E" w14:textId="77777777" w:rsidR="004C5CB1" w:rsidRPr="00D0167C" w:rsidRDefault="004C5CB1" w:rsidP="004C5CB1">
            <w:pPr>
              <w:numPr>
                <w:ilvl w:val="0"/>
                <w:numId w:val="15"/>
              </w:numPr>
              <w:spacing w:before="60" w:after="60" w:line="240" w:lineRule="auto"/>
              <w:ind w:left="170" w:hanging="170"/>
              <w:jc w:val="left"/>
              <w:rPr>
                <w:rFonts w:ascii="Arial" w:eastAsia="Calibri" w:hAnsi="Arial" w:cs="Arial"/>
                <w:sz w:val="16"/>
                <w:szCs w:val="16"/>
                <w:lang w:eastAsia="en-US"/>
              </w:rPr>
            </w:pPr>
            <w:r w:rsidRPr="00D0167C">
              <w:rPr>
                <w:rFonts w:ascii="Arial" w:eastAsia="Calibri" w:hAnsi="Arial" w:cs="Arial"/>
                <w:sz w:val="16"/>
                <w:szCs w:val="16"/>
                <w:lang w:eastAsia="en-US"/>
              </w:rPr>
              <w:t xml:space="preserve">is supporting the Government’s commitment to 50:50 funding and governance for critical non-transport infrastructure for the 2032 Brisbane Olympic and Paralympic Games in partnership with the Queensland Government; and </w:t>
            </w:r>
          </w:p>
          <w:p w14:paraId="188D5116" w14:textId="77777777" w:rsidR="004C5CB1" w:rsidRPr="00D0167C" w:rsidRDefault="004C5CB1" w:rsidP="004C5CB1">
            <w:pPr>
              <w:numPr>
                <w:ilvl w:val="0"/>
                <w:numId w:val="15"/>
              </w:numPr>
              <w:spacing w:before="60" w:after="60" w:line="240" w:lineRule="auto"/>
              <w:ind w:left="170" w:hanging="170"/>
              <w:jc w:val="left"/>
              <w:rPr>
                <w:rFonts w:eastAsia="Calibri" w:cs="Arial"/>
                <w:sz w:val="16"/>
                <w:szCs w:val="16"/>
                <w:lang w:eastAsia="en-US"/>
              </w:rPr>
            </w:pPr>
            <w:r w:rsidRPr="00D0167C">
              <w:rPr>
                <w:rFonts w:ascii="Arial" w:eastAsia="Calibri" w:hAnsi="Arial" w:cs="Arial"/>
                <w:sz w:val="16"/>
                <w:szCs w:val="16"/>
                <w:lang w:eastAsia="en-US"/>
              </w:rPr>
              <w:t>provided advice to government on key investment opportunities which have been considered through decision-making processes but not yet fully committed due to ongoing confidential negotiations with project proponents</w:t>
            </w:r>
          </w:p>
        </w:tc>
      </w:tr>
      <w:tr w:rsidR="004C5CB1" w:rsidRPr="001B2F81" w14:paraId="7075141E" w14:textId="77777777" w:rsidTr="004C5CB1">
        <w:trPr>
          <w:cantSplit/>
          <w:trHeight w:val="642"/>
        </w:trPr>
        <w:tc>
          <w:tcPr>
            <w:tcW w:w="1560" w:type="dxa"/>
            <w:tcBorders>
              <w:top w:val="nil"/>
              <w:bottom w:val="nil"/>
              <w:right w:val="single" w:sz="4" w:space="0" w:color="auto"/>
            </w:tcBorders>
          </w:tcPr>
          <w:p w14:paraId="5E4A1E12" w14:textId="77777777" w:rsidR="004C5CB1" w:rsidRPr="00160C23" w:rsidRDefault="004C5CB1" w:rsidP="004C5CB1">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C707693" w14:textId="1CB650C5" w:rsidR="004C5CB1" w:rsidRPr="00D0167C" w:rsidRDefault="004C5CB1" w:rsidP="00B917D6">
            <w:pPr>
              <w:spacing w:before="60" w:after="60" w:line="240" w:lineRule="auto"/>
              <w:jc w:val="left"/>
              <w:rPr>
                <w:sz w:val="16"/>
                <w:szCs w:val="16"/>
              </w:rPr>
            </w:pPr>
            <w:r w:rsidRPr="00D0167C">
              <w:rPr>
                <w:rFonts w:ascii="Arial" w:eastAsia="Calibri" w:hAnsi="Arial" w:cs="Arial"/>
                <w:sz w:val="16"/>
                <w:szCs w:val="16"/>
                <w:lang w:eastAsia="en-US"/>
              </w:rPr>
              <w:t>Expected travel time savings arising from infrastructure projects in the Infrastructure Investment Program receiving $250 million or more in Australian Government funding</w:t>
            </w:r>
            <w:r w:rsidR="00B917D6">
              <w:rPr>
                <w:rFonts w:ascii="Arial" w:eastAsia="Calibri" w:hAnsi="Arial" w:cs="Arial"/>
                <w:sz w:val="16"/>
                <w:szCs w:val="16"/>
                <w:lang w:eastAsia="en-US"/>
              </w:rPr>
              <w:t xml:space="preserve"> </w:t>
            </w:r>
            <w:r w:rsidRPr="00262F91">
              <w:rPr>
                <w:rFonts w:ascii="Arial" w:eastAsia="Calibri" w:hAnsi="Arial" w:cs="Arial"/>
                <w:sz w:val="16"/>
                <w:szCs w:val="16"/>
                <w:vertAlign w:val="superscript"/>
                <w:lang w:eastAsia="en-US"/>
              </w:rPr>
              <w:t>(c)</w:t>
            </w:r>
          </w:p>
        </w:tc>
        <w:tc>
          <w:tcPr>
            <w:tcW w:w="3402" w:type="dxa"/>
            <w:tcBorders>
              <w:top w:val="single" w:sz="4" w:space="0" w:color="auto"/>
              <w:left w:val="single" w:sz="4" w:space="0" w:color="auto"/>
              <w:bottom w:val="single" w:sz="4" w:space="0" w:color="auto"/>
            </w:tcBorders>
          </w:tcPr>
          <w:p w14:paraId="6181C921" w14:textId="77777777" w:rsidR="004C5CB1" w:rsidRPr="00D0167C" w:rsidRDefault="004C5CB1" w:rsidP="004C5CB1">
            <w:pPr>
              <w:spacing w:before="60" w:after="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100</w:t>
            </w:r>
            <w:r>
              <w:rPr>
                <w:rFonts w:ascii="Arial" w:eastAsia="Calibri" w:hAnsi="Arial" w:cs="Arial"/>
                <w:sz w:val="16"/>
                <w:szCs w:val="16"/>
                <w:lang w:eastAsia="en-US"/>
              </w:rPr>
              <w:t>%</w:t>
            </w:r>
            <w:r w:rsidRPr="00D0167C">
              <w:rPr>
                <w:rFonts w:ascii="Arial" w:eastAsia="Calibri" w:hAnsi="Arial" w:cs="Arial"/>
                <w:sz w:val="16"/>
                <w:szCs w:val="16"/>
                <w:lang w:eastAsia="en-US"/>
              </w:rPr>
              <w:t xml:space="preserve"> of projects for which travel time savings are a significant planned benefit </w:t>
            </w:r>
          </w:p>
          <w:p w14:paraId="4B0DEE20" w14:textId="77777777" w:rsidR="004C5CB1" w:rsidRPr="00D0167C" w:rsidRDefault="004C5CB1" w:rsidP="004C5CB1">
            <w:pPr>
              <w:spacing w:before="60" w:after="0" w:line="240" w:lineRule="auto"/>
              <w:jc w:val="left"/>
              <w:rPr>
                <w:rFonts w:eastAsia="Calibri" w:cs="Arial"/>
                <w:sz w:val="16"/>
                <w:szCs w:val="16"/>
                <w:lang w:eastAsia="en-US"/>
              </w:rPr>
            </w:pPr>
            <w:r w:rsidRPr="00D0167C">
              <w:rPr>
                <w:rFonts w:ascii="Arial" w:eastAsia="Calibri" w:hAnsi="Arial" w:cs="Arial"/>
                <w:sz w:val="16"/>
                <w:szCs w:val="16"/>
                <w:lang w:eastAsia="en-US"/>
              </w:rPr>
              <w:t>Target expected to be met</w:t>
            </w:r>
          </w:p>
        </w:tc>
      </w:tr>
      <w:tr w:rsidR="004C5CB1" w:rsidRPr="001B2F81" w14:paraId="24AE296B" w14:textId="77777777" w:rsidTr="004C5CB1">
        <w:trPr>
          <w:cantSplit/>
          <w:trHeight w:val="642"/>
        </w:trPr>
        <w:tc>
          <w:tcPr>
            <w:tcW w:w="1560" w:type="dxa"/>
            <w:tcBorders>
              <w:top w:val="nil"/>
              <w:bottom w:val="single" w:sz="4" w:space="0" w:color="auto"/>
              <w:right w:val="single" w:sz="4" w:space="0" w:color="auto"/>
            </w:tcBorders>
          </w:tcPr>
          <w:p w14:paraId="5691C293" w14:textId="77777777" w:rsidR="004C5CB1" w:rsidRPr="00160C23" w:rsidRDefault="004C5CB1" w:rsidP="004C5CB1">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0E26F06" w14:textId="77777777" w:rsidR="004C5CB1" w:rsidRPr="00D0167C" w:rsidRDefault="004C5CB1" w:rsidP="004C5CB1">
            <w:pPr>
              <w:spacing w:before="60" w:after="0" w:line="240" w:lineRule="auto"/>
              <w:jc w:val="left"/>
              <w:rPr>
                <w:sz w:val="16"/>
                <w:szCs w:val="16"/>
              </w:rPr>
            </w:pPr>
            <w:r w:rsidRPr="00D0167C">
              <w:rPr>
                <w:rFonts w:ascii="Arial" w:eastAsia="Calibri" w:hAnsi="Arial" w:cs="Arial"/>
                <w:sz w:val="16"/>
                <w:szCs w:val="16"/>
                <w:lang w:eastAsia="en-US"/>
              </w:rPr>
              <w:t>Estimated number of jobs supported over the life of the projects, from infrastructure investment projects underway during the financial year</w:t>
            </w:r>
            <w:r w:rsidRPr="00262F91">
              <w:rPr>
                <w:rFonts w:ascii="Arial" w:eastAsia="Calibri" w:hAnsi="Arial" w:cs="Arial"/>
                <w:sz w:val="16"/>
                <w:szCs w:val="16"/>
                <w:vertAlign w:val="superscript"/>
                <w:lang w:eastAsia="en-US"/>
              </w:rPr>
              <w:t>(c)</w:t>
            </w:r>
          </w:p>
        </w:tc>
        <w:tc>
          <w:tcPr>
            <w:tcW w:w="3402" w:type="dxa"/>
            <w:tcBorders>
              <w:top w:val="single" w:sz="4" w:space="0" w:color="auto"/>
              <w:left w:val="single" w:sz="4" w:space="0" w:color="auto"/>
              <w:bottom w:val="single" w:sz="4" w:space="0" w:color="auto"/>
            </w:tcBorders>
          </w:tcPr>
          <w:p w14:paraId="79CA090D" w14:textId="77777777" w:rsidR="004C5CB1" w:rsidRPr="00D0167C" w:rsidRDefault="004C5CB1" w:rsidP="004C5CB1">
            <w:pPr>
              <w:spacing w:before="60" w:after="0" w:line="240" w:lineRule="auto"/>
              <w:jc w:val="left"/>
              <w:rPr>
                <w:rFonts w:ascii="Arial" w:eastAsia="Calibri" w:hAnsi="Arial" w:cs="Arial"/>
                <w:sz w:val="16"/>
                <w:szCs w:val="16"/>
                <w:lang w:eastAsia="en-US"/>
              </w:rPr>
            </w:pPr>
            <w:r w:rsidRPr="00D0167C">
              <w:rPr>
                <w:rFonts w:ascii="Arial" w:eastAsia="Calibri" w:hAnsi="Arial" w:cs="Arial"/>
                <w:sz w:val="16"/>
                <w:szCs w:val="16"/>
                <w:lang w:eastAsia="en-US"/>
              </w:rPr>
              <w:t xml:space="preserve">Investments support a work plan in which work requirements fluctuate. While it is appropriate to monitor employment impacts, annual targets are not appropriate </w:t>
            </w:r>
          </w:p>
          <w:p w14:paraId="56CA29B0" w14:textId="77777777" w:rsidR="004C5CB1" w:rsidRPr="00D0167C" w:rsidRDefault="004C5CB1" w:rsidP="004C5CB1">
            <w:pPr>
              <w:pStyle w:val="TableTextBase"/>
              <w:rPr>
                <w:rFonts w:eastAsia="Calibri" w:cs="Arial"/>
                <w:sz w:val="16"/>
                <w:szCs w:val="16"/>
                <w:lang w:eastAsia="en-US"/>
              </w:rPr>
            </w:pPr>
            <w:r w:rsidRPr="00D0167C">
              <w:rPr>
                <w:rFonts w:eastAsia="Calibri" w:cs="Arial"/>
                <w:sz w:val="16"/>
                <w:szCs w:val="16"/>
                <w:lang w:eastAsia="en-US"/>
              </w:rPr>
              <w:t>Major land transport infrastructure projects underway in 2021–22 are expected to support 100,000 direct and indirect jobs over the life of the projects</w:t>
            </w:r>
          </w:p>
        </w:tc>
      </w:tr>
    </w:tbl>
    <w:p w14:paraId="50B832FC" w14:textId="77777777" w:rsidR="004C5CB1" w:rsidRDefault="004C5CB1">
      <w:pPr>
        <w:spacing w:after="0" w:line="240" w:lineRule="auto"/>
        <w:jc w:val="left"/>
        <w:rPr>
          <w:rFonts w:ascii="Arial Bold" w:hAnsi="Arial Bold"/>
          <w:b/>
          <w:sz w:val="22"/>
        </w:rPr>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60C23" w14:paraId="7966A21B" w14:textId="77777777" w:rsidTr="004C5CB1">
        <w:trPr>
          <w:trHeight w:val="258"/>
        </w:trPr>
        <w:tc>
          <w:tcPr>
            <w:tcW w:w="1560" w:type="dxa"/>
            <w:tcBorders>
              <w:top w:val="double" w:sz="4" w:space="0" w:color="auto"/>
              <w:bottom w:val="single" w:sz="4" w:space="0" w:color="auto"/>
              <w:right w:val="single" w:sz="4" w:space="0" w:color="auto"/>
            </w:tcBorders>
          </w:tcPr>
          <w:p w14:paraId="4F5BFEA9" w14:textId="77777777" w:rsidR="004C5CB1" w:rsidRPr="00160C23" w:rsidRDefault="004C5CB1" w:rsidP="004C5CB1">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174573D6"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5E79956F" w14:textId="77777777" w:rsidR="004C5CB1" w:rsidRPr="00160C23" w:rsidRDefault="004C5CB1" w:rsidP="004C5CB1">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4C5CB1" w14:paraId="31F8D67A" w14:textId="77777777" w:rsidTr="0064083D">
        <w:trPr>
          <w:cantSplit/>
          <w:trHeight w:val="366"/>
        </w:trPr>
        <w:tc>
          <w:tcPr>
            <w:tcW w:w="1560" w:type="dxa"/>
            <w:tcBorders>
              <w:top w:val="single" w:sz="4" w:space="0" w:color="auto"/>
              <w:bottom w:val="nil"/>
              <w:right w:val="single" w:sz="4" w:space="0" w:color="auto"/>
            </w:tcBorders>
          </w:tcPr>
          <w:p w14:paraId="7165DD64" w14:textId="77777777" w:rsidR="004C5CB1" w:rsidRPr="005B62E0" w:rsidRDefault="004C5CB1" w:rsidP="004C5CB1">
            <w:pPr>
              <w:spacing w:before="60" w:after="60" w:line="240" w:lineRule="auto"/>
              <w:jc w:val="left"/>
              <w:rPr>
                <w:rFonts w:ascii="Arial" w:hAnsi="Arial" w:cs="Arial"/>
                <w:sz w:val="16"/>
                <w:szCs w:val="16"/>
              </w:rPr>
            </w:pPr>
            <w:r w:rsidRPr="005B62E0">
              <w:rPr>
                <w:rFonts w:ascii="Arial" w:eastAsia="Calibri" w:hAnsi="Arial" w:cs="Arial"/>
                <w:sz w:val="16"/>
                <w:szCs w:val="16"/>
                <w:lang w:eastAsia="en-US"/>
              </w:rPr>
              <w:t>Budget year</w:t>
            </w:r>
            <w:r w:rsidRPr="005B62E0">
              <w:rPr>
                <w:rFonts w:ascii="Arial" w:eastAsia="Calibri" w:hAnsi="Arial" w:cs="Arial"/>
                <w:sz w:val="16"/>
                <w:szCs w:val="16"/>
                <w:lang w:eastAsia="en-US"/>
              </w:rPr>
              <w:br/>
              <w:t xml:space="preserve">2022–23 </w:t>
            </w:r>
          </w:p>
        </w:tc>
        <w:tc>
          <w:tcPr>
            <w:tcW w:w="3118" w:type="dxa"/>
            <w:tcBorders>
              <w:top w:val="single" w:sz="4" w:space="0" w:color="auto"/>
              <w:left w:val="single" w:sz="4" w:space="0" w:color="auto"/>
              <w:bottom w:val="single" w:sz="4" w:space="0" w:color="auto"/>
              <w:right w:val="single" w:sz="4" w:space="0" w:color="auto"/>
            </w:tcBorders>
          </w:tcPr>
          <w:p w14:paraId="6BEB41A2" w14:textId="77777777" w:rsidR="004C5CB1" w:rsidRPr="0064083D" w:rsidRDefault="004C5CB1" w:rsidP="004C5CB1">
            <w:pPr>
              <w:spacing w:before="60" w:after="60" w:line="240" w:lineRule="auto"/>
              <w:jc w:val="left"/>
              <w:rPr>
                <w:rFonts w:ascii="Arial" w:eastAsia="Calibri" w:hAnsi="Arial" w:cs="Arial"/>
                <w:i/>
                <w:sz w:val="16"/>
                <w:szCs w:val="16"/>
                <w:lang w:eastAsia="en-US"/>
              </w:rPr>
            </w:pPr>
            <w:r w:rsidRPr="0064083D">
              <w:rPr>
                <w:rFonts w:ascii="Arial" w:eastAsia="Calibri" w:hAnsi="Arial" w:cs="Arial"/>
                <w:i/>
                <w:sz w:val="16"/>
                <w:szCs w:val="16"/>
                <w:lang w:eastAsia="en-US"/>
              </w:rPr>
              <w:t xml:space="preserve">Progress of land transport infrastructure investment projects </w:t>
            </w:r>
            <w:r w:rsidRPr="0064083D">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6610EA49" w14:textId="338D7186" w:rsidR="004C5CB1" w:rsidRPr="00D0167C" w:rsidRDefault="004C5CB1" w:rsidP="004C5CB1">
            <w:pPr>
              <w:pStyle w:val="TableTextBase"/>
              <w:rPr>
                <w:rFonts w:eastAsia="Calibri" w:cs="Arial"/>
                <w:sz w:val="16"/>
                <w:szCs w:val="16"/>
                <w:lang w:eastAsia="en-US"/>
              </w:rPr>
            </w:pPr>
            <w:r w:rsidRPr="00D0167C">
              <w:rPr>
                <w:rFonts w:eastAsia="Calibri" w:cs="Arial"/>
                <w:sz w:val="16"/>
                <w:szCs w:val="16"/>
                <w:lang w:eastAsia="en-US"/>
              </w:rPr>
              <w:t>By June 2023, projects progressed in acc</w:t>
            </w:r>
            <w:r w:rsidR="0064083D">
              <w:rPr>
                <w:rFonts w:eastAsia="Calibri" w:cs="Arial"/>
                <w:sz w:val="16"/>
                <w:szCs w:val="16"/>
                <w:lang w:eastAsia="en-US"/>
              </w:rPr>
              <w:t xml:space="preserve">ordance with agreed timeframes </w:t>
            </w:r>
          </w:p>
        </w:tc>
      </w:tr>
      <w:tr w:rsidR="004C5CB1" w14:paraId="5EFDBC9F" w14:textId="77777777" w:rsidTr="0064083D">
        <w:trPr>
          <w:cantSplit/>
          <w:trHeight w:val="133"/>
        </w:trPr>
        <w:tc>
          <w:tcPr>
            <w:tcW w:w="1560" w:type="dxa"/>
            <w:tcBorders>
              <w:top w:val="nil"/>
              <w:bottom w:val="single" w:sz="4" w:space="0" w:color="auto"/>
              <w:right w:val="single" w:sz="4" w:space="0" w:color="auto"/>
            </w:tcBorders>
          </w:tcPr>
          <w:p w14:paraId="3248C5A3"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CD2C459" w14:textId="77777777" w:rsidR="004C5CB1" w:rsidRPr="0064083D" w:rsidRDefault="004C5CB1" w:rsidP="004C5CB1">
            <w:pPr>
              <w:pStyle w:val="TableTextBase"/>
              <w:rPr>
                <w:sz w:val="16"/>
                <w:szCs w:val="16"/>
              </w:rPr>
            </w:pPr>
            <w:r w:rsidRPr="0064083D">
              <w:rPr>
                <w:rFonts w:cs="Arial"/>
                <w:i/>
                <w:sz w:val="16"/>
                <w:szCs w:val="16"/>
              </w:rPr>
              <w:t>Implementation of investment in intermodal terminals</w:t>
            </w:r>
            <w:r w:rsidRPr="0064083D">
              <w:rPr>
                <w:rFonts w:cs="Arial"/>
                <w:sz w:val="16"/>
                <w:szCs w:val="16"/>
              </w:rPr>
              <w:t xml:space="preserve"> </w:t>
            </w:r>
            <w:r w:rsidRPr="0064083D">
              <w:rPr>
                <w:rFonts w:cs="Arial"/>
                <w:sz w:val="16"/>
                <w:szCs w:val="16"/>
                <w:vertAlign w:val="superscript"/>
              </w:rPr>
              <w:t>(d)</w:t>
            </w:r>
          </w:p>
        </w:tc>
        <w:tc>
          <w:tcPr>
            <w:tcW w:w="2977" w:type="dxa"/>
            <w:tcBorders>
              <w:top w:val="single" w:sz="4" w:space="0" w:color="auto"/>
              <w:left w:val="single" w:sz="4" w:space="0" w:color="auto"/>
              <w:bottom w:val="single" w:sz="4" w:space="0" w:color="auto"/>
            </w:tcBorders>
          </w:tcPr>
          <w:p w14:paraId="2CC364C6" w14:textId="77777777" w:rsidR="004C5CB1" w:rsidRPr="00D0167C" w:rsidRDefault="004C5CB1" w:rsidP="004C5CB1">
            <w:pPr>
              <w:pStyle w:val="TableTextBase"/>
              <w:rPr>
                <w:rFonts w:eastAsia="Calibri" w:cs="Arial"/>
                <w:sz w:val="16"/>
                <w:szCs w:val="16"/>
                <w:lang w:eastAsia="en-US"/>
              </w:rPr>
            </w:pPr>
            <w:r w:rsidRPr="00D0167C">
              <w:rPr>
                <w:rFonts w:cs="Arial"/>
                <w:sz w:val="16"/>
                <w:szCs w:val="16"/>
              </w:rPr>
              <w:t>Delivery milestones are met for each financial year</w:t>
            </w:r>
          </w:p>
        </w:tc>
      </w:tr>
      <w:tr w:rsidR="004C5CB1" w14:paraId="50EA18FD" w14:textId="77777777" w:rsidTr="004C5CB1">
        <w:trPr>
          <w:cantSplit/>
          <w:trHeight w:val="642"/>
        </w:trPr>
        <w:tc>
          <w:tcPr>
            <w:tcW w:w="1560" w:type="dxa"/>
            <w:tcBorders>
              <w:top w:val="single" w:sz="4" w:space="0" w:color="auto"/>
              <w:bottom w:val="nil"/>
              <w:right w:val="single" w:sz="4" w:space="0" w:color="auto"/>
            </w:tcBorders>
          </w:tcPr>
          <w:p w14:paraId="4739FE8C" w14:textId="77777777" w:rsidR="004C5CB1" w:rsidRPr="00160C23" w:rsidRDefault="004C5CB1" w:rsidP="004C5CB1">
            <w:pPr>
              <w:pStyle w:val="TableTextBase"/>
              <w:rPr>
                <w:sz w:val="16"/>
                <w:szCs w:val="16"/>
              </w:rPr>
            </w:pPr>
            <w:r>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16E71216" w14:textId="77777777" w:rsidR="004C5CB1" w:rsidRPr="0064083D" w:rsidRDefault="004C5CB1" w:rsidP="004C5CB1">
            <w:pPr>
              <w:pStyle w:val="TableTextBase"/>
              <w:rPr>
                <w:rFonts w:cs="Arial"/>
                <w:i/>
                <w:sz w:val="16"/>
                <w:szCs w:val="16"/>
              </w:rPr>
            </w:pPr>
            <w:r w:rsidRPr="0064083D">
              <w:rPr>
                <w:rFonts w:eastAsia="Calibri" w:cs="Arial"/>
                <w:i/>
                <w:sz w:val="16"/>
                <w:szCs w:val="16"/>
                <w:lang w:eastAsia="en-US"/>
              </w:rPr>
              <w:t xml:space="preserve">Progress of land transport infrastructure investment projects </w:t>
            </w:r>
            <w:r w:rsidRPr="0064083D">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39AD8593" w14:textId="77777777" w:rsidR="004C5CB1" w:rsidRPr="00D0167C" w:rsidRDefault="004C5CB1" w:rsidP="004C5CB1">
            <w:pPr>
              <w:pStyle w:val="TableTextBase"/>
              <w:rPr>
                <w:rFonts w:eastAsia="Calibri" w:cs="Arial"/>
                <w:b/>
                <w:sz w:val="16"/>
                <w:szCs w:val="16"/>
                <w:lang w:eastAsia="en-US"/>
              </w:rPr>
            </w:pPr>
            <w:r w:rsidRPr="00D0167C">
              <w:rPr>
                <w:rFonts w:eastAsia="Calibri" w:cs="Arial"/>
                <w:sz w:val="16"/>
                <w:szCs w:val="16"/>
                <w:lang w:eastAsia="en-US"/>
              </w:rPr>
              <w:t>By June 2026, for projects announced up to and including the 2022 election: 100</w:t>
            </w:r>
            <w:r>
              <w:rPr>
                <w:rFonts w:eastAsia="Calibri" w:cs="Arial"/>
                <w:sz w:val="16"/>
                <w:szCs w:val="16"/>
                <w:lang w:eastAsia="en-US"/>
              </w:rPr>
              <w:t>%</w:t>
            </w:r>
            <w:r w:rsidRPr="00D0167C">
              <w:rPr>
                <w:rFonts w:eastAsia="Calibri" w:cs="Arial"/>
                <w:sz w:val="16"/>
                <w:szCs w:val="16"/>
                <w:lang w:eastAsia="en-US"/>
              </w:rPr>
              <w:t xml:space="preserve"> of projects have planning commenced; more than 70</w:t>
            </w:r>
            <w:r>
              <w:rPr>
                <w:rFonts w:eastAsia="Calibri" w:cs="Arial"/>
                <w:sz w:val="16"/>
                <w:szCs w:val="16"/>
                <w:lang w:eastAsia="en-US"/>
              </w:rPr>
              <w:t>%</w:t>
            </w:r>
            <w:r w:rsidRPr="00D0167C">
              <w:rPr>
                <w:rFonts w:eastAsia="Calibri" w:cs="Arial"/>
                <w:sz w:val="16"/>
                <w:szCs w:val="16"/>
                <w:lang w:eastAsia="en-US"/>
              </w:rPr>
              <w:t xml:space="preserve"> are under construction; more than 50</w:t>
            </w:r>
            <w:r>
              <w:rPr>
                <w:rFonts w:eastAsia="Calibri" w:cs="Arial"/>
                <w:sz w:val="16"/>
                <w:szCs w:val="16"/>
                <w:lang w:eastAsia="en-US"/>
              </w:rPr>
              <w:t>%</w:t>
            </w:r>
            <w:r w:rsidRPr="00D0167C">
              <w:rPr>
                <w:rFonts w:eastAsia="Calibri" w:cs="Arial"/>
                <w:sz w:val="16"/>
                <w:szCs w:val="16"/>
                <w:lang w:eastAsia="en-US"/>
              </w:rPr>
              <w:t xml:space="preserve"> have construction completed</w:t>
            </w:r>
          </w:p>
        </w:tc>
      </w:tr>
      <w:tr w:rsidR="004C5CB1" w14:paraId="66C2C1F6" w14:textId="77777777" w:rsidTr="0064083D">
        <w:trPr>
          <w:cantSplit/>
          <w:trHeight w:val="101"/>
        </w:trPr>
        <w:tc>
          <w:tcPr>
            <w:tcW w:w="1560" w:type="dxa"/>
            <w:tcBorders>
              <w:top w:val="nil"/>
              <w:bottom w:val="single" w:sz="4" w:space="0" w:color="auto"/>
              <w:right w:val="single" w:sz="4" w:space="0" w:color="auto"/>
            </w:tcBorders>
          </w:tcPr>
          <w:p w14:paraId="3FCD91C7"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C5E6066" w14:textId="77777777" w:rsidR="004C5CB1" w:rsidRPr="0064083D" w:rsidRDefault="004C5CB1" w:rsidP="004C5CB1">
            <w:pPr>
              <w:pStyle w:val="TableTextBase"/>
              <w:rPr>
                <w:rFonts w:cs="Arial"/>
                <w:i/>
                <w:sz w:val="16"/>
                <w:szCs w:val="16"/>
              </w:rPr>
            </w:pPr>
            <w:r w:rsidRPr="0064083D">
              <w:rPr>
                <w:rFonts w:cs="Arial"/>
                <w:i/>
                <w:sz w:val="16"/>
                <w:szCs w:val="16"/>
              </w:rPr>
              <w:t>Implementation of investment in intermodal terminals</w:t>
            </w:r>
            <w:r w:rsidRPr="0064083D">
              <w:rPr>
                <w:rFonts w:cs="Arial"/>
                <w:sz w:val="16"/>
                <w:szCs w:val="16"/>
              </w:rPr>
              <w:t xml:space="preserve"> </w:t>
            </w:r>
            <w:r w:rsidRPr="0064083D">
              <w:rPr>
                <w:rFonts w:cs="Arial"/>
                <w:sz w:val="16"/>
                <w:szCs w:val="16"/>
                <w:vertAlign w:val="superscript"/>
              </w:rPr>
              <w:t>(d)</w:t>
            </w:r>
          </w:p>
        </w:tc>
        <w:tc>
          <w:tcPr>
            <w:tcW w:w="2977" w:type="dxa"/>
            <w:tcBorders>
              <w:top w:val="single" w:sz="4" w:space="0" w:color="auto"/>
              <w:left w:val="single" w:sz="4" w:space="0" w:color="auto"/>
              <w:bottom w:val="single" w:sz="4" w:space="0" w:color="auto"/>
            </w:tcBorders>
          </w:tcPr>
          <w:p w14:paraId="5BA5127A" w14:textId="77777777" w:rsidR="004C5CB1" w:rsidRPr="00D0167C" w:rsidRDefault="004C5CB1" w:rsidP="004C5CB1">
            <w:pPr>
              <w:pStyle w:val="TableTextBase"/>
              <w:rPr>
                <w:rFonts w:eastAsia="Calibri" w:cs="Arial"/>
                <w:b/>
                <w:sz w:val="16"/>
                <w:szCs w:val="16"/>
                <w:lang w:eastAsia="en-US"/>
              </w:rPr>
            </w:pPr>
            <w:r w:rsidRPr="00D0167C">
              <w:rPr>
                <w:rFonts w:cs="Arial"/>
                <w:sz w:val="16"/>
                <w:szCs w:val="16"/>
              </w:rPr>
              <w:t>Delivery milestones are met for each financial year</w:t>
            </w:r>
          </w:p>
        </w:tc>
      </w:tr>
    </w:tbl>
    <w:p w14:paraId="326FD700" w14:textId="77777777" w:rsidR="004C5CB1" w:rsidRPr="00A6185E" w:rsidRDefault="004C5CB1" w:rsidP="004C5CB1">
      <w:pPr>
        <w:spacing w:before="60" w:after="0" w:line="240" w:lineRule="auto"/>
        <w:rPr>
          <w:rFonts w:ascii="Arial" w:hAnsi="Arial" w:cs="Arial"/>
          <w:sz w:val="16"/>
          <w:szCs w:val="16"/>
        </w:rPr>
      </w:pPr>
      <w:r w:rsidRPr="00A6185E">
        <w:rPr>
          <w:rFonts w:ascii="Arial" w:hAnsi="Arial" w:cs="Arial"/>
          <w:sz w:val="16"/>
          <w:szCs w:val="16"/>
        </w:rPr>
        <w:t xml:space="preserve">New or modified performance measures that reflect new or materially changed programs are shown in </w:t>
      </w:r>
      <w:r w:rsidRPr="00E824FB">
        <w:rPr>
          <w:rFonts w:ascii="Arial" w:hAnsi="Arial" w:cs="Arial"/>
          <w:i/>
          <w:sz w:val="16"/>
          <w:szCs w:val="16"/>
        </w:rPr>
        <w:t>italics</w:t>
      </w:r>
      <w:r w:rsidRPr="00A6185E">
        <w:rPr>
          <w:rFonts w:ascii="Arial" w:hAnsi="Arial" w:cs="Arial"/>
          <w:sz w:val="16"/>
          <w:szCs w:val="16"/>
        </w:rPr>
        <w:t>.</w:t>
      </w:r>
    </w:p>
    <w:p w14:paraId="0797EF5F" w14:textId="5C2E33C2" w:rsidR="004C5CB1" w:rsidRPr="005B62E0" w:rsidRDefault="004C5CB1" w:rsidP="004C5CB1">
      <w:pPr>
        <w:pStyle w:val="ListParagraph"/>
        <w:numPr>
          <w:ilvl w:val="0"/>
          <w:numId w:val="38"/>
        </w:numPr>
        <w:spacing w:after="0" w:line="240" w:lineRule="auto"/>
        <w:ind w:left="284" w:hanging="284"/>
        <w:rPr>
          <w:rFonts w:ascii="Arial" w:hAnsi="Arial" w:cs="Arial"/>
          <w:sz w:val="16"/>
          <w:szCs w:val="16"/>
        </w:rPr>
      </w:pPr>
      <w:r w:rsidRPr="005B62E0">
        <w:rPr>
          <w:rFonts w:ascii="Arial" w:hAnsi="Arial" w:cs="Arial"/>
          <w:sz w:val="16"/>
          <w:szCs w:val="16"/>
        </w:rPr>
        <w:t>2021–22 key activity ‘</w:t>
      </w:r>
      <w:r w:rsidRPr="00A6185E">
        <w:rPr>
          <w:rFonts w:ascii="Arial" w:hAnsi="Arial" w:cs="Arial"/>
          <w:sz w:val="16"/>
          <w:szCs w:val="16"/>
        </w:rPr>
        <w:t>Deliver major project business cases</w:t>
      </w:r>
      <w:r w:rsidRPr="005B62E0">
        <w:rPr>
          <w:rFonts w:ascii="Arial" w:hAnsi="Arial" w:cs="Arial"/>
          <w:sz w:val="16"/>
          <w:szCs w:val="16"/>
        </w:rPr>
        <w:t>’ referenced in the 2021–22 Corporate Plan, deleted.</w:t>
      </w:r>
    </w:p>
    <w:p w14:paraId="6AC6D737" w14:textId="77777777" w:rsidR="004C5CB1" w:rsidRPr="005B62E0" w:rsidRDefault="004C5CB1" w:rsidP="004C5CB1">
      <w:pPr>
        <w:pStyle w:val="ListParagraph"/>
        <w:numPr>
          <w:ilvl w:val="0"/>
          <w:numId w:val="38"/>
        </w:numPr>
        <w:spacing w:after="0" w:line="240" w:lineRule="auto"/>
        <w:ind w:left="284" w:hanging="284"/>
        <w:rPr>
          <w:rFonts w:ascii="Arial" w:hAnsi="Arial" w:cs="Arial"/>
          <w:sz w:val="16"/>
          <w:szCs w:val="16"/>
        </w:rPr>
      </w:pPr>
      <w:r w:rsidRPr="005B62E0">
        <w:rPr>
          <w:rFonts w:ascii="Arial" w:hAnsi="Arial" w:cs="Arial"/>
          <w:sz w:val="16"/>
          <w:szCs w:val="16"/>
        </w:rPr>
        <w:t>Refers to updated key activity that will be reflected in the 2022–23 Corporate Plan.</w:t>
      </w:r>
    </w:p>
    <w:p w14:paraId="693B52A9" w14:textId="77777777" w:rsidR="004C5CB1" w:rsidRPr="005B62E0" w:rsidRDefault="004C5CB1" w:rsidP="004C5CB1">
      <w:pPr>
        <w:pStyle w:val="ListParagraph"/>
        <w:numPr>
          <w:ilvl w:val="0"/>
          <w:numId w:val="38"/>
        </w:numPr>
        <w:spacing w:after="0" w:line="240" w:lineRule="auto"/>
        <w:ind w:left="284" w:hanging="284"/>
        <w:rPr>
          <w:rFonts w:ascii="Arial" w:hAnsi="Arial" w:cs="Arial"/>
          <w:sz w:val="16"/>
          <w:szCs w:val="16"/>
        </w:rPr>
      </w:pPr>
      <w:r w:rsidRPr="005B62E0">
        <w:rPr>
          <w:rFonts w:ascii="Arial" w:hAnsi="Arial" w:cs="Arial"/>
          <w:sz w:val="16"/>
          <w:szCs w:val="16"/>
        </w:rPr>
        <w:t>Final reporting period for this measure. Further details will be included in the 2022–23 Corporate Plan.</w:t>
      </w:r>
    </w:p>
    <w:p w14:paraId="23DF1D00" w14:textId="77777777" w:rsidR="004C5CB1" w:rsidRPr="005B62E0" w:rsidRDefault="004C5CB1" w:rsidP="004C5CB1">
      <w:pPr>
        <w:pStyle w:val="ListParagraph"/>
        <w:numPr>
          <w:ilvl w:val="0"/>
          <w:numId w:val="38"/>
        </w:numPr>
        <w:spacing w:after="0" w:line="240" w:lineRule="auto"/>
        <w:ind w:left="284" w:hanging="284"/>
        <w:rPr>
          <w:rFonts w:ascii="Arial" w:hAnsi="Arial" w:cs="Arial"/>
          <w:sz w:val="16"/>
          <w:szCs w:val="16"/>
        </w:rPr>
      </w:pPr>
      <w:r w:rsidRPr="005B62E0">
        <w:rPr>
          <w:rFonts w:ascii="Arial" w:hAnsi="Arial" w:cs="Arial"/>
          <w:sz w:val="16"/>
        </w:rPr>
        <w:t>This 2022–23 measure combines two 2021–22 measures</w:t>
      </w:r>
      <w:bookmarkStart w:id="29" w:name="_Performance_information:_Outcome_1"/>
      <w:bookmarkEnd w:id="29"/>
      <w:r>
        <w:rPr>
          <w:rFonts w:ascii="Arial" w:hAnsi="Arial" w:cs="Arial"/>
          <w:sz w:val="16"/>
        </w:rPr>
        <w:t>.</w:t>
      </w:r>
    </w:p>
    <w:p w14:paraId="57834177" w14:textId="0AAE0310" w:rsidR="00B91F3E" w:rsidRPr="00C000B8" w:rsidRDefault="00B91F3E" w:rsidP="00C000B8">
      <w:pPr>
        <w:pStyle w:val="Heading3-DITRDC"/>
      </w:pPr>
      <w:r w:rsidRPr="005B6A94">
        <w:br w:type="page"/>
      </w:r>
      <w:bookmarkStart w:id="30" w:name="_Toc444523516"/>
      <w:bookmarkStart w:id="31" w:name="_Toc99295949"/>
      <w:r w:rsidRPr="00C000B8">
        <w:lastRenderedPageBreak/>
        <w:t xml:space="preserve">2.2 </w:t>
      </w:r>
      <w:r w:rsidRPr="00C000B8">
        <w:tab/>
        <w:t>Budgeted expenses and performance for Outcome 2</w:t>
      </w:r>
      <w:bookmarkEnd w:id="31"/>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B91F3E" w:rsidRPr="00FC696C" w14:paraId="1E2BEC5F" w14:textId="77777777" w:rsidTr="00F96D8A">
        <w:tc>
          <w:tcPr>
            <w:tcW w:w="7569" w:type="dxa"/>
            <w:shd w:val="clear" w:color="auto" w:fill="E6E6E6"/>
          </w:tcPr>
          <w:p w14:paraId="61734506" w14:textId="77777777" w:rsidR="00B91F3E" w:rsidRPr="00FC696C" w:rsidRDefault="00B91F3E" w:rsidP="00F96D8A">
            <w:pPr>
              <w:spacing w:before="60" w:after="60" w:line="240" w:lineRule="auto"/>
              <w:jc w:val="left"/>
              <w:rPr>
                <w:rFonts w:ascii="Arial" w:hAnsi="Arial"/>
                <w:b/>
              </w:rPr>
            </w:pPr>
            <w:r w:rsidRPr="00FC696C">
              <w:rPr>
                <w:rFonts w:ascii="Arial" w:hAnsi="Arial"/>
                <w:b/>
              </w:rPr>
              <w:t>Outcome 2: An efficient, sustainable, competitive, safe and secure transport system for all transport users through regulation, financial assistance and safety investigations</w:t>
            </w:r>
          </w:p>
        </w:tc>
      </w:tr>
    </w:tbl>
    <w:p w14:paraId="1617AF4A" w14:textId="77777777" w:rsidR="00B91F3E" w:rsidRPr="005E6F2B" w:rsidRDefault="00B91F3E" w:rsidP="00B91F3E">
      <w:pPr>
        <w:pStyle w:val="NoSpacing"/>
      </w:pPr>
    </w:p>
    <w:p w14:paraId="25AC54E5" w14:textId="77777777" w:rsidR="00B91F3E" w:rsidRDefault="00B91F3E" w:rsidP="00B91F3E">
      <w:pPr>
        <w:pStyle w:val="Heading4"/>
      </w:pPr>
      <w:r w:rsidRPr="005E6F2B">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3"/>
      </w:tblGrid>
      <w:tr w:rsidR="00B91F3E" w:rsidRPr="00324416" w14:paraId="71A60876" w14:textId="77777777" w:rsidTr="00F96D8A">
        <w:trPr>
          <w:cantSplit/>
          <w:trHeight w:val="113"/>
        </w:trPr>
        <w:tc>
          <w:tcPr>
            <w:tcW w:w="7700" w:type="dxa"/>
            <w:tcBorders>
              <w:top w:val="single" w:sz="4" w:space="0" w:color="auto"/>
              <w:left w:val="single" w:sz="4" w:space="0" w:color="auto"/>
              <w:bottom w:val="nil"/>
              <w:right w:val="single" w:sz="4" w:space="0" w:color="auto"/>
            </w:tcBorders>
          </w:tcPr>
          <w:p w14:paraId="5F4192B5" w14:textId="77777777" w:rsidR="00B91F3E" w:rsidRPr="00324416" w:rsidRDefault="00B91F3E" w:rsidP="00F96D8A">
            <w:pPr>
              <w:spacing w:before="60" w:after="60" w:line="240" w:lineRule="auto"/>
              <w:jc w:val="left"/>
              <w:rPr>
                <w:b/>
                <w:highlight w:val="yellow"/>
              </w:rPr>
            </w:pPr>
            <w:r w:rsidRPr="00EE03B3">
              <w:rPr>
                <w:b/>
                <w:lang w:val="x-none" w:eastAsia="x-none"/>
              </w:rPr>
              <w:t>Australian Trade and Investment Commission</w:t>
            </w:r>
          </w:p>
        </w:tc>
      </w:tr>
      <w:tr w:rsidR="00B91F3E" w:rsidRPr="00324416" w14:paraId="6D4435D8" w14:textId="77777777" w:rsidTr="00F96D8A">
        <w:trPr>
          <w:cantSplit/>
          <w:trHeight w:val="113"/>
        </w:trPr>
        <w:tc>
          <w:tcPr>
            <w:tcW w:w="7700" w:type="dxa"/>
            <w:tcBorders>
              <w:top w:val="nil"/>
              <w:left w:val="single" w:sz="4" w:space="0" w:color="auto"/>
              <w:bottom w:val="single" w:sz="4" w:space="0" w:color="auto"/>
              <w:right w:val="single" w:sz="4" w:space="0" w:color="auto"/>
            </w:tcBorders>
          </w:tcPr>
          <w:p w14:paraId="099F877D" w14:textId="77777777" w:rsidR="00B91F3E" w:rsidRPr="00324416" w:rsidRDefault="00B91F3E" w:rsidP="00F96D8A">
            <w:pPr>
              <w:spacing w:before="60" w:after="60"/>
              <w:jc w:val="left"/>
              <w:rPr>
                <w:b/>
                <w:lang w:val="x-none" w:eastAsia="x-none"/>
              </w:rPr>
            </w:pPr>
            <w:r w:rsidRPr="00324416">
              <w:rPr>
                <w:b/>
                <w:lang w:val="x-none" w:eastAsia="x-none"/>
              </w:rPr>
              <w:t>Programs</w:t>
            </w:r>
          </w:p>
          <w:p w14:paraId="481D7A2F" w14:textId="77777777" w:rsidR="00B91F3E" w:rsidRPr="00324416" w:rsidRDefault="00B91F3E" w:rsidP="003926A3">
            <w:pPr>
              <w:numPr>
                <w:ilvl w:val="0"/>
                <w:numId w:val="8"/>
              </w:numPr>
              <w:spacing w:before="60" w:after="60" w:line="240" w:lineRule="auto"/>
              <w:ind w:left="357" w:hanging="357"/>
              <w:rPr>
                <w:rFonts w:eastAsia="Calibri"/>
              </w:rPr>
            </w:pPr>
            <w:r w:rsidRPr="00302493">
              <w:rPr>
                <w:lang w:val="en-US"/>
              </w:rPr>
              <w:t>Program</w:t>
            </w:r>
            <w:r w:rsidRPr="00324416">
              <w:rPr>
                <w:rFonts w:eastAsia="Calibri"/>
              </w:rPr>
              <w:t xml:space="preserve"> 1.2: Programs to Promote Australia’s Exports and Other International Economic Interests</w:t>
            </w:r>
          </w:p>
          <w:p w14:paraId="2DE54A9F" w14:textId="77777777" w:rsidR="00B91F3E" w:rsidRPr="00324416" w:rsidRDefault="00B91F3E" w:rsidP="00F96D8A">
            <w:pPr>
              <w:spacing w:before="60" w:after="60" w:line="240" w:lineRule="auto"/>
              <w:jc w:val="left"/>
              <w:rPr>
                <w:rFonts w:eastAsiaTheme="minorHAnsi"/>
                <w:b/>
                <w:lang w:val="x-none" w:eastAsia="x-none"/>
              </w:rPr>
            </w:pPr>
            <w:r w:rsidRPr="00324416">
              <w:rPr>
                <w:rFonts w:eastAsiaTheme="minorHAnsi"/>
                <w:b/>
                <w:lang w:val="x-none" w:eastAsia="x-none"/>
              </w:rPr>
              <w:t>Contribution to Outcome 2 made by linked programs</w:t>
            </w:r>
          </w:p>
          <w:p w14:paraId="506C7EAB" w14:textId="0AD8A6E1" w:rsidR="00B91F3E" w:rsidRPr="00324416" w:rsidRDefault="00B91F3E" w:rsidP="00F96D8A">
            <w:pPr>
              <w:spacing w:before="60" w:after="60" w:line="240" w:lineRule="auto"/>
              <w:jc w:val="left"/>
              <w:rPr>
                <w:rFonts w:eastAsiaTheme="minorHAnsi"/>
                <w:b/>
                <w:lang w:val="x-none" w:eastAsia="x-none"/>
              </w:rPr>
            </w:pPr>
            <w:r w:rsidRPr="00324416">
              <w:rPr>
                <w:rFonts w:eastAsiaTheme="minorHAnsi"/>
                <w:lang w:val="x-none" w:eastAsia="x-none"/>
              </w:rPr>
              <w:t xml:space="preserve">The </w:t>
            </w:r>
            <w:r w:rsidR="003C4CC6">
              <w:rPr>
                <w:rFonts w:eastAsiaTheme="minorHAnsi"/>
                <w:lang w:val="x-none" w:eastAsia="x-none"/>
              </w:rPr>
              <w:t>Department</w:t>
            </w:r>
            <w:r w:rsidRPr="00324416">
              <w:rPr>
                <w:rFonts w:eastAsiaTheme="minorHAnsi"/>
                <w:lang w:val="x-none" w:eastAsia="x-none"/>
              </w:rPr>
              <w:t xml:space="preserve"> of Infrastructure, Transport, Regional Development and Communications works closely with the Australian Trade and Investment Commission (Austrade) in the delivery of the Australian Government’s International Freight Assistance Mechanism (IFAM), which is assisting in maintaining international supply chains for high value exports through COVID-19. Austrade administers IFAM, including decisions on expenditure. The </w:t>
            </w:r>
            <w:r w:rsidR="003C4CC6">
              <w:rPr>
                <w:rFonts w:eastAsiaTheme="minorHAnsi"/>
                <w:lang w:val="x-none" w:eastAsia="x-none"/>
              </w:rPr>
              <w:t>Department</w:t>
            </w:r>
            <w:r w:rsidRPr="00324416">
              <w:rPr>
                <w:rFonts w:eastAsiaTheme="minorHAnsi"/>
                <w:lang w:val="x-none" w:eastAsia="x-none"/>
              </w:rPr>
              <w:t xml:space="preserve"> provides governance support and advice on aviation activity and trends to inform decisions on future contracts.</w:t>
            </w:r>
          </w:p>
        </w:tc>
      </w:tr>
      <w:tr w:rsidR="00B91F3E" w:rsidRPr="00324416" w14:paraId="303EF9FE" w14:textId="77777777" w:rsidTr="00F96D8A">
        <w:trPr>
          <w:trHeight w:val="2156"/>
          <w:tblHeader/>
        </w:trPr>
        <w:tc>
          <w:tcPr>
            <w:tcW w:w="7700" w:type="dxa"/>
          </w:tcPr>
          <w:p w14:paraId="6CD2837F" w14:textId="77777777" w:rsidR="00B91F3E" w:rsidRPr="00324416" w:rsidRDefault="00B91F3E" w:rsidP="00F96D8A">
            <w:pPr>
              <w:spacing w:before="60" w:after="60" w:line="240" w:lineRule="auto"/>
              <w:jc w:val="left"/>
              <w:rPr>
                <w:b/>
              </w:rPr>
            </w:pPr>
            <w:r w:rsidRPr="00324416">
              <w:rPr>
                <w:b/>
              </w:rPr>
              <w:t>Services Australia</w:t>
            </w:r>
          </w:p>
          <w:p w14:paraId="630B8BDB" w14:textId="77777777" w:rsidR="00B91F3E" w:rsidRPr="00324416" w:rsidRDefault="00B91F3E" w:rsidP="00F96D8A">
            <w:pPr>
              <w:spacing w:before="60" w:after="60" w:line="240" w:lineRule="auto"/>
              <w:jc w:val="left"/>
              <w:rPr>
                <w:b/>
              </w:rPr>
            </w:pPr>
            <w:r w:rsidRPr="00324416">
              <w:rPr>
                <w:b/>
              </w:rPr>
              <w:t>Programs</w:t>
            </w:r>
          </w:p>
          <w:p w14:paraId="4D013FFA" w14:textId="77777777" w:rsidR="00B91F3E" w:rsidRPr="00324416" w:rsidRDefault="00B91F3E" w:rsidP="003926A3">
            <w:pPr>
              <w:numPr>
                <w:ilvl w:val="0"/>
                <w:numId w:val="8"/>
              </w:numPr>
              <w:spacing w:before="60" w:after="60" w:line="240" w:lineRule="auto"/>
              <w:ind w:left="357" w:hanging="357"/>
            </w:pPr>
            <w:r w:rsidRPr="00302493">
              <w:rPr>
                <w:lang w:val="en-US"/>
              </w:rPr>
              <w:t>Program</w:t>
            </w:r>
            <w:r w:rsidRPr="00324416">
              <w:t xml:space="preserve"> </w:t>
            </w:r>
            <w:r w:rsidRPr="00324416">
              <w:rPr>
                <w:lang w:val="en-US"/>
              </w:rPr>
              <w:t>1.1: Services to the Community – Social Security and Welfare</w:t>
            </w:r>
          </w:p>
          <w:p w14:paraId="4400377B" w14:textId="77777777" w:rsidR="00B91F3E" w:rsidRPr="00324416" w:rsidRDefault="00B91F3E" w:rsidP="00F96D8A">
            <w:pPr>
              <w:spacing w:before="60" w:after="60" w:line="240" w:lineRule="auto"/>
              <w:jc w:val="left"/>
              <w:rPr>
                <w:b/>
                <w:i/>
              </w:rPr>
            </w:pPr>
            <w:r w:rsidRPr="00324416">
              <w:rPr>
                <w:b/>
                <w:lang w:val="en-US"/>
              </w:rPr>
              <w:t>Contribution to Outcome 2 made by linked programs</w:t>
            </w:r>
          </w:p>
          <w:p w14:paraId="575D4578" w14:textId="31005332" w:rsidR="00B91F3E" w:rsidRPr="00324416" w:rsidRDefault="00B91F3E" w:rsidP="00F96D8A">
            <w:pPr>
              <w:spacing w:before="60" w:after="60" w:line="240" w:lineRule="auto"/>
              <w:jc w:val="left"/>
            </w:pPr>
            <w:r w:rsidRPr="00324416">
              <w:t xml:space="preserve">The above linkage relates to payments made by Services Australia on behalf of the </w:t>
            </w:r>
            <w:r w:rsidR="003C4CC6">
              <w:t>Department</w:t>
            </w:r>
            <w:r w:rsidRPr="00324416">
              <w:t xml:space="preserve"> for the Tasmanian Freight Equalisation Scheme and the Bass Strait Passenger Vehicle Equalisation Scheme.</w:t>
            </w:r>
          </w:p>
        </w:tc>
      </w:tr>
    </w:tbl>
    <w:p w14:paraId="7B09403D" w14:textId="77777777" w:rsidR="00B91F3E" w:rsidRPr="00302493" w:rsidRDefault="00B91F3E" w:rsidP="00B91F3E">
      <w:pPr>
        <w:pStyle w:val="Heading5"/>
        <w:rPr>
          <w:b/>
        </w:rPr>
      </w:pPr>
      <w:r w:rsidRPr="00302493">
        <w:rPr>
          <w:b/>
        </w:rPr>
        <w:br w:type="page"/>
      </w:r>
      <w:r w:rsidRPr="00302493">
        <w:rPr>
          <w:b/>
        </w:rPr>
        <w:lastRenderedPageBreak/>
        <w:t xml:space="preserve">Budgeted expenses for Outcome </w:t>
      </w:r>
      <w:r>
        <w:rPr>
          <w:b/>
        </w:rPr>
        <w:t>2</w:t>
      </w:r>
    </w:p>
    <w:p w14:paraId="2CF2627E" w14:textId="04BB0CAD" w:rsidR="00B91F3E" w:rsidRDefault="00B91F3E" w:rsidP="00B91F3E">
      <w:pPr>
        <w:jc w:val="left"/>
      </w:pPr>
      <w:r w:rsidRPr="00950281">
        <w:t xml:space="preserve">This table shows how much the </w:t>
      </w:r>
      <w:r w:rsidR="003C4CC6">
        <w:t>Department</w:t>
      </w:r>
      <w:r w:rsidRPr="00950281">
        <w:t xml:space="preserve"> intends to spend (on an accrual basis) on achieving the outcome, broken down by program, as well as by </w:t>
      </w:r>
      <w:r w:rsidR="0064083D">
        <w:t>a</w:t>
      </w:r>
      <w:r w:rsidRPr="00950281">
        <w:t>dministered an</w:t>
      </w:r>
      <w:r>
        <w:t xml:space="preserve">d </w:t>
      </w:r>
      <w:r w:rsidR="0064083D">
        <w:t>d</w:t>
      </w:r>
      <w:r w:rsidR="003C4CC6">
        <w:t>epartment</w:t>
      </w:r>
      <w:r>
        <w:t>al funding sources.</w:t>
      </w:r>
    </w:p>
    <w:p w14:paraId="69B938D6" w14:textId="77777777" w:rsidR="00B91F3E" w:rsidRPr="00EB4589" w:rsidRDefault="00B91F3E" w:rsidP="00B91F3E">
      <w:pPr>
        <w:spacing w:after="0"/>
        <w:rPr>
          <w:rFonts w:ascii="Arial" w:hAnsi="Arial" w:cs="Arial"/>
          <w:b/>
        </w:rPr>
      </w:pPr>
      <w:r w:rsidRPr="00EB4589">
        <w:rPr>
          <w:rFonts w:ascii="Arial" w:hAnsi="Arial" w:cs="Arial"/>
          <w:b/>
        </w:rPr>
        <w:t>Table 2.2.1: Budgeted expenses for Outcome 2</w:t>
      </w:r>
    </w:p>
    <w:tbl>
      <w:tblPr>
        <w:tblW w:w="0" w:type="auto"/>
        <w:tblLayout w:type="fixed"/>
        <w:tblLook w:val="04A0" w:firstRow="1" w:lastRow="0" w:firstColumn="1" w:lastColumn="0" w:noHBand="0" w:noVBand="1"/>
      </w:tblPr>
      <w:tblGrid>
        <w:gridCol w:w="2694"/>
        <w:gridCol w:w="977"/>
        <w:gridCol w:w="19"/>
        <w:gridCol w:w="958"/>
        <w:gridCol w:w="38"/>
        <w:gridCol w:w="978"/>
        <w:gridCol w:w="58"/>
        <w:gridCol w:w="919"/>
        <w:gridCol w:w="77"/>
        <w:gridCol w:w="902"/>
      </w:tblGrid>
      <w:tr w:rsidR="00B91F3E" w:rsidRPr="00EB4589" w14:paraId="08107211" w14:textId="77777777" w:rsidTr="00F96D8A">
        <w:trPr>
          <w:trHeight w:val="204"/>
        </w:trPr>
        <w:tc>
          <w:tcPr>
            <w:tcW w:w="2694" w:type="dxa"/>
            <w:tcBorders>
              <w:top w:val="single" w:sz="4" w:space="0" w:color="auto"/>
              <w:left w:val="nil"/>
              <w:bottom w:val="single" w:sz="4" w:space="0" w:color="auto"/>
              <w:right w:val="nil"/>
            </w:tcBorders>
            <w:shd w:val="clear" w:color="auto" w:fill="auto"/>
            <w:noWrap/>
            <w:vAlign w:val="bottom"/>
            <w:hideMark/>
          </w:tcPr>
          <w:p w14:paraId="01C66B5F"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auto"/>
            <w:vAlign w:val="bottom"/>
            <w:hideMark/>
          </w:tcPr>
          <w:p w14:paraId="3411D821"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2021-22</w:t>
            </w:r>
            <w:r w:rsidRPr="00EB4589">
              <w:rPr>
                <w:rFonts w:ascii="Arial" w:hAnsi="Arial" w:cs="Arial"/>
                <w:sz w:val="16"/>
                <w:szCs w:val="16"/>
              </w:rPr>
              <w:br/>
              <w:t>Estimated  actual</w:t>
            </w:r>
            <w:r w:rsidRPr="00EB4589">
              <w:rPr>
                <w:rFonts w:ascii="Arial" w:hAnsi="Arial" w:cs="Arial"/>
                <w:sz w:val="16"/>
                <w:szCs w:val="16"/>
              </w:rPr>
              <w:br/>
              <w:t>$'000</w:t>
            </w:r>
          </w:p>
        </w:tc>
        <w:tc>
          <w:tcPr>
            <w:tcW w:w="977" w:type="dxa"/>
            <w:gridSpan w:val="2"/>
            <w:tcBorders>
              <w:top w:val="single" w:sz="4" w:space="0" w:color="auto"/>
              <w:left w:val="nil"/>
              <w:bottom w:val="single" w:sz="4" w:space="0" w:color="auto"/>
              <w:right w:val="nil"/>
            </w:tcBorders>
            <w:shd w:val="clear" w:color="000000" w:fill="E6E6E6"/>
            <w:vAlign w:val="bottom"/>
            <w:hideMark/>
          </w:tcPr>
          <w:p w14:paraId="2B9D41CF"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2022-23</w:t>
            </w:r>
            <w:r w:rsidRPr="00EB4589">
              <w:rPr>
                <w:rFonts w:ascii="Arial" w:hAnsi="Arial" w:cs="Arial"/>
                <w:sz w:val="16"/>
                <w:szCs w:val="16"/>
              </w:rPr>
              <w:br/>
              <w:t xml:space="preserve"> Budget</w:t>
            </w:r>
            <w:r w:rsidRPr="00EB4589">
              <w:rPr>
                <w:rFonts w:ascii="Arial" w:hAnsi="Arial" w:cs="Arial"/>
                <w:sz w:val="16"/>
                <w:szCs w:val="16"/>
              </w:rPr>
              <w:br/>
              <w:t xml:space="preserve">                                      $'000</w:t>
            </w:r>
          </w:p>
        </w:tc>
        <w:tc>
          <w:tcPr>
            <w:tcW w:w="1016" w:type="dxa"/>
            <w:gridSpan w:val="2"/>
            <w:tcBorders>
              <w:top w:val="single" w:sz="4" w:space="0" w:color="auto"/>
              <w:left w:val="nil"/>
              <w:bottom w:val="single" w:sz="4" w:space="0" w:color="auto"/>
              <w:right w:val="nil"/>
            </w:tcBorders>
            <w:shd w:val="clear" w:color="auto" w:fill="auto"/>
            <w:vAlign w:val="bottom"/>
            <w:hideMark/>
          </w:tcPr>
          <w:p w14:paraId="4AF2682F"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2023-24</w:t>
            </w:r>
            <w:r w:rsidRPr="00EB4589">
              <w:rPr>
                <w:rFonts w:ascii="Arial" w:hAnsi="Arial" w:cs="Arial"/>
                <w:sz w:val="16"/>
                <w:szCs w:val="16"/>
              </w:rPr>
              <w:br/>
              <w:t>Forward estimate</w:t>
            </w:r>
            <w:r w:rsidRPr="00EB4589">
              <w:rPr>
                <w:rFonts w:ascii="Arial" w:hAnsi="Arial" w:cs="Arial"/>
                <w:sz w:val="16"/>
                <w:szCs w:val="16"/>
              </w:rPr>
              <w:b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50939F93"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2024-25</w:t>
            </w:r>
            <w:r w:rsidRPr="00EB4589">
              <w:rPr>
                <w:rFonts w:ascii="Arial" w:hAnsi="Arial" w:cs="Arial"/>
                <w:sz w:val="16"/>
                <w:szCs w:val="16"/>
              </w:rPr>
              <w:br/>
              <w:t>Forward estimate</w:t>
            </w:r>
            <w:r w:rsidRPr="00EB4589">
              <w:rPr>
                <w:rFonts w:ascii="Arial" w:hAnsi="Arial" w:cs="Arial"/>
                <w:sz w:val="16"/>
                <w:szCs w:val="16"/>
              </w:rPr>
              <w:br/>
              <w:t>$'000</w:t>
            </w:r>
          </w:p>
        </w:tc>
        <w:tc>
          <w:tcPr>
            <w:tcW w:w="979" w:type="dxa"/>
            <w:gridSpan w:val="2"/>
            <w:tcBorders>
              <w:top w:val="single" w:sz="4" w:space="0" w:color="auto"/>
              <w:left w:val="nil"/>
              <w:bottom w:val="single" w:sz="4" w:space="0" w:color="auto"/>
              <w:right w:val="nil"/>
            </w:tcBorders>
            <w:shd w:val="clear" w:color="auto" w:fill="auto"/>
            <w:vAlign w:val="bottom"/>
            <w:hideMark/>
          </w:tcPr>
          <w:p w14:paraId="4A5DB5B3"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2025-26</w:t>
            </w:r>
            <w:r w:rsidRPr="00EB4589">
              <w:rPr>
                <w:rFonts w:ascii="Arial" w:hAnsi="Arial" w:cs="Arial"/>
                <w:sz w:val="16"/>
                <w:szCs w:val="16"/>
              </w:rPr>
              <w:br/>
              <w:t>Forward estimate</w:t>
            </w:r>
            <w:r w:rsidRPr="00EB4589">
              <w:rPr>
                <w:rFonts w:ascii="Arial" w:hAnsi="Arial" w:cs="Arial"/>
                <w:sz w:val="16"/>
                <w:szCs w:val="16"/>
              </w:rPr>
              <w:br/>
              <w:t>$'000</w:t>
            </w:r>
          </w:p>
        </w:tc>
      </w:tr>
      <w:tr w:rsidR="00B91F3E" w:rsidRPr="00EB4589" w14:paraId="07B1D5FB" w14:textId="77777777" w:rsidTr="00F96D8A">
        <w:trPr>
          <w:trHeight w:val="204"/>
        </w:trPr>
        <w:tc>
          <w:tcPr>
            <w:tcW w:w="2694" w:type="dxa"/>
            <w:tcBorders>
              <w:top w:val="nil"/>
              <w:left w:val="nil"/>
              <w:bottom w:val="single" w:sz="4" w:space="0" w:color="auto"/>
              <w:right w:val="nil"/>
            </w:tcBorders>
            <w:shd w:val="clear" w:color="000000" w:fill="E6E6E6"/>
            <w:noWrap/>
            <w:vAlign w:val="bottom"/>
            <w:hideMark/>
          </w:tcPr>
          <w:p w14:paraId="79F4A813" w14:textId="77777777" w:rsidR="00B91F3E" w:rsidRPr="00EB4589" w:rsidRDefault="00B91F3E" w:rsidP="00F96D8A">
            <w:pPr>
              <w:spacing w:after="0" w:line="240" w:lineRule="auto"/>
              <w:jc w:val="left"/>
              <w:rPr>
                <w:rFonts w:ascii="Arial" w:hAnsi="Arial" w:cs="Arial"/>
                <w:b/>
                <w:bCs/>
                <w:sz w:val="16"/>
                <w:szCs w:val="16"/>
              </w:rPr>
            </w:pPr>
            <w:r w:rsidRPr="00EB4589">
              <w:rPr>
                <w:rFonts w:ascii="Arial" w:hAnsi="Arial" w:cs="Arial"/>
                <w:b/>
                <w:bCs/>
                <w:sz w:val="16"/>
                <w:szCs w:val="16"/>
              </w:rPr>
              <w:t xml:space="preserve">Program 2.1: Surface Transport </w:t>
            </w:r>
          </w:p>
        </w:tc>
        <w:tc>
          <w:tcPr>
            <w:tcW w:w="977" w:type="dxa"/>
            <w:tcBorders>
              <w:top w:val="nil"/>
              <w:left w:val="nil"/>
              <w:bottom w:val="single" w:sz="4" w:space="0" w:color="auto"/>
              <w:right w:val="nil"/>
            </w:tcBorders>
            <w:shd w:val="clear" w:color="000000" w:fill="E6E6E6"/>
            <w:noWrap/>
            <w:vAlign w:val="bottom"/>
            <w:hideMark/>
          </w:tcPr>
          <w:p w14:paraId="39E0E00E" w14:textId="77777777" w:rsidR="00B91F3E" w:rsidRPr="00EB4589" w:rsidRDefault="00B91F3E" w:rsidP="00F96D8A">
            <w:pPr>
              <w:spacing w:after="0" w:line="240" w:lineRule="auto"/>
              <w:jc w:val="right"/>
              <w:rPr>
                <w:rFonts w:ascii="Arial" w:hAnsi="Arial" w:cs="Arial"/>
                <w:sz w:val="16"/>
                <w:szCs w:val="16"/>
              </w:rPr>
            </w:pPr>
          </w:p>
        </w:tc>
        <w:tc>
          <w:tcPr>
            <w:tcW w:w="977" w:type="dxa"/>
            <w:gridSpan w:val="2"/>
            <w:tcBorders>
              <w:top w:val="nil"/>
              <w:left w:val="nil"/>
              <w:bottom w:val="single" w:sz="4" w:space="0" w:color="auto"/>
              <w:right w:val="nil"/>
            </w:tcBorders>
            <w:shd w:val="clear" w:color="000000" w:fill="E6E6E6"/>
            <w:noWrap/>
            <w:vAlign w:val="bottom"/>
            <w:hideMark/>
          </w:tcPr>
          <w:p w14:paraId="03005C5F" w14:textId="77777777" w:rsidR="00B91F3E" w:rsidRPr="00EB4589" w:rsidRDefault="00B91F3E" w:rsidP="00F96D8A">
            <w:pPr>
              <w:spacing w:after="0" w:line="240" w:lineRule="auto"/>
              <w:jc w:val="right"/>
              <w:rPr>
                <w:rFonts w:ascii="Arial" w:hAnsi="Arial" w:cs="Arial"/>
                <w:sz w:val="16"/>
                <w:szCs w:val="16"/>
              </w:rPr>
            </w:pPr>
          </w:p>
        </w:tc>
        <w:tc>
          <w:tcPr>
            <w:tcW w:w="1016" w:type="dxa"/>
            <w:gridSpan w:val="2"/>
            <w:tcBorders>
              <w:top w:val="nil"/>
              <w:left w:val="nil"/>
              <w:bottom w:val="single" w:sz="4" w:space="0" w:color="auto"/>
              <w:right w:val="nil"/>
            </w:tcBorders>
            <w:shd w:val="clear" w:color="000000" w:fill="E6E6E6"/>
            <w:noWrap/>
            <w:vAlign w:val="bottom"/>
            <w:hideMark/>
          </w:tcPr>
          <w:p w14:paraId="3FE44F7A" w14:textId="77777777" w:rsidR="00B91F3E" w:rsidRPr="00EB4589" w:rsidRDefault="00B91F3E" w:rsidP="00F96D8A">
            <w:pPr>
              <w:spacing w:after="0" w:line="240" w:lineRule="auto"/>
              <w:jc w:val="right"/>
              <w:rPr>
                <w:rFonts w:ascii="Arial" w:hAnsi="Arial" w:cs="Arial"/>
                <w:sz w:val="16"/>
                <w:szCs w:val="16"/>
              </w:rPr>
            </w:pPr>
          </w:p>
        </w:tc>
        <w:tc>
          <w:tcPr>
            <w:tcW w:w="977" w:type="dxa"/>
            <w:gridSpan w:val="2"/>
            <w:tcBorders>
              <w:top w:val="nil"/>
              <w:left w:val="nil"/>
              <w:bottom w:val="single" w:sz="4" w:space="0" w:color="auto"/>
              <w:right w:val="nil"/>
            </w:tcBorders>
            <w:shd w:val="clear" w:color="000000" w:fill="E6E6E6"/>
            <w:noWrap/>
            <w:vAlign w:val="bottom"/>
            <w:hideMark/>
          </w:tcPr>
          <w:p w14:paraId="34C9C02F" w14:textId="77777777" w:rsidR="00B91F3E" w:rsidRPr="00EB4589" w:rsidRDefault="00B91F3E" w:rsidP="00F96D8A">
            <w:pPr>
              <w:spacing w:after="0" w:line="240" w:lineRule="auto"/>
              <w:jc w:val="right"/>
              <w:rPr>
                <w:rFonts w:ascii="Arial" w:hAnsi="Arial" w:cs="Arial"/>
                <w:sz w:val="16"/>
                <w:szCs w:val="16"/>
              </w:rPr>
            </w:pPr>
          </w:p>
        </w:tc>
        <w:tc>
          <w:tcPr>
            <w:tcW w:w="979" w:type="dxa"/>
            <w:gridSpan w:val="2"/>
            <w:tcBorders>
              <w:top w:val="nil"/>
              <w:left w:val="nil"/>
              <w:bottom w:val="single" w:sz="4" w:space="0" w:color="auto"/>
              <w:right w:val="nil"/>
            </w:tcBorders>
            <w:shd w:val="clear" w:color="000000" w:fill="E6E6E6"/>
            <w:noWrap/>
            <w:vAlign w:val="bottom"/>
            <w:hideMark/>
          </w:tcPr>
          <w:p w14:paraId="3ADE92C8" w14:textId="77777777" w:rsidR="00B91F3E" w:rsidRPr="00EB4589" w:rsidRDefault="00B91F3E" w:rsidP="00F96D8A">
            <w:pPr>
              <w:spacing w:after="0" w:line="240" w:lineRule="auto"/>
              <w:jc w:val="right"/>
              <w:rPr>
                <w:rFonts w:ascii="Arial" w:hAnsi="Arial" w:cs="Arial"/>
                <w:sz w:val="16"/>
                <w:szCs w:val="16"/>
              </w:rPr>
            </w:pPr>
          </w:p>
        </w:tc>
      </w:tr>
      <w:tr w:rsidR="00B91F3E" w:rsidRPr="00EB4589" w14:paraId="763128CF" w14:textId="77777777" w:rsidTr="00F96D8A">
        <w:trPr>
          <w:trHeight w:val="204"/>
        </w:trPr>
        <w:tc>
          <w:tcPr>
            <w:tcW w:w="2694" w:type="dxa"/>
            <w:tcBorders>
              <w:top w:val="nil"/>
              <w:left w:val="nil"/>
              <w:bottom w:val="nil"/>
              <w:right w:val="nil"/>
            </w:tcBorders>
            <w:shd w:val="clear" w:color="auto" w:fill="auto"/>
            <w:noWrap/>
            <w:vAlign w:val="bottom"/>
            <w:hideMark/>
          </w:tcPr>
          <w:p w14:paraId="4C6AB10F"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Administered expenses</w:t>
            </w:r>
          </w:p>
        </w:tc>
        <w:tc>
          <w:tcPr>
            <w:tcW w:w="977" w:type="dxa"/>
            <w:tcBorders>
              <w:top w:val="nil"/>
              <w:left w:val="nil"/>
              <w:bottom w:val="nil"/>
              <w:right w:val="nil"/>
            </w:tcBorders>
            <w:shd w:val="clear" w:color="auto" w:fill="auto"/>
            <w:noWrap/>
            <w:vAlign w:val="bottom"/>
            <w:hideMark/>
          </w:tcPr>
          <w:p w14:paraId="3417731A" w14:textId="77777777" w:rsidR="00B91F3E" w:rsidRPr="00C75F78" w:rsidRDefault="00B91F3E" w:rsidP="00F96D8A">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000000" w:fill="E6E6E6"/>
            <w:noWrap/>
            <w:vAlign w:val="bottom"/>
            <w:hideMark/>
          </w:tcPr>
          <w:p w14:paraId="02A78072" w14:textId="77777777" w:rsidR="00B91F3E" w:rsidRPr="00C75F78" w:rsidRDefault="00B91F3E" w:rsidP="00F96D8A">
            <w:pPr>
              <w:spacing w:after="0" w:line="240" w:lineRule="auto"/>
              <w:jc w:val="right"/>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14:paraId="6EF73A47" w14:textId="77777777" w:rsidR="00B91F3E" w:rsidRPr="00C75F78" w:rsidRDefault="00B91F3E" w:rsidP="00F96D8A">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1D839DB9" w14:textId="77777777" w:rsidR="00B91F3E" w:rsidRPr="00C75F78" w:rsidRDefault="00B91F3E" w:rsidP="00F96D8A">
            <w:pPr>
              <w:spacing w:after="0" w:line="240" w:lineRule="auto"/>
              <w:jc w:val="right"/>
              <w:rPr>
                <w:rFonts w:ascii="Times New Roman" w:hAnsi="Times New Roman"/>
                <w:sz w:val="16"/>
                <w:szCs w:val="16"/>
              </w:rPr>
            </w:pPr>
          </w:p>
        </w:tc>
        <w:tc>
          <w:tcPr>
            <w:tcW w:w="979" w:type="dxa"/>
            <w:gridSpan w:val="2"/>
            <w:tcBorders>
              <w:top w:val="nil"/>
              <w:left w:val="nil"/>
              <w:bottom w:val="nil"/>
              <w:right w:val="nil"/>
            </w:tcBorders>
            <w:shd w:val="clear" w:color="auto" w:fill="auto"/>
            <w:noWrap/>
            <w:vAlign w:val="bottom"/>
            <w:hideMark/>
          </w:tcPr>
          <w:p w14:paraId="5D468A36" w14:textId="77777777" w:rsidR="00B91F3E" w:rsidRPr="00C75F78" w:rsidRDefault="00B91F3E" w:rsidP="00F96D8A">
            <w:pPr>
              <w:spacing w:after="0" w:line="240" w:lineRule="auto"/>
              <w:jc w:val="right"/>
              <w:rPr>
                <w:rFonts w:ascii="Times New Roman" w:hAnsi="Times New Roman"/>
                <w:sz w:val="16"/>
                <w:szCs w:val="16"/>
              </w:rPr>
            </w:pPr>
          </w:p>
        </w:tc>
      </w:tr>
      <w:tr w:rsidR="00E12FCC" w:rsidRPr="00EB4589" w14:paraId="07EA4767" w14:textId="77777777" w:rsidTr="00F96D8A">
        <w:trPr>
          <w:trHeight w:val="204"/>
        </w:trPr>
        <w:tc>
          <w:tcPr>
            <w:tcW w:w="2694" w:type="dxa"/>
            <w:tcBorders>
              <w:top w:val="nil"/>
              <w:left w:val="nil"/>
              <w:bottom w:val="nil"/>
              <w:right w:val="nil"/>
            </w:tcBorders>
            <w:shd w:val="clear" w:color="auto" w:fill="auto"/>
            <w:vAlign w:val="bottom"/>
            <w:hideMark/>
          </w:tcPr>
          <w:p w14:paraId="56F77C51"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Ordinary Annual Services (Appropriation Act No.</w:t>
            </w:r>
            <w:r>
              <w:rPr>
                <w:rFonts w:ascii="Arial" w:hAnsi="Arial" w:cs="Arial"/>
                <w:sz w:val="16"/>
                <w:szCs w:val="16"/>
              </w:rPr>
              <w:t> </w:t>
            </w:r>
            <w:r w:rsidRPr="00EB4589">
              <w:rPr>
                <w:rFonts w:ascii="Arial" w:hAnsi="Arial" w:cs="Arial"/>
                <w:sz w:val="16"/>
                <w:szCs w:val="16"/>
              </w:rPr>
              <w:t xml:space="preserve">1 and Bill No. 3) </w:t>
            </w:r>
            <w:r w:rsidRPr="000B468A">
              <w:rPr>
                <w:rFonts w:ascii="Arial" w:hAnsi="Arial" w:cs="Arial"/>
                <w:sz w:val="16"/>
                <w:szCs w:val="16"/>
                <w:vertAlign w:val="superscript"/>
              </w:rPr>
              <w:t>(a)</w:t>
            </w:r>
          </w:p>
        </w:tc>
        <w:tc>
          <w:tcPr>
            <w:tcW w:w="977" w:type="dxa"/>
            <w:tcBorders>
              <w:top w:val="nil"/>
              <w:left w:val="nil"/>
              <w:bottom w:val="nil"/>
              <w:right w:val="nil"/>
            </w:tcBorders>
            <w:shd w:val="clear" w:color="auto" w:fill="auto"/>
            <w:noWrap/>
            <w:vAlign w:val="bottom"/>
            <w:hideMark/>
          </w:tcPr>
          <w:p w14:paraId="6F6917A6" w14:textId="4BAD7CA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239,154 </w:t>
            </w:r>
          </w:p>
        </w:tc>
        <w:tc>
          <w:tcPr>
            <w:tcW w:w="977" w:type="dxa"/>
            <w:gridSpan w:val="2"/>
            <w:tcBorders>
              <w:top w:val="nil"/>
              <w:left w:val="nil"/>
              <w:bottom w:val="nil"/>
              <w:right w:val="nil"/>
            </w:tcBorders>
            <w:shd w:val="clear" w:color="000000" w:fill="E6E6E6"/>
            <w:noWrap/>
            <w:vAlign w:val="bottom"/>
            <w:hideMark/>
          </w:tcPr>
          <w:p w14:paraId="2DBD2E8C" w14:textId="70CF6D9C"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247,420 </w:t>
            </w:r>
          </w:p>
        </w:tc>
        <w:tc>
          <w:tcPr>
            <w:tcW w:w="1016" w:type="dxa"/>
            <w:gridSpan w:val="2"/>
            <w:tcBorders>
              <w:top w:val="nil"/>
              <w:left w:val="nil"/>
              <w:bottom w:val="nil"/>
              <w:right w:val="nil"/>
            </w:tcBorders>
            <w:shd w:val="clear" w:color="auto" w:fill="auto"/>
            <w:noWrap/>
            <w:vAlign w:val="bottom"/>
            <w:hideMark/>
          </w:tcPr>
          <w:p w14:paraId="4DAF726C" w14:textId="64B6323E"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249,419 </w:t>
            </w:r>
          </w:p>
        </w:tc>
        <w:tc>
          <w:tcPr>
            <w:tcW w:w="977" w:type="dxa"/>
            <w:gridSpan w:val="2"/>
            <w:tcBorders>
              <w:top w:val="nil"/>
              <w:left w:val="nil"/>
              <w:bottom w:val="nil"/>
              <w:right w:val="nil"/>
            </w:tcBorders>
            <w:shd w:val="clear" w:color="auto" w:fill="auto"/>
            <w:noWrap/>
            <w:vAlign w:val="bottom"/>
            <w:hideMark/>
          </w:tcPr>
          <w:p w14:paraId="5EC57099" w14:textId="24743DE9"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243,984 </w:t>
            </w:r>
          </w:p>
        </w:tc>
        <w:tc>
          <w:tcPr>
            <w:tcW w:w="979" w:type="dxa"/>
            <w:gridSpan w:val="2"/>
            <w:tcBorders>
              <w:top w:val="nil"/>
              <w:left w:val="nil"/>
              <w:bottom w:val="nil"/>
              <w:right w:val="nil"/>
            </w:tcBorders>
            <w:shd w:val="clear" w:color="auto" w:fill="auto"/>
            <w:noWrap/>
            <w:vAlign w:val="bottom"/>
            <w:hideMark/>
          </w:tcPr>
          <w:p w14:paraId="577D95D7" w14:textId="012FD5A7"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245,440 </w:t>
            </w:r>
          </w:p>
        </w:tc>
      </w:tr>
      <w:tr w:rsidR="00E12FCC" w:rsidRPr="00EB4589" w14:paraId="0C96716B" w14:textId="77777777" w:rsidTr="00F96D8A">
        <w:trPr>
          <w:trHeight w:val="204"/>
        </w:trPr>
        <w:tc>
          <w:tcPr>
            <w:tcW w:w="2694" w:type="dxa"/>
            <w:tcBorders>
              <w:top w:val="nil"/>
              <w:left w:val="nil"/>
              <w:bottom w:val="nil"/>
              <w:right w:val="nil"/>
            </w:tcBorders>
            <w:shd w:val="clear" w:color="auto" w:fill="auto"/>
            <w:vAlign w:val="bottom"/>
            <w:hideMark/>
          </w:tcPr>
          <w:p w14:paraId="41C1FC48"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Special Appropriations</w:t>
            </w:r>
          </w:p>
        </w:tc>
        <w:tc>
          <w:tcPr>
            <w:tcW w:w="977" w:type="dxa"/>
            <w:tcBorders>
              <w:top w:val="nil"/>
              <w:left w:val="nil"/>
              <w:bottom w:val="nil"/>
              <w:right w:val="nil"/>
            </w:tcBorders>
            <w:shd w:val="clear" w:color="auto" w:fill="auto"/>
            <w:noWrap/>
            <w:vAlign w:val="bottom"/>
            <w:hideMark/>
          </w:tcPr>
          <w:p w14:paraId="49F82308" w14:textId="77777777" w:rsidR="00E12FCC" w:rsidRPr="00C75F78" w:rsidRDefault="00E12FCC" w:rsidP="00E12FCC">
            <w:pPr>
              <w:spacing w:after="0" w:line="240" w:lineRule="auto"/>
              <w:ind w:firstLineChars="100" w:firstLine="160"/>
              <w:jc w:val="right"/>
              <w:rPr>
                <w:rFonts w:ascii="Arial" w:hAnsi="Arial" w:cs="Arial"/>
                <w:sz w:val="16"/>
                <w:szCs w:val="16"/>
              </w:rPr>
            </w:pPr>
          </w:p>
        </w:tc>
        <w:tc>
          <w:tcPr>
            <w:tcW w:w="977" w:type="dxa"/>
            <w:gridSpan w:val="2"/>
            <w:tcBorders>
              <w:top w:val="nil"/>
              <w:left w:val="nil"/>
              <w:bottom w:val="nil"/>
              <w:right w:val="nil"/>
            </w:tcBorders>
            <w:shd w:val="clear" w:color="000000" w:fill="E6E6E6"/>
            <w:noWrap/>
            <w:vAlign w:val="bottom"/>
            <w:hideMark/>
          </w:tcPr>
          <w:p w14:paraId="4F64D1AE" w14:textId="232412D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w:t>
            </w:r>
          </w:p>
        </w:tc>
        <w:tc>
          <w:tcPr>
            <w:tcW w:w="1016" w:type="dxa"/>
            <w:gridSpan w:val="2"/>
            <w:tcBorders>
              <w:top w:val="nil"/>
              <w:left w:val="nil"/>
              <w:bottom w:val="nil"/>
              <w:right w:val="nil"/>
            </w:tcBorders>
            <w:shd w:val="clear" w:color="auto" w:fill="auto"/>
            <w:noWrap/>
            <w:vAlign w:val="bottom"/>
            <w:hideMark/>
          </w:tcPr>
          <w:p w14:paraId="69CCF000" w14:textId="77777777" w:rsidR="00E12FCC" w:rsidRPr="00C75F78" w:rsidRDefault="00E12FCC" w:rsidP="00E12FCC">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76203080" w14:textId="77777777" w:rsidR="00E12FCC" w:rsidRPr="00C75F78" w:rsidRDefault="00E12FCC" w:rsidP="00E12FCC">
            <w:pPr>
              <w:spacing w:after="0" w:line="240" w:lineRule="auto"/>
              <w:jc w:val="right"/>
              <w:rPr>
                <w:rFonts w:ascii="Times New Roman" w:hAnsi="Times New Roman"/>
                <w:sz w:val="16"/>
                <w:szCs w:val="16"/>
              </w:rPr>
            </w:pPr>
          </w:p>
        </w:tc>
        <w:tc>
          <w:tcPr>
            <w:tcW w:w="979" w:type="dxa"/>
            <w:gridSpan w:val="2"/>
            <w:tcBorders>
              <w:top w:val="nil"/>
              <w:left w:val="nil"/>
              <w:bottom w:val="nil"/>
              <w:right w:val="nil"/>
            </w:tcBorders>
            <w:shd w:val="clear" w:color="auto" w:fill="auto"/>
            <w:noWrap/>
            <w:vAlign w:val="bottom"/>
            <w:hideMark/>
          </w:tcPr>
          <w:p w14:paraId="4BF18C0B" w14:textId="77777777" w:rsidR="00E12FCC" w:rsidRPr="00C75F78" w:rsidRDefault="00E12FCC" w:rsidP="00E12FCC">
            <w:pPr>
              <w:spacing w:after="0" w:line="240" w:lineRule="auto"/>
              <w:jc w:val="right"/>
              <w:rPr>
                <w:rFonts w:ascii="Times New Roman" w:hAnsi="Times New Roman"/>
                <w:sz w:val="16"/>
                <w:szCs w:val="16"/>
              </w:rPr>
            </w:pPr>
          </w:p>
        </w:tc>
      </w:tr>
      <w:tr w:rsidR="00E12FCC" w:rsidRPr="00EB4589" w14:paraId="51563228" w14:textId="77777777" w:rsidTr="00F96D8A">
        <w:trPr>
          <w:trHeight w:val="204"/>
        </w:trPr>
        <w:tc>
          <w:tcPr>
            <w:tcW w:w="2694" w:type="dxa"/>
            <w:tcBorders>
              <w:top w:val="nil"/>
              <w:left w:val="nil"/>
              <w:bottom w:val="nil"/>
              <w:right w:val="nil"/>
            </w:tcBorders>
            <w:shd w:val="clear" w:color="auto" w:fill="auto"/>
            <w:vAlign w:val="bottom"/>
            <w:hideMark/>
          </w:tcPr>
          <w:p w14:paraId="0289CD2C" w14:textId="77777777" w:rsidR="00E12FCC" w:rsidRPr="00EB4589" w:rsidRDefault="00E12FCC" w:rsidP="00E12FCC">
            <w:pPr>
              <w:spacing w:after="0" w:line="240" w:lineRule="auto"/>
              <w:ind w:left="227"/>
              <w:jc w:val="left"/>
              <w:rPr>
                <w:rFonts w:ascii="Arial" w:hAnsi="Arial" w:cs="Arial"/>
                <w:i/>
                <w:iCs/>
                <w:sz w:val="16"/>
                <w:szCs w:val="16"/>
              </w:rPr>
            </w:pPr>
            <w:r w:rsidRPr="00EB4589">
              <w:rPr>
                <w:rFonts w:ascii="Arial" w:hAnsi="Arial" w:cs="Arial"/>
                <w:i/>
                <w:iCs/>
                <w:sz w:val="16"/>
                <w:szCs w:val="16"/>
              </w:rPr>
              <w:t xml:space="preserve">Australian Maritime Safety Authority Act 1990 </w:t>
            </w:r>
            <w:r w:rsidRPr="000B468A">
              <w:rPr>
                <w:rFonts w:ascii="Arial" w:hAnsi="Arial" w:cs="Arial"/>
                <w:i/>
                <w:iCs/>
                <w:sz w:val="16"/>
                <w:szCs w:val="16"/>
                <w:vertAlign w:val="superscript"/>
              </w:rPr>
              <w:t>(b)</w:t>
            </w:r>
          </w:p>
        </w:tc>
        <w:tc>
          <w:tcPr>
            <w:tcW w:w="977" w:type="dxa"/>
            <w:tcBorders>
              <w:top w:val="nil"/>
              <w:left w:val="nil"/>
              <w:bottom w:val="nil"/>
              <w:right w:val="nil"/>
            </w:tcBorders>
            <w:shd w:val="clear" w:color="auto" w:fill="auto"/>
            <w:noWrap/>
            <w:vAlign w:val="bottom"/>
            <w:hideMark/>
          </w:tcPr>
          <w:p w14:paraId="7B90C668" w14:textId="3E4B4F9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133,916 </w:t>
            </w:r>
          </w:p>
        </w:tc>
        <w:tc>
          <w:tcPr>
            <w:tcW w:w="977" w:type="dxa"/>
            <w:gridSpan w:val="2"/>
            <w:tcBorders>
              <w:top w:val="nil"/>
              <w:left w:val="nil"/>
              <w:bottom w:val="nil"/>
              <w:right w:val="nil"/>
            </w:tcBorders>
            <w:shd w:val="clear" w:color="000000" w:fill="E6E6E6"/>
            <w:noWrap/>
            <w:vAlign w:val="bottom"/>
            <w:hideMark/>
          </w:tcPr>
          <w:p w14:paraId="7C18712D" w14:textId="0654073B"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136,059 </w:t>
            </w:r>
          </w:p>
        </w:tc>
        <w:tc>
          <w:tcPr>
            <w:tcW w:w="1016" w:type="dxa"/>
            <w:gridSpan w:val="2"/>
            <w:tcBorders>
              <w:top w:val="nil"/>
              <w:left w:val="nil"/>
              <w:bottom w:val="nil"/>
              <w:right w:val="nil"/>
            </w:tcBorders>
            <w:shd w:val="clear" w:color="auto" w:fill="auto"/>
            <w:noWrap/>
            <w:vAlign w:val="bottom"/>
            <w:hideMark/>
          </w:tcPr>
          <w:p w14:paraId="50BAC3C2" w14:textId="606C68C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154,055 </w:t>
            </w:r>
          </w:p>
        </w:tc>
        <w:tc>
          <w:tcPr>
            <w:tcW w:w="977" w:type="dxa"/>
            <w:gridSpan w:val="2"/>
            <w:tcBorders>
              <w:top w:val="nil"/>
              <w:left w:val="nil"/>
              <w:bottom w:val="nil"/>
              <w:right w:val="nil"/>
            </w:tcBorders>
            <w:shd w:val="clear" w:color="auto" w:fill="auto"/>
            <w:noWrap/>
            <w:vAlign w:val="bottom"/>
            <w:hideMark/>
          </w:tcPr>
          <w:p w14:paraId="27F4BF6C" w14:textId="01FA8165"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157,161 </w:t>
            </w:r>
          </w:p>
        </w:tc>
        <w:tc>
          <w:tcPr>
            <w:tcW w:w="979" w:type="dxa"/>
            <w:gridSpan w:val="2"/>
            <w:tcBorders>
              <w:top w:val="nil"/>
              <w:left w:val="nil"/>
              <w:bottom w:val="nil"/>
              <w:right w:val="nil"/>
            </w:tcBorders>
            <w:shd w:val="clear" w:color="auto" w:fill="auto"/>
            <w:noWrap/>
            <w:vAlign w:val="bottom"/>
            <w:hideMark/>
          </w:tcPr>
          <w:p w14:paraId="736052D2" w14:textId="5416E7D6"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160,325 </w:t>
            </w:r>
          </w:p>
        </w:tc>
      </w:tr>
      <w:tr w:rsidR="00E12FCC" w:rsidRPr="00EB4589" w14:paraId="2146E288" w14:textId="77777777" w:rsidTr="00F96D8A">
        <w:trPr>
          <w:trHeight w:val="204"/>
        </w:trPr>
        <w:tc>
          <w:tcPr>
            <w:tcW w:w="2694" w:type="dxa"/>
            <w:tcBorders>
              <w:top w:val="nil"/>
              <w:left w:val="nil"/>
              <w:bottom w:val="nil"/>
              <w:right w:val="nil"/>
            </w:tcBorders>
            <w:shd w:val="clear" w:color="auto" w:fill="auto"/>
            <w:vAlign w:val="bottom"/>
            <w:hideMark/>
          </w:tcPr>
          <w:p w14:paraId="72CF09B6" w14:textId="77777777" w:rsidR="00E12FCC" w:rsidRPr="00EB4589" w:rsidRDefault="00E12FCC" w:rsidP="00E12FCC">
            <w:pPr>
              <w:spacing w:after="0" w:line="240" w:lineRule="auto"/>
              <w:ind w:left="227"/>
              <w:jc w:val="left"/>
              <w:rPr>
                <w:rFonts w:ascii="Arial" w:hAnsi="Arial" w:cs="Arial"/>
                <w:i/>
                <w:iCs/>
                <w:sz w:val="16"/>
                <w:szCs w:val="16"/>
              </w:rPr>
            </w:pPr>
            <w:r w:rsidRPr="00EB4589">
              <w:rPr>
                <w:rFonts w:ascii="Arial" w:hAnsi="Arial" w:cs="Arial"/>
                <w:i/>
                <w:iCs/>
                <w:sz w:val="16"/>
                <w:szCs w:val="16"/>
              </w:rPr>
              <w:t>Protection of the Sea (Oil Pollution Compensation Funds) Act 1993</w:t>
            </w:r>
          </w:p>
        </w:tc>
        <w:tc>
          <w:tcPr>
            <w:tcW w:w="977" w:type="dxa"/>
            <w:tcBorders>
              <w:top w:val="nil"/>
              <w:left w:val="nil"/>
              <w:bottom w:val="nil"/>
              <w:right w:val="nil"/>
            </w:tcBorders>
            <w:shd w:val="clear" w:color="auto" w:fill="auto"/>
            <w:noWrap/>
            <w:vAlign w:val="bottom"/>
            <w:hideMark/>
          </w:tcPr>
          <w:p w14:paraId="0BB47B83" w14:textId="70019195"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gridSpan w:val="2"/>
            <w:tcBorders>
              <w:top w:val="nil"/>
              <w:left w:val="nil"/>
              <w:bottom w:val="nil"/>
              <w:right w:val="nil"/>
            </w:tcBorders>
            <w:shd w:val="clear" w:color="000000" w:fill="E6E6E6"/>
            <w:noWrap/>
            <w:vAlign w:val="bottom"/>
            <w:hideMark/>
          </w:tcPr>
          <w:p w14:paraId="25F315C0" w14:textId="7A22947D"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600 </w:t>
            </w:r>
          </w:p>
        </w:tc>
        <w:tc>
          <w:tcPr>
            <w:tcW w:w="1016" w:type="dxa"/>
            <w:gridSpan w:val="2"/>
            <w:tcBorders>
              <w:top w:val="nil"/>
              <w:left w:val="nil"/>
              <w:bottom w:val="nil"/>
              <w:right w:val="nil"/>
            </w:tcBorders>
            <w:shd w:val="clear" w:color="auto" w:fill="auto"/>
            <w:noWrap/>
            <w:vAlign w:val="bottom"/>
            <w:hideMark/>
          </w:tcPr>
          <w:p w14:paraId="79963353" w14:textId="0481143B"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gridSpan w:val="2"/>
            <w:tcBorders>
              <w:top w:val="nil"/>
              <w:left w:val="nil"/>
              <w:bottom w:val="nil"/>
              <w:right w:val="nil"/>
            </w:tcBorders>
            <w:shd w:val="clear" w:color="auto" w:fill="auto"/>
            <w:noWrap/>
            <w:vAlign w:val="bottom"/>
            <w:hideMark/>
          </w:tcPr>
          <w:p w14:paraId="123BE96C" w14:textId="65AFB169"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600 </w:t>
            </w:r>
          </w:p>
        </w:tc>
        <w:tc>
          <w:tcPr>
            <w:tcW w:w="979" w:type="dxa"/>
            <w:gridSpan w:val="2"/>
            <w:tcBorders>
              <w:top w:val="nil"/>
              <w:left w:val="nil"/>
              <w:bottom w:val="nil"/>
              <w:right w:val="nil"/>
            </w:tcBorders>
            <w:shd w:val="clear" w:color="auto" w:fill="auto"/>
            <w:noWrap/>
            <w:vAlign w:val="bottom"/>
            <w:hideMark/>
          </w:tcPr>
          <w:p w14:paraId="1F7687DD" w14:textId="4FAD7F92"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600 </w:t>
            </w:r>
          </w:p>
        </w:tc>
      </w:tr>
      <w:tr w:rsidR="00E12FCC" w:rsidRPr="00EB4589" w14:paraId="14AA3394" w14:textId="77777777" w:rsidTr="00F96D8A">
        <w:trPr>
          <w:trHeight w:val="204"/>
        </w:trPr>
        <w:tc>
          <w:tcPr>
            <w:tcW w:w="2694" w:type="dxa"/>
            <w:tcBorders>
              <w:top w:val="nil"/>
              <w:left w:val="nil"/>
              <w:bottom w:val="nil"/>
              <w:right w:val="nil"/>
            </w:tcBorders>
            <w:shd w:val="clear" w:color="auto" w:fill="auto"/>
            <w:vAlign w:val="bottom"/>
            <w:hideMark/>
          </w:tcPr>
          <w:p w14:paraId="376D4C8E"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 xml:space="preserve">Payments to corporate entities </w:t>
            </w:r>
            <w:r w:rsidRPr="000B468A">
              <w:rPr>
                <w:rFonts w:ascii="Arial" w:hAnsi="Arial" w:cs="Arial"/>
                <w:sz w:val="16"/>
                <w:szCs w:val="16"/>
                <w:vertAlign w:val="superscript"/>
              </w:rPr>
              <w:t>(b)</w:t>
            </w:r>
          </w:p>
        </w:tc>
        <w:tc>
          <w:tcPr>
            <w:tcW w:w="977" w:type="dxa"/>
            <w:tcBorders>
              <w:top w:val="nil"/>
              <w:left w:val="nil"/>
              <w:bottom w:val="nil"/>
              <w:right w:val="nil"/>
            </w:tcBorders>
            <w:shd w:val="clear" w:color="auto" w:fill="auto"/>
            <w:noWrap/>
            <w:vAlign w:val="bottom"/>
            <w:hideMark/>
          </w:tcPr>
          <w:p w14:paraId="771EB28F" w14:textId="0555731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92,266 </w:t>
            </w:r>
          </w:p>
        </w:tc>
        <w:tc>
          <w:tcPr>
            <w:tcW w:w="977" w:type="dxa"/>
            <w:gridSpan w:val="2"/>
            <w:tcBorders>
              <w:top w:val="nil"/>
              <w:left w:val="nil"/>
              <w:bottom w:val="nil"/>
              <w:right w:val="nil"/>
            </w:tcBorders>
            <w:shd w:val="clear" w:color="000000" w:fill="E6E6E6"/>
            <w:noWrap/>
            <w:vAlign w:val="bottom"/>
            <w:hideMark/>
          </w:tcPr>
          <w:p w14:paraId="6FB50305" w14:textId="3D8DC7FB"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97,320 </w:t>
            </w:r>
          </w:p>
        </w:tc>
        <w:tc>
          <w:tcPr>
            <w:tcW w:w="1016" w:type="dxa"/>
            <w:gridSpan w:val="2"/>
            <w:tcBorders>
              <w:top w:val="nil"/>
              <w:left w:val="nil"/>
              <w:bottom w:val="nil"/>
              <w:right w:val="nil"/>
            </w:tcBorders>
            <w:shd w:val="clear" w:color="auto" w:fill="auto"/>
            <w:noWrap/>
            <w:vAlign w:val="bottom"/>
            <w:hideMark/>
          </w:tcPr>
          <w:p w14:paraId="0E41C663" w14:textId="73D04BC5"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85,088 </w:t>
            </w:r>
          </w:p>
        </w:tc>
        <w:tc>
          <w:tcPr>
            <w:tcW w:w="977" w:type="dxa"/>
            <w:gridSpan w:val="2"/>
            <w:tcBorders>
              <w:top w:val="nil"/>
              <w:left w:val="nil"/>
              <w:bottom w:val="nil"/>
              <w:right w:val="nil"/>
            </w:tcBorders>
            <w:shd w:val="clear" w:color="auto" w:fill="auto"/>
            <w:noWrap/>
            <w:vAlign w:val="bottom"/>
            <w:hideMark/>
          </w:tcPr>
          <w:p w14:paraId="0C648947" w14:textId="73EB8653"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85,980 </w:t>
            </w:r>
          </w:p>
        </w:tc>
        <w:tc>
          <w:tcPr>
            <w:tcW w:w="979" w:type="dxa"/>
            <w:gridSpan w:val="2"/>
            <w:tcBorders>
              <w:top w:val="nil"/>
              <w:left w:val="nil"/>
              <w:bottom w:val="nil"/>
              <w:right w:val="nil"/>
            </w:tcBorders>
            <w:shd w:val="clear" w:color="auto" w:fill="auto"/>
            <w:noWrap/>
            <w:vAlign w:val="bottom"/>
            <w:hideMark/>
          </w:tcPr>
          <w:p w14:paraId="07F31CF2" w14:textId="1596ABA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86,954 </w:t>
            </w:r>
          </w:p>
        </w:tc>
      </w:tr>
      <w:tr w:rsidR="00E12FCC" w:rsidRPr="00EB4589" w14:paraId="180AD814" w14:textId="77777777" w:rsidTr="00F96D8A">
        <w:trPr>
          <w:trHeight w:val="204"/>
        </w:trPr>
        <w:tc>
          <w:tcPr>
            <w:tcW w:w="2694" w:type="dxa"/>
            <w:tcBorders>
              <w:top w:val="nil"/>
              <w:left w:val="nil"/>
              <w:bottom w:val="nil"/>
              <w:right w:val="nil"/>
            </w:tcBorders>
            <w:shd w:val="clear" w:color="auto" w:fill="auto"/>
            <w:vAlign w:val="bottom"/>
            <w:hideMark/>
          </w:tcPr>
          <w:p w14:paraId="60896910"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Expenses not requiring appropriation in the Budget year</w:t>
            </w:r>
            <w:r>
              <w:rPr>
                <w:rFonts w:ascii="Arial" w:hAnsi="Arial" w:cs="Arial"/>
                <w:sz w:val="16"/>
                <w:szCs w:val="16"/>
              </w:rPr>
              <w:t> </w:t>
            </w:r>
            <w:r w:rsidRPr="000B468A">
              <w:rPr>
                <w:rFonts w:ascii="Arial" w:hAnsi="Arial" w:cs="Arial"/>
                <w:sz w:val="16"/>
                <w:szCs w:val="16"/>
                <w:vertAlign w:val="superscript"/>
              </w:rPr>
              <w:t>(c)</w:t>
            </w:r>
          </w:p>
        </w:tc>
        <w:tc>
          <w:tcPr>
            <w:tcW w:w="977" w:type="dxa"/>
            <w:tcBorders>
              <w:top w:val="nil"/>
              <w:left w:val="nil"/>
              <w:bottom w:val="nil"/>
              <w:right w:val="nil"/>
            </w:tcBorders>
            <w:shd w:val="clear" w:color="auto" w:fill="auto"/>
            <w:noWrap/>
            <w:vAlign w:val="bottom"/>
            <w:hideMark/>
          </w:tcPr>
          <w:p w14:paraId="129082C7" w14:textId="43D1A2B7"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246 </w:t>
            </w:r>
          </w:p>
        </w:tc>
        <w:tc>
          <w:tcPr>
            <w:tcW w:w="977" w:type="dxa"/>
            <w:gridSpan w:val="2"/>
            <w:tcBorders>
              <w:top w:val="nil"/>
              <w:left w:val="nil"/>
              <w:bottom w:val="nil"/>
              <w:right w:val="nil"/>
            </w:tcBorders>
            <w:shd w:val="clear" w:color="000000" w:fill="E6E6E6"/>
            <w:noWrap/>
            <w:vAlign w:val="bottom"/>
            <w:hideMark/>
          </w:tcPr>
          <w:p w14:paraId="4CF5B85A" w14:textId="56CF0A42"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1016" w:type="dxa"/>
            <w:gridSpan w:val="2"/>
            <w:tcBorders>
              <w:top w:val="nil"/>
              <w:left w:val="nil"/>
              <w:bottom w:val="nil"/>
              <w:right w:val="nil"/>
            </w:tcBorders>
            <w:shd w:val="clear" w:color="auto" w:fill="auto"/>
            <w:noWrap/>
            <w:vAlign w:val="bottom"/>
            <w:hideMark/>
          </w:tcPr>
          <w:p w14:paraId="09AE270C" w14:textId="4F75982B"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791C9C5F" w14:textId="6D3EDB79"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gridSpan w:val="2"/>
            <w:tcBorders>
              <w:top w:val="nil"/>
              <w:left w:val="nil"/>
              <w:bottom w:val="nil"/>
              <w:right w:val="nil"/>
            </w:tcBorders>
            <w:shd w:val="clear" w:color="auto" w:fill="auto"/>
            <w:noWrap/>
            <w:vAlign w:val="bottom"/>
            <w:hideMark/>
          </w:tcPr>
          <w:p w14:paraId="59A7DE5F" w14:textId="259FD8DA"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EB4589" w14:paraId="19C6FFA4" w14:textId="77777777" w:rsidTr="00F96D8A">
        <w:trPr>
          <w:trHeight w:val="204"/>
        </w:trPr>
        <w:tc>
          <w:tcPr>
            <w:tcW w:w="2694" w:type="dxa"/>
            <w:tcBorders>
              <w:top w:val="nil"/>
              <w:left w:val="nil"/>
              <w:bottom w:val="nil"/>
              <w:right w:val="nil"/>
            </w:tcBorders>
            <w:shd w:val="clear" w:color="auto" w:fill="auto"/>
            <w:noWrap/>
            <w:vAlign w:val="bottom"/>
            <w:hideMark/>
          </w:tcPr>
          <w:p w14:paraId="73102A84" w14:textId="77777777" w:rsidR="00E12FCC" w:rsidRPr="00EB4589" w:rsidRDefault="00E12FCC" w:rsidP="00E12FCC">
            <w:pPr>
              <w:spacing w:after="0" w:line="240" w:lineRule="auto"/>
              <w:jc w:val="left"/>
              <w:rPr>
                <w:rFonts w:ascii="Arial" w:hAnsi="Arial" w:cs="Arial"/>
                <w:b/>
                <w:bCs/>
                <w:sz w:val="16"/>
                <w:szCs w:val="16"/>
              </w:rPr>
            </w:pPr>
            <w:r w:rsidRPr="00EB4589">
              <w:rPr>
                <w:rFonts w:ascii="Arial" w:hAnsi="Arial" w:cs="Arial"/>
                <w:b/>
                <w:bCs/>
                <w:sz w:val="16"/>
                <w:szCs w:val="16"/>
              </w:rPr>
              <w:t>Total expenses for Program 2.1</w:t>
            </w:r>
          </w:p>
        </w:tc>
        <w:tc>
          <w:tcPr>
            <w:tcW w:w="977" w:type="dxa"/>
            <w:tcBorders>
              <w:top w:val="single" w:sz="4" w:space="0" w:color="auto"/>
              <w:left w:val="nil"/>
              <w:bottom w:val="single" w:sz="4" w:space="0" w:color="auto"/>
              <w:right w:val="nil"/>
            </w:tcBorders>
            <w:shd w:val="clear" w:color="auto" w:fill="auto"/>
            <w:noWrap/>
            <w:vAlign w:val="bottom"/>
            <w:hideMark/>
          </w:tcPr>
          <w:p w14:paraId="4E3BED15" w14:textId="7014C209"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466,182 </w:t>
            </w:r>
          </w:p>
        </w:tc>
        <w:tc>
          <w:tcPr>
            <w:tcW w:w="977" w:type="dxa"/>
            <w:gridSpan w:val="2"/>
            <w:tcBorders>
              <w:top w:val="single" w:sz="4" w:space="0" w:color="auto"/>
              <w:left w:val="nil"/>
              <w:bottom w:val="single" w:sz="4" w:space="0" w:color="auto"/>
              <w:right w:val="nil"/>
            </w:tcBorders>
            <w:shd w:val="clear" w:color="000000" w:fill="E6E6E6"/>
            <w:noWrap/>
            <w:vAlign w:val="bottom"/>
            <w:hideMark/>
          </w:tcPr>
          <w:p w14:paraId="6C032474" w14:textId="20541D10"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481,399 </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4F9A7093" w14:textId="4EB1C08B"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489,162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72DD89BF" w14:textId="38F59C60"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487,725 </w:t>
            </w:r>
          </w:p>
        </w:tc>
        <w:tc>
          <w:tcPr>
            <w:tcW w:w="979" w:type="dxa"/>
            <w:gridSpan w:val="2"/>
            <w:tcBorders>
              <w:top w:val="single" w:sz="4" w:space="0" w:color="auto"/>
              <w:left w:val="nil"/>
              <w:bottom w:val="single" w:sz="4" w:space="0" w:color="auto"/>
              <w:right w:val="nil"/>
            </w:tcBorders>
            <w:shd w:val="clear" w:color="auto" w:fill="auto"/>
            <w:noWrap/>
            <w:vAlign w:val="bottom"/>
            <w:hideMark/>
          </w:tcPr>
          <w:p w14:paraId="37FA5621" w14:textId="6D0A47E7"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493,319 </w:t>
            </w:r>
          </w:p>
        </w:tc>
      </w:tr>
      <w:tr w:rsidR="00B91F3E" w:rsidRPr="00EB4589" w14:paraId="557CB881" w14:textId="77777777" w:rsidTr="00F96D8A">
        <w:trPr>
          <w:trHeight w:val="204"/>
        </w:trPr>
        <w:tc>
          <w:tcPr>
            <w:tcW w:w="2694" w:type="dxa"/>
            <w:tcBorders>
              <w:top w:val="single" w:sz="4" w:space="0" w:color="auto"/>
              <w:left w:val="nil"/>
              <w:bottom w:val="single" w:sz="4" w:space="0" w:color="auto"/>
              <w:right w:val="nil"/>
            </w:tcBorders>
            <w:shd w:val="clear" w:color="000000" w:fill="E6E6E6"/>
            <w:noWrap/>
            <w:vAlign w:val="bottom"/>
            <w:hideMark/>
          </w:tcPr>
          <w:p w14:paraId="0249ED48" w14:textId="77777777" w:rsidR="00B91F3E" w:rsidRPr="00EB4589" w:rsidRDefault="00B91F3E" w:rsidP="00F96D8A">
            <w:pPr>
              <w:spacing w:after="0" w:line="240" w:lineRule="auto"/>
              <w:jc w:val="left"/>
              <w:rPr>
                <w:rFonts w:ascii="Arial" w:hAnsi="Arial" w:cs="Arial"/>
                <w:b/>
                <w:bCs/>
                <w:sz w:val="16"/>
                <w:szCs w:val="16"/>
              </w:rPr>
            </w:pPr>
            <w:r w:rsidRPr="00EB4589">
              <w:rPr>
                <w:rFonts w:ascii="Arial" w:hAnsi="Arial" w:cs="Arial"/>
                <w:b/>
                <w:bCs/>
                <w:sz w:val="16"/>
                <w:szCs w:val="16"/>
              </w:rPr>
              <w:t xml:space="preserve">Program 2.2: Road Safety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69208732" w14:textId="77777777" w:rsidR="00B91F3E" w:rsidRPr="00EB4589" w:rsidRDefault="00B91F3E" w:rsidP="00F96D8A">
            <w:pPr>
              <w:spacing w:after="0" w:line="240" w:lineRule="auto"/>
              <w:jc w:val="right"/>
              <w:rPr>
                <w:rFonts w:ascii="Arial" w:hAnsi="Arial" w:cs="Arial"/>
                <w:sz w:val="16"/>
                <w:szCs w:val="16"/>
              </w:rPr>
            </w:pP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1FEF712B" w14:textId="77777777" w:rsidR="00B91F3E" w:rsidRPr="00EB4589" w:rsidRDefault="00B91F3E" w:rsidP="00F96D8A">
            <w:pPr>
              <w:spacing w:after="0" w:line="240" w:lineRule="auto"/>
              <w:jc w:val="right"/>
              <w:rPr>
                <w:rFonts w:ascii="Arial" w:hAnsi="Arial" w:cs="Arial"/>
                <w:sz w:val="16"/>
                <w:szCs w:val="16"/>
              </w:rPr>
            </w:pPr>
          </w:p>
        </w:tc>
        <w:tc>
          <w:tcPr>
            <w:tcW w:w="1036" w:type="dxa"/>
            <w:gridSpan w:val="2"/>
            <w:tcBorders>
              <w:top w:val="single" w:sz="4" w:space="0" w:color="auto"/>
              <w:left w:val="nil"/>
              <w:bottom w:val="single" w:sz="4" w:space="0" w:color="auto"/>
              <w:right w:val="nil"/>
            </w:tcBorders>
            <w:shd w:val="clear" w:color="000000" w:fill="E6E6E6"/>
            <w:noWrap/>
            <w:vAlign w:val="bottom"/>
            <w:hideMark/>
          </w:tcPr>
          <w:p w14:paraId="3FD54D99" w14:textId="77777777" w:rsidR="00B91F3E" w:rsidRPr="00EB4589" w:rsidRDefault="00B91F3E" w:rsidP="00F96D8A">
            <w:pPr>
              <w:spacing w:after="0" w:line="240" w:lineRule="auto"/>
              <w:jc w:val="right"/>
              <w:rPr>
                <w:rFonts w:ascii="Arial" w:hAnsi="Arial" w:cs="Arial"/>
                <w:sz w:val="16"/>
                <w:szCs w:val="16"/>
              </w:rPr>
            </w:pP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750EAB4A" w14:textId="77777777" w:rsidR="00B91F3E" w:rsidRPr="00EB4589" w:rsidRDefault="00B91F3E" w:rsidP="00F96D8A">
            <w:pPr>
              <w:spacing w:after="0" w:line="240" w:lineRule="auto"/>
              <w:jc w:val="right"/>
              <w:rPr>
                <w:rFonts w:ascii="Arial" w:hAnsi="Arial" w:cs="Arial"/>
                <w:sz w:val="16"/>
                <w:szCs w:val="16"/>
              </w:rPr>
            </w:pPr>
          </w:p>
        </w:tc>
        <w:tc>
          <w:tcPr>
            <w:tcW w:w="902" w:type="dxa"/>
            <w:tcBorders>
              <w:top w:val="single" w:sz="4" w:space="0" w:color="auto"/>
              <w:left w:val="nil"/>
              <w:bottom w:val="single" w:sz="4" w:space="0" w:color="auto"/>
              <w:right w:val="nil"/>
            </w:tcBorders>
            <w:shd w:val="clear" w:color="000000" w:fill="E6E6E6"/>
            <w:noWrap/>
            <w:vAlign w:val="bottom"/>
            <w:hideMark/>
          </w:tcPr>
          <w:p w14:paraId="4ECE2560" w14:textId="77777777" w:rsidR="00B91F3E" w:rsidRPr="00EB4589" w:rsidRDefault="00B91F3E" w:rsidP="00F96D8A">
            <w:pPr>
              <w:spacing w:after="0" w:line="240" w:lineRule="auto"/>
              <w:jc w:val="right"/>
              <w:rPr>
                <w:rFonts w:ascii="Arial" w:hAnsi="Arial" w:cs="Arial"/>
                <w:sz w:val="16"/>
                <w:szCs w:val="16"/>
              </w:rPr>
            </w:pPr>
          </w:p>
        </w:tc>
      </w:tr>
      <w:tr w:rsidR="00B91F3E" w:rsidRPr="00EB4589" w14:paraId="3A172B58" w14:textId="77777777" w:rsidTr="00F96D8A">
        <w:trPr>
          <w:trHeight w:val="204"/>
        </w:trPr>
        <w:tc>
          <w:tcPr>
            <w:tcW w:w="2694" w:type="dxa"/>
            <w:tcBorders>
              <w:top w:val="nil"/>
              <w:left w:val="nil"/>
              <w:bottom w:val="nil"/>
              <w:right w:val="nil"/>
            </w:tcBorders>
            <w:shd w:val="clear" w:color="auto" w:fill="auto"/>
            <w:noWrap/>
            <w:vAlign w:val="bottom"/>
            <w:hideMark/>
          </w:tcPr>
          <w:p w14:paraId="2CBF0488"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Administered expenses</w:t>
            </w:r>
          </w:p>
        </w:tc>
        <w:tc>
          <w:tcPr>
            <w:tcW w:w="996" w:type="dxa"/>
            <w:gridSpan w:val="2"/>
            <w:tcBorders>
              <w:top w:val="nil"/>
              <w:left w:val="nil"/>
              <w:bottom w:val="nil"/>
              <w:right w:val="nil"/>
            </w:tcBorders>
            <w:shd w:val="clear" w:color="auto" w:fill="auto"/>
            <w:noWrap/>
            <w:vAlign w:val="bottom"/>
            <w:hideMark/>
          </w:tcPr>
          <w:p w14:paraId="371D9CD0" w14:textId="77777777" w:rsidR="00B91F3E" w:rsidRPr="00C75F78"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0615B560" w14:textId="77777777" w:rsidR="00B91F3E" w:rsidRPr="00C75F78" w:rsidRDefault="00B91F3E" w:rsidP="00F96D8A">
            <w:pPr>
              <w:spacing w:after="0" w:line="240" w:lineRule="auto"/>
              <w:jc w:val="right"/>
              <w:rPr>
                <w:rFonts w:ascii="Arial" w:hAnsi="Arial" w:cs="Arial"/>
                <w:sz w:val="16"/>
                <w:szCs w:val="16"/>
              </w:rPr>
            </w:pPr>
          </w:p>
        </w:tc>
        <w:tc>
          <w:tcPr>
            <w:tcW w:w="1036" w:type="dxa"/>
            <w:gridSpan w:val="2"/>
            <w:tcBorders>
              <w:top w:val="nil"/>
              <w:left w:val="nil"/>
              <w:bottom w:val="nil"/>
              <w:right w:val="nil"/>
            </w:tcBorders>
            <w:shd w:val="clear" w:color="auto" w:fill="auto"/>
            <w:noWrap/>
            <w:vAlign w:val="bottom"/>
            <w:hideMark/>
          </w:tcPr>
          <w:p w14:paraId="09DBE73D" w14:textId="77777777" w:rsidR="00B91F3E" w:rsidRPr="00C75F78"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5442CDF3" w14:textId="77777777" w:rsidR="00B91F3E" w:rsidRPr="00C75F78" w:rsidRDefault="00B91F3E" w:rsidP="00F96D8A">
            <w:pPr>
              <w:spacing w:after="0" w:line="240" w:lineRule="auto"/>
              <w:jc w:val="right"/>
              <w:rPr>
                <w:rFonts w:ascii="Times New Roman" w:hAnsi="Times New Roman"/>
                <w:sz w:val="16"/>
                <w:szCs w:val="16"/>
              </w:rPr>
            </w:pPr>
          </w:p>
        </w:tc>
        <w:tc>
          <w:tcPr>
            <w:tcW w:w="902" w:type="dxa"/>
            <w:tcBorders>
              <w:top w:val="nil"/>
              <w:left w:val="nil"/>
              <w:bottom w:val="nil"/>
              <w:right w:val="nil"/>
            </w:tcBorders>
            <w:shd w:val="clear" w:color="auto" w:fill="auto"/>
            <w:noWrap/>
            <w:vAlign w:val="bottom"/>
            <w:hideMark/>
          </w:tcPr>
          <w:p w14:paraId="21E3C55C" w14:textId="77777777" w:rsidR="00B91F3E" w:rsidRPr="00C75F78" w:rsidRDefault="00B91F3E" w:rsidP="00F96D8A">
            <w:pPr>
              <w:spacing w:after="0" w:line="240" w:lineRule="auto"/>
              <w:jc w:val="right"/>
              <w:rPr>
                <w:rFonts w:ascii="Times New Roman" w:hAnsi="Times New Roman"/>
                <w:sz w:val="16"/>
                <w:szCs w:val="16"/>
              </w:rPr>
            </w:pPr>
          </w:p>
        </w:tc>
      </w:tr>
      <w:tr w:rsidR="00E12FCC" w:rsidRPr="00EB4589" w14:paraId="3F2EC20E" w14:textId="77777777" w:rsidTr="00F96D8A">
        <w:trPr>
          <w:trHeight w:val="204"/>
        </w:trPr>
        <w:tc>
          <w:tcPr>
            <w:tcW w:w="2694" w:type="dxa"/>
            <w:tcBorders>
              <w:top w:val="nil"/>
              <w:left w:val="nil"/>
              <w:bottom w:val="nil"/>
              <w:right w:val="nil"/>
            </w:tcBorders>
            <w:shd w:val="clear" w:color="auto" w:fill="auto"/>
            <w:vAlign w:val="bottom"/>
            <w:hideMark/>
          </w:tcPr>
          <w:p w14:paraId="25E6AF67" w14:textId="77777777" w:rsidR="00E12FCC" w:rsidRPr="00302493" w:rsidRDefault="00E12FCC" w:rsidP="00E12FCC">
            <w:pPr>
              <w:spacing w:after="0" w:line="240" w:lineRule="auto"/>
              <w:ind w:left="113"/>
              <w:jc w:val="left"/>
              <w:rPr>
                <w:rFonts w:ascii="Arial" w:hAnsi="Arial" w:cs="Arial"/>
                <w:sz w:val="16"/>
                <w:szCs w:val="16"/>
              </w:rPr>
            </w:pPr>
            <w:r w:rsidRPr="00302493">
              <w:rPr>
                <w:rFonts w:ascii="Arial" w:hAnsi="Arial" w:cs="Arial"/>
                <w:sz w:val="16"/>
                <w:szCs w:val="16"/>
              </w:rPr>
              <w:t>Ordinary Annual Services (Appropriation Act No.</w:t>
            </w:r>
            <w:r>
              <w:rPr>
                <w:rFonts w:ascii="Arial" w:hAnsi="Arial" w:cs="Arial"/>
                <w:sz w:val="16"/>
                <w:szCs w:val="16"/>
              </w:rPr>
              <w:t> </w:t>
            </w:r>
            <w:r w:rsidRPr="00302493">
              <w:rPr>
                <w:rFonts w:ascii="Arial" w:hAnsi="Arial" w:cs="Arial"/>
                <w:sz w:val="16"/>
                <w:szCs w:val="16"/>
              </w:rPr>
              <w:t>1 and Bill No. 3)</w:t>
            </w:r>
          </w:p>
        </w:tc>
        <w:tc>
          <w:tcPr>
            <w:tcW w:w="996" w:type="dxa"/>
            <w:gridSpan w:val="2"/>
            <w:tcBorders>
              <w:top w:val="nil"/>
              <w:left w:val="nil"/>
              <w:bottom w:val="nil"/>
              <w:right w:val="nil"/>
            </w:tcBorders>
            <w:shd w:val="clear" w:color="auto" w:fill="auto"/>
            <w:noWrap/>
            <w:vAlign w:val="bottom"/>
            <w:hideMark/>
          </w:tcPr>
          <w:p w14:paraId="1DE3D37E" w14:textId="24EA9B1C"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8,500 </w:t>
            </w:r>
          </w:p>
        </w:tc>
        <w:tc>
          <w:tcPr>
            <w:tcW w:w="996" w:type="dxa"/>
            <w:gridSpan w:val="2"/>
            <w:tcBorders>
              <w:top w:val="nil"/>
              <w:left w:val="nil"/>
              <w:bottom w:val="nil"/>
              <w:right w:val="nil"/>
            </w:tcBorders>
            <w:shd w:val="clear" w:color="000000" w:fill="E6E6E6"/>
            <w:noWrap/>
            <w:vAlign w:val="bottom"/>
            <w:hideMark/>
          </w:tcPr>
          <w:p w14:paraId="483550C8" w14:textId="48904E7A"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13,228 </w:t>
            </w:r>
          </w:p>
        </w:tc>
        <w:tc>
          <w:tcPr>
            <w:tcW w:w="1036" w:type="dxa"/>
            <w:gridSpan w:val="2"/>
            <w:tcBorders>
              <w:top w:val="nil"/>
              <w:left w:val="nil"/>
              <w:bottom w:val="nil"/>
              <w:right w:val="nil"/>
            </w:tcBorders>
            <w:shd w:val="clear" w:color="auto" w:fill="auto"/>
            <w:noWrap/>
            <w:vAlign w:val="bottom"/>
            <w:hideMark/>
          </w:tcPr>
          <w:p w14:paraId="4068D17D" w14:textId="47ED1E9A"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3,000 </w:t>
            </w:r>
          </w:p>
        </w:tc>
        <w:tc>
          <w:tcPr>
            <w:tcW w:w="996" w:type="dxa"/>
            <w:gridSpan w:val="2"/>
            <w:tcBorders>
              <w:top w:val="nil"/>
              <w:left w:val="nil"/>
              <w:bottom w:val="nil"/>
              <w:right w:val="nil"/>
            </w:tcBorders>
            <w:shd w:val="clear" w:color="auto" w:fill="auto"/>
            <w:noWrap/>
            <w:vAlign w:val="bottom"/>
            <w:hideMark/>
          </w:tcPr>
          <w:p w14:paraId="1039712B" w14:textId="387EC342"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02" w:type="dxa"/>
            <w:tcBorders>
              <w:top w:val="nil"/>
              <w:left w:val="nil"/>
              <w:bottom w:val="nil"/>
              <w:right w:val="nil"/>
            </w:tcBorders>
            <w:shd w:val="clear" w:color="auto" w:fill="auto"/>
            <w:noWrap/>
            <w:vAlign w:val="bottom"/>
            <w:hideMark/>
          </w:tcPr>
          <w:p w14:paraId="06B74069" w14:textId="4111E69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EB4589" w14:paraId="5F27A8E6" w14:textId="77777777" w:rsidTr="00F96D8A">
        <w:trPr>
          <w:trHeight w:val="204"/>
        </w:trPr>
        <w:tc>
          <w:tcPr>
            <w:tcW w:w="2694" w:type="dxa"/>
            <w:tcBorders>
              <w:top w:val="nil"/>
              <w:left w:val="nil"/>
              <w:bottom w:val="nil"/>
              <w:right w:val="nil"/>
            </w:tcBorders>
            <w:shd w:val="clear" w:color="auto" w:fill="auto"/>
            <w:vAlign w:val="bottom"/>
            <w:hideMark/>
          </w:tcPr>
          <w:p w14:paraId="7FD7589E" w14:textId="77777777" w:rsidR="00E12FCC" w:rsidRPr="00302493" w:rsidRDefault="00E12FCC" w:rsidP="00E12FCC">
            <w:pPr>
              <w:spacing w:after="0" w:line="240" w:lineRule="auto"/>
              <w:ind w:left="113"/>
              <w:jc w:val="left"/>
              <w:rPr>
                <w:rFonts w:ascii="Arial" w:hAnsi="Arial" w:cs="Arial"/>
                <w:sz w:val="16"/>
                <w:szCs w:val="16"/>
              </w:rPr>
            </w:pPr>
            <w:r w:rsidRPr="00302493">
              <w:rPr>
                <w:rFonts w:ascii="Arial" w:hAnsi="Arial" w:cs="Arial"/>
                <w:sz w:val="16"/>
                <w:szCs w:val="16"/>
              </w:rPr>
              <w:t>Expenses not requiring appropriation in the Budget year</w:t>
            </w:r>
            <w:r>
              <w:rPr>
                <w:rFonts w:ascii="Arial" w:hAnsi="Arial" w:cs="Arial"/>
                <w:sz w:val="16"/>
                <w:szCs w:val="16"/>
              </w:rPr>
              <w:t> </w:t>
            </w:r>
            <w:r w:rsidRPr="000B468A">
              <w:rPr>
                <w:rFonts w:ascii="Arial" w:hAnsi="Arial" w:cs="Arial"/>
                <w:sz w:val="16"/>
                <w:szCs w:val="16"/>
                <w:vertAlign w:val="superscript"/>
              </w:rPr>
              <w:t>(c)</w:t>
            </w:r>
          </w:p>
        </w:tc>
        <w:tc>
          <w:tcPr>
            <w:tcW w:w="996" w:type="dxa"/>
            <w:gridSpan w:val="2"/>
            <w:tcBorders>
              <w:top w:val="nil"/>
              <w:left w:val="nil"/>
              <w:bottom w:val="nil"/>
              <w:right w:val="nil"/>
            </w:tcBorders>
            <w:shd w:val="clear" w:color="auto" w:fill="auto"/>
            <w:noWrap/>
            <w:vAlign w:val="bottom"/>
            <w:hideMark/>
          </w:tcPr>
          <w:p w14:paraId="036F94D2" w14:textId="7B87AD0B"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358 </w:t>
            </w:r>
          </w:p>
        </w:tc>
        <w:tc>
          <w:tcPr>
            <w:tcW w:w="996" w:type="dxa"/>
            <w:gridSpan w:val="2"/>
            <w:tcBorders>
              <w:top w:val="nil"/>
              <w:left w:val="nil"/>
              <w:bottom w:val="nil"/>
              <w:right w:val="nil"/>
            </w:tcBorders>
            <w:shd w:val="clear" w:color="000000" w:fill="E6E6E6"/>
            <w:noWrap/>
            <w:vAlign w:val="bottom"/>
            <w:hideMark/>
          </w:tcPr>
          <w:p w14:paraId="6AACF3A9" w14:textId="5578EE39"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1036" w:type="dxa"/>
            <w:gridSpan w:val="2"/>
            <w:tcBorders>
              <w:top w:val="nil"/>
              <w:left w:val="nil"/>
              <w:bottom w:val="nil"/>
              <w:right w:val="nil"/>
            </w:tcBorders>
            <w:shd w:val="clear" w:color="auto" w:fill="auto"/>
            <w:noWrap/>
            <w:vAlign w:val="bottom"/>
            <w:hideMark/>
          </w:tcPr>
          <w:p w14:paraId="080C7D27" w14:textId="17B238A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2"/>
            <w:tcBorders>
              <w:top w:val="nil"/>
              <w:left w:val="nil"/>
              <w:bottom w:val="nil"/>
              <w:right w:val="nil"/>
            </w:tcBorders>
            <w:shd w:val="clear" w:color="auto" w:fill="auto"/>
            <w:noWrap/>
            <w:vAlign w:val="bottom"/>
            <w:hideMark/>
          </w:tcPr>
          <w:p w14:paraId="622A0414" w14:textId="795DABBE"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02" w:type="dxa"/>
            <w:tcBorders>
              <w:top w:val="nil"/>
              <w:left w:val="nil"/>
              <w:bottom w:val="nil"/>
              <w:right w:val="nil"/>
            </w:tcBorders>
            <w:shd w:val="clear" w:color="auto" w:fill="auto"/>
            <w:noWrap/>
            <w:vAlign w:val="bottom"/>
            <w:hideMark/>
          </w:tcPr>
          <w:p w14:paraId="00EB54FA" w14:textId="2662AC3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EB4589" w14:paraId="61B04803" w14:textId="77777777" w:rsidTr="00F96D8A">
        <w:trPr>
          <w:trHeight w:val="204"/>
        </w:trPr>
        <w:tc>
          <w:tcPr>
            <w:tcW w:w="2694" w:type="dxa"/>
            <w:tcBorders>
              <w:top w:val="nil"/>
              <w:left w:val="nil"/>
              <w:bottom w:val="nil"/>
              <w:right w:val="nil"/>
            </w:tcBorders>
            <w:shd w:val="clear" w:color="auto" w:fill="auto"/>
            <w:noWrap/>
            <w:vAlign w:val="bottom"/>
            <w:hideMark/>
          </w:tcPr>
          <w:p w14:paraId="0F877499" w14:textId="77777777" w:rsidR="00E12FCC" w:rsidRPr="00EB4589" w:rsidRDefault="00E12FCC" w:rsidP="00E12FCC">
            <w:pPr>
              <w:spacing w:after="0" w:line="240" w:lineRule="auto"/>
              <w:jc w:val="left"/>
              <w:rPr>
                <w:rFonts w:ascii="Arial" w:hAnsi="Arial" w:cs="Arial"/>
                <w:b/>
                <w:bCs/>
                <w:sz w:val="16"/>
                <w:szCs w:val="16"/>
              </w:rPr>
            </w:pPr>
            <w:r w:rsidRPr="00EB4589">
              <w:rPr>
                <w:rFonts w:ascii="Arial" w:hAnsi="Arial" w:cs="Arial"/>
                <w:b/>
                <w:bCs/>
                <w:sz w:val="16"/>
                <w:szCs w:val="16"/>
              </w:rPr>
              <w:t>Total expenses for Program 2.2</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A90C5E1" w14:textId="4F87395C"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8,858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7F0440B2" w14:textId="355C3255"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13,228 </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6132E572" w14:textId="01AC5F8C"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3,000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78993F1F" w14:textId="6C2A44D1"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2" w:type="dxa"/>
            <w:tcBorders>
              <w:top w:val="single" w:sz="4" w:space="0" w:color="auto"/>
              <w:left w:val="nil"/>
              <w:bottom w:val="single" w:sz="4" w:space="0" w:color="auto"/>
              <w:right w:val="nil"/>
            </w:tcBorders>
            <w:shd w:val="clear" w:color="auto" w:fill="auto"/>
            <w:noWrap/>
            <w:vAlign w:val="bottom"/>
            <w:hideMark/>
          </w:tcPr>
          <w:p w14:paraId="2A177A01" w14:textId="68625846"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B91F3E" w:rsidRPr="00EB4589" w14:paraId="42B78405" w14:textId="77777777" w:rsidTr="00F96D8A">
        <w:trPr>
          <w:trHeight w:val="204"/>
        </w:trPr>
        <w:tc>
          <w:tcPr>
            <w:tcW w:w="2694" w:type="dxa"/>
            <w:tcBorders>
              <w:top w:val="single" w:sz="4" w:space="0" w:color="auto"/>
              <w:left w:val="nil"/>
              <w:bottom w:val="single" w:sz="4" w:space="0" w:color="auto"/>
              <w:right w:val="nil"/>
            </w:tcBorders>
            <w:shd w:val="clear" w:color="000000" w:fill="E6E6E6"/>
            <w:noWrap/>
            <w:vAlign w:val="bottom"/>
            <w:hideMark/>
          </w:tcPr>
          <w:p w14:paraId="42C77827" w14:textId="77777777" w:rsidR="00B91F3E" w:rsidRPr="00EB4589" w:rsidRDefault="00B91F3E" w:rsidP="00F96D8A">
            <w:pPr>
              <w:spacing w:after="0" w:line="240" w:lineRule="auto"/>
              <w:jc w:val="left"/>
              <w:rPr>
                <w:rFonts w:ascii="Arial" w:hAnsi="Arial" w:cs="Arial"/>
                <w:b/>
                <w:bCs/>
                <w:sz w:val="16"/>
                <w:szCs w:val="16"/>
              </w:rPr>
            </w:pPr>
            <w:r w:rsidRPr="00EB4589">
              <w:rPr>
                <w:rFonts w:ascii="Arial" w:hAnsi="Arial" w:cs="Arial"/>
                <w:b/>
                <w:bCs/>
                <w:sz w:val="16"/>
                <w:szCs w:val="16"/>
              </w:rPr>
              <w:t xml:space="preserve">Program 2.3: Air Transport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79593A92" w14:textId="77777777" w:rsidR="00B91F3E" w:rsidRPr="00EB4589" w:rsidRDefault="00B91F3E" w:rsidP="00F96D8A">
            <w:pPr>
              <w:spacing w:after="0" w:line="240" w:lineRule="auto"/>
              <w:jc w:val="right"/>
              <w:rPr>
                <w:rFonts w:ascii="Arial" w:hAnsi="Arial" w:cs="Arial"/>
                <w:sz w:val="16"/>
                <w:szCs w:val="16"/>
              </w:rPr>
            </w:pP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6F28DB09" w14:textId="77777777" w:rsidR="00B91F3E" w:rsidRPr="00EB4589" w:rsidRDefault="00B91F3E" w:rsidP="00F96D8A">
            <w:pPr>
              <w:spacing w:after="0" w:line="240" w:lineRule="auto"/>
              <w:jc w:val="right"/>
              <w:rPr>
                <w:rFonts w:ascii="Arial" w:hAnsi="Arial" w:cs="Arial"/>
                <w:sz w:val="16"/>
                <w:szCs w:val="16"/>
              </w:rPr>
            </w:pPr>
          </w:p>
        </w:tc>
        <w:tc>
          <w:tcPr>
            <w:tcW w:w="1036" w:type="dxa"/>
            <w:gridSpan w:val="2"/>
            <w:tcBorders>
              <w:top w:val="single" w:sz="4" w:space="0" w:color="auto"/>
              <w:left w:val="nil"/>
              <w:bottom w:val="single" w:sz="4" w:space="0" w:color="auto"/>
              <w:right w:val="nil"/>
            </w:tcBorders>
            <w:shd w:val="clear" w:color="000000" w:fill="E6E6E6"/>
            <w:noWrap/>
            <w:vAlign w:val="bottom"/>
            <w:hideMark/>
          </w:tcPr>
          <w:p w14:paraId="0D67ECF9" w14:textId="77777777" w:rsidR="00B91F3E" w:rsidRPr="00EB4589" w:rsidRDefault="00B91F3E" w:rsidP="00F96D8A">
            <w:pPr>
              <w:spacing w:after="0" w:line="240" w:lineRule="auto"/>
              <w:jc w:val="right"/>
              <w:rPr>
                <w:rFonts w:ascii="Arial" w:hAnsi="Arial" w:cs="Arial"/>
                <w:sz w:val="16"/>
                <w:szCs w:val="16"/>
              </w:rPr>
            </w:pP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66FAB3F1" w14:textId="77777777" w:rsidR="00B91F3E" w:rsidRPr="00EB4589" w:rsidRDefault="00B91F3E" w:rsidP="00F96D8A">
            <w:pPr>
              <w:spacing w:after="0" w:line="240" w:lineRule="auto"/>
              <w:jc w:val="right"/>
              <w:rPr>
                <w:rFonts w:ascii="Arial" w:hAnsi="Arial" w:cs="Arial"/>
                <w:sz w:val="16"/>
                <w:szCs w:val="16"/>
              </w:rPr>
            </w:pPr>
          </w:p>
        </w:tc>
        <w:tc>
          <w:tcPr>
            <w:tcW w:w="902" w:type="dxa"/>
            <w:tcBorders>
              <w:top w:val="single" w:sz="4" w:space="0" w:color="auto"/>
              <w:left w:val="nil"/>
              <w:bottom w:val="single" w:sz="4" w:space="0" w:color="auto"/>
              <w:right w:val="nil"/>
            </w:tcBorders>
            <w:shd w:val="clear" w:color="000000" w:fill="E6E6E6"/>
            <w:noWrap/>
            <w:vAlign w:val="bottom"/>
            <w:hideMark/>
          </w:tcPr>
          <w:p w14:paraId="3AD61A30" w14:textId="77777777" w:rsidR="00B91F3E" w:rsidRPr="00EB4589" w:rsidRDefault="00B91F3E" w:rsidP="00F96D8A">
            <w:pPr>
              <w:spacing w:after="0" w:line="240" w:lineRule="auto"/>
              <w:jc w:val="right"/>
              <w:rPr>
                <w:rFonts w:ascii="Arial" w:hAnsi="Arial" w:cs="Arial"/>
                <w:sz w:val="16"/>
                <w:szCs w:val="16"/>
              </w:rPr>
            </w:pPr>
          </w:p>
        </w:tc>
      </w:tr>
      <w:tr w:rsidR="00B91F3E" w:rsidRPr="00EB4589" w14:paraId="58A9284F" w14:textId="77777777" w:rsidTr="00F96D8A">
        <w:trPr>
          <w:trHeight w:val="204"/>
        </w:trPr>
        <w:tc>
          <w:tcPr>
            <w:tcW w:w="2694" w:type="dxa"/>
            <w:tcBorders>
              <w:top w:val="nil"/>
              <w:left w:val="nil"/>
              <w:bottom w:val="nil"/>
              <w:right w:val="nil"/>
            </w:tcBorders>
            <w:shd w:val="clear" w:color="auto" w:fill="auto"/>
            <w:noWrap/>
            <w:vAlign w:val="bottom"/>
            <w:hideMark/>
          </w:tcPr>
          <w:p w14:paraId="155092D4"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Administered expenses</w:t>
            </w:r>
          </w:p>
        </w:tc>
        <w:tc>
          <w:tcPr>
            <w:tcW w:w="996" w:type="dxa"/>
            <w:gridSpan w:val="2"/>
            <w:tcBorders>
              <w:top w:val="nil"/>
              <w:left w:val="nil"/>
              <w:bottom w:val="nil"/>
              <w:right w:val="nil"/>
            </w:tcBorders>
            <w:shd w:val="clear" w:color="auto" w:fill="auto"/>
            <w:noWrap/>
            <w:vAlign w:val="bottom"/>
            <w:hideMark/>
          </w:tcPr>
          <w:p w14:paraId="4F1D8EC7" w14:textId="77777777" w:rsidR="00B91F3E" w:rsidRPr="00C75F78"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3BFB583D" w14:textId="77777777" w:rsidR="00B91F3E" w:rsidRPr="00C75F78" w:rsidRDefault="00B91F3E" w:rsidP="00F96D8A">
            <w:pPr>
              <w:spacing w:after="0" w:line="240" w:lineRule="auto"/>
              <w:jc w:val="right"/>
              <w:rPr>
                <w:rFonts w:ascii="Arial" w:hAnsi="Arial" w:cs="Arial"/>
                <w:sz w:val="16"/>
                <w:szCs w:val="16"/>
              </w:rPr>
            </w:pPr>
          </w:p>
        </w:tc>
        <w:tc>
          <w:tcPr>
            <w:tcW w:w="1036" w:type="dxa"/>
            <w:gridSpan w:val="2"/>
            <w:tcBorders>
              <w:top w:val="nil"/>
              <w:left w:val="nil"/>
              <w:bottom w:val="nil"/>
              <w:right w:val="nil"/>
            </w:tcBorders>
            <w:shd w:val="clear" w:color="auto" w:fill="auto"/>
            <w:noWrap/>
            <w:vAlign w:val="bottom"/>
            <w:hideMark/>
          </w:tcPr>
          <w:p w14:paraId="3474DDE0" w14:textId="77777777" w:rsidR="00B91F3E" w:rsidRPr="00C75F78"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02709952" w14:textId="77777777" w:rsidR="00B91F3E" w:rsidRPr="00C75F78" w:rsidRDefault="00B91F3E" w:rsidP="00F96D8A">
            <w:pPr>
              <w:spacing w:after="0" w:line="240" w:lineRule="auto"/>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14:paraId="34B68215" w14:textId="77777777" w:rsidR="00B91F3E" w:rsidRPr="00C75F78" w:rsidRDefault="00B91F3E" w:rsidP="00F96D8A">
            <w:pPr>
              <w:spacing w:after="0" w:line="240" w:lineRule="auto"/>
              <w:jc w:val="right"/>
              <w:rPr>
                <w:rFonts w:ascii="Arial" w:hAnsi="Arial" w:cs="Arial"/>
                <w:sz w:val="16"/>
                <w:szCs w:val="16"/>
              </w:rPr>
            </w:pPr>
          </w:p>
        </w:tc>
      </w:tr>
      <w:tr w:rsidR="00E12FCC" w:rsidRPr="00EB4589" w14:paraId="4B57D3D9" w14:textId="77777777" w:rsidTr="00F96D8A">
        <w:trPr>
          <w:trHeight w:val="204"/>
        </w:trPr>
        <w:tc>
          <w:tcPr>
            <w:tcW w:w="2694" w:type="dxa"/>
            <w:tcBorders>
              <w:top w:val="nil"/>
              <w:left w:val="nil"/>
              <w:bottom w:val="nil"/>
              <w:right w:val="nil"/>
            </w:tcBorders>
            <w:shd w:val="clear" w:color="auto" w:fill="auto"/>
            <w:vAlign w:val="bottom"/>
            <w:hideMark/>
          </w:tcPr>
          <w:p w14:paraId="6C7C56E2"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Ordinary Annual Services (Appropriation Act No.</w:t>
            </w:r>
            <w:r>
              <w:rPr>
                <w:rFonts w:ascii="Arial" w:hAnsi="Arial" w:cs="Arial"/>
                <w:sz w:val="16"/>
                <w:szCs w:val="16"/>
              </w:rPr>
              <w:t> </w:t>
            </w:r>
            <w:r w:rsidRPr="00EB4589">
              <w:rPr>
                <w:rFonts w:ascii="Arial" w:hAnsi="Arial" w:cs="Arial"/>
                <w:sz w:val="16"/>
                <w:szCs w:val="16"/>
              </w:rPr>
              <w:t>1 and Bill No. 3)</w:t>
            </w:r>
          </w:p>
        </w:tc>
        <w:tc>
          <w:tcPr>
            <w:tcW w:w="996" w:type="dxa"/>
            <w:gridSpan w:val="2"/>
            <w:tcBorders>
              <w:top w:val="nil"/>
              <w:left w:val="nil"/>
              <w:bottom w:val="nil"/>
              <w:right w:val="nil"/>
            </w:tcBorders>
            <w:shd w:val="clear" w:color="auto" w:fill="auto"/>
            <w:noWrap/>
            <w:vAlign w:val="bottom"/>
            <w:hideMark/>
          </w:tcPr>
          <w:p w14:paraId="791E036D" w14:textId="515911B3"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810,326 </w:t>
            </w:r>
          </w:p>
        </w:tc>
        <w:tc>
          <w:tcPr>
            <w:tcW w:w="996" w:type="dxa"/>
            <w:gridSpan w:val="2"/>
            <w:tcBorders>
              <w:top w:val="nil"/>
              <w:left w:val="nil"/>
              <w:bottom w:val="nil"/>
              <w:right w:val="nil"/>
            </w:tcBorders>
            <w:shd w:val="clear" w:color="000000" w:fill="E6E6E6"/>
            <w:noWrap/>
            <w:vAlign w:val="bottom"/>
            <w:hideMark/>
          </w:tcPr>
          <w:p w14:paraId="0F765906" w14:textId="2C7F711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92,345 </w:t>
            </w:r>
          </w:p>
        </w:tc>
        <w:tc>
          <w:tcPr>
            <w:tcW w:w="1036" w:type="dxa"/>
            <w:gridSpan w:val="2"/>
            <w:tcBorders>
              <w:top w:val="nil"/>
              <w:left w:val="nil"/>
              <w:bottom w:val="nil"/>
              <w:right w:val="nil"/>
            </w:tcBorders>
            <w:shd w:val="clear" w:color="auto" w:fill="auto"/>
            <w:noWrap/>
            <w:vAlign w:val="bottom"/>
            <w:hideMark/>
          </w:tcPr>
          <w:p w14:paraId="4A41E85C" w14:textId="1CDF0A01"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56,332 </w:t>
            </w:r>
          </w:p>
        </w:tc>
        <w:tc>
          <w:tcPr>
            <w:tcW w:w="996" w:type="dxa"/>
            <w:gridSpan w:val="2"/>
            <w:tcBorders>
              <w:top w:val="nil"/>
              <w:left w:val="nil"/>
              <w:bottom w:val="nil"/>
              <w:right w:val="nil"/>
            </w:tcBorders>
            <w:shd w:val="clear" w:color="auto" w:fill="auto"/>
            <w:noWrap/>
            <w:vAlign w:val="bottom"/>
            <w:hideMark/>
          </w:tcPr>
          <w:p w14:paraId="5D7BFF91" w14:textId="2482E247"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41,967 </w:t>
            </w:r>
          </w:p>
        </w:tc>
        <w:tc>
          <w:tcPr>
            <w:tcW w:w="902" w:type="dxa"/>
            <w:tcBorders>
              <w:top w:val="nil"/>
              <w:left w:val="nil"/>
              <w:bottom w:val="nil"/>
              <w:right w:val="nil"/>
            </w:tcBorders>
            <w:shd w:val="clear" w:color="auto" w:fill="auto"/>
            <w:noWrap/>
            <w:vAlign w:val="bottom"/>
            <w:hideMark/>
          </w:tcPr>
          <w:p w14:paraId="790837F6" w14:textId="54CE221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26,272 </w:t>
            </w:r>
          </w:p>
        </w:tc>
      </w:tr>
      <w:tr w:rsidR="00E12FCC" w:rsidRPr="00EB4589" w14:paraId="561E713A" w14:textId="77777777" w:rsidTr="00F96D8A">
        <w:trPr>
          <w:trHeight w:val="204"/>
        </w:trPr>
        <w:tc>
          <w:tcPr>
            <w:tcW w:w="2694" w:type="dxa"/>
            <w:tcBorders>
              <w:top w:val="nil"/>
              <w:left w:val="nil"/>
              <w:bottom w:val="nil"/>
              <w:right w:val="nil"/>
            </w:tcBorders>
            <w:shd w:val="clear" w:color="auto" w:fill="auto"/>
            <w:vAlign w:val="bottom"/>
            <w:hideMark/>
          </w:tcPr>
          <w:p w14:paraId="036712DD"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 xml:space="preserve">Payments to corporate entities </w:t>
            </w:r>
            <w:r w:rsidRPr="000B468A">
              <w:rPr>
                <w:rFonts w:ascii="Arial" w:hAnsi="Arial" w:cs="Arial"/>
                <w:sz w:val="16"/>
                <w:szCs w:val="16"/>
                <w:vertAlign w:val="superscript"/>
              </w:rPr>
              <w:t>(b)</w:t>
            </w:r>
          </w:p>
        </w:tc>
        <w:tc>
          <w:tcPr>
            <w:tcW w:w="996" w:type="dxa"/>
            <w:gridSpan w:val="2"/>
            <w:tcBorders>
              <w:top w:val="nil"/>
              <w:left w:val="nil"/>
              <w:bottom w:val="nil"/>
              <w:right w:val="nil"/>
            </w:tcBorders>
            <w:shd w:val="clear" w:color="auto" w:fill="auto"/>
            <w:noWrap/>
            <w:vAlign w:val="bottom"/>
            <w:hideMark/>
          </w:tcPr>
          <w:p w14:paraId="244B5266" w14:textId="70C6F8C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122,082 </w:t>
            </w:r>
          </w:p>
        </w:tc>
        <w:tc>
          <w:tcPr>
            <w:tcW w:w="996" w:type="dxa"/>
            <w:gridSpan w:val="2"/>
            <w:tcBorders>
              <w:top w:val="nil"/>
              <w:left w:val="nil"/>
              <w:bottom w:val="nil"/>
              <w:right w:val="nil"/>
            </w:tcBorders>
            <w:shd w:val="clear" w:color="000000" w:fill="E6E6E6"/>
            <w:noWrap/>
            <w:vAlign w:val="bottom"/>
            <w:hideMark/>
          </w:tcPr>
          <w:p w14:paraId="78A4C9AD" w14:textId="3B144EAB"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92,445 </w:t>
            </w:r>
          </w:p>
        </w:tc>
        <w:tc>
          <w:tcPr>
            <w:tcW w:w="1036" w:type="dxa"/>
            <w:gridSpan w:val="2"/>
            <w:tcBorders>
              <w:top w:val="nil"/>
              <w:left w:val="nil"/>
              <w:bottom w:val="nil"/>
              <w:right w:val="nil"/>
            </w:tcBorders>
            <w:shd w:val="clear" w:color="auto" w:fill="auto"/>
            <w:noWrap/>
            <w:vAlign w:val="bottom"/>
            <w:hideMark/>
          </w:tcPr>
          <w:p w14:paraId="64D9DBA5" w14:textId="3D086BD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73,304 </w:t>
            </w:r>
          </w:p>
        </w:tc>
        <w:tc>
          <w:tcPr>
            <w:tcW w:w="996" w:type="dxa"/>
            <w:gridSpan w:val="2"/>
            <w:tcBorders>
              <w:top w:val="nil"/>
              <w:left w:val="nil"/>
              <w:bottom w:val="nil"/>
              <w:right w:val="nil"/>
            </w:tcBorders>
            <w:shd w:val="clear" w:color="auto" w:fill="auto"/>
            <w:noWrap/>
            <w:vAlign w:val="bottom"/>
            <w:hideMark/>
          </w:tcPr>
          <w:p w14:paraId="14CC3511" w14:textId="78A449E8"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41,024 </w:t>
            </w:r>
          </w:p>
        </w:tc>
        <w:tc>
          <w:tcPr>
            <w:tcW w:w="902" w:type="dxa"/>
            <w:tcBorders>
              <w:top w:val="nil"/>
              <w:left w:val="nil"/>
              <w:bottom w:val="nil"/>
              <w:right w:val="nil"/>
            </w:tcBorders>
            <w:shd w:val="clear" w:color="auto" w:fill="auto"/>
            <w:noWrap/>
            <w:vAlign w:val="bottom"/>
            <w:hideMark/>
          </w:tcPr>
          <w:p w14:paraId="791C84C5" w14:textId="0E14B8F8"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41,223 </w:t>
            </w:r>
          </w:p>
        </w:tc>
      </w:tr>
      <w:tr w:rsidR="00E12FCC" w:rsidRPr="00EB4589" w14:paraId="4F9DB47C" w14:textId="77777777" w:rsidTr="00F96D8A">
        <w:trPr>
          <w:trHeight w:val="204"/>
        </w:trPr>
        <w:tc>
          <w:tcPr>
            <w:tcW w:w="2694" w:type="dxa"/>
            <w:tcBorders>
              <w:top w:val="nil"/>
              <w:left w:val="nil"/>
              <w:bottom w:val="nil"/>
              <w:right w:val="nil"/>
            </w:tcBorders>
            <w:shd w:val="clear" w:color="auto" w:fill="auto"/>
            <w:noWrap/>
            <w:vAlign w:val="bottom"/>
            <w:hideMark/>
          </w:tcPr>
          <w:p w14:paraId="68EA9B0E"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Special Appropriations</w:t>
            </w:r>
          </w:p>
        </w:tc>
        <w:tc>
          <w:tcPr>
            <w:tcW w:w="996" w:type="dxa"/>
            <w:gridSpan w:val="2"/>
            <w:tcBorders>
              <w:top w:val="nil"/>
              <w:left w:val="nil"/>
              <w:bottom w:val="nil"/>
              <w:right w:val="nil"/>
            </w:tcBorders>
            <w:shd w:val="clear" w:color="auto" w:fill="auto"/>
            <w:noWrap/>
            <w:vAlign w:val="bottom"/>
            <w:hideMark/>
          </w:tcPr>
          <w:p w14:paraId="0B4B51E3" w14:textId="77777777" w:rsidR="00E12FCC" w:rsidRPr="00C75F78" w:rsidRDefault="00E12FCC" w:rsidP="00E12FCC">
            <w:pPr>
              <w:spacing w:after="0" w:line="240" w:lineRule="auto"/>
              <w:ind w:firstLineChars="100" w:firstLine="160"/>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63913739" w14:textId="4C08C561"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w:t>
            </w:r>
          </w:p>
        </w:tc>
        <w:tc>
          <w:tcPr>
            <w:tcW w:w="1036" w:type="dxa"/>
            <w:gridSpan w:val="2"/>
            <w:tcBorders>
              <w:top w:val="nil"/>
              <w:left w:val="nil"/>
              <w:bottom w:val="nil"/>
              <w:right w:val="nil"/>
            </w:tcBorders>
            <w:shd w:val="clear" w:color="auto" w:fill="auto"/>
            <w:noWrap/>
            <w:vAlign w:val="bottom"/>
            <w:hideMark/>
          </w:tcPr>
          <w:p w14:paraId="550063AB" w14:textId="77777777" w:rsidR="00E12FCC" w:rsidRPr="00C75F78" w:rsidRDefault="00E12FCC" w:rsidP="00E12FCC">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0AFC686C" w14:textId="77777777" w:rsidR="00E12FCC" w:rsidRPr="00C75F78" w:rsidRDefault="00E12FCC" w:rsidP="00E12FCC">
            <w:pPr>
              <w:spacing w:after="0" w:line="240" w:lineRule="auto"/>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14:paraId="103EADC9" w14:textId="77777777" w:rsidR="00E12FCC" w:rsidRPr="00C75F78" w:rsidRDefault="00E12FCC" w:rsidP="00E12FCC">
            <w:pPr>
              <w:spacing w:after="0" w:line="240" w:lineRule="auto"/>
              <w:jc w:val="right"/>
              <w:rPr>
                <w:rFonts w:ascii="Arial" w:hAnsi="Arial" w:cs="Arial"/>
                <w:sz w:val="16"/>
                <w:szCs w:val="16"/>
              </w:rPr>
            </w:pPr>
          </w:p>
        </w:tc>
      </w:tr>
      <w:tr w:rsidR="00E12FCC" w:rsidRPr="00EB4589" w14:paraId="564555F7" w14:textId="77777777" w:rsidTr="00F96D8A">
        <w:trPr>
          <w:trHeight w:val="204"/>
        </w:trPr>
        <w:tc>
          <w:tcPr>
            <w:tcW w:w="2694" w:type="dxa"/>
            <w:tcBorders>
              <w:top w:val="nil"/>
              <w:left w:val="nil"/>
              <w:bottom w:val="nil"/>
              <w:right w:val="nil"/>
            </w:tcBorders>
            <w:shd w:val="clear" w:color="auto" w:fill="auto"/>
            <w:vAlign w:val="bottom"/>
            <w:hideMark/>
          </w:tcPr>
          <w:p w14:paraId="7021E949" w14:textId="77777777" w:rsidR="00E12FCC" w:rsidRPr="00EB4589" w:rsidRDefault="00E12FCC" w:rsidP="00E12FCC">
            <w:pPr>
              <w:spacing w:after="0" w:line="240" w:lineRule="auto"/>
              <w:ind w:left="227"/>
              <w:jc w:val="left"/>
              <w:rPr>
                <w:rFonts w:ascii="Arial" w:hAnsi="Arial" w:cs="Arial"/>
                <w:i/>
                <w:iCs/>
                <w:sz w:val="16"/>
                <w:szCs w:val="16"/>
              </w:rPr>
            </w:pPr>
            <w:r w:rsidRPr="00EB4589">
              <w:rPr>
                <w:rFonts w:ascii="Arial" w:hAnsi="Arial" w:cs="Arial"/>
                <w:i/>
                <w:iCs/>
                <w:sz w:val="16"/>
                <w:szCs w:val="16"/>
              </w:rPr>
              <w:t xml:space="preserve">Aviation Fuel Revenues (Special Appropriation) Act 1988 </w:t>
            </w:r>
            <w:r w:rsidRPr="000B468A">
              <w:rPr>
                <w:rFonts w:ascii="Arial" w:hAnsi="Arial" w:cs="Arial"/>
                <w:i/>
                <w:iCs/>
                <w:sz w:val="16"/>
                <w:szCs w:val="16"/>
                <w:vertAlign w:val="superscript"/>
              </w:rPr>
              <w:t>(b)</w:t>
            </w:r>
          </w:p>
        </w:tc>
        <w:tc>
          <w:tcPr>
            <w:tcW w:w="996" w:type="dxa"/>
            <w:gridSpan w:val="2"/>
            <w:tcBorders>
              <w:top w:val="nil"/>
              <w:left w:val="nil"/>
              <w:bottom w:val="nil"/>
              <w:right w:val="nil"/>
            </w:tcBorders>
            <w:shd w:val="clear" w:color="auto" w:fill="auto"/>
            <w:noWrap/>
            <w:vAlign w:val="bottom"/>
            <w:hideMark/>
          </w:tcPr>
          <w:p w14:paraId="5FFF9977" w14:textId="2CAF2D7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85,300 </w:t>
            </w:r>
          </w:p>
        </w:tc>
        <w:tc>
          <w:tcPr>
            <w:tcW w:w="996" w:type="dxa"/>
            <w:gridSpan w:val="2"/>
            <w:tcBorders>
              <w:top w:val="nil"/>
              <w:left w:val="nil"/>
              <w:bottom w:val="nil"/>
              <w:right w:val="nil"/>
            </w:tcBorders>
            <w:shd w:val="clear" w:color="000000" w:fill="E6E6E6"/>
            <w:noWrap/>
            <w:vAlign w:val="bottom"/>
            <w:hideMark/>
          </w:tcPr>
          <w:p w14:paraId="6BAF657C" w14:textId="564FCBC0"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88,300 </w:t>
            </w:r>
          </w:p>
        </w:tc>
        <w:tc>
          <w:tcPr>
            <w:tcW w:w="1036" w:type="dxa"/>
            <w:gridSpan w:val="2"/>
            <w:tcBorders>
              <w:top w:val="nil"/>
              <w:left w:val="nil"/>
              <w:bottom w:val="nil"/>
              <w:right w:val="nil"/>
            </w:tcBorders>
            <w:shd w:val="clear" w:color="auto" w:fill="auto"/>
            <w:noWrap/>
            <w:vAlign w:val="bottom"/>
            <w:hideMark/>
          </w:tcPr>
          <w:p w14:paraId="42D53E88" w14:textId="4B27C418"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90,300 </w:t>
            </w:r>
          </w:p>
        </w:tc>
        <w:tc>
          <w:tcPr>
            <w:tcW w:w="996" w:type="dxa"/>
            <w:gridSpan w:val="2"/>
            <w:tcBorders>
              <w:top w:val="nil"/>
              <w:left w:val="nil"/>
              <w:bottom w:val="nil"/>
              <w:right w:val="nil"/>
            </w:tcBorders>
            <w:shd w:val="clear" w:color="auto" w:fill="auto"/>
            <w:noWrap/>
            <w:vAlign w:val="bottom"/>
            <w:hideMark/>
          </w:tcPr>
          <w:p w14:paraId="09CCC43F" w14:textId="7B0B8C95"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94,200 </w:t>
            </w:r>
          </w:p>
        </w:tc>
        <w:tc>
          <w:tcPr>
            <w:tcW w:w="902" w:type="dxa"/>
            <w:tcBorders>
              <w:top w:val="nil"/>
              <w:left w:val="nil"/>
              <w:bottom w:val="nil"/>
              <w:right w:val="nil"/>
            </w:tcBorders>
            <w:shd w:val="clear" w:color="auto" w:fill="auto"/>
            <w:noWrap/>
            <w:vAlign w:val="bottom"/>
            <w:hideMark/>
          </w:tcPr>
          <w:p w14:paraId="0F915A64" w14:textId="4C91B617"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94,200 </w:t>
            </w:r>
          </w:p>
        </w:tc>
      </w:tr>
      <w:tr w:rsidR="00E12FCC" w:rsidRPr="00EB4589" w14:paraId="7740346F" w14:textId="77777777" w:rsidTr="00F96D8A">
        <w:trPr>
          <w:trHeight w:val="204"/>
        </w:trPr>
        <w:tc>
          <w:tcPr>
            <w:tcW w:w="2694" w:type="dxa"/>
            <w:tcBorders>
              <w:top w:val="nil"/>
              <w:left w:val="nil"/>
              <w:bottom w:val="nil"/>
              <w:right w:val="nil"/>
            </w:tcBorders>
            <w:shd w:val="clear" w:color="auto" w:fill="auto"/>
            <w:vAlign w:val="bottom"/>
            <w:hideMark/>
          </w:tcPr>
          <w:p w14:paraId="7B339DAB"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Expenses not requiring appropriation in the Budget year</w:t>
            </w:r>
            <w:r>
              <w:rPr>
                <w:rFonts w:ascii="Arial" w:hAnsi="Arial" w:cs="Arial"/>
                <w:sz w:val="16"/>
                <w:szCs w:val="16"/>
              </w:rPr>
              <w:t> </w:t>
            </w:r>
            <w:r w:rsidRPr="000B468A">
              <w:rPr>
                <w:rFonts w:ascii="Arial" w:hAnsi="Arial" w:cs="Arial"/>
                <w:sz w:val="16"/>
                <w:szCs w:val="16"/>
                <w:vertAlign w:val="superscript"/>
              </w:rPr>
              <w:t>(c)</w:t>
            </w:r>
          </w:p>
        </w:tc>
        <w:tc>
          <w:tcPr>
            <w:tcW w:w="996" w:type="dxa"/>
            <w:gridSpan w:val="2"/>
            <w:tcBorders>
              <w:top w:val="nil"/>
              <w:left w:val="nil"/>
              <w:bottom w:val="nil"/>
              <w:right w:val="nil"/>
            </w:tcBorders>
            <w:shd w:val="clear" w:color="auto" w:fill="auto"/>
            <w:noWrap/>
            <w:vAlign w:val="bottom"/>
            <w:hideMark/>
          </w:tcPr>
          <w:p w14:paraId="063490D3" w14:textId="5783AC88"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197,549 </w:t>
            </w:r>
          </w:p>
        </w:tc>
        <w:tc>
          <w:tcPr>
            <w:tcW w:w="996" w:type="dxa"/>
            <w:gridSpan w:val="2"/>
            <w:tcBorders>
              <w:top w:val="nil"/>
              <w:left w:val="nil"/>
              <w:bottom w:val="nil"/>
              <w:right w:val="nil"/>
            </w:tcBorders>
            <w:shd w:val="clear" w:color="000000" w:fill="E6E6E6"/>
            <w:noWrap/>
            <w:vAlign w:val="bottom"/>
            <w:hideMark/>
          </w:tcPr>
          <w:p w14:paraId="29A4B11E" w14:textId="28A436E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93,690 </w:t>
            </w:r>
          </w:p>
        </w:tc>
        <w:tc>
          <w:tcPr>
            <w:tcW w:w="1036" w:type="dxa"/>
            <w:gridSpan w:val="2"/>
            <w:tcBorders>
              <w:top w:val="nil"/>
              <w:left w:val="nil"/>
              <w:bottom w:val="nil"/>
              <w:right w:val="nil"/>
            </w:tcBorders>
            <w:shd w:val="clear" w:color="auto" w:fill="auto"/>
            <w:noWrap/>
            <w:vAlign w:val="bottom"/>
            <w:hideMark/>
          </w:tcPr>
          <w:p w14:paraId="2E2B83CC" w14:textId="63E19454"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31,347 </w:t>
            </w:r>
          </w:p>
        </w:tc>
        <w:tc>
          <w:tcPr>
            <w:tcW w:w="996" w:type="dxa"/>
            <w:gridSpan w:val="2"/>
            <w:tcBorders>
              <w:top w:val="nil"/>
              <w:left w:val="nil"/>
              <w:bottom w:val="nil"/>
              <w:right w:val="nil"/>
            </w:tcBorders>
            <w:shd w:val="clear" w:color="auto" w:fill="auto"/>
            <w:noWrap/>
            <w:vAlign w:val="bottom"/>
            <w:hideMark/>
          </w:tcPr>
          <w:p w14:paraId="566BEFEA" w14:textId="1CCC538F"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02" w:type="dxa"/>
            <w:tcBorders>
              <w:top w:val="nil"/>
              <w:left w:val="nil"/>
              <w:bottom w:val="nil"/>
              <w:right w:val="nil"/>
            </w:tcBorders>
            <w:shd w:val="clear" w:color="auto" w:fill="auto"/>
            <w:noWrap/>
            <w:vAlign w:val="bottom"/>
            <w:hideMark/>
          </w:tcPr>
          <w:p w14:paraId="05DFD6CD" w14:textId="6E16E17C" w:rsidR="00E12FCC" w:rsidRPr="00C75F78"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EB4589" w14:paraId="77A589C1"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75288ED7" w14:textId="77777777" w:rsidR="00E12FCC" w:rsidRPr="00EB4589" w:rsidRDefault="00E12FCC" w:rsidP="00E12FCC">
            <w:pPr>
              <w:spacing w:after="0" w:line="240" w:lineRule="auto"/>
              <w:jc w:val="left"/>
              <w:rPr>
                <w:rFonts w:ascii="Arial" w:hAnsi="Arial" w:cs="Arial"/>
                <w:b/>
                <w:bCs/>
                <w:sz w:val="16"/>
                <w:szCs w:val="16"/>
              </w:rPr>
            </w:pPr>
            <w:r w:rsidRPr="00EB4589">
              <w:rPr>
                <w:rFonts w:ascii="Arial" w:hAnsi="Arial" w:cs="Arial"/>
                <w:b/>
                <w:bCs/>
                <w:sz w:val="16"/>
                <w:szCs w:val="16"/>
              </w:rPr>
              <w:t>Total expenses for Program 2.3</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2FFCCC83" w14:textId="5887B595"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1,215,257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103E818E" w14:textId="6FACDC8E"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366,780 </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48FCCE65" w14:textId="7AB007C5"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251,283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2586E02B" w14:textId="4A599725"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177,191 </w:t>
            </w:r>
          </w:p>
        </w:tc>
        <w:tc>
          <w:tcPr>
            <w:tcW w:w="902" w:type="dxa"/>
            <w:tcBorders>
              <w:top w:val="single" w:sz="4" w:space="0" w:color="auto"/>
              <w:left w:val="nil"/>
              <w:bottom w:val="single" w:sz="4" w:space="0" w:color="auto"/>
              <w:right w:val="nil"/>
            </w:tcBorders>
            <w:shd w:val="clear" w:color="auto" w:fill="auto"/>
            <w:noWrap/>
            <w:vAlign w:val="bottom"/>
            <w:hideMark/>
          </w:tcPr>
          <w:p w14:paraId="4252A58A" w14:textId="5ABEEE82" w:rsidR="00E12FCC" w:rsidRPr="00C75F78"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161,695 </w:t>
            </w:r>
          </w:p>
        </w:tc>
      </w:tr>
    </w:tbl>
    <w:p w14:paraId="74A037FE" w14:textId="77777777" w:rsidR="00E12FCC" w:rsidRDefault="00E12FCC" w:rsidP="00B91F3E">
      <w:pPr>
        <w:pStyle w:val="TableHeading"/>
      </w:pPr>
    </w:p>
    <w:p w14:paraId="74133D68" w14:textId="77777777" w:rsidR="00E12FCC" w:rsidRDefault="00E12FCC">
      <w:pPr>
        <w:spacing w:after="0" w:line="240" w:lineRule="auto"/>
        <w:jc w:val="left"/>
        <w:rPr>
          <w:rFonts w:ascii="Arial" w:hAnsi="Arial"/>
          <w:b/>
          <w:color w:val="000000"/>
          <w:lang w:val="x-none" w:eastAsia="x-none"/>
        </w:rPr>
      </w:pPr>
      <w:r>
        <w:br w:type="page"/>
      </w:r>
    </w:p>
    <w:p w14:paraId="24A29D29" w14:textId="41910901" w:rsidR="00B91F3E" w:rsidRDefault="00B91F3E" w:rsidP="00B91F3E">
      <w:pPr>
        <w:pStyle w:val="TableHeading"/>
        <w:rPr>
          <w:noProof/>
        </w:rPr>
      </w:pPr>
      <w:r>
        <w:lastRenderedPageBreak/>
        <w:t xml:space="preserve">Table 2.2.1: Budgeted expenses for Outcome </w:t>
      </w:r>
      <w:r>
        <w:rPr>
          <w:lang w:val="en-GB"/>
        </w:rPr>
        <w:t>2</w:t>
      </w:r>
      <w:r>
        <w:rPr>
          <w:lang w:val="en-AU"/>
        </w:rPr>
        <w:t xml:space="preserve"> (continued)</w:t>
      </w:r>
    </w:p>
    <w:tbl>
      <w:tblPr>
        <w:tblW w:w="0" w:type="auto"/>
        <w:tblLayout w:type="fixed"/>
        <w:tblLook w:val="04A0" w:firstRow="1" w:lastRow="0" w:firstColumn="1" w:lastColumn="0" w:noHBand="0" w:noVBand="1"/>
      </w:tblPr>
      <w:tblGrid>
        <w:gridCol w:w="2694"/>
        <w:gridCol w:w="977"/>
        <w:gridCol w:w="19"/>
        <w:gridCol w:w="958"/>
        <w:gridCol w:w="38"/>
        <w:gridCol w:w="978"/>
        <w:gridCol w:w="58"/>
        <w:gridCol w:w="919"/>
        <w:gridCol w:w="77"/>
        <w:gridCol w:w="900"/>
      </w:tblGrid>
      <w:tr w:rsidR="00B91F3E" w:rsidRPr="00EB4589" w14:paraId="483463EA" w14:textId="77777777" w:rsidTr="00F96D8A">
        <w:trPr>
          <w:trHeight w:val="592"/>
        </w:trPr>
        <w:tc>
          <w:tcPr>
            <w:tcW w:w="2694" w:type="dxa"/>
            <w:tcBorders>
              <w:top w:val="single" w:sz="4" w:space="0" w:color="auto"/>
              <w:left w:val="nil"/>
              <w:bottom w:val="single" w:sz="4" w:space="0" w:color="auto"/>
              <w:right w:val="nil"/>
            </w:tcBorders>
            <w:shd w:val="clear" w:color="auto" w:fill="auto"/>
            <w:noWrap/>
            <w:vAlign w:val="bottom"/>
            <w:hideMark/>
          </w:tcPr>
          <w:p w14:paraId="0D74050A"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auto"/>
            <w:vAlign w:val="bottom"/>
            <w:hideMark/>
          </w:tcPr>
          <w:p w14:paraId="36F20DA0"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2021-22</w:t>
            </w:r>
            <w:r w:rsidRPr="00EB4589">
              <w:rPr>
                <w:rFonts w:ascii="Arial" w:hAnsi="Arial" w:cs="Arial"/>
                <w:sz w:val="16"/>
                <w:szCs w:val="16"/>
              </w:rPr>
              <w:br/>
              <w:t>Estimated  actual</w:t>
            </w:r>
            <w:r w:rsidRPr="00EB4589">
              <w:rPr>
                <w:rFonts w:ascii="Arial" w:hAnsi="Arial" w:cs="Arial"/>
                <w:sz w:val="16"/>
                <w:szCs w:val="16"/>
              </w:rPr>
              <w:br/>
              <w:t>$'000</w:t>
            </w:r>
          </w:p>
        </w:tc>
        <w:tc>
          <w:tcPr>
            <w:tcW w:w="977" w:type="dxa"/>
            <w:gridSpan w:val="2"/>
            <w:tcBorders>
              <w:top w:val="single" w:sz="4" w:space="0" w:color="auto"/>
              <w:left w:val="nil"/>
              <w:bottom w:val="single" w:sz="4" w:space="0" w:color="auto"/>
              <w:right w:val="nil"/>
            </w:tcBorders>
            <w:shd w:val="clear" w:color="000000" w:fill="E6E6E6"/>
            <w:vAlign w:val="bottom"/>
            <w:hideMark/>
          </w:tcPr>
          <w:p w14:paraId="7F01876A"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2022-23</w:t>
            </w:r>
            <w:r w:rsidRPr="00EB4589">
              <w:rPr>
                <w:rFonts w:ascii="Arial" w:hAnsi="Arial" w:cs="Arial"/>
                <w:sz w:val="16"/>
                <w:szCs w:val="16"/>
              </w:rPr>
              <w:br/>
              <w:t xml:space="preserve"> Budget</w:t>
            </w:r>
            <w:r w:rsidRPr="00EB4589">
              <w:rPr>
                <w:rFonts w:ascii="Arial" w:hAnsi="Arial" w:cs="Arial"/>
                <w:sz w:val="16"/>
                <w:szCs w:val="16"/>
              </w:rPr>
              <w:br/>
              <w:t xml:space="preserve">                                      $'000</w:t>
            </w:r>
          </w:p>
        </w:tc>
        <w:tc>
          <w:tcPr>
            <w:tcW w:w="1016" w:type="dxa"/>
            <w:gridSpan w:val="2"/>
            <w:tcBorders>
              <w:top w:val="single" w:sz="4" w:space="0" w:color="auto"/>
              <w:left w:val="nil"/>
              <w:bottom w:val="single" w:sz="4" w:space="0" w:color="auto"/>
              <w:right w:val="nil"/>
            </w:tcBorders>
            <w:shd w:val="clear" w:color="auto" w:fill="auto"/>
            <w:vAlign w:val="bottom"/>
            <w:hideMark/>
          </w:tcPr>
          <w:p w14:paraId="78B4FAF8"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2023-24</w:t>
            </w:r>
            <w:r w:rsidRPr="00EB4589">
              <w:rPr>
                <w:rFonts w:ascii="Arial" w:hAnsi="Arial" w:cs="Arial"/>
                <w:sz w:val="16"/>
                <w:szCs w:val="16"/>
              </w:rPr>
              <w:br/>
              <w:t>Forward estimate</w:t>
            </w:r>
            <w:r w:rsidRPr="00EB4589">
              <w:rPr>
                <w:rFonts w:ascii="Arial" w:hAnsi="Arial" w:cs="Arial"/>
                <w:sz w:val="16"/>
                <w:szCs w:val="16"/>
              </w:rPr>
              <w:b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520CF9E6"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2024-25</w:t>
            </w:r>
            <w:r w:rsidRPr="00EB4589">
              <w:rPr>
                <w:rFonts w:ascii="Arial" w:hAnsi="Arial" w:cs="Arial"/>
                <w:sz w:val="16"/>
                <w:szCs w:val="16"/>
              </w:rPr>
              <w:br/>
              <w:t>Forward estimate</w:t>
            </w:r>
            <w:r w:rsidRPr="00EB4589">
              <w:rPr>
                <w:rFonts w:ascii="Arial" w:hAnsi="Arial" w:cs="Arial"/>
                <w:sz w:val="16"/>
                <w:szCs w:val="16"/>
              </w:rPr>
              <w:b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56DBC57E"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2025-26</w:t>
            </w:r>
            <w:r w:rsidRPr="00EB4589">
              <w:rPr>
                <w:rFonts w:ascii="Arial" w:hAnsi="Arial" w:cs="Arial"/>
                <w:sz w:val="16"/>
                <w:szCs w:val="16"/>
              </w:rPr>
              <w:br/>
              <w:t>Forward estimate</w:t>
            </w:r>
            <w:r w:rsidRPr="00EB4589">
              <w:rPr>
                <w:rFonts w:ascii="Arial" w:hAnsi="Arial" w:cs="Arial"/>
                <w:sz w:val="16"/>
                <w:szCs w:val="16"/>
              </w:rPr>
              <w:br/>
              <w:t>$'000</w:t>
            </w:r>
          </w:p>
        </w:tc>
      </w:tr>
      <w:tr w:rsidR="00B91F3E" w:rsidRPr="00EB4589" w14:paraId="55224123" w14:textId="77777777" w:rsidTr="00F96D8A">
        <w:trPr>
          <w:trHeight w:val="225"/>
        </w:trPr>
        <w:tc>
          <w:tcPr>
            <w:tcW w:w="7618" w:type="dxa"/>
            <w:gridSpan w:val="10"/>
            <w:tcBorders>
              <w:top w:val="nil"/>
              <w:left w:val="nil"/>
              <w:bottom w:val="single" w:sz="4" w:space="0" w:color="auto"/>
              <w:right w:val="nil"/>
            </w:tcBorders>
            <w:shd w:val="clear" w:color="000000" w:fill="E6E6E6"/>
            <w:noWrap/>
            <w:vAlign w:val="bottom"/>
            <w:hideMark/>
          </w:tcPr>
          <w:p w14:paraId="1CE9EC7D" w14:textId="77777777" w:rsidR="00B91F3E" w:rsidRPr="00D94BC4" w:rsidRDefault="00B91F3E" w:rsidP="00F96D8A">
            <w:pPr>
              <w:spacing w:after="0" w:line="240" w:lineRule="auto"/>
              <w:jc w:val="left"/>
              <w:rPr>
                <w:rFonts w:ascii="Arial" w:hAnsi="Arial" w:cs="Arial"/>
                <w:b/>
                <w:bCs/>
                <w:sz w:val="16"/>
                <w:szCs w:val="16"/>
              </w:rPr>
            </w:pPr>
            <w:r w:rsidRPr="00EB4589">
              <w:rPr>
                <w:rFonts w:ascii="Arial" w:hAnsi="Arial" w:cs="Arial"/>
                <w:b/>
                <w:bCs/>
                <w:sz w:val="16"/>
                <w:szCs w:val="16"/>
              </w:rPr>
              <w:t>Program 2.4</w:t>
            </w:r>
            <w:r>
              <w:rPr>
                <w:rFonts w:ascii="Arial" w:hAnsi="Arial" w:cs="Arial"/>
                <w:b/>
                <w:bCs/>
                <w:sz w:val="16"/>
                <w:szCs w:val="16"/>
              </w:rPr>
              <w:t>:</w:t>
            </w:r>
            <w:r w:rsidRPr="00EB4589">
              <w:rPr>
                <w:rFonts w:ascii="Arial" w:hAnsi="Arial" w:cs="Arial"/>
                <w:b/>
                <w:bCs/>
                <w:sz w:val="16"/>
                <w:szCs w:val="16"/>
              </w:rPr>
              <w:t xml:space="preserve"> Program Support for Outcome 2</w:t>
            </w:r>
            <w:r w:rsidRPr="00EB4589">
              <w:rPr>
                <w:rFonts w:ascii="Arial" w:hAnsi="Arial" w:cs="Arial"/>
                <w:sz w:val="16"/>
                <w:szCs w:val="16"/>
              </w:rPr>
              <w:t> </w:t>
            </w:r>
          </w:p>
        </w:tc>
      </w:tr>
      <w:tr w:rsidR="00B91F3E" w:rsidRPr="00EB4589" w14:paraId="461BD57C" w14:textId="77777777" w:rsidTr="00F96D8A">
        <w:trPr>
          <w:trHeight w:val="204"/>
        </w:trPr>
        <w:tc>
          <w:tcPr>
            <w:tcW w:w="2694" w:type="dxa"/>
            <w:tcBorders>
              <w:top w:val="nil"/>
              <w:left w:val="nil"/>
              <w:bottom w:val="nil"/>
              <w:right w:val="nil"/>
            </w:tcBorders>
            <w:shd w:val="clear" w:color="auto" w:fill="auto"/>
            <w:noWrap/>
            <w:vAlign w:val="bottom"/>
            <w:hideMark/>
          </w:tcPr>
          <w:p w14:paraId="1E29D1BB" w14:textId="3F35D8D1" w:rsidR="00B91F3E" w:rsidRPr="00EB4589" w:rsidRDefault="003C4CC6" w:rsidP="00F96D8A">
            <w:pPr>
              <w:spacing w:after="0" w:line="240" w:lineRule="auto"/>
              <w:jc w:val="left"/>
              <w:rPr>
                <w:rFonts w:ascii="Arial" w:hAnsi="Arial" w:cs="Arial"/>
                <w:sz w:val="16"/>
                <w:szCs w:val="16"/>
              </w:rPr>
            </w:pPr>
            <w:r>
              <w:rPr>
                <w:rFonts w:ascii="Arial" w:hAnsi="Arial" w:cs="Arial"/>
                <w:sz w:val="16"/>
                <w:szCs w:val="16"/>
              </w:rPr>
              <w:t>Department</w:t>
            </w:r>
            <w:r w:rsidR="00B91F3E" w:rsidRPr="00EB4589">
              <w:rPr>
                <w:rFonts w:ascii="Arial" w:hAnsi="Arial" w:cs="Arial"/>
                <w:sz w:val="16"/>
                <w:szCs w:val="16"/>
              </w:rPr>
              <w:t>al expenses</w:t>
            </w:r>
          </w:p>
        </w:tc>
        <w:tc>
          <w:tcPr>
            <w:tcW w:w="977" w:type="dxa"/>
            <w:tcBorders>
              <w:top w:val="nil"/>
              <w:left w:val="nil"/>
              <w:bottom w:val="nil"/>
              <w:right w:val="nil"/>
            </w:tcBorders>
            <w:shd w:val="clear" w:color="auto" w:fill="auto"/>
            <w:noWrap/>
            <w:vAlign w:val="bottom"/>
            <w:hideMark/>
          </w:tcPr>
          <w:p w14:paraId="455FA9A2" w14:textId="77777777" w:rsidR="00B91F3E" w:rsidRPr="00396A6B" w:rsidRDefault="00B91F3E" w:rsidP="007F54D0">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000000" w:fill="E6E6E6"/>
            <w:noWrap/>
            <w:vAlign w:val="bottom"/>
            <w:hideMark/>
          </w:tcPr>
          <w:p w14:paraId="01FB7642" w14:textId="77777777" w:rsidR="00B91F3E" w:rsidRPr="00396A6B" w:rsidRDefault="00B91F3E" w:rsidP="007F54D0">
            <w:pPr>
              <w:spacing w:after="0" w:line="240" w:lineRule="auto"/>
              <w:jc w:val="right"/>
              <w:rPr>
                <w:rFonts w:ascii="Arial" w:hAnsi="Arial" w:cs="Arial"/>
                <w:sz w:val="16"/>
                <w:szCs w:val="16"/>
              </w:rPr>
            </w:pPr>
            <w:r w:rsidRPr="00396A6B">
              <w:rPr>
                <w:rFonts w:ascii="Arial" w:hAnsi="Arial" w:cs="Arial"/>
                <w:sz w:val="16"/>
                <w:szCs w:val="16"/>
              </w:rPr>
              <w:t> </w:t>
            </w:r>
          </w:p>
        </w:tc>
        <w:tc>
          <w:tcPr>
            <w:tcW w:w="1016" w:type="dxa"/>
            <w:gridSpan w:val="2"/>
            <w:tcBorders>
              <w:top w:val="nil"/>
              <w:left w:val="nil"/>
              <w:bottom w:val="nil"/>
              <w:right w:val="nil"/>
            </w:tcBorders>
            <w:shd w:val="clear" w:color="auto" w:fill="auto"/>
            <w:noWrap/>
            <w:vAlign w:val="bottom"/>
            <w:hideMark/>
          </w:tcPr>
          <w:p w14:paraId="26F4839E" w14:textId="77777777" w:rsidR="00B91F3E" w:rsidRPr="00396A6B" w:rsidRDefault="00B91F3E" w:rsidP="007F54D0">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0D69FC60" w14:textId="77777777" w:rsidR="00B91F3E" w:rsidRPr="00396A6B" w:rsidRDefault="00B91F3E" w:rsidP="007F54D0">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3603AD4B" w14:textId="77777777" w:rsidR="00B91F3E" w:rsidRPr="00396A6B" w:rsidRDefault="00B91F3E" w:rsidP="007F54D0">
            <w:pPr>
              <w:spacing w:after="0" w:line="240" w:lineRule="auto"/>
              <w:jc w:val="right"/>
              <w:rPr>
                <w:rFonts w:ascii="Times New Roman" w:hAnsi="Times New Roman"/>
                <w:sz w:val="16"/>
                <w:szCs w:val="16"/>
              </w:rPr>
            </w:pPr>
          </w:p>
        </w:tc>
      </w:tr>
      <w:tr w:rsidR="00E12FCC" w:rsidRPr="00EB4589" w14:paraId="3394DD83" w14:textId="77777777" w:rsidTr="00F96D8A">
        <w:trPr>
          <w:trHeight w:val="204"/>
        </w:trPr>
        <w:tc>
          <w:tcPr>
            <w:tcW w:w="2694" w:type="dxa"/>
            <w:tcBorders>
              <w:top w:val="nil"/>
              <w:left w:val="nil"/>
              <w:bottom w:val="nil"/>
              <w:right w:val="nil"/>
            </w:tcBorders>
            <w:shd w:val="clear" w:color="auto" w:fill="auto"/>
            <w:vAlign w:val="bottom"/>
            <w:hideMark/>
          </w:tcPr>
          <w:p w14:paraId="34D9DB93" w14:textId="0F11ED83" w:rsidR="00E12FCC" w:rsidRPr="00EB4589" w:rsidRDefault="00E12FCC" w:rsidP="00E12FCC">
            <w:pPr>
              <w:spacing w:after="0" w:line="240" w:lineRule="auto"/>
              <w:ind w:left="113"/>
              <w:jc w:val="left"/>
              <w:rPr>
                <w:rFonts w:ascii="Arial" w:hAnsi="Arial" w:cs="Arial"/>
                <w:sz w:val="16"/>
                <w:szCs w:val="16"/>
              </w:rPr>
            </w:pPr>
            <w:r>
              <w:rPr>
                <w:rFonts w:ascii="Arial" w:hAnsi="Arial" w:cs="Arial"/>
                <w:sz w:val="16"/>
                <w:szCs w:val="16"/>
              </w:rPr>
              <w:t>Department</w:t>
            </w:r>
            <w:r w:rsidRPr="00EB4589">
              <w:rPr>
                <w:rFonts w:ascii="Arial" w:hAnsi="Arial" w:cs="Arial"/>
                <w:sz w:val="16"/>
                <w:szCs w:val="16"/>
              </w:rPr>
              <w:t>al appropriation</w:t>
            </w:r>
          </w:p>
        </w:tc>
        <w:tc>
          <w:tcPr>
            <w:tcW w:w="977" w:type="dxa"/>
            <w:tcBorders>
              <w:top w:val="nil"/>
              <w:left w:val="nil"/>
              <w:bottom w:val="nil"/>
              <w:right w:val="nil"/>
            </w:tcBorders>
            <w:shd w:val="clear" w:color="auto" w:fill="auto"/>
            <w:vAlign w:val="bottom"/>
            <w:hideMark/>
          </w:tcPr>
          <w:p w14:paraId="24C974F7" w14:textId="536807D9"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122,679 </w:t>
            </w:r>
          </w:p>
        </w:tc>
        <w:tc>
          <w:tcPr>
            <w:tcW w:w="977" w:type="dxa"/>
            <w:gridSpan w:val="2"/>
            <w:tcBorders>
              <w:top w:val="nil"/>
              <w:left w:val="nil"/>
              <w:bottom w:val="nil"/>
              <w:right w:val="nil"/>
            </w:tcBorders>
            <w:shd w:val="clear" w:color="000000" w:fill="E6E6E6"/>
            <w:vAlign w:val="bottom"/>
            <w:hideMark/>
          </w:tcPr>
          <w:p w14:paraId="5F98E40C" w14:textId="394E9E94"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134,811 </w:t>
            </w:r>
          </w:p>
        </w:tc>
        <w:tc>
          <w:tcPr>
            <w:tcW w:w="1016" w:type="dxa"/>
            <w:gridSpan w:val="2"/>
            <w:tcBorders>
              <w:top w:val="nil"/>
              <w:left w:val="nil"/>
              <w:bottom w:val="nil"/>
              <w:right w:val="nil"/>
            </w:tcBorders>
            <w:shd w:val="clear" w:color="auto" w:fill="auto"/>
            <w:vAlign w:val="bottom"/>
            <w:hideMark/>
          </w:tcPr>
          <w:p w14:paraId="077182AB" w14:textId="1641B9BB"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117,712 </w:t>
            </w:r>
          </w:p>
        </w:tc>
        <w:tc>
          <w:tcPr>
            <w:tcW w:w="977" w:type="dxa"/>
            <w:gridSpan w:val="2"/>
            <w:tcBorders>
              <w:top w:val="nil"/>
              <w:left w:val="nil"/>
              <w:bottom w:val="nil"/>
              <w:right w:val="nil"/>
            </w:tcBorders>
            <w:shd w:val="clear" w:color="auto" w:fill="auto"/>
            <w:vAlign w:val="bottom"/>
            <w:hideMark/>
          </w:tcPr>
          <w:p w14:paraId="28AE9996" w14:textId="0E3EB946"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91,791 </w:t>
            </w:r>
          </w:p>
        </w:tc>
        <w:tc>
          <w:tcPr>
            <w:tcW w:w="977" w:type="dxa"/>
            <w:gridSpan w:val="2"/>
            <w:tcBorders>
              <w:top w:val="nil"/>
              <w:left w:val="nil"/>
              <w:bottom w:val="nil"/>
              <w:right w:val="nil"/>
            </w:tcBorders>
            <w:shd w:val="clear" w:color="auto" w:fill="auto"/>
            <w:vAlign w:val="bottom"/>
            <w:hideMark/>
          </w:tcPr>
          <w:p w14:paraId="4D46E390" w14:textId="668ADE3B"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91,812 </w:t>
            </w:r>
          </w:p>
        </w:tc>
      </w:tr>
      <w:tr w:rsidR="00E12FCC" w:rsidRPr="00EB4589" w14:paraId="78BFF3D0" w14:textId="77777777" w:rsidTr="00F96D8A">
        <w:trPr>
          <w:trHeight w:val="204"/>
        </w:trPr>
        <w:tc>
          <w:tcPr>
            <w:tcW w:w="2694" w:type="dxa"/>
            <w:tcBorders>
              <w:top w:val="nil"/>
              <w:left w:val="nil"/>
              <w:bottom w:val="nil"/>
              <w:right w:val="nil"/>
            </w:tcBorders>
            <w:shd w:val="clear" w:color="auto" w:fill="auto"/>
            <w:vAlign w:val="bottom"/>
            <w:hideMark/>
          </w:tcPr>
          <w:p w14:paraId="7102A807" w14:textId="55D186D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 xml:space="preserve">s74 external revenues </w:t>
            </w:r>
            <w:r w:rsidRPr="00FF518E">
              <w:rPr>
                <w:rFonts w:ascii="Arial" w:hAnsi="Arial" w:cs="Arial"/>
                <w:sz w:val="16"/>
                <w:szCs w:val="16"/>
                <w:vertAlign w:val="superscript"/>
              </w:rPr>
              <w:t>(</w:t>
            </w:r>
            <w:r>
              <w:rPr>
                <w:rFonts w:ascii="Arial" w:hAnsi="Arial" w:cs="Arial"/>
                <w:sz w:val="16"/>
                <w:szCs w:val="16"/>
                <w:vertAlign w:val="superscript"/>
              </w:rPr>
              <w:t>d</w:t>
            </w:r>
            <w:r w:rsidRPr="00FF518E">
              <w:rPr>
                <w:rFonts w:ascii="Arial" w:hAnsi="Arial" w:cs="Arial"/>
                <w:sz w:val="16"/>
                <w:szCs w:val="16"/>
                <w:vertAlign w:val="superscript"/>
              </w:rPr>
              <w:t>)</w:t>
            </w:r>
          </w:p>
        </w:tc>
        <w:tc>
          <w:tcPr>
            <w:tcW w:w="977" w:type="dxa"/>
            <w:tcBorders>
              <w:top w:val="nil"/>
              <w:left w:val="nil"/>
              <w:bottom w:val="nil"/>
              <w:right w:val="nil"/>
            </w:tcBorders>
            <w:shd w:val="clear" w:color="auto" w:fill="auto"/>
            <w:vAlign w:val="bottom"/>
            <w:hideMark/>
          </w:tcPr>
          <w:p w14:paraId="0DF512A7" w14:textId="570A14A2"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3,502 </w:t>
            </w:r>
          </w:p>
        </w:tc>
        <w:tc>
          <w:tcPr>
            <w:tcW w:w="977" w:type="dxa"/>
            <w:gridSpan w:val="2"/>
            <w:tcBorders>
              <w:top w:val="nil"/>
              <w:left w:val="nil"/>
              <w:bottom w:val="nil"/>
              <w:right w:val="nil"/>
            </w:tcBorders>
            <w:shd w:val="clear" w:color="000000" w:fill="E6E6E6"/>
            <w:vAlign w:val="bottom"/>
            <w:hideMark/>
          </w:tcPr>
          <w:p w14:paraId="0DD938C2" w14:textId="2EF7A1A1"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3,184 </w:t>
            </w:r>
          </w:p>
        </w:tc>
        <w:tc>
          <w:tcPr>
            <w:tcW w:w="1016" w:type="dxa"/>
            <w:gridSpan w:val="2"/>
            <w:tcBorders>
              <w:top w:val="nil"/>
              <w:left w:val="nil"/>
              <w:bottom w:val="nil"/>
              <w:right w:val="nil"/>
            </w:tcBorders>
            <w:shd w:val="clear" w:color="auto" w:fill="auto"/>
            <w:vAlign w:val="bottom"/>
            <w:hideMark/>
          </w:tcPr>
          <w:p w14:paraId="616324C5" w14:textId="42738B47"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3,631 </w:t>
            </w:r>
          </w:p>
        </w:tc>
        <w:tc>
          <w:tcPr>
            <w:tcW w:w="977" w:type="dxa"/>
            <w:gridSpan w:val="2"/>
            <w:tcBorders>
              <w:top w:val="nil"/>
              <w:left w:val="nil"/>
              <w:bottom w:val="nil"/>
              <w:right w:val="nil"/>
            </w:tcBorders>
            <w:shd w:val="clear" w:color="auto" w:fill="auto"/>
            <w:vAlign w:val="bottom"/>
            <w:hideMark/>
          </w:tcPr>
          <w:p w14:paraId="33867F8B" w14:textId="203C1163"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3,250 </w:t>
            </w:r>
          </w:p>
        </w:tc>
        <w:tc>
          <w:tcPr>
            <w:tcW w:w="977" w:type="dxa"/>
            <w:gridSpan w:val="2"/>
            <w:tcBorders>
              <w:top w:val="nil"/>
              <w:left w:val="nil"/>
              <w:bottom w:val="nil"/>
              <w:right w:val="nil"/>
            </w:tcBorders>
            <w:shd w:val="clear" w:color="auto" w:fill="auto"/>
            <w:vAlign w:val="bottom"/>
            <w:hideMark/>
          </w:tcPr>
          <w:p w14:paraId="49D7D981" w14:textId="61AF18C6"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3,321 </w:t>
            </w:r>
          </w:p>
        </w:tc>
      </w:tr>
      <w:tr w:rsidR="00E12FCC" w:rsidRPr="00EB4589" w14:paraId="7BD4046F" w14:textId="77777777" w:rsidTr="00F96D8A">
        <w:trPr>
          <w:trHeight w:val="204"/>
        </w:trPr>
        <w:tc>
          <w:tcPr>
            <w:tcW w:w="2694" w:type="dxa"/>
            <w:tcBorders>
              <w:top w:val="nil"/>
              <w:left w:val="nil"/>
              <w:bottom w:val="nil"/>
              <w:right w:val="nil"/>
            </w:tcBorders>
            <w:shd w:val="clear" w:color="auto" w:fill="auto"/>
            <w:vAlign w:val="bottom"/>
            <w:hideMark/>
          </w:tcPr>
          <w:p w14:paraId="76F97D7A" w14:textId="29E8FEAF"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Expenses not requiring appropriation in the Budget year</w:t>
            </w:r>
            <w:r>
              <w:rPr>
                <w:rFonts w:ascii="Arial" w:hAnsi="Arial" w:cs="Arial"/>
                <w:sz w:val="16"/>
                <w:szCs w:val="16"/>
              </w:rPr>
              <w:t> </w:t>
            </w:r>
            <w:r w:rsidRPr="00FF518E">
              <w:rPr>
                <w:rFonts w:ascii="Arial" w:hAnsi="Arial" w:cs="Arial"/>
                <w:sz w:val="16"/>
                <w:szCs w:val="16"/>
                <w:vertAlign w:val="superscript"/>
              </w:rPr>
              <w:t>(</w:t>
            </w:r>
            <w:r>
              <w:rPr>
                <w:rFonts w:ascii="Arial" w:hAnsi="Arial" w:cs="Arial"/>
                <w:sz w:val="16"/>
                <w:szCs w:val="16"/>
                <w:vertAlign w:val="superscript"/>
              </w:rPr>
              <w:t>e</w:t>
            </w:r>
            <w:r w:rsidRPr="00FF518E">
              <w:rPr>
                <w:rFonts w:ascii="Arial" w:hAnsi="Arial" w:cs="Arial"/>
                <w:sz w:val="16"/>
                <w:szCs w:val="16"/>
                <w:vertAlign w:val="superscript"/>
              </w:rPr>
              <w:t>)</w:t>
            </w:r>
          </w:p>
        </w:tc>
        <w:tc>
          <w:tcPr>
            <w:tcW w:w="977" w:type="dxa"/>
            <w:tcBorders>
              <w:top w:val="nil"/>
              <w:left w:val="nil"/>
              <w:bottom w:val="nil"/>
              <w:right w:val="nil"/>
            </w:tcBorders>
            <w:shd w:val="clear" w:color="auto" w:fill="auto"/>
            <w:vAlign w:val="bottom"/>
            <w:hideMark/>
          </w:tcPr>
          <w:p w14:paraId="5C4FA888" w14:textId="28D17D23"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2,360 </w:t>
            </w:r>
          </w:p>
        </w:tc>
        <w:tc>
          <w:tcPr>
            <w:tcW w:w="977" w:type="dxa"/>
            <w:gridSpan w:val="2"/>
            <w:tcBorders>
              <w:top w:val="nil"/>
              <w:left w:val="nil"/>
              <w:bottom w:val="nil"/>
              <w:right w:val="nil"/>
            </w:tcBorders>
            <w:shd w:val="clear" w:color="000000" w:fill="E6E6E6"/>
            <w:vAlign w:val="bottom"/>
            <w:hideMark/>
          </w:tcPr>
          <w:p w14:paraId="770142F1" w14:textId="15A4DD51"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2,293 </w:t>
            </w:r>
          </w:p>
        </w:tc>
        <w:tc>
          <w:tcPr>
            <w:tcW w:w="1016" w:type="dxa"/>
            <w:gridSpan w:val="2"/>
            <w:tcBorders>
              <w:top w:val="nil"/>
              <w:left w:val="nil"/>
              <w:bottom w:val="nil"/>
              <w:right w:val="nil"/>
            </w:tcBorders>
            <w:shd w:val="clear" w:color="auto" w:fill="auto"/>
            <w:vAlign w:val="bottom"/>
            <w:hideMark/>
          </w:tcPr>
          <w:p w14:paraId="06721A14" w14:textId="3E0C1623"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2,345 </w:t>
            </w:r>
          </w:p>
        </w:tc>
        <w:tc>
          <w:tcPr>
            <w:tcW w:w="977" w:type="dxa"/>
            <w:gridSpan w:val="2"/>
            <w:tcBorders>
              <w:top w:val="nil"/>
              <w:left w:val="nil"/>
              <w:bottom w:val="nil"/>
              <w:right w:val="nil"/>
            </w:tcBorders>
            <w:shd w:val="clear" w:color="auto" w:fill="auto"/>
            <w:vAlign w:val="bottom"/>
            <w:hideMark/>
          </w:tcPr>
          <w:p w14:paraId="625F34ED" w14:textId="3010FF77"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1,049 </w:t>
            </w:r>
          </w:p>
        </w:tc>
        <w:tc>
          <w:tcPr>
            <w:tcW w:w="977" w:type="dxa"/>
            <w:gridSpan w:val="2"/>
            <w:tcBorders>
              <w:top w:val="nil"/>
              <w:left w:val="nil"/>
              <w:bottom w:val="nil"/>
              <w:right w:val="nil"/>
            </w:tcBorders>
            <w:shd w:val="clear" w:color="auto" w:fill="auto"/>
            <w:vAlign w:val="bottom"/>
            <w:hideMark/>
          </w:tcPr>
          <w:p w14:paraId="797E42C2" w14:textId="0958016D"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1,073 </w:t>
            </w:r>
          </w:p>
        </w:tc>
      </w:tr>
      <w:tr w:rsidR="00E12FCC" w:rsidRPr="00EB4589" w14:paraId="29FD9F47" w14:textId="77777777" w:rsidTr="00F96D8A">
        <w:trPr>
          <w:trHeight w:val="204"/>
        </w:trPr>
        <w:tc>
          <w:tcPr>
            <w:tcW w:w="2694" w:type="dxa"/>
            <w:tcBorders>
              <w:top w:val="nil"/>
              <w:left w:val="nil"/>
              <w:bottom w:val="nil"/>
              <w:right w:val="nil"/>
            </w:tcBorders>
            <w:shd w:val="clear" w:color="auto" w:fill="auto"/>
            <w:noWrap/>
            <w:vAlign w:val="bottom"/>
            <w:hideMark/>
          </w:tcPr>
          <w:p w14:paraId="0FBB0F30" w14:textId="77777777" w:rsidR="00E12FCC" w:rsidRPr="00EB4589" w:rsidRDefault="00E12FCC" w:rsidP="00E12FCC">
            <w:pPr>
              <w:spacing w:after="0" w:line="240" w:lineRule="auto"/>
              <w:jc w:val="left"/>
              <w:rPr>
                <w:rFonts w:ascii="Arial" w:hAnsi="Arial" w:cs="Arial"/>
                <w:b/>
                <w:bCs/>
                <w:sz w:val="16"/>
                <w:szCs w:val="16"/>
              </w:rPr>
            </w:pPr>
            <w:r w:rsidRPr="00EB4589">
              <w:rPr>
                <w:rFonts w:ascii="Arial" w:hAnsi="Arial" w:cs="Arial"/>
                <w:b/>
                <w:bCs/>
                <w:sz w:val="16"/>
                <w:szCs w:val="16"/>
              </w:rPr>
              <w:t>Total expenses for Program 2.4</w:t>
            </w:r>
          </w:p>
        </w:tc>
        <w:tc>
          <w:tcPr>
            <w:tcW w:w="977" w:type="dxa"/>
            <w:tcBorders>
              <w:top w:val="single" w:sz="4" w:space="0" w:color="auto"/>
              <w:left w:val="nil"/>
              <w:bottom w:val="single" w:sz="4" w:space="0" w:color="auto"/>
              <w:right w:val="nil"/>
            </w:tcBorders>
            <w:shd w:val="clear" w:color="auto" w:fill="auto"/>
            <w:noWrap/>
            <w:vAlign w:val="bottom"/>
            <w:hideMark/>
          </w:tcPr>
          <w:p w14:paraId="16425777" w14:textId="54CFD5A8"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128,541 </w:t>
            </w:r>
          </w:p>
        </w:tc>
        <w:tc>
          <w:tcPr>
            <w:tcW w:w="977" w:type="dxa"/>
            <w:gridSpan w:val="2"/>
            <w:tcBorders>
              <w:top w:val="single" w:sz="4" w:space="0" w:color="auto"/>
              <w:left w:val="nil"/>
              <w:bottom w:val="single" w:sz="4" w:space="0" w:color="auto"/>
              <w:right w:val="nil"/>
            </w:tcBorders>
            <w:shd w:val="clear" w:color="000000" w:fill="E6E6E6"/>
            <w:noWrap/>
            <w:vAlign w:val="bottom"/>
            <w:hideMark/>
          </w:tcPr>
          <w:p w14:paraId="0A223E76" w14:textId="0F3AA8B9"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140,288 </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5EC2DA41" w14:textId="1313F956"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123,688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743BE1F3" w14:textId="4257CB34"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96,090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38582E86" w14:textId="5D9D2AB3"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96,206 </w:t>
            </w:r>
          </w:p>
        </w:tc>
      </w:tr>
      <w:tr w:rsidR="00B91F3E" w:rsidRPr="00EB4589" w14:paraId="416AF5F4" w14:textId="77777777" w:rsidTr="00F96D8A">
        <w:trPr>
          <w:trHeight w:val="225"/>
        </w:trPr>
        <w:tc>
          <w:tcPr>
            <w:tcW w:w="7618" w:type="dxa"/>
            <w:gridSpan w:val="10"/>
            <w:tcBorders>
              <w:top w:val="single" w:sz="4" w:space="0" w:color="auto"/>
              <w:left w:val="nil"/>
              <w:bottom w:val="single" w:sz="4" w:space="0" w:color="auto"/>
              <w:right w:val="nil"/>
            </w:tcBorders>
            <w:shd w:val="clear" w:color="000000" w:fill="E6E6E6"/>
            <w:noWrap/>
            <w:vAlign w:val="bottom"/>
            <w:hideMark/>
          </w:tcPr>
          <w:p w14:paraId="01D41D0C" w14:textId="77777777" w:rsidR="00B91F3E" w:rsidRPr="00D94BC4" w:rsidRDefault="00B91F3E" w:rsidP="00F96D8A">
            <w:pPr>
              <w:spacing w:after="0" w:line="240" w:lineRule="auto"/>
              <w:jc w:val="left"/>
              <w:rPr>
                <w:rFonts w:ascii="Arial" w:hAnsi="Arial" w:cs="Arial"/>
                <w:b/>
                <w:bCs/>
                <w:sz w:val="16"/>
                <w:szCs w:val="16"/>
              </w:rPr>
            </w:pPr>
            <w:r w:rsidRPr="00EB4589">
              <w:rPr>
                <w:rFonts w:ascii="Arial" w:hAnsi="Arial" w:cs="Arial"/>
                <w:b/>
                <w:bCs/>
                <w:sz w:val="16"/>
                <w:szCs w:val="16"/>
              </w:rPr>
              <w:t>Outcome 2 Totals by appropriation type</w:t>
            </w:r>
          </w:p>
        </w:tc>
      </w:tr>
      <w:tr w:rsidR="00B91F3E" w:rsidRPr="00EB4589" w14:paraId="62F244D1" w14:textId="77777777" w:rsidTr="00F96D8A">
        <w:trPr>
          <w:trHeight w:val="204"/>
        </w:trPr>
        <w:tc>
          <w:tcPr>
            <w:tcW w:w="2694" w:type="dxa"/>
            <w:tcBorders>
              <w:top w:val="nil"/>
              <w:left w:val="nil"/>
              <w:bottom w:val="nil"/>
              <w:right w:val="nil"/>
            </w:tcBorders>
            <w:shd w:val="clear" w:color="auto" w:fill="auto"/>
            <w:noWrap/>
            <w:vAlign w:val="bottom"/>
            <w:hideMark/>
          </w:tcPr>
          <w:p w14:paraId="3F6A6C02"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Administered expenses</w:t>
            </w:r>
          </w:p>
        </w:tc>
        <w:tc>
          <w:tcPr>
            <w:tcW w:w="996" w:type="dxa"/>
            <w:gridSpan w:val="2"/>
            <w:tcBorders>
              <w:top w:val="nil"/>
              <w:left w:val="nil"/>
              <w:bottom w:val="nil"/>
              <w:right w:val="nil"/>
            </w:tcBorders>
            <w:shd w:val="clear" w:color="auto" w:fill="auto"/>
            <w:noWrap/>
            <w:vAlign w:val="bottom"/>
            <w:hideMark/>
          </w:tcPr>
          <w:p w14:paraId="70BE5573" w14:textId="77777777" w:rsidR="00B91F3E" w:rsidRPr="00396A6B" w:rsidRDefault="00B91F3E" w:rsidP="007F54D0">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50E11CFB" w14:textId="77777777" w:rsidR="00B91F3E" w:rsidRPr="00396A6B" w:rsidRDefault="00B91F3E" w:rsidP="007F54D0">
            <w:pPr>
              <w:spacing w:after="0" w:line="240" w:lineRule="auto"/>
              <w:jc w:val="right"/>
              <w:rPr>
                <w:rFonts w:ascii="Arial" w:hAnsi="Arial" w:cs="Arial"/>
                <w:sz w:val="16"/>
                <w:szCs w:val="16"/>
              </w:rPr>
            </w:pPr>
            <w:r w:rsidRPr="00396A6B">
              <w:rPr>
                <w:rFonts w:ascii="Arial" w:hAnsi="Arial" w:cs="Arial"/>
                <w:sz w:val="16"/>
                <w:szCs w:val="16"/>
              </w:rPr>
              <w:t> </w:t>
            </w:r>
          </w:p>
        </w:tc>
        <w:tc>
          <w:tcPr>
            <w:tcW w:w="1036" w:type="dxa"/>
            <w:gridSpan w:val="2"/>
            <w:tcBorders>
              <w:top w:val="nil"/>
              <w:left w:val="nil"/>
              <w:bottom w:val="nil"/>
              <w:right w:val="nil"/>
            </w:tcBorders>
            <w:shd w:val="clear" w:color="auto" w:fill="auto"/>
            <w:noWrap/>
            <w:vAlign w:val="bottom"/>
            <w:hideMark/>
          </w:tcPr>
          <w:p w14:paraId="67219AEE" w14:textId="77777777" w:rsidR="00B91F3E" w:rsidRPr="00396A6B" w:rsidRDefault="00B91F3E" w:rsidP="007F54D0">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0F417CD2" w14:textId="77777777" w:rsidR="00B91F3E" w:rsidRPr="00396A6B" w:rsidRDefault="00B91F3E" w:rsidP="007F54D0">
            <w:pPr>
              <w:spacing w:after="0" w:line="240" w:lineRule="auto"/>
              <w:jc w:val="right"/>
              <w:rPr>
                <w:rFonts w:ascii="Times New Roman" w:hAnsi="Times New Roman"/>
                <w:sz w:val="16"/>
                <w:szCs w:val="16"/>
              </w:rPr>
            </w:pPr>
          </w:p>
        </w:tc>
        <w:tc>
          <w:tcPr>
            <w:tcW w:w="900" w:type="dxa"/>
            <w:tcBorders>
              <w:top w:val="nil"/>
              <w:left w:val="nil"/>
              <w:bottom w:val="nil"/>
              <w:right w:val="nil"/>
            </w:tcBorders>
            <w:shd w:val="clear" w:color="auto" w:fill="auto"/>
            <w:noWrap/>
            <w:vAlign w:val="bottom"/>
            <w:hideMark/>
          </w:tcPr>
          <w:p w14:paraId="5E5E4E64" w14:textId="77777777" w:rsidR="00B91F3E" w:rsidRPr="00396A6B" w:rsidRDefault="00B91F3E" w:rsidP="007F54D0">
            <w:pPr>
              <w:spacing w:after="0" w:line="240" w:lineRule="auto"/>
              <w:jc w:val="right"/>
              <w:rPr>
                <w:rFonts w:ascii="Times New Roman" w:hAnsi="Times New Roman"/>
                <w:sz w:val="16"/>
                <w:szCs w:val="16"/>
              </w:rPr>
            </w:pPr>
          </w:p>
        </w:tc>
      </w:tr>
      <w:tr w:rsidR="00E12FCC" w:rsidRPr="00EB4589" w14:paraId="179E3BA1" w14:textId="77777777" w:rsidTr="00F96D8A">
        <w:trPr>
          <w:trHeight w:val="204"/>
        </w:trPr>
        <w:tc>
          <w:tcPr>
            <w:tcW w:w="2694" w:type="dxa"/>
            <w:tcBorders>
              <w:top w:val="nil"/>
              <w:left w:val="nil"/>
              <w:bottom w:val="nil"/>
              <w:right w:val="nil"/>
            </w:tcBorders>
            <w:shd w:val="clear" w:color="auto" w:fill="auto"/>
            <w:vAlign w:val="bottom"/>
            <w:hideMark/>
          </w:tcPr>
          <w:p w14:paraId="0346F4C0"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 xml:space="preserve">Ordinary Annual Services (Appropriation Act No. </w:t>
            </w:r>
            <w:r>
              <w:rPr>
                <w:rFonts w:ascii="Arial" w:hAnsi="Arial" w:cs="Arial"/>
                <w:sz w:val="16"/>
                <w:szCs w:val="16"/>
              </w:rPr>
              <w:t> </w:t>
            </w:r>
            <w:r w:rsidRPr="00EB4589">
              <w:rPr>
                <w:rFonts w:ascii="Arial" w:hAnsi="Arial" w:cs="Arial"/>
                <w:sz w:val="16"/>
                <w:szCs w:val="16"/>
              </w:rPr>
              <w:t>1 and Bill No. 3)</w:t>
            </w:r>
          </w:p>
        </w:tc>
        <w:tc>
          <w:tcPr>
            <w:tcW w:w="996" w:type="dxa"/>
            <w:gridSpan w:val="2"/>
            <w:tcBorders>
              <w:top w:val="nil"/>
              <w:left w:val="nil"/>
              <w:bottom w:val="nil"/>
              <w:right w:val="nil"/>
            </w:tcBorders>
            <w:shd w:val="clear" w:color="auto" w:fill="auto"/>
            <w:noWrap/>
            <w:vAlign w:val="bottom"/>
            <w:hideMark/>
          </w:tcPr>
          <w:p w14:paraId="54280FAA" w14:textId="3D80CA7E"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1,057,980 </w:t>
            </w:r>
          </w:p>
        </w:tc>
        <w:tc>
          <w:tcPr>
            <w:tcW w:w="996" w:type="dxa"/>
            <w:gridSpan w:val="2"/>
            <w:tcBorders>
              <w:top w:val="nil"/>
              <w:left w:val="nil"/>
              <w:bottom w:val="nil"/>
              <w:right w:val="nil"/>
            </w:tcBorders>
            <w:shd w:val="clear" w:color="000000" w:fill="E6E6E6"/>
            <w:noWrap/>
            <w:vAlign w:val="bottom"/>
            <w:hideMark/>
          </w:tcPr>
          <w:p w14:paraId="1FEDC328" w14:textId="3E18BF74"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352,993 </w:t>
            </w:r>
          </w:p>
        </w:tc>
        <w:tc>
          <w:tcPr>
            <w:tcW w:w="1036" w:type="dxa"/>
            <w:gridSpan w:val="2"/>
            <w:tcBorders>
              <w:top w:val="nil"/>
              <w:left w:val="nil"/>
              <w:bottom w:val="nil"/>
              <w:right w:val="nil"/>
            </w:tcBorders>
            <w:shd w:val="clear" w:color="auto" w:fill="auto"/>
            <w:noWrap/>
            <w:vAlign w:val="bottom"/>
            <w:hideMark/>
          </w:tcPr>
          <w:p w14:paraId="7F648A34" w14:textId="77A06907"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308,751 </w:t>
            </w:r>
          </w:p>
        </w:tc>
        <w:tc>
          <w:tcPr>
            <w:tcW w:w="996" w:type="dxa"/>
            <w:gridSpan w:val="2"/>
            <w:tcBorders>
              <w:top w:val="nil"/>
              <w:left w:val="nil"/>
              <w:bottom w:val="nil"/>
              <w:right w:val="nil"/>
            </w:tcBorders>
            <w:shd w:val="clear" w:color="auto" w:fill="auto"/>
            <w:noWrap/>
            <w:vAlign w:val="bottom"/>
            <w:hideMark/>
          </w:tcPr>
          <w:p w14:paraId="4F16E154" w14:textId="350D8EF2"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285,951 </w:t>
            </w:r>
          </w:p>
        </w:tc>
        <w:tc>
          <w:tcPr>
            <w:tcW w:w="900" w:type="dxa"/>
            <w:tcBorders>
              <w:top w:val="nil"/>
              <w:left w:val="nil"/>
              <w:bottom w:val="nil"/>
              <w:right w:val="nil"/>
            </w:tcBorders>
            <w:shd w:val="clear" w:color="auto" w:fill="auto"/>
            <w:noWrap/>
            <w:vAlign w:val="bottom"/>
            <w:hideMark/>
          </w:tcPr>
          <w:p w14:paraId="3BCF37D8" w14:textId="62901BDC"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271,712 </w:t>
            </w:r>
          </w:p>
        </w:tc>
      </w:tr>
      <w:tr w:rsidR="00E12FCC" w:rsidRPr="00EB4589" w14:paraId="760BBE59" w14:textId="77777777" w:rsidTr="00F96D8A">
        <w:trPr>
          <w:trHeight w:val="204"/>
        </w:trPr>
        <w:tc>
          <w:tcPr>
            <w:tcW w:w="2694" w:type="dxa"/>
            <w:tcBorders>
              <w:top w:val="nil"/>
              <w:left w:val="nil"/>
              <w:bottom w:val="nil"/>
              <w:right w:val="nil"/>
            </w:tcBorders>
            <w:shd w:val="clear" w:color="auto" w:fill="auto"/>
            <w:vAlign w:val="bottom"/>
            <w:hideMark/>
          </w:tcPr>
          <w:p w14:paraId="2C624104"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Special Appropriation</w:t>
            </w:r>
          </w:p>
        </w:tc>
        <w:tc>
          <w:tcPr>
            <w:tcW w:w="996" w:type="dxa"/>
            <w:gridSpan w:val="2"/>
            <w:tcBorders>
              <w:top w:val="nil"/>
              <w:left w:val="nil"/>
              <w:bottom w:val="nil"/>
              <w:right w:val="nil"/>
            </w:tcBorders>
            <w:shd w:val="clear" w:color="auto" w:fill="auto"/>
            <w:noWrap/>
            <w:vAlign w:val="bottom"/>
            <w:hideMark/>
          </w:tcPr>
          <w:p w14:paraId="506512C4" w14:textId="3739245D"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219,816 </w:t>
            </w:r>
          </w:p>
        </w:tc>
        <w:tc>
          <w:tcPr>
            <w:tcW w:w="996" w:type="dxa"/>
            <w:gridSpan w:val="2"/>
            <w:tcBorders>
              <w:top w:val="nil"/>
              <w:left w:val="nil"/>
              <w:bottom w:val="nil"/>
              <w:right w:val="nil"/>
            </w:tcBorders>
            <w:shd w:val="clear" w:color="auto" w:fill="E6E6E6"/>
            <w:noWrap/>
            <w:vAlign w:val="bottom"/>
            <w:hideMark/>
          </w:tcPr>
          <w:p w14:paraId="508DBAA6" w14:textId="511F2339"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224,959 </w:t>
            </w:r>
          </w:p>
        </w:tc>
        <w:tc>
          <w:tcPr>
            <w:tcW w:w="1036" w:type="dxa"/>
            <w:gridSpan w:val="2"/>
            <w:tcBorders>
              <w:top w:val="nil"/>
              <w:left w:val="nil"/>
              <w:bottom w:val="nil"/>
              <w:right w:val="nil"/>
            </w:tcBorders>
            <w:shd w:val="clear" w:color="auto" w:fill="auto"/>
            <w:noWrap/>
            <w:vAlign w:val="bottom"/>
            <w:hideMark/>
          </w:tcPr>
          <w:p w14:paraId="683E5D26" w14:textId="6D3616EE"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244,955 </w:t>
            </w:r>
          </w:p>
        </w:tc>
        <w:tc>
          <w:tcPr>
            <w:tcW w:w="996" w:type="dxa"/>
            <w:gridSpan w:val="2"/>
            <w:tcBorders>
              <w:top w:val="nil"/>
              <w:left w:val="nil"/>
              <w:bottom w:val="nil"/>
              <w:right w:val="nil"/>
            </w:tcBorders>
            <w:shd w:val="clear" w:color="auto" w:fill="auto"/>
            <w:noWrap/>
            <w:vAlign w:val="bottom"/>
            <w:hideMark/>
          </w:tcPr>
          <w:p w14:paraId="3B887BC2" w14:textId="4A66CEB8"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251,961 </w:t>
            </w:r>
          </w:p>
        </w:tc>
        <w:tc>
          <w:tcPr>
            <w:tcW w:w="900" w:type="dxa"/>
            <w:tcBorders>
              <w:top w:val="nil"/>
              <w:left w:val="nil"/>
              <w:bottom w:val="nil"/>
              <w:right w:val="nil"/>
            </w:tcBorders>
            <w:shd w:val="clear" w:color="auto" w:fill="auto"/>
            <w:noWrap/>
            <w:vAlign w:val="bottom"/>
            <w:hideMark/>
          </w:tcPr>
          <w:p w14:paraId="7E008C1A" w14:textId="79AF3C22"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255,125 </w:t>
            </w:r>
          </w:p>
        </w:tc>
      </w:tr>
      <w:tr w:rsidR="00E12FCC" w:rsidRPr="00EB4589" w14:paraId="4C098CE4" w14:textId="77777777" w:rsidTr="00F96D8A">
        <w:trPr>
          <w:trHeight w:val="204"/>
        </w:trPr>
        <w:tc>
          <w:tcPr>
            <w:tcW w:w="2694" w:type="dxa"/>
            <w:tcBorders>
              <w:top w:val="nil"/>
              <w:left w:val="nil"/>
              <w:bottom w:val="nil"/>
              <w:right w:val="nil"/>
            </w:tcBorders>
            <w:shd w:val="clear" w:color="auto" w:fill="auto"/>
            <w:vAlign w:val="bottom"/>
            <w:hideMark/>
          </w:tcPr>
          <w:p w14:paraId="26F83A89"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 xml:space="preserve">Payments to corporate entities </w:t>
            </w:r>
            <w:r w:rsidRPr="00FF518E">
              <w:rPr>
                <w:rFonts w:ascii="Arial" w:hAnsi="Arial" w:cs="Arial"/>
                <w:sz w:val="16"/>
                <w:szCs w:val="16"/>
                <w:vertAlign w:val="superscript"/>
              </w:rPr>
              <w:t>(b)</w:t>
            </w:r>
          </w:p>
        </w:tc>
        <w:tc>
          <w:tcPr>
            <w:tcW w:w="996" w:type="dxa"/>
            <w:gridSpan w:val="2"/>
            <w:tcBorders>
              <w:top w:val="nil"/>
              <w:left w:val="nil"/>
              <w:bottom w:val="nil"/>
              <w:right w:val="nil"/>
            </w:tcBorders>
            <w:shd w:val="clear" w:color="auto" w:fill="auto"/>
            <w:noWrap/>
            <w:vAlign w:val="bottom"/>
            <w:hideMark/>
          </w:tcPr>
          <w:p w14:paraId="1BEA666C" w14:textId="4E29CD21"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214,348 </w:t>
            </w:r>
          </w:p>
        </w:tc>
        <w:tc>
          <w:tcPr>
            <w:tcW w:w="996" w:type="dxa"/>
            <w:gridSpan w:val="2"/>
            <w:tcBorders>
              <w:top w:val="nil"/>
              <w:left w:val="nil"/>
              <w:bottom w:val="nil"/>
              <w:right w:val="nil"/>
            </w:tcBorders>
            <w:shd w:val="clear" w:color="000000" w:fill="E6E6E6"/>
            <w:noWrap/>
            <w:vAlign w:val="bottom"/>
            <w:hideMark/>
          </w:tcPr>
          <w:p w14:paraId="0A68101C" w14:textId="4240F294"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189,765 </w:t>
            </w:r>
          </w:p>
        </w:tc>
        <w:tc>
          <w:tcPr>
            <w:tcW w:w="1036" w:type="dxa"/>
            <w:gridSpan w:val="2"/>
            <w:tcBorders>
              <w:top w:val="nil"/>
              <w:left w:val="nil"/>
              <w:bottom w:val="nil"/>
              <w:right w:val="nil"/>
            </w:tcBorders>
            <w:shd w:val="clear" w:color="auto" w:fill="auto"/>
            <w:noWrap/>
            <w:vAlign w:val="bottom"/>
            <w:hideMark/>
          </w:tcPr>
          <w:p w14:paraId="553EB19A" w14:textId="2CEC1760"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158,392 </w:t>
            </w:r>
          </w:p>
        </w:tc>
        <w:tc>
          <w:tcPr>
            <w:tcW w:w="996" w:type="dxa"/>
            <w:gridSpan w:val="2"/>
            <w:tcBorders>
              <w:top w:val="nil"/>
              <w:left w:val="nil"/>
              <w:bottom w:val="nil"/>
              <w:right w:val="nil"/>
            </w:tcBorders>
            <w:shd w:val="clear" w:color="auto" w:fill="auto"/>
            <w:noWrap/>
            <w:vAlign w:val="bottom"/>
            <w:hideMark/>
          </w:tcPr>
          <w:p w14:paraId="613039F5" w14:textId="35E46BFA"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127,004 </w:t>
            </w:r>
          </w:p>
        </w:tc>
        <w:tc>
          <w:tcPr>
            <w:tcW w:w="900" w:type="dxa"/>
            <w:tcBorders>
              <w:top w:val="nil"/>
              <w:left w:val="nil"/>
              <w:bottom w:val="nil"/>
              <w:right w:val="nil"/>
            </w:tcBorders>
            <w:shd w:val="clear" w:color="auto" w:fill="auto"/>
            <w:noWrap/>
            <w:vAlign w:val="bottom"/>
            <w:hideMark/>
          </w:tcPr>
          <w:p w14:paraId="122C641E" w14:textId="3DD4EA5C"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128,177 </w:t>
            </w:r>
          </w:p>
        </w:tc>
      </w:tr>
      <w:tr w:rsidR="00E12FCC" w:rsidRPr="00EB4589" w14:paraId="19839798" w14:textId="77777777" w:rsidTr="00F96D8A">
        <w:trPr>
          <w:trHeight w:val="204"/>
        </w:trPr>
        <w:tc>
          <w:tcPr>
            <w:tcW w:w="2694" w:type="dxa"/>
            <w:tcBorders>
              <w:top w:val="nil"/>
              <w:left w:val="nil"/>
              <w:bottom w:val="nil"/>
              <w:right w:val="nil"/>
            </w:tcBorders>
            <w:shd w:val="clear" w:color="auto" w:fill="auto"/>
            <w:vAlign w:val="bottom"/>
            <w:hideMark/>
          </w:tcPr>
          <w:p w14:paraId="256EF74C" w14:textId="77777777"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Expenses not requiring a</w:t>
            </w:r>
            <w:r>
              <w:rPr>
                <w:rFonts w:ascii="Arial" w:hAnsi="Arial" w:cs="Arial"/>
                <w:sz w:val="16"/>
                <w:szCs w:val="16"/>
              </w:rPr>
              <w:t>ppropriation in the Budget year </w:t>
            </w:r>
            <w:r w:rsidRPr="00FF518E">
              <w:rPr>
                <w:rFonts w:ascii="Arial" w:hAnsi="Arial" w:cs="Arial"/>
                <w:sz w:val="16"/>
                <w:szCs w:val="16"/>
                <w:vertAlign w:val="superscript"/>
              </w:rPr>
              <w:t>(c)</w:t>
            </w:r>
            <w:r w:rsidRPr="00EB4589">
              <w:rPr>
                <w:rFonts w:ascii="Arial" w:hAnsi="Arial" w:cs="Arial"/>
                <w:sz w:val="16"/>
                <w:szCs w:val="16"/>
              </w:rPr>
              <w:t xml:space="preserve"> </w:t>
            </w:r>
          </w:p>
        </w:tc>
        <w:tc>
          <w:tcPr>
            <w:tcW w:w="996" w:type="dxa"/>
            <w:gridSpan w:val="2"/>
            <w:tcBorders>
              <w:top w:val="nil"/>
              <w:left w:val="nil"/>
              <w:bottom w:val="nil"/>
              <w:right w:val="nil"/>
            </w:tcBorders>
            <w:shd w:val="clear" w:color="auto" w:fill="auto"/>
            <w:noWrap/>
            <w:vAlign w:val="bottom"/>
            <w:hideMark/>
          </w:tcPr>
          <w:p w14:paraId="2D11EABD" w14:textId="38996765"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198,153 </w:t>
            </w:r>
          </w:p>
        </w:tc>
        <w:tc>
          <w:tcPr>
            <w:tcW w:w="996" w:type="dxa"/>
            <w:gridSpan w:val="2"/>
            <w:tcBorders>
              <w:top w:val="nil"/>
              <w:left w:val="nil"/>
              <w:bottom w:val="nil"/>
              <w:right w:val="nil"/>
            </w:tcBorders>
            <w:shd w:val="clear" w:color="000000" w:fill="E6E6E6"/>
            <w:noWrap/>
            <w:vAlign w:val="bottom"/>
            <w:hideMark/>
          </w:tcPr>
          <w:p w14:paraId="23671D1E" w14:textId="25A0E48C"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93,690 </w:t>
            </w:r>
          </w:p>
        </w:tc>
        <w:tc>
          <w:tcPr>
            <w:tcW w:w="1036" w:type="dxa"/>
            <w:gridSpan w:val="2"/>
            <w:tcBorders>
              <w:top w:val="nil"/>
              <w:left w:val="nil"/>
              <w:bottom w:val="nil"/>
              <w:right w:val="nil"/>
            </w:tcBorders>
            <w:shd w:val="clear" w:color="auto" w:fill="auto"/>
            <w:noWrap/>
            <w:vAlign w:val="bottom"/>
            <w:hideMark/>
          </w:tcPr>
          <w:p w14:paraId="45D4D42D" w14:textId="67E1D71E"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31,347 </w:t>
            </w:r>
          </w:p>
        </w:tc>
        <w:tc>
          <w:tcPr>
            <w:tcW w:w="996" w:type="dxa"/>
            <w:gridSpan w:val="2"/>
            <w:tcBorders>
              <w:top w:val="nil"/>
              <w:left w:val="nil"/>
              <w:bottom w:val="nil"/>
              <w:right w:val="nil"/>
            </w:tcBorders>
            <w:shd w:val="clear" w:color="auto" w:fill="auto"/>
            <w:noWrap/>
            <w:vAlign w:val="bottom"/>
            <w:hideMark/>
          </w:tcPr>
          <w:p w14:paraId="10DC98BE" w14:textId="39DA9C97"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9DC750E" w14:textId="6F7BDD68"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 </w:t>
            </w:r>
          </w:p>
        </w:tc>
      </w:tr>
      <w:tr w:rsidR="00E12FCC" w:rsidRPr="00EB4589" w14:paraId="7A391A65" w14:textId="77777777" w:rsidTr="00F96D8A">
        <w:trPr>
          <w:trHeight w:val="204"/>
        </w:trPr>
        <w:tc>
          <w:tcPr>
            <w:tcW w:w="2694" w:type="dxa"/>
            <w:tcBorders>
              <w:top w:val="nil"/>
              <w:left w:val="nil"/>
              <w:bottom w:val="nil"/>
              <w:right w:val="nil"/>
            </w:tcBorders>
            <w:shd w:val="clear" w:color="auto" w:fill="auto"/>
            <w:vAlign w:val="bottom"/>
            <w:hideMark/>
          </w:tcPr>
          <w:p w14:paraId="685B5F48" w14:textId="137B2416" w:rsidR="00E12FCC" w:rsidRPr="00EB4589" w:rsidRDefault="00E12FCC" w:rsidP="00F35F54">
            <w:pPr>
              <w:spacing w:after="0" w:line="240" w:lineRule="auto"/>
              <w:jc w:val="left"/>
              <w:rPr>
                <w:rFonts w:ascii="Arial" w:hAnsi="Arial" w:cs="Arial"/>
                <w:b/>
                <w:bCs/>
                <w:sz w:val="16"/>
                <w:szCs w:val="16"/>
              </w:rPr>
            </w:pPr>
            <w:r w:rsidRPr="00EB4589">
              <w:rPr>
                <w:rFonts w:ascii="Arial" w:hAnsi="Arial" w:cs="Arial"/>
                <w:b/>
                <w:bCs/>
                <w:sz w:val="16"/>
                <w:szCs w:val="16"/>
              </w:rPr>
              <w:t xml:space="preserve">Total </w:t>
            </w:r>
            <w:r>
              <w:rPr>
                <w:rFonts w:ascii="Arial" w:hAnsi="Arial" w:cs="Arial"/>
                <w:b/>
                <w:bCs/>
                <w:sz w:val="16"/>
                <w:szCs w:val="16"/>
              </w:rPr>
              <w:t>A</w:t>
            </w:r>
            <w:r w:rsidRPr="00EB4589">
              <w:rPr>
                <w:rFonts w:ascii="Arial" w:hAnsi="Arial" w:cs="Arial"/>
                <w:b/>
                <w:bCs/>
                <w:sz w:val="16"/>
                <w:szCs w:val="16"/>
              </w:rPr>
              <w:t>dministered expenses</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4634EC9" w14:textId="0B53B264"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1,690,297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40D231A3" w14:textId="0CF349E9"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861,407 </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5AC71208" w14:textId="49AA45BB"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743,445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220B9240" w14:textId="0F5A3DA4"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664,916 </w:t>
            </w:r>
          </w:p>
        </w:tc>
        <w:tc>
          <w:tcPr>
            <w:tcW w:w="900" w:type="dxa"/>
            <w:tcBorders>
              <w:top w:val="single" w:sz="4" w:space="0" w:color="auto"/>
              <w:left w:val="nil"/>
              <w:bottom w:val="single" w:sz="4" w:space="0" w:color="auto"/>
              <w:right w:val="nil"/>
            </w:tcBorders>
            <w:shd w:val="clear" w:color="auto" w:fill="auto"/>
            <w:noWrap/>
            <w:vAlign w:val="bottom"/>
            <w:hideMark/>
          </w:tcPr>
          <w:p w14:paraId="30F676D2" w14:textId="31CCC653"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655,014 </w:t>
            </w:r>
          </w:p>
        </w:tc>
      </w:tr>
      <w:tr w:rsidR="00E12FCC" w:rsidRPr="00EB4589" w14:paraId="5EDA42C8" w14:textId="77777777" w:rsidTr="00F96D8A">
        <w:trPr>
          <w:trHeight w:val="204"/>
        </w:trPr>
        <w:tc>
          <w:tcPr>
            <w:tcW w:w="2694" w:type="dxa"/>
            <w:tcBorders>
              <w:top w:val="nil"/>
              <w:left w:val="nil"/>
              <w:bottom w:val="nil"/>
              <w:right w:val="nil"/>
            </w:tcBorders>
            <w:shd w:val="clear" w:color="auto" w:fill="auto"/>
            <w:noWrap/>
            <w:vAlign w:val="bottom"/>
            <w:hideMark/>
          </w:tcPr>
          <w:p w14:paraId="7BB69929" w14:textId="27E5636D" w:rsidR="00E12FCC" w:rsidRPr="00EB4589" w:rsidRDefault="00E12FCC" w:rsidP="00E12FCC">
            <w:pPr>
              <w:spacing w:after="0" w:line="240" w:lineRule="auto"/>
              <w:jc w:val="left"/>
              <w:rPr>
                <w:rFonts w:ascii="Arial" w:hAnsi="Arial" w:cs="Arial"/>
                <w:sz w:val="16"/>
                <w:szCs w:val="16"/>
              </w:rPr>
            </w:pPr>
            <w:r>
              <w:rPr>
                <w:rFonts w:ascii="Arial" w:hAnsi="Arial" w:cs="Arial"/>
                <w:sz w:val="16"/>
                <w:szCs w:val="16"/>
              </w:rPr>
              <w:t>Department</w:t>
            </w:r>
            <w:r w:rsidRPr="00EB4589">
              <w:rPr>
                <w:rFonts w:ascii="Arial" w:hAnsi="Arial" w:cs="Arial"/>
                <w:sz w:val="16"/>
                <w:szCs w:val="16"/>
              </w:rPr>
              <w:t>al expenses</w:t>
            </w:r>
          </w:p>
        </w:tc>
        <w:tc>
          <w:tcPr>
            <w:tcW w:w="996" w:type="dxa"/>
            <w:gridSpan w:val="2"/>
            <w:tcBorders>
              <w:top w:val="nil"/>
              <w:left w:val="nil"/>
              <w:bottom w:val="nil"/>
              <w:right w:val="nil"/>
            </w:tcBorders>
            <w:shd w:val="clear" w:color="auto" w:fill="auto"/>
            <w:noWrap/>
            <w:vAlign w:val="bottom"/>
            <w:hideMark/>
          </w:tcPr>
          <w:p w14:paraId="271EBF7E" w14:textId="77777777" w:rsidR="00E12FCC" w:rsidRPr="00396A6B" w:rsidRDefault="00E12FCC" w:rsidP="00E12FCC">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61A51984" w14:textId="17E13898"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w:t>
            </w:r>
          </w:p>
        </w:tc>
        <w:tc>
          <w:tcPr>
            <w:tcW w:w="1036" w:type="dxa"/>
            <w:gridSpan w:val="2"/>
            <w:tcBorders>
              <w:top w:val="nil"/>
              <w:left w:val="nil"/>
              <w:bottom w:val="nil"/>
              <w:right w:val="nil"/>
            </w:tcBorders>
            <w:shd w:val="clear" w:color="auto" w:fill="auto"/>
            <w:noWrap/>
            <w:vAlign w:val="bottom"/>
            <w:hideMark/>
          </w:tcPr>
          <w:p w14:paraId="15D0C781" w14:textId="77777777" w:rsidR="00E12FCC" w:rsidRPr="00396A6B" w:rsidRDefault="00E12FCC" w:rsidP="00E12FCC">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05825E95" w14:textId="77777777" w:rsidR="00E12FCC" w:rsidRPr="00396A6B" w:rsidRDefault="00E12FCC" w:rsidP="00E12FCC">
            <w:pPr>
              <w:spacing w:after="0" w:line="240" w:lineRule="auto"/>
              <w:jc w:val="right"/>
              <w:rPr>
                <w:rFonts w:ascii="Times New Roman" w:hAnsi="Times New Roman"/>
                <w:sz w:val="16"/>
                <w:szCs w:val="16"/>
              </w:rPr>
            </w:pPr>
          </w:p>
        </w:tc>
        <w:tc>
          <w:tcPr>
            <w:tcW w:w="900" w:type="dxa"/>
            <w:tcBorders>
              <w:top w:val="nil"/>
              <w:left w:val="nil"/>
              <w:bottom w:val="nil"/>
              <w:right w:val="nil"/>
            </w:tcBorders>
            <w:shd w:val="clear" w:color="auto" w:fill="auto"/>
            <w:noWrap/>
            <w:vAlign w:val="bottom"/>
            <w:hideMark/>
          </w:tcPr>
          <w:p w14:paraId="75732EE0" w14:textId="77777777" w:rsidR="00E12FCC" w:rsidRPr="00396A6B" w:rsidRDefault="00E12FCC" w:rsidP="00E12FCC">
            <w:pPr>
              <w:spacing w:after="0" w:line="240" w:lineRule="auto"/>
              <w:jc w:val="right"/>
              <w:rPr>
                <w:rFonts w:ascii="Times New Roman" w:hAnsi="Times New Roman"/>
                <w:sz w:val="16"/>
                <w:szCs w:val="16"/>
              </w:rPr>
            </w:pPr>
          </w:p>
        </w:tc>
      </w:tr>
      <w:tr w:rsidR="00E12FCC" w:rsidRPr="00EB4589" w14:paraId="4059EC5C" w14:textId="77777777" w:rsidTr="00F96D8A">
        <w:trPr>
          <w:trHeight w:val="204"/>
        </w:trPr>
        <w:tc>
          <w:tcPr>
            <w:tcW w:w="2694" w:type="dxa"/>
            <w:tcBorders>
              <w:top w:val="nil"/>
              <w:left w:val="nil"/>
              <w:bottom w:val="nil"/>
              <w:right w:val="nil"/>
            </w:tcBorders>
            <w:shd w:val="clear" w:color="auto" w:fill="auto"/>
            <w:vAlign w:val="bottom"/>
            <w:hideMark/>
          </w:tcPr>
          <w:p w14:paraId="7640D2C9" w14:textId="502073AF" w:rsidR="00E12FCC" w:rsidRPr="00EB4589" w:rsidRDefault="00E12FCC" w:rsidP="00E12FCC">
            <w:pPr>
              <w:spacing w:after="0" w:line="240" w:lineRule="auto"/>
              <w:ind w:left="113"/>
              <w:jc w:val="left"/>
              <w:rPr>
                <w:rFonts w:ascii="Arial" w:hAnsi="Arial" w:cs="Arial"/>
                <w:sz w:val="16"/>
                <w:szCs w:val="16"/>
              </w:rPr>
            </w:pPr>
            <w:r>
              <w:rPr>
                <w:rFonts w:ascii="Arial" w:hAnsi="Arial" w:cs="Arial"/>
                <w:sz w:val="16"/>
                <w:szCs w:val="16"/>
              </w:rPr>
              <w:t>Department</w:t>
            </w:r>
            <w:r w:rsidRPr="00EB4589">
              <w:rPr>
                <w:rFonts w:ascii="Arial" w:hAnsi="Arial" w:cs="Arial"/>
                <w:sz w:val="16"/>
                <w:szCs w:val="16"/>
              </w:rPr>
              <w:t>al appropriation</w:t>
            </w:r>
          </w:p>
        </w:tc>
        <w:tc>
          <w:tcPr>
            <w:tcW w:w="996" w:type="dxa"/>
            <w:gridSpan w:val="2"/>
            <w:tcBorders>
              <w:top w:val="nil"/>
              <w:left w:val="nil"/>
              <w:bottom w:val="nil"/>
              <w:right w:val="nil"/>
            </w:tcBorders>
            <w:shd w:val="clear" w:color="auto" w:fill="auto"/>
            <w:noWrap/>
            <w:vAlign w:val="bottom"/>
            <w:hideMark/>
          </w:tcPr>
          <w:p w14:paraId="2FE36AF2" w14:textId="0AB5586F"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122,679 </w:t>
            </w:r>
          </w:p>
        </w:tc>
        <w:tc>
          <w:tcPr>
            <w:tcW w:w="996" w:type="dxa"/>
            <w:gridSpan w:val="2"/>
            <w:tcBorders>
              <w:top w:val="nil"/>
              <w:left w:val="nil"/>
              <w:bottom w:val="nil"/>
              <w:right w:val="nil"/>
            </w:tcBorders>
            <w:shd w:val="clear" w:color="auto" w:fill="E6E6E6"/>
            <w:noWrap/>
            <w:vAlign w:val="bottom"/>
            <w:hideMark/>
          </w:tcPr>
          <w:p w14:paraId="428A9E8E" w14:textId="4080F204"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134,811 </w:t>
            </w:r>
          </w:p>
        </w:tc>
        <w:tc>
          <w:tcPr>
            <w:tcW w:w="1036" w:type="dxa"/>
            <w:gridSpan w:val="2"/>
            <w:tcBorders>
              <w:top w:val="nil"/>
              <w:left w:val="nil"/>
              <w:bottom w:val="nil"/>
              <w:right w:val="nil"/>
            </w:tcBorders>
            <w:shd w:val="clear" w:color="auto" w:fill="auto"/>
            <w:noWrap/>
            <w:vAlign w:val="bottom"/>
            <w:hideMark/>
          </w:tcPr>
          <w:p w14:paraId="5AF182DA" w14:textId="55EBE149"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117,712 </w:t>
            </w:r>
          </w:p>
        </w:tc>
        <w:tc>
          <w:tcPr>
            <w:tcW w:w="996" w:type="dxa"/>
            <w:gridSpan w:val="2"/>
            <w:tcBorders>
              <w:top w:val="nil"/>
              <w:left w:val="nil"/>
              <w:bottom w:val="nil"/>
              <w:right w:val="nil"/>
            </w:tcBorders>
            <w:shd w:val="clear" w:color="auto" w:fill="auto"/>
            <w:noWrap/>
            <w:vAlign w:val="bottom"/>
            <w:hideMark/>
          </w:tcPr>
          <w:p w14:paraId="7E35DA28" w14:textId="7622798C"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91,791 </w:t>
            </w:r>
          </w:p>
        </w:tc>
        <w:tc>
          <w:tcPr>
            <w:tcW w:w="900" w:type="dxa"/>
            <w:tcBorders>
              <w:top w:val="nil"/>
              <w:left w:val="nil"/>
              <w:bottom w:val="nil"/>
              <w:right w:val="nil"/>
            </w:tcBorders>
            <w:shd w:val="clear" w:color="auto" w:fill="auto"/>
            <w:noWrap/>
            <w:vAlign w:val="bottom"/>
            <w:hideMark/>
          </w:tcPr>
          <w:p w14:paraId="72FF1F1F" w14:textId="7A942436"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91,812 </w:t>
            </w:r>
          </w:p>
        </w:tc>
      </w:tr>
      <w:tr w:rsidR="00E12FCC" w:rsidRPr="00EB4589" w14:paraId="64D0D852" w14:textId="77777777" w:rsidTr="00F96D8A">
        <w:trPr>
          <w:trHeight w:val="204"/>
        </w:trPr>
        <w:tc>
          <w:tcPr>
            <w:tcW w:w="2694" w:type="dxa"/>
            <w:tcBorders>
              <w:top w:val="nil"/>
              <w:left w:val="nil"/>
              <w:bottom w:val="nil"/>
              <w:right w:val="nil"/>
            </w:tcBorders>
            <w:shd w:val="clear" w:color="auto" w:fill="auto"/>
            <w:vAlign w:val="bottom"/>
            <w:hideMark/>
          </w:tcPr>
          <w:p w14:paraId="54CD6840" w14:textId="50B5AB28"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 xml:space="preserve">s74 external revenue </w:t>
            </w:r>
            <w:r w:rsidRPr="00FF518E">
              <w:rPr>
                <w:rFonts w:ascii="Arial" w:hAnsi="Arial" w:cs="Arial"/>
                <w:sz w:val="16"/>
                <w:szCs w:val="16"/>
                <w:vertAlign w:val="superscript"/>
              </w:rPr>
              <w:t>(</w:t>
            </w:r>
            <w:r>
              <w:rPr>
                <w:rFonts w:ascii="Arial" w:hAnsi="Arial" w:cs="Arial"/>
                <w:sz w:val="16"/>
                <w:szCs w:val="16"/>
                <w:vertAlign w:val="superscript"/>
              </w:rPr>
              <w:t>d</w:t>
            </w:r>
            <w:r w:rsidRPr="00FF518E">
              <w:rPr>
                <w:rFonts w:ascii="Arial" w:hAnsi="Arial" w:cs="Arial"/>
                <w:sz w:val="16"/>
                <w:szCs w:val="16"/>
                <w:vertAlign w:val="superscript"/>
              </w:rPr>
              <w:t>)</w:t>
            </w:r>
          </w:p>
        </w:tc>
        <w:tc>
          <w:tcPr>
            <w:tcW w:w="996" w:type="dxa"/>
            <w:gridSpan w:val="2"/>
            <w:tcBorders>
              <w:top w:val="nil"/>
              <w:left w:val="nil"/>
              <w:bottom w:val="nil"/>
              <w:right w:val="nil"/>
            </w:tcBorders>
            <w:shd w:val="clear" w:color="auto" w:fill="auto"/>
            <w:noWrap/>
            <w:vAlign w:val="bottom"/>
            <w:hideMark/>
          </w:tcPr>
          <w:p w14:paraId="67254F7E" w14:textId="0CAB0309"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3,502 </w:t>
            </w:r>
          </w:p>
        </w:tc>
        <w:tc>
          <w:tcPr>
            <w:tcW w:w="996" w:type="dxa"/>
            <w:gridSpan w:val="2"/>
            <w:tcBorders>
              <w:top w:val="nil"/>
              <w:left w:val="nil"/>
              <w:bottom w:val="nil"/>
              <w:right w:val="nil"/>
            </w:tcBorders>
            <w:shd w:val="clear" w:color="auto" w:fill="E6E6E6"/>
            <w:noWrap/>
            <w:vAlign w:val="bottom"/>
            <w:hideMark/>
          </w:tcPr>
          <w:p w14:paraId="1D67725C" w14:textId="7745B403"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3,184 </w:t>
            </w:r>
          </w:p>
        </w:tc>
        <w:tc>
          <w:tcPr>
            <w:tcW w:w="1036" w:type="dxa"/>
            <w:gridSpan w:val="2"/>
            <w:tcBorders>
              <w:top w:val="nil"/>
              <w:left w:val="nil"/>
              <w:bottom w:val="nil"/>
              <w:right w:val="nil"/>
            </w:tcBorders>
            <w:shd w:val="clear" w:color="auto" w:fill="auto"/>
            <w:noWrap/>
            <w:vAlign w:val="bottom"/>
            <w:hideMark/>
          </w:tcPr>
          <w:p w14:paraId="249B083E" w14:textId="51DCB5C2"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3,631 </w:t>
            </w:r>
          </w:p>
        </w:tc>
        <w:tc>
          <w:tcPr>
            <w:tcW w:w="996" w:type="dxa"/>
            <w:gridSpan w:val="2"/>
            <w:tcBorders>
              <w:top w:val="nil"/>
              <w:left w:val="nil"/>
              <w:bottom w:val="nil"/>
              <w:right w:val="nil"/>
            </w:tcBorders>
            <w:shd w:val="clear" w:color="auto" w:fill="auto"/>
            <w:noWrap/>
            <w:vAlign w:val="bottom"/>
            <w:hideMark/>
          </w:tcPr>
          <w:p w14:paraId="6A97FDAD" w14:textId="7799D353"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3,250 </w:t>
            </w:r>
          </w:p>
        </w:tc>
        <w:tc>
          <w:tcPr>
            <w:tcW w:w="900" w:type="dxa"/>
            <w:tcBorders>
              <w:top w:val="nil"/>
              <w:left w:val="nil"/>
              <w:bottom w:val="nil"/>
              <w:right w:val="nil"/>
            </w:tcBorders>
            <w:shd w:val="clear" w:color="auto" w:fill="auto"/>
            <w:noWrap/>
            <w:vAlign w:val="bottom"/>
            <w:hideMark/>
          </w:tcPr>
          <w:p w14:paraId="63EBB6CE" w14:textId="1E18C028"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3,321 </w:t>
            </w:r>
          </w:p>
        </w:tc>
      </w:tr>
      <w:tr w:rsidR="00E12FCC" w:rsidRPr="00EB4589" w14:paraId="102A08E9" w14:textId="77777777" w:rsidTr="00F96D8A">
        <w:trPr>
          <w:trHeight w:val="204"/>
        </w:trPr>
        <w:tc>
          <w:tcPr>
            <w:tcW w:w="2694" w:type="dxa"/>
            <w:tcBorders>
              <w:top w:val="nil"/>
              <w:left w:val="nil"/>
              <w:bottom w:val="nil"/>
              <w:right w:val="nil"/>
            </w:tcBorders>
            <w:shd w:val="clear" w:color="auto" w:fill="auto"/>
            <w:vAlign w:val="bottom"/>
            <w:hideMark/>
          </w:tcPr>
          <w:p w14:paraId="3B07B9AD" w14:textId="188C2024" w:rsidR="00E12FCC" w:rsidRPr="00EB4589" w:rsidRDefault="00E12FCC" w:rsidP="00E12FCC">
            <w:pPr>
              <w:spacing w:after="0" w:line="240" w:lineRule="auto"/>
              <w:ind w:left="113"/>
              <w:jc w:val="left"/>
              <w:rPr>
                <w:rFonts w:ascii="Arial" w:hAnsi="Arial" w:cs="Arial"/>
                <w:sz w:val="16"/>
                <w:szCs w:val="16"/>
              </w:rPr>
            </w:pPr>
            <w:r w:rsidRPr="00EB4589">
              <w:rPr>
                <w:rFonts w:ascii="Arial" w:hAnsi="Arial" w:cs="Arial"/>
                <w:sz w:val="16"/>
                <w:szCs w:val="16"/>
              </w:rPr>
              <w:t>Expenses not requiring appropriation in the Budget year</w:t>
            </w:r>
            <w:r>
              <w:rPr>
                <w:rFonts w:ascii="Arial" w:hAnsi="Arial" w:cs="Arial"/>
                <w:sz w:val="16"/>
                <w:szCs w:val="16"/>
              </w:rPr>
              <w:t> </w:t>
            </w:r>
            <w:r w:rsidRPr="00FF518E">
              <w:rPr>
                <w:rFonts w:ascii="Arial" w:hAnsi="Arial" w:cs="Arial"/>
                <w:sz w:val="16"/>
                <w:szCs w:val="16"/>
                <w:vertAlign w:val="superscript"/>
              </w:rPr>
              <w:t>(</w:t>
            </w:r>
            <w:r>
              <w:rPr>
                <w:rFonts w:ascii="Arial" w:hAnsi="Arial" w:cs="Arial"/>
                <w:sz w:val="16"/>
                <w:szCs w:val="16"/>
                <w:vertAlign w:val="superscript"/>
              </w:rPr>
              <w:t>e</w:t>
            </w:r>
            <w:r w:rsidRPr="00FF518E">
              <w:rPr>
                <w:rFonts w:ascii="Arial" w:hAnsi="Arial" w:cs="Arial"/>
                <w:sz w:val="16"/>
                <w:szCs w:val="16"/>
                <w:vertAlign w:val="superscript"/>
              </w:rPr>
              <w:t>)</w:t>
            </w:r>
            <w:r w:rsidRPr="00EB4589">
              <w:rPr>
                <w:rFonts w:ascii="Arial" w:hAnsi="Arial" w:cs="Arial"/>
                <w:sz w:val="16"/>
                <w:szCs w:val="16"/>
              </w:rPr>
              <w:t xml:space="preserve"> </w:t>
            </w:r>
          </w:p>
        </w:tc>
        <w:tc>
          <w:tcPr>
            <w:tcW w:w="996" w:type="dxa"/>
            <w:gridSpan w:val="2"/>
            <w:tcBorders>
              <w:top w:val="nil"/>
              <w:left w:val="nil"/>
              <w:bottom w:val="nil"/>
              <w:right w:val="nil"/>
            </w:tcBorders>
            <w:shd w:val="clear" w:color="auto" w:fill="auto"/>
            <w:noWrap/>
            <w:vAlign w:val="bottom"/>
            <w:hideMark/>
          </w:tcPr>
          <w:p w14:paraId="326AED4D" w14:textId="6212FEA0"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2,360 </w:t>
            </w:r>
          </w:p>
        </w:tc>
        <w:tc>
          <w:tcPr>
            <w:tcW w:w="996" w:type="dxa"/>
            <w:gridSpan w:val="2"/>
            <w:tcBorders>
              <w:top w:val="nil"/>
              <w:left w:val="nil"/>
              <w:bottom w:val="nil"/>
              <w:right w:val="nil"/>
            </w:tcBorders>
            <w:shd w:val="clear" w:color="auto" w:fill="E6E6E6"/>
            <w:noWrap/>
            <w:vAlign w:val="bottom"/>
            <w:hideMark/>
          </w:tcPr>
          <w:p w14:paraId="4B1E7971" w14:textId="79003721"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2,293 </w:t>
            </w:r>
          </w:p>
        </w:tc>
        <w:tc>
          <w:tcPr>
            <w:tcW w:w="1036" w:type="dxa"/>
            <w:gridSpan w:val="2"/>
            <w:tcBorders>
              <w:top w:val="nil"/>
              <w:left w:val="nil"/>
              <w:bottom w:val="nil"/>
              <w:right w:val="nil"/>
            </w:tcBorders>
            <w:shd w:val="clear" w:color="auto" w:fill="auto"/>
            <w:noWrap/>
            <w:vAlign w:val="bottom"/>
            <w:hideMark/>
          </w:tcPr>
          <w:p w14:paraId="6B25AF0D" w14:textId="4D3163C9"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2,345 </w:t>
            </w:r>
          </w:p>
        </w:tc>
        <w:tc>
          <w:tcPr>
            <w:tcW w:w="996" w:type="dxa"/>
            <w:gridSpan w:val="2"/>
            <w:tcBorders>
              <w:top w:val="nil"/>
              <w:left w:val="nil"/>
              <w:bottom w:val="nil"/>
              <w:right w:val="nil"/>
            </w:tcBorders>
            <w:shd w:val="clear" w:color="auto" w:fill="auto"/>
            <w:noWrap/>
            <w:vAlign w:val="bottom"/>
            <w:hideMark/>
          </w:tcPr>
          <w:p w14:paraId="1FB97F1C" w14:textId="4B4C2783"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1,049 </w:t>
            </w:r>
          </w:p>
        </w:tc>
        <w:tc>
          <w:tcPr>
            <w:tcW w:w="900" w:type="dxa"/>
            <w:tcBorders>
              <w:top w:val="nil"/>
              <w:left w:val="nil"/>
              <w:bottom w:val="nil"/>
              <w:right w:val="nil"/>
            </w:tcBorders>
            <w:shd w:val="clear" w:color="auto" w:fill="auto"/>
            <w:noWrap/>
            <w:vAlign w:val="bottom"/>
            <w:hideMark/>
          </w:tcPr>
          <w:p w14:paraId="2A4E128A" w14:textId="3B84BBD2" w:rsidR="00E12FCC" w:rsidRPr="00396A6B" w:rsidRDefault="00E12FCC" w:rsidP="00E12FCC">
            <w:pPr>
              <w:spacing w:after="0" w:line="240" w:lineRule="auto"/>
              <w:jc w:val="right"/>
              <w:rPr>
                <w:rFonts w:ascii="Arial" w:hAnsi="Arial" w:cs="Arial"/>
                <w:sz w:val="16"/>
                <w:szCs w:val="16"/>
              </w:rPr>
            </w:pPr>
            <w:r>
              <w:rPr>
                <w:rFonts w:ascii="Arial" w:hAnsi="Arial" w:cs="Arial"/>
                <w:sz w:val="16"/>
                <w:szCs w:val="16"/>
              </w:rPr>
              <w:t xml:space="preserve">1,073 </w:t>
            </w:r>
          </w:p>
        </w:tc>
      </w:tr>
      <w:tr w:rsidR="00E12FCC" w:rsidRPr="00EB4589" w14:paraId="68939611" w14:textId="77777777" w:rsidTr="00F96D8A">
        <w:trPr>
          <w:trHeight w:val="204"/>
        </w:trPr>
        <w:tc>
          <w:tcPr>
            <w:tcW w:w="2694" w:type="dxa"/>
            <w:tcBorders>
              <w:top w:val="nil"/>
              <w:left w:val="nil"/>
              <w:bottom w:val="nil"/>
              <w:right w:val="nil"/>
            </w:tcBorders>
            <w:shd w:val="clear" w:color="auto" w:fill="auto"/>
            <w:vAlign w:val="bottom"/>
            <w:hideMark/>
          </w:tcPr>
          <w:p w14:paraId="37A47EC7" w14:textId="705C87DC" w:rsidR="00E12FCC" w:rsidRPr="00EB4589" w:rsidRDefault="00E12FCC" w:rsidP="00F35F54">
            <w:pPr>
              <w:spacing w:after="0" w:line="240" w:lineRule="auto"/>
              <w:jc w:val="left"/>
              <w:rPr>
                <w:rFonts w:ascii="Arial" w:hAnsi="Arial" w:cs="Arial"/>
                <w:b/>
                <w:bCs/>
                <w:sz w:val="16"/>
                <w:szCs w:val="16"/>
              </w:rPr>
            </w:pPr>
            <w:r w:rsidRPr="00EB4589">
              <w:rPr>
                <w:rFonts w:ascii="Arial" w:hAnsi="Arial" w:cs="Arial"/>
                <w:b/>
                <w:bCs/>
                <w:sz w:val="16"/>
                <w:szCs w:val="16"/>
              </w:rPr>
              <w:t xml:space="preserve">Total </w:t>
            </w:r>
            <w:r>
              <w:rPr>
                <w:rFonts w:ascii="Arial" w:hAnsi="Arial" w:cs="Arial"/>
                <w:b/>
                <w:bCs/>
                <w:sz w:val="16"/>
                <w:szCs w:val="16"/>
              </w:rPr>
              <w:t>Department</w:t>
            </w:r>
            <w:r w:rsidRPr="00EB4589">
              <w:rPr>
                <w:rFonts w:ascii="Arial" w:hAnsi="Arial" w:cs="Arial"/>
                <w:b/>
                <w:bCs/>
                <w:sz w:val="16"/>
                <w:szCs w:val="16"/>
              </w:rPr>
              <w:t>al expenses</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3CA0719C" w14:textId="4A197DA1"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128,541 </w:t>
            </w:r>
          </w:p>
        </w:tc>
        <w:tc>
          <w:tcPr>
            <w:tcW w:w="996" w:type="dxa"/>
            <w:gridSpan w:val="2"/>
            <w:tcBorders>
              <w:top w:val="single" w:sz="4" w:space="0" w:color="auto"/>
              <w:left w:val="nil"/>
              <w:bottom w:val="single" w:sz="4" w:space="0" w:color="auto"/>
              <w:right w:val="nil"/>
            </w:tcBorders>
            <w:shd w:val="clear" w:color="auto" w:fill="E6E6E6"/>
            <w:noWrap/>
            <w:vAlign w:val="bottom"/>
            <w:hideMark/>
          </w:tcPr>
          <w:p w14:paraId="723334ED" w14:textId="3740DB91"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140,288 </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31825E56" w14:textId="412691EB"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123,688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7169D4FE" w14:textId="6DC1EB26"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96,090 </w:t>
            </w:r>
          </w:p>
        </w:tc>
        <w:tc>
          <w:tcPr>
            <w:tcW w:w="900" w:type="dxa"/>
            <w:tcBorders>
              <w:top w:val="single" w:sz="4" w:space="0" w:color="auto"/>
              <w:left w:val="nil"/>
              <w:bottom w:val="single" w:sz="4" w:space="0" w:color="auto"/>
              <w:right w:val="nil"/>
            </w:tcBorders>
            <w:shd w:val="clear" w:color="auto" w:fill="auto"/>
            <w:noWrap/>
            <w:vAlign w:val="bottom"/>
            <w:hideMark/>
          </w:tcPr>
          <w:p w14:paraId="041D069E" w14:textId="6174E8F5"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96,206 </w:t>
            </w:r>
          </w:p>
        </w:tc>
      </w:tr>
      <w:tr w:rsidR="00E12FCC" w:rsidRPr="00EB4589" w14:paraId="659ECD6C"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00F0ECA3" w14:textId="77777777" w:rsidR="00E12FCC" w:rsidRPr="00EB4589" w:rsidRDefault="00E12FCC" w:rsidP="00E12FCC">
            <w:pPr>
              <w:spacing w:after="0" w:line="240" w:lineRule="auto"/>
              <w:jc w:val="left"/>
              <w:rPr>
                <w:rFonts w:ascii="Arial" w:hAnsi="Arial" w:cs="Arial"/>
                <w:b/>
                <w:bCs/>
                <w:sz w:val="16"/>
                <w:szCs w:val="16"/>
              </w:rPr>
            </w:pPr>
            <w:r w:rsidRPr="00EB4589">
              <w:rPr>
                <w:rFonts w:ascii="Arial" w:hAnsi="Arial" w:cs="Arial"/>
                <w:b/>
                <w:bCs/>
                <w:sz w:val="16"/>
                <w:szCs w:val="16"/>
              </w:rPr>
              <w:t>Total expenses for Outcome 2</w:t>
            </w:r>
          </w:p>
        </w:tc>
        <w:tc>
          <w:tcPr>
            <w:tcW w:w="996" w:type="dxa"/>
            <w:gridSpan w:val="2"/>
            <w:tcBorders>
              <w:top w:val="nil"/>
              <w:left w:val="nil"/>
              <w:bottom w:val="single" w:sz="4" w:space="0" w:color="auto"/>
              <w:right w:val="nil"/>
            </w:tcBorders>
            <w:shd w:val="clear" w:color="auto" w:fill="auto"/>
            <w:noWrap/>
            <w:vAlign w:val="bottom"/>
            <w:hideMark/>
          </w:tcPr>
          <w:p w14:paraId="35B2D041" w14:textId="476F1C4D"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1,818,838 </w:t>
            </w:r>
          </w:p>
        </w:tc>
        <w:tc>
          <w:tcPr>
            <w:tcW w:w="996" w:type="dxa"/>
            <w:gridSpan w:val="2"/>
            <w:tcBorders>
              <w:top w:val="nil"/>
              <w:left w:val="nil"/>
              <w:bottom w:val="single" w:sz="4" w:space="0" w:color="auto"/>
              <w:right w:val="nil"/>
            </w:tcBorders>
            <w:shd w:val="clear" w:color="auto" w:fill="E6E6E6"/>
            <w:noWrap/>
            <w:vAlign w:val="bottom"/>
            <w:hideMark/>
          </w:tcPr>
          <w:p w14:paraId="27EC1972" w14:textId="112D6C8F"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1,001,695 </w:t>
            </w:r>
          </w:p>
        </w:tc>
        <w:tc>
          <w:tcPr>
            <w:tcW w:w="1036" w:type="dxa"/>
            <w:gridSpan w:val="2"/>
            <w:tcBorders>
              <w:top w:val="nil"/>
              <w:left w:val="nil"/>
              <w:bottom w:val="single" w:sz="4" w:space="0" w:color="auto"/>
              <w:right w:val="nil"/>
            </w:tcBorders>
            <w:shd w:val="clear" w:color="auto" w:fill="auto"/>
            <w:noWrap/>
            <w:vAlign w:val="bottom"/>
            <w:hideMark/>
          </w:tcPr>
          <w:p w14:paraId="2798E276" w14:textId="23C2EE42"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867,133 </w:t>
            </w:r>
          </w:p>
        </w:tc>
        <w:tc>
          <w:tcPr>
            <w:tcW w:w="996" w:type="dxa"/>
            <w:gridSpan w:val="2"/>
            <w:tcBorders>
              <w:top w:val="nil"/>
              <w:left w:val="nil"/>
              <w:bottom w:val="single" w:sz="4" w:space="0" w:color="auto"/>
              <w:right w:val="nil"/>
            </w:tcBorders>
            <w:shd w:val="clear" w:color="auto" w:fill="auto"/>
            <w:noWrap/>
            <w:vAlign w:val="bottom"/>
            <w:hideMark/>
          </w:tcPr>
          <w:p w14:paraId="2F349D9D" w14:textId="60BB9C0E"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761,006 </w:t>
            </w:r>
          </w:p>
        </w:tc>
        <w:tc>
          <w:tcPr>
            <w:tcW w:w="900" w:type="dxa"/>
            <w:tcBorders>
              <w:top w:val="nil"/>
              <w:left w:val="nil"/>
              <w:bottom w:val="single" w:sz="4" w:space="0" w:color="auto"/>
              <w:right w:val="nil"/>
            </w:tcBorders>
            <w:shd w:val="clear" w:color="auto" w:fill="auto"/>
            <w:noWrap/>
            <w:vAlign w:val="bottom"/>
            <w:hideMark/>
          </w:tcPr>
          <w:p w14:paraId="108F5439" w14:textId="03D53B50" w:rsidR="00E12FCC" w:rsidRPr="00396A6B" w:rsidRDefault="00E12FCC" w:rsidP="00E12FCC">
            <w:pPr>
              <w:spacing w:after="0" w:line="240" w:lineRule="auto"/>
              <w:jc w:val="right"/>
              <w:rPr>
                <w:rFonts w:ascii="Arial" w:hAnsi="Arial" w:cs="Arial"/>
                <w:b/>
                <w:bCs/>
                <w:sz w:val="16"/>
                <w:szCs w:val="16"/>
              </w:rPr>
            </w:pPr>
            <w:r>
              <w:rPr>
                <w:rFonts w:ascii="Arial" w:hAnsi="Arial" w:cs="Arial"/>
                <w:b/>
                <w:bCs/>
                <w:sz w:val="16"/>
                <w:szCs w:val="16"/>
              </w:rPr>
              <w:t xml:space="preserve">751,220 </w:t>
            </w:r>
          </w:p>
        </w:tc>
      </w:tr>
    </w:tbl>
    <w:p w14:paraId="183B835A" w14:textId="77777777" w:rsidR="00B91F3E" w:rsidRPr="00F00FE6" w:rsidRDefault="00B91F3E" w:rsidP="00B91F3E">
      <w:pPr>
        <w:pStyle w:val="TableHeadingcontinued"/>
        <w:rPr>
          <w:rFonts w:ascii="Arial" w:hAnsi="Arial" w:cs="Arial"/>
          <w:sz w:val="12"/>
        </w:rPr>
      </w:pPr>
    </w:p>
    <w:tbl>
      <w:tblPr>
        <w:tblW w:w="0" w:type="auto"/>
        <w:tblLayout w:type="fixed"/>
        <w:tblLook w:val="04A0" w:firstRow="1" w:lastRow="0" w:firstColumn="1" w:lastColumn="0" w:noHBand="0" w:noVBand="1"/>
      </w:tblPr>
      <w:tblGrid>
        <w:gridCol w:w="2694"/>
        <w:gridCol w:w="977"/>
        <w:gridCol w:w="977"/>
        <w:gridCol w:w="1016"/>
        <w:gridCol w:w="977"/>
        <w:gridCol w:w="977"/>
      </w:tblGrid>
      <w:tr w:rsidR="00B91F3E" w:rsidRPr="00EB4589" w14:paraId="448031A8" w14:textId="77777777" w:rsidTr="00F96D8A">
        <w:trPr>
          <w:trHeight w:val="204"/>
        </w:trPr>
        <w:tc>
          <w:tcPr>
            <w:tcW w:w="2694" w:type="dxa"/>
            <w:tcBorders>
              <w:top w:val="single" w:sz="4" w:space="0" w:color="auto"/>
              <w:left w:val="nil"/>
              <w:bottom w:val="nil"/>
              <w:right w:val="nil"/>
            </w:tcBorders>
            <w:shd w:val="clear" w:color="auto" w:fill="auto"/>
            <w:noWrap/>
            <w:vAlign w:val="bottom"/>
            <w:hideMark/>
          </w:tcPr>
          <w:p w14:paraId="3E2AC260" w14:textId="77777777" w:rsidR="00B91F3E" w:rsidRPr="00EB4589" w:rsidRDefault="00B91F3E" w:rsidP="00F96D8A">
            <w:pPr>
              <w:spacing w:after="0" w:line="240" w:lineRule="auto"/>
              <w:jc w:val="left"/>
              <w:rPr>
                <w:rFonts w:ascii="Arial" w:hAnsi="Arial" w:cs="Arial"/>
                <w:b/>
                <w:bCs/>
                <w:sz w:val="16"/>
                <w:szCs w:val="16"/>
              </w:rPr>
            </w:pPr>
            <w:r w:rsidRPr="00EB4589">
              <w:rPr>
                <w:rFonts w:ascii="Arial" w:hAnsi="Arial" w:cs="Arial"/>
                <w:b/>
                <w:bCs/>
                <w:sz w:val="16"/>
                <w:szCs w:val="16"/>
              </w:rPr>
              <w:t> </w:t>
            </w:r>
          </w:p>
        </w:tc>
        <w:tc>
          <w:tcPr>
            <w:tcW w:w="977" w:type="dxa"/>
            <w:tcBorders>
              <w:top w:val="single" w:sz="4" w:space="0" w:color="auto"/>
              <w:left w:val="nil"/>
              <w:bottom w:val="single" w:sz="4" w:space="0" w:color="auto"/>
              <w:right w:val="nil"/>
            </w:tcBorders>
            <w:shd w:val="clear" w:color="auto" w:fill="auto"/>
            <w:vAlign w:val="bottom"/>
            <w:hideMark/>
          </w:tcPr>
          <w:p w14:paraId="096FBCF0"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2021-22</w:t>
            </w:r>
            <w:r w:rsidRPr="00EB4589">
              <w:rPr>
                <w:rFonts w:ascii="Arial" w:hAnsi="Arial" w:cs="Arial"/>
                <w:sz w:val="16"/>
                <w:szCs w:val="16"/>
              </w:rPr>
              <w:br/>
              <w:t>Estimated  actual</w:t>
            </w:r>
            <w:r w:rsidRPr="00EB458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E6E6E6"/>
            <w:vAlign w:val="bottom"/>
            <w:hideMark/>
          </w:tcPr>
          <w:p w14:paraId="1EAFF16C"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2022-23</w:t>
            </w:r>
            <w:r w:rsidRPr="00EB4589">
              <w:rPr>
                <w:rFonts w:ascii="Arial" w:hAnsi="Arial" w:cs="Arial"/>
                <w:sz w:val="16"/>
                <w:szCs w:val="16"/>
              </w:rPr>
              <w:br/>
              <w:t xml:space="preserve"> Budget</w:t>
            </w:r>
            <w:r w:rsidRPr="00EB4589">
              <w:rPr>
                <w:rFonts w:ascii="Arial" w:hAnsi="Arial" w:cs="Arial"/>
                <w:sz w:val="16"/>
                <w:szCs w:val="16"/>
              </w:rPr>
              <w:br/>
              <w:t xml:space="preserve">                                      $'000</w:t>
            </w:r>
          </w:p>
        </w:tc>
        <w:tc>
          <w:tcPr>
            <w:tcW w:w="1016" w:type="dxa"/>
            <w:tcBorders>
              <w:top w:val="single" w:sz="4" w:space="0" w:color="auto"/>
              <w:left w:val="nil"/>
              <w:bottom w:val="single" w:sz="4" w:space="0" w:color="auto"/>
              <w:right w:val="nil"/>
            </w:tcBorders>
            <w:shd w:val="clear" w:color="auto" w:fill="auto"/>
            <w:vAlign w:val="bottom"/>
            <w:hideMark/>
          </w:tcPr>
          <w:p w14:paraId="5ECD727B"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2023-24</w:t>
            </w:r>
            <w:r w:rsidRPr="00EB4589">
              <w:rPr>
                <w:rFonts w:ascii="Arial" w:hAnsi="Arial" w:cs="Arial"/>
                <w:sz w:val="16"/>
                <w:szCs w:val="16"/>
              </w:rPr>
              <w:br/>
              <w:t>Forward estimate</w:t>
            </w:r>
            <w:r w:rsidRPr="00EB458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0AADC602"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2024-25</w:t>
            </w:r>
            <w:r w:rsidRPr="00EB4589">
              <w:rPr>
                <w:rFonts w:ascii="Arial" w:hAnsi="Arial" w:cs="Arial"/>
                <w:sz w:val="16"/>
                <w:szCs w:val="16"/>
              </w:rPr>
              <w:br/>
              <w:t>Forward estimate</w:t>
            </w:r>
            <w:r w:rsidRPr="00EB458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4791EEBA"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2025-26</w:t>
            </w:r>
            <w:r w:rsidRPr="00EB4589">
              <w:rPr>
                <w:rFonts w:ascii="Arial" w:hAnsi="Arial" w:cs="Arial"/>
                <w:sz w:val="16"/>
                <w:szCs w:val="16"/>
              </w:rPr>
              <w:br/>
              <w:t>Forward estimate</w:t>
            </w:r>
            <w:r w:rsidRPr="00EB4589">
              <w:rPr>
                <w:rFonts w:ascii="Arial" w:hAnsi="Arial" w:cs="Arial"/>
                <w:sz w:val="16"/>
                <w:szCs w:val="16"/>
              </w:rPr>
              <w:br/>
              <w:t>$'000</w:t>
            </w:r>
          </w:p>
        </w:tc>
      </w:tr>
      <w:tr w:rsidR="00B91F3E" w:rsidRPr="00EB4589" w14:paraId="586BBBB6" w14:textId="77777777" w:rsidTr="00F96D8A">
        <w:trPr>
          <w:trHeight w:val="204"/>
        </w:trPr>
        <w:tc>
          <w:tcPr>
            <w:tcW w:w="2694" w:type="dxa"/>
            <w:tcBorders>
              <w:top w:val="nil"/>
              <w:left w:val="nil"/>
              <w:bottom w:val="nil"/>
              <w:right w:val="nil"/>
            </w:tcBorders>
            <w:shd w:val="clear" w:color="auto" w:fill="auto"/>
            <w:vAlign w:val="bottom"/>
            <w:hideMark/>
          </w:tcPr>
          <w:p w14:paraId="04FDDCF1" w14:textId="7078D117" w:rsidR="00B91F3E" w:rsidRPr="00EB4589" w:rsidRDefault="00B91F3E" w:rsidP="00111D9A">
            <w:pPr>
              <w:spacing w:after="0" w:line="240" w:lineRule="auto"/>
              <w:jc w:val="left"/>
              <w:rPr>
                <w:rFonts w:ascii="Arial" w:hAnsi="Arial" w:cs="Arial"/>
                <w:b/>
                <w:bCs/>
                <w:sz w:val="16"/>
                <w:szCs w:val="16"/>
              </w:rPr>
            </w:pPr>
            <w:r w:rsidRPr="00EB4589">
              <w:rPr>
                <w:rFonts w:ascii="Arial" w:hAnsi="Arial" w:cs="Arial"/>
                <w:b/>
                <w:bCs/>
                <w:sz w:val="16"/>
                <w:szCs w:val="16"/>
              </w:rPr>
              <w:t xml:space="preserve">Movement of administered funds between years </w:t>
            </w:r>
            <w:r w:rsidRPr="00FF518E">
              <w:rPr>
                <w:rFonts w:ascii="Arial" w:hAnsi="Arial" w:cs="Arial"/>
                <w:b/>
                <w:bCs/>
                <w:sz w:val="16"/>
                <w:szCs w:val="16"/>
                <w:vertAlign w:val="superscript"/>
              </w:rPr>
              <w:t>(</w:t>
            </w:r>
            <w:r w:rsidR="00111D9A">
              <w:rPr>
                <w:rFonts w:ascii="Arial" w:hAnsi="Arial" w:cs="Arial"/>
                <w:b/>
                <w:bCs/>
                <w:sz w:val="16"/>
                <w:szCs w:val="16"/>
                <w:vertAlign w:val="superscript"/>
              </w:rPr>
              <w:t>f</w:t>
            </w:r>
            <w:r w:rsidRPr="00FF518E">
              <w:rPr>
                <w:rFonts w:ascii="Arial" w:hAnsi="Arial" w:cs="Arial"/>
                <w:b/>
                <w:bCs/>
                <w:sz w:val="16"/>
                <w:szCs w:val="16"/>
                <w:vertAlign w:val="superscript"/>
              </w:rPr>
              <w:t>)</w:t>
            </w:r>
          </w:p>
        </w:tc>
        <w:tc>
          <w:tcPr>
            <w:tcW w:w="977" w:type="dxa"/>
            <w:tcBorders>
              <w:top w:val="nil"/>
              <w:left w:val="nil"/>
              <w:bottom w:val="nil"/>
              <w:right w:val="nil"/>
            </w:tcBorders>
            <w:shd w:val="clear" w:color="auto" w:fill="auto"/>
            <w:vAlign w:val="bottom"/>
            <w:hideMark/>
          </w:tcPr>
          <w:p w14:paraId="1A11B40A" w14:textId="77777777" w:rsidR="00B91F3E" w:rsidRPr="00EB4589" w:rsidRDefault="00B91F3E" w:rsidP="00F96D8A">
            <w:pPr>
              <w:spacing w:after="0" w:line="240" w:lineRule="auto"/>
              <w:jc w:val="right"/>
              <w:rPr>
                <w:rFonts w:ascii="Arial" w:hAnsi="Arial" w:cs="Arial"/>
                <w:b/>
                <w:bCs/>
                <w:sz w:val="16"/>
                <w:szCs w:val="16"/>
              </w:rPr>
            </w:pPr>
          </w:p>
        </w:tc>
        <w:tc>
          <w:tcPr>
            <w:tcW w:w="977" w:type="dxa"/>
            <w:tcBorders>
              <w:top w:val="nil"/>
              <w:left w:val="nil"/>
              <w:bottom w:val="nil"/>
              <w:right w:val="nil"/>
            </w:tcBorders>
            <w:shd w:val="clear" w:color="000000" w:fill="E6E6E6"/>
            <w:noWrap/>
            <w:vAlign w:val="bottom"/>
            <w:hideMark/>
          </w:tcPr>
          <w:p w14:paraId="343496BC" w14:textId="77777777" w:rsidR="00B91F3E" w:rsidRPr="00EB4589" w:rsidRDefault="00B91F3E" w:rsidP="00F96D8A">
            <w:pPr>
              <w:spacing w:after="0" w:line="240" w:lineRule="auto"/>
              <w:jc w:val="right"/>
              <w:rPr>
                <w:rFonts w:ascii="Arial" w:hAnsi="Arial" w:cs="Arial"/>
                <w:sz w:val="16"/>
                <w:szCs w:val="16"/>
              </w:rPr>
            </w:pPr>
          </w:p>
        </w:tc>
        <w:tc>
          <w:tcPr>
            <w:tcW w:w="1016" w:type="dxa"/>
            <w:tcBorders>
              <w:top w:val="nil"/>
              <w:left w:val="nil"/>
              <w:bottom w:val="nil"/>
              <w:right w:val="nil"/>
            </w:tcBorders>
            <w:shd w:val="clear" w:color="auto" w:fill="auto"/>
            <w:vAlign w:val="bottom"/>
            <w:hideMark/>
          </w:tcPr>
          <w:p w14:paraId="60877F7D" w14:textId="77777777" w:rsidR="00B91F3E" w:rsidRPr="00EB458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4932CC68" w14:textId="77777777" w:rsidR="00B91F3E" w:rsidRPr="00EB4589" w:rsidRDefault="00B91F3E" w:rsidP="00F96D8A">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vAlign w:val="bottom"/>
            <w:hideMark/>
          </w:tcPr>
          <w:p w14:paraId="3CD87E22" w14:textId="77777777" w:rsidR="00B91F3E" w:rsidRPr="00EB4589" w:rsidRDefault="00B91F3E" w:rsidP="00F96D8A">
            <w:pPr>
              <w:spacing w:after="0" w:line="240" w:lineRule="auto"/>
              <w:jc w:val="right"/>
              <w:rPr>
                <w:rFonts w:ascii="Times New Roman" w:hAnsi="Times New Roman"/>
              </w:rPr>
            </w:pPr>
          </w:p>
        </w:tc>
      </w:tr>
      <w:tr w:rsidR="00B91F3E" w:rsidRPr="00EB4589" w14:paraId="6E8AFB97" w14:textId="77777777" w:rsidTr="00F96D8A">
        <w:trPr>
          <w:trHeight w:val="204"/>
        </w:trPr>
        <w:tc>
          <w:tcPr>
            <w:tcW w:w="2694" w:type="dxa"/>
            <w:tcBorders>
              <w:top w:val="nil"/>
              <w:left w:val="nil"/>
              <w:bottom w:val="nil"/>
              <w:right w:val="nil"/>
            </w:tcBorders>
            <w:shd w:val="clear" w:color="auto" w:fill="auto"/>
            <w:noWrap/>
            <w:vAlign w:val="bottom"/>
            <w:hideMark/>
          </w:tcPr>
          <w:p w14:paraId="380D1B65"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Outcome 2:</w:t>
            </w:r>
          </w:p>
        </w:tc>
        <w:tc>
          <w:tcPr>
            <w:tcW w:w="977" w:type="dxa"/>
            <w:tcBorders>
              <w:top w:val="nil"/>
              <w:left w:val="nil"/>
              <w:bottom w:val="nil"/>
              <w:right w:val="nil"/>
            </w:tcBorders>
            <w:shd w:val="clear" w:color="auto" w:fill="auto"/>
            <w:noWrap/>
            <w:vAlign w:val="bottom"/>
            <w:hideMark/>
          </w:tcPr>
          <w:p w14:paraId="69E0C935" w14:textId="77777777" w:rsidR="00B91F3E" w:rsidRPr="00EB458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6F93D616" w14:textId="77777777" w:rsidR="00B91F3E" w:rsidRPr="00EB4589" w:rsidRDefault="00B91F3E" w:rsidP="00F96D8A">
            <w:pPr>
              <w:spacing w:after="0" w:line="240" w:lineRule="auto"/>
              <w:jc w:val="right"/>
              <w:rPr>
                <w:rFonts w:ascii="Arial" w:hAnsi="Arial" w:cs="Arial"/>
                <w:sz w:val="16"/>
                <w:szCs w:val="16"/>
              </w:rPr>
            </w:pPr>
          </w:p>
        </w:tc>
        <w:tc>
          <w:tcPr>
            <w:tcW w:w="1016" w:type="dxa"/>
            <w:tcBorders>
              <w:top w:val="nil"/>
              <w:left w:val="nil"/>
              <w:bottom w:val="nil"/>
              <w:right w:val="nil"/>
            </w:tcBorders>
            <w:shd w:val="clear" w:color="auto" w:fill="auto"/>
            <w:noWrap/>
            <w:vAlign w:val="bottom"/>
            <w:hideMark/>
          </w:tcPr>
          <w:p w14:paraId="1588F00C" w14:textId="77777777" w:rsidR="00B91F3E" w:rsidRPr="00EB458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16DBF1F" w14:textId="77777777" w:rsidR="00B91F3E" w:rsidRPr="00EB4589" w:rsidRDefault="00B91F3E" w:rsidP="00F96D8A">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2A49DC08" w14:textId="77777777" w:rsidR="00B91F3E" w:rsidRPr="00EB4589" w:rsidRDefault="00B91F3E" w:rsidP="00F96D8A">
            <w:pPr>
              <w:spacing w:after="0" w:line="240" w:lineRule="auto"/>
              <w:jc w:val="right"/>
              <w:rPr>
                <w:rFonts w:ascii="Times New Roman" w:hAnsi="Times New Roman"/>
              </w:rPr>
            </w:pPr>
          </w:p>
        </w:tc>
      </w:tr>
      <w:tr w:rsidR="00111D9A" w:rsidRPr="00EB4589" w14:paraId="68ED3126" w14:textId="77777777" w:rsidTr="00F96D8A">
        <w:trPr>
          <w:trHeight w:val="204"/>
        </w:trPr>
        <w:tc>
          <w:tcPr>
            <w:tcW w:w="2694" w:type="dxa"/>
            <w:tcBorders>
              <w:top w:val="nil"/>
              <w:left w:val="nil"/>
              <w:bottom w:val="nil"/>
              <w:right w:val="nil"/>
            </w:tcBorders>
            <w:shd w:val="clear" w:color="auto" w:fill="auto"/>
            <w:noWrap/>
            <w:vAlign w:val="bottom"/>
            <w:hideMark/>
          </w:tcPr>
          <w:p w14:paraId="64E2C424" w14:textId="77777777" w:rsidR="00111D9A" w:rsidRPr="00EB4589" w:rsidRDefault="00111D9A" w:rsidP="00111D9A">
            <w:pPr>
              <w:spacing w:after="0" w:line="240" w:lineRule="auto"/>
              <w:ind w:left="113"/>
              <w:jc w:val="left"/>
              <w:outlineLvl w:val="1"/>
              <w:rPr>
                <w:rFonts w:ascii="Arial" w:hAnsi="Arial" w:cs="Arial"/>
                <w:sz w:val="16"/>
                <w:szCs w:val="16"/>
              </w:rPr>
            </w:pPr>
            <w:r w:rsidRPr="00EB4589">
              <w:rPr>
                <w:rFonts w:ascii="Arial" w:hAnsi="Arial" w:cs="Arial"/>
                <w:sz w:val="16"/>
                <w:szCs w:val="16"/>
              </w:rPr>
              <w:t>Program 2.3: Air Transport</w:t>
            </w:r>
          </w:p>
        </w:tc>
        <w:tc>
          <w:tcPr>
            <w:tcW w:w="977" w:type="dxa"/>
            <w:tcBorders>
              <w:top w:val="nil"/>
              <w:left w:val="nil"/>
              <w:bottom w:val="single" w:sz="4" w:space="0" w:color="auto"/>
              <w:right w:val="nil"/>
            </w:tcBorders>
            <w:shd w:val="clear" w:color="auto" w:fill="auto"/>
            <w:noWrap/>
            <w:vAlign w:val="bottom"/>
            <w:hideMark/>
          </w:tcPr>
          <w:p w14:paraId="6A8B95AE" w14:textId="0B50D303" w:rsidR="00111D9A" w:rsidRPr="00EB4589" w:rsidRDefault="00111D9A" w:rsidP="00111D9A">
            <w:pPr>
              <w:spacing w:after="0" w:line="240" w:lineRule="auto"/>
              <w:jc w:val="right"/>
              <w:outlineLvl w:val="1"/>
              <w:rPr>
                <w:rFonts w:ascii="Arial" w:hAnsi="Arial" w:cs="Arial"/>
                <w:sz w:val="16"/>
                <w:szCs w:val="16"/>
              </w:rPr>
            </w:pPr>
            <w:r>
              <w:rPr>
                <w:rFonts w:ascii="Arial" w:hAnsi="Arial" w:cs="Arial"/>
                <w:sz w:val="16"/>
                <w:szCs w:val="16"/>
              </w:rPr>
              <w:t>(30,421)</w:t>
            </w:r>
          </w:p>
        </w:tc>
        <w:tc>
          <w:tcPr>
            <w:tcW w:w="977" w:type="dxa"/>
            <w:tcBorders>
              <w:top w:val="nil"/>
              <w:left w:val="nil"/>
              <w:bottom w:val="single" w:sz="4" w:space="0" w:color="auto"/>
              <w:right w:val="nil"/>
            </w:tcBorders>
            <w:shd w:val="clear" w:color="000000" w:fill="E6E6E6"/>
            <w:noWrap/>
            <w:vAlign w:val="bottom"/>
            <w:hideMark/>
          </w:tcPr>
          <w:p w14:paraId="07FA370A" w14:textId="5FEC2CC6" w:rsidR="00111D9A" w:rsidRPr="00EB4589" w:rsidRDefault="00111D9A" w:rsidP="00111D9A">
            <w:pPr>
              <w:spacing w:after="0" w:line="240" w:lineRule="auto"/>
              <w:jc w:val="right"/>
              <w:outlineLvl w:val="1"/>
              <w:rPr>
                <w:rFonts w:ascii="Arial" w:hAnsi="Arial" w:cs="Arial"/>
                <w:sz w:val="16"/>
                <w:szCs w:val="16"/>
              </w:rPr>
            </w:pPr>
            <w:r>
              <w:rPr>
                <w:rFonts w:ascii="Arial" w:hAnsi="Arial" w:cs="Arial"/>
                <w:sz w:val="16"/>
                <w:szCs w:val="16"/>
              </w:rPr>
              <w:t xml:space="preserve">11,424 </w:t>
            </w:r>
          </w:p>
        </w:tc>
        <w:tc>
          <w:tcPr>
            <w:tcW w:w="1016" w:type="dxa"/>
            <w:tcBorders>
              <w:top w:val="nil"/>
              <w:left w:val="nil"/>
              <w:bottom w:val="single" w:sz="4" w:space="0" w:color="auto"/>
              <w:right w:val="nil"/>
            </w:tcBorders>
            <w:shd w:val="clear" w:color="auto" w:fill="auto"/>
            <w:noWrap/>
            <w:vAlign w:val="bottom"/>
            <w:hideMark/>
          </w:tcPr>
          <w:p w14:paraId="251E33A8" w14:textId="4D980DF5" w:rsidR="00111D9A" w:rsidRPr="00EB4589" w:rsidRDefault="00111D9A" w:rsidP="00111D9A">
            <w:pPr>
              <w:spacing w:after="0" w:line="240" w:lineRule="auto"/>
              <w:jc w:val="right"/>
              <w:outlineLvl w:val="1"/>
              <w:rPr>
                <w:rFonts w:ascii="Arial" w:hAnsi="Arial" w:cs="Arial"/>
                <w:sz w:val="16"/>
                <w:szCs w:val="16"/>
              </w:rPr>
            </w:pPr>
            <w:r>
              <w:rPr>
                <w:rFonts w:ascii="Arial" w:hAnsi="Arial" w:cs="Arial"/>
                <w:sz w:val="16"/>
                <w:szCs w:val="16"/>
              </w:rPr>
              <w:t xml:space="preserve">18,997 </w:t>
            </w:r>
          </w:p>
        </w:tc>
        <w:tc>
          <w:tcPr>
            <w:tcW w:w="977" w:type="dxa"/>
            <w:tcBorders>
              <w:top w:val="nil"/>
              <w:left w:val="nil"/>
              <w:bottom w:val="single" w:sz="4" w:space="0" w:color="auto"/>
              <w:right w:val="nil"/>
            </w:tcBorders>
            <w:shd w:val="clear" w:color="auto" w:fill="auto"/>
            <w:noWrap/>
            <w:vAlign w:val="bottom"/>
            <w:hideMark/>
          </w:tcPr>
          <w:p w14:paraId="12B07047" w14:textId="39A37F78" w:rsidR="00111D9A" w:rsidRPr="00EB4589" w:rsidRDefault="00111D9A" w:rsidP="00111D9A">
            <w:pPr>
              <w:spacing w:after="0" w:line="240" w:lineRule="auto"/>
              <w:jc w:val="right"/>
              <w:outlineLvl w:val="1"/>
              <w:rPr>
                <w:rFonts w:ascii="Arial" w:hAnsi="Arial" w:cs="Arial"/>
                <w:sz w:val="16"/>
                <w:szCs w:val="16"/>
              </w:rPr>
            </w:pPr>
            <w:r>
              <w:rPr>
                <w:rFonts w:ascii="Arial" w:hAnsi="Arial" w:cs="Arial"/>
                <w:sz w:val="16"/>
                <w:szCs w:val="16"/>
              </w:rPr>
              <w:t xml:space="preserve">- </w:t>
            </w:r>
          </w:p>
        </w:tc>
        <w:tc>
          <w:tcPr>
            <w:tcW w:w="977" w:type="dxa"/>
            <w:tcBorders>
              <w:top w:val="nil"/>
              <w:left w:val="nil"/>
              <w:bottom w:val="single" w:sz="4" w:space="0" w:color="auto"/>
              <w:right w:val="nil"/>
            </w:tcBorders>
            <w:shd w:val="clear" w:color="auto" w:fill="auto"/>
            <w:noWrap/>
            <w:vAlign w:val="bottom"/>
            <w:hideMark/>
          </w:tcPr>
          <w:p w14:paraId="15D008C5" w14:textId="415B1D20" w:rsidR="00111D9A" w:rsidRPr="00EB4589" w:rsidRDefault="00111D9A" w:rsidP="00111D9A">
            <w:pPr>
              <w:spacing w:after="0" w:line="240" w:lineRule="auto"/>
              <w:jc w:val="right"/>
              <w:outlineLvl w:val="1"/>
              <w:rPr>
                <w:rFonts w:ascii="Arial" w:hAnsi="Arial" w:cs="Arial"/>
                <w:sz w:val="16"/>
                <w:szCs w:val="16"/>
              </w:rPr>
            </w:pPr>
            <w:r>
              <w:rPr>
                <w:rFonts w:ascii="Arial" w:hAnsi="Arial" w:cs="Arial"/>
                <w:sz w:val="16"/>
                <w:szCs w:val="16"/>
              </w:rPr>
              <w:t xml:space="preserve">- </w:t>
            </w:r>
          </w:p>
        </w:tc>
      </w:tr>
      <w:tr w:rsidR="00111D9A" w:rsidRPr="00EB4589" w14:paraId="754362A5" w14:textId="77777777" w:rsidTr="00F96D8A">
        <w:trPr>
          <w:trHeight w:val="204"/>
        </w:trPr>
        <w:tc>
          <w:tcPr>
            <w:tcW w:w="2694" w:type="dxa"/>
            <w:tcBorders>
              <w:top w:val="nil"/>
              <w:left w:val="nil"/>
              <w:bottom w:val="single" w:sz="4" w:space="0" w:color="auto"/>
              <w:right w:val="nil"/>
            </w:tcBorders>
            <w:shd w:val="clear" w:color="auto" w:fill="auto"/>
            <w:vAlign w:val="bottom"/>
            <w:hideMark/>
          </w:tcPr>
          <w:p w14:paraId="6E8378DC" w14:textId="77777777" w:rsidR="00111D9A" w:rsidRPr="00EB4589" w:rsidRDefault="00111D9A" w:rsidP="00111D9A">
            <w:pPr>
              <w:spacing w:after="0" w:line="240" w:lineRule="auto"/>
              <w:jc w:val="left"/>
              <w:rPr>
                <w:rFonts w:ascii="Arial" w:hAnsi="Arial" w:cs="Arial"/>
                <w:b/>
                <w:bCs/>
                <w:sz w:val="16"/>
                <w:szCs w:val="16"/>
              </w:rPr>
            </w:pPr>
            <w:r>
              <w:rPr>
                <w:rFonts w:ascii="Arial" w:hAnsi="Arial" w:cs="Arial"/>
                <w:b/>
                <w:bCs/>
                <w:sz w:val="16"/>
                <w:szCs w:val="16"/>
              </w:rPr>
              <w:t>Total movement of A</w:t>
            </w:r>
            <w:r w:rsidRPr="00EB4589">
              <w:rPr>
                <w:rFonts w:ascii="Arial" w:hAnsi="Arial" w:cs="Arial"/>
                <w:b/>
                <w:bCs/>
                <w:sz w:val="16"/>
                <w:szCs w:val="16"/>
              </w:rPr>
              <w:t>dministered funds between years</w:t>
            </w:r>
          </w:p>
        </w:tc>
        <w:tc>
          <w:tcPr>
            <w:tcW w:w="977" w:type="dxa"/>
            <w:tcBorders>
              <w:top w:val="nil"/>
              <w:left w:val="nil"/>
              <w:bottom w:val="single" w:sz="4" w:space="0" w:color="auto"/>
              <w:right w:val="nil"/>
            </w:tcBorders>
            <w:shd w:val="clear" w:color="auto" w:fill="auto"/>
            <w:noWrap/>
            <w:vAlign w:val="bottom"/>
            <w:hideMark/>
          </w:tcPr>
          <w:p w14:paraId="44C08C01" w14:textId="44DED516" w:rsidR="00111D9A" w:rsidRPr="00EB4589" w:rsidRDefault="00111D9A" w:rsidP="00111D9A">
            <w:pPr>
              <w:spacing w:after="0" w:line="240" w:lineRule="auto"/>
              <w:jc w:val="right"/>
              <w:rPr>
                <w:rFonts w:ascii="Arial" w:hAnsi="Arial" w:cs="Arial"/>
                <w:b/>
                <w:bCs/>
                <w:sz w:val="16"/>
                <w:szCs w:val="16"/>
              </w:rPr>
            </w:pPr>
            <w:r>
              <w:rPr>
                <w:rFonts w:ascii="Arial" w:hAnsi="Arial" w:cs="Arial"/>
                <w:b/>
                <w:bCs/>
                <w:sz w:val="16"/>
                <w:szCs w:val="16"/>
              </w:rPr>
              <w:t>(30,421)</w:t>
            </w:r>
          </w:p>
        </w:tc>
        <w:tc>
          <w:tcPr>
            <w:tcW w:w="977" w:type="dxa"/>
            <w:tcBorders>
              <w:top w:val="nil"/>
              <w:left w:val="nil"/>
              <w:bottom w:val="single" w:sz="4" w:space="0" w:color="auto"/>
              <w:right w:val="nil"/>
            </w:tcBorders>
            <w:shd w:val="clear" w:color="000000" w:fill="E6E6E6"/>
            <w:noWrap/>
            <w:vAlign w:val="bottom"/>
            <w:hideMark/>
          </w:tcPr>
          <w:p w14:paraId="29C7D469" w14:textId="572E8602" w:rsidR="00111D9A" w:rsidRPr="00EB4589" w:rsidRDefault="00111D9A" w:rsidP="00111D9A">
            <w:pPr>
              <w:spacing w:after="0" w:line="240" w:lineRule="auto"/>
              <w:jc w:val="right"/>
              <w:rPr>
                <w:rFonts w:ascii="Arial" w:hAnsi="Arial" w:cs="Arial"/>
                <w:b/>
                <w:bCs/>
                <w:sz w:val="16"/>
                <w:szCs w:val="16"/>
              </w:rPr>
            </w:pPr>
            <w:r>
              <w:rPr>
                <w:rFonts w:ascii="Arial" w:hAnsi="Arial" w:cs="Arial"/>
                <w:b/>
                <w:bCs/>
                <w:sz w:val="16"/>
                <w:szCs w:val="16"/>
              </w:rPr>
              <w:t xml:space="preserve">11,424 </w:t>
            </w:r>
          </w:p>
        </w:tc>
        <w:tc>
          <w:tcPr>
            <w:tcW w:w="1016" w:type="dxa"/>
            <w:tcBorders>
              <w:top w:val="nil"/>
              <w:left w:val="nil"/>
              <w:bottom w:val="single" w:sz="4" w:space="0" w:color="auto"/>
              <w:right w:val="nil"/>
            </w:tcBorders>
            <w:shd w:val="clear" w:color="auto" w:fill="auto"/>
            <w:noWrap/>
            <w:vAlign w:val="bottom"/>
            <w:hideMark/>
          </w:tcPr>
          <w:p w14:paraId="722C9602" w14:textId="27DA7DAC" w:rsidR="00111D9A" w:rsidRPr="00EB4589" w:rsidRDefault="00111D9A" w:rsidP="00111D9A">
            <w:pPr>
              <w:spacing w:after="0" w:line="240" w:lineRule="auto"/>
              <w:jc w:val="right"/>
              <w:rPr>
                <w:rFonts w:ascii="Arial" w:hAnsi="Arial" w:cs="Arial"/>
                <w:b/>
                <w:bCs/>
                <w:sz w:val="16"/>
                <w:szCs w:val="16"/>
              </w:rPr>
            </w:pPr>
            <w:r>
              <w:rPr>
                <w:rFonts w:ascii="Arial" w:hAnsi="Arial" w:cs="Arial"/>
                <w:b/>
                <w:bCs/>
                <w:sz w:val="16"/>
                <w:szCs w:val="16"/>
              </w:rPr>
              <w:t xml:space="preserve">18,997 </w:t>
            </w:r>
          </w:p>
        </w:tc>
        <w:tc>
          <w:tcPr>
            <w:tcW w:w="977" w:type="dxa"/>
            <w:tcBorders>
              <w:top w:val="nil"/>
              <w:left w:val="nil"/>
              <w:bottom w:val="single" w:sz="4" w:space="0" w:color="auto"/>
              <w:right w:val="nil"/>
            </w:tcBorders>
            <w:shd w:val="clear" w:color="auto" w:fill="auto"/>
            <w:noWrap/>
            <w:vAlign w:val="bottom"/>
            <w:hideMark/>
          </w:tcPr>
          <w:p w14:paraId="3383D113" w14:textId="0A44658D" w:rsidR="00111D9A" w:rsidRPr="00EB4589" w:rsidRDefault="00111D9A" w:rsidP="00111D9A">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77" w:type="dxa"/>
            <w:tcBorders>
              <w:top w:val="nil"/>
              <w:left w:val="nil"/>
              <w:bottom w:val="single" w:sz="4" w:space="0" w:color="auto"/>
              <w:right w:val="nil"/>
            </w:tcBorders>
            <w:shd w:val="clear" w:color="auto" w:fill="auto"/>
            <w:noWrap/>
            <w:vAlign w:val="bottom"/>
            <w:hideMark/>
          </w:tcPr>
          <w:p w14:paraId="62F8939A" w14:textId="65AF4FE1" w:rsidR="00111D9A" w:rsidRPr="00EB4589" w:rsidRDefault="00111D9A" w:rsidP="00111D9A">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352C3CC4" w14:textId="77777777" w:rsidR="00B91F3E" w:rsidRPr="00DD1C72" w:rsidRDefault="00B91F3E" w:rsidP="00B91F3E">
      <w:pPr>
        <w:pStyle w:val="TableHeadingcontinued"/>
        <w:rPr>
          <w:rFonts w:ascii="Arial" w:hAnsi="Arial" w:cs="Arial"/>
          <w:sz w:val="12"/>
        </w:rPr>
      </w:pPr>
    </w:p>
    <w:tbl>
      <w:tblPr>
        <w:tblW w:w="0" w:type="auto"/>
        <w:tblLayout w:type="fixed"/>
        <w:tblLook w:val="04A0" w:firstRow="1" w:lastRow="0" w:firstColumn="1" w:lastColumn="0" w:noHBand="0" w:noVBand="1"/>
      </w:tblPr>
      <w:tblGrid>
        <w:gridCol w:w="2694"/>
        <w:gridCol w:w="996"/>
        <w:gridCol w:w="948"/>
      </w:tblGrid>
      <w:tr w:rsidR="00B91F3E" w:rsidRPr="00EB4589" w14:paraId="5DCB78B9" w14:textId="77777777" w:rsidTr="00F96D8A">
        <w:trPr>
          <w:trHeight w:val="225"/>
        </w:trPr>
        <w:tc>
          <w:tcPr>
            <w:tcW w:w="2694" w:type="dxa"/>
            <w:tcBorders>
              <w:top w:val="single" w:sz="4" w:space="0" w:color="auto"/>
              <w:left w:val="nil"/>
              <w:bottom w:val="nil"/>
              <w:right w:val="nil"/>
            </w:tcBorders>
            <w:shd w:val="clear" w:color="auto" w:fill="auto"/>
            <w:noWrap/>
            <w:vAlign w:val="bottom"/>
            <w:hideMark/>
          </w:tcPr>
          <w:p w14:paraId="7D240989" w14:textId="77777777" w:rsidR="00B91F3E" w:rsidRPr="00EB4589" w:rsidRDefault="00B91F3E" w:rsidP="00F96D8A">
            <w:pPr>
              <w:spacing w:after="0" w:line="240" w:lineRule="auto"/>
              <w:jc w:val="left"/>
              <w:rPr>
                <w:rFonts w:ascii="Arial" w:hAnsi="Arial" w:cs="Arial"/>
                <w:sz w:val="16"/>
                <w:szCs w:val="16"/>
              </w:rPr>
            </w:pPr>
            <w:r w:rsidRPr="00EB4589">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noWrap/>
            <w:vAlign w:val="bottom"/>
            <w:hideMark/>
          </w:tcPr>
          <w:p w14:paraId="6A8EC0E8"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2021-22</w:t>
            </w:r>
          </w:p>
        </w:tc>
        <w:tc>
          <w:tcPr>
            <w:tcW w:w="948" w:type="dxa"/>
            <w:tcBorders>
              <w:top w:val="single" w:sz="4" w:space="0" w:color="auto"/>
              <w:left w:val="nil"/>
              <w:bottom w:val="single" w:sz="4" w:space="0" w:color="auto"/>
              <w:right w:val="nil"/>
            </w:tcBorders>
            <w:shd w:val="clear" w:color="000000" w:fill="E6E6E6"/>
            <w:vAlign w:val="bottom"/>
            <w:hideMark/>
          </w:tcPr>
          <w:p w14:paraId="018B731B" w14:textId="77777777" w:rsidR="00B91F3E" w:rsidRPr="00EB4589" w:rsidRDefault="00B91F3E" w:rsidP="00F96D8A">
            <w:pPr>
              <w:spacing w:after="0" w:line="240" w:lineRule="auto"/>
              <w:jc w:val="right"/>
              <w:rPr>
                <w:rFonts w:ascii="Arial" w:hAnsi="Arial" w:cs="Arial"/>
                <w:sz w:val="16"/>
                <w:szCs w:val="16"/>
              </w:rPr>
            </w:pPr>
            <w:r w:rsidRPr="00EB4589">
              <w:rPr>
                <w:rFonts w:ascii="Arial" w:hAnsi="Arial" w:cs="Arial"/>
                <w:sz w:val="16"/>
                <w:szCs w:val="16"/>
              </w:rPr>
              <w:t>2022-23</w:t>
            </w:r>
          </w:p>
        </w:tc>
      </w:tr>
      <w:tr w:rsidR="00BD6527" w:rsidRPr="00EB4589" w14:paraId="148152C8" w14:textId="77777777" w:rsidTr="00F96D8A">
        <w:trPr>
          <w:trHeight w:val="225"/>
        </w:trPr>
        <w:tc>
          <w:tcPr>
            <w:tcW w:w="2694" w:type="dxa"/>
            <w:tcBorders>
              <w:top w:val="nil"/>
              <w:left w:val="nil"/>
              <w:bottom w:val="single" w:sz="4" w:space="0" w:color="auto"/>
              <w:right w:val="nil"/>
            </w:tcBorders>
            <w:shd w:val="clear" w:color="auto" w:fill="auto"/>
            <w:noWrap/>
            <w:vAlign w:val="bottom"/>
            <w:hideMark/>
          </w:tcPr>
          <w:p w14:paraId="61E32799" w14:textId="77777777" w:rsidR="00BD6527" w:rsidRPr="00EB4589" w:rsidRDefault="00BD6527" w:rsidP="00BD6527">
            <w:pPr>
              <w:spacing w:after="0" w:line="240" w:lineRule="auto"/>
              <w:jc w:val="left"/>
              <w:rPr>
                <w:rFonts w:ascii="Arial" w:hAnsi="Arial" w:cs="Arial"/>
                <w:b/>
                <w:bCs/>
                <w:sz w:val="16"/>
                <w:szCs w:val="16"/>
              </w:rPr>
            </w:pPr>
            <w:r w:rsidRPr="00EB4589">
              <w:rPr>
                <w:rFonts w:ascii="Arial" w:hAnsi="Arial" w:cs="Arial"/>
                <w:b/>
                <w:bCs/>
                <w:sz w:val="16"/>
                <w:szCs w:val="16"/>
              </w:rPr>
              <w:t>Average staffing level (number)</w:t>
            </w:r>
          </w:p>
        </w:tc>
        <w:tc>
          <w:tcPr>
            <w:tcW w:w="996" w:type="dxa"/>
            <w:tcBorders>
              <w:top w:val="nil"/>
              <w:left w:val="nil"/>
              <w:bottom w:val="single" w:sz="4" w:space="0" w:color="auto"/>
              <w:right w:val="nil"/>
            </w:tcBorders>
            <w:shd w:val="clear" w:color="auto" w:fill="auto"/>
            <w:noWrap/>
            <w:vAlign w:val="bottom"/>
            <w:hideMark/>
          </w:tcPr>
          <w:p w14:paraId="62730E71" w14:textId="69D8C198" w:rsidR="00BD6527" w:rsidRPr="00EB4589" w:rsidRDefault="00BD6527" w:rsidP="00BD6527">
            <w:pPr>
              <w:spacing w:after="0" w:line="240" w:lineRule="auto"/>
              <w:jc w:val="right"/>
              <w:rPr>
                <w:rFonts w:ascii="Arial" w:hAnsi="Arial" w:cs="Arial"/>
                <w:sz w:val="16"/>
                <w:szCs w:val="16"/>
              </w:rPr>
            </w:pPr>
            <w:r>
              <w:rPr>
                <w:rFonts w:ascii="Arial" w:hAnsi="Arial" w:cs="Arial"/>
                <w:sz w:val="16"/>
                <w:szCs w:val="16"/>
              </w:rPr>
              <w:t xml:space="preserve">444 </w:t>
            </w:r>
          </w:p>
        </w:tc>
        <w:tc>
          <w:tcPr>
            <w:tcW w:w="948" w:type="dxa"/>
            <w:tcBorders>
              <w:top w:val="nil"/>
              <w:left w:val="nil"/>
              <w:bottom w:val="single" w:sz="4" w:space="0" w:color="auto"/>
              <w:right w:val="nil"/>
            </w:tcBorders>
            <w:shd w:val="clear" w:color="000000" w:fill="E6E6E6"/>
            <w:noWrap/>
            <w:vAlign w:val="bottom"/>
            <w:hideMark/>
          </w:tcPr>
          <w:p w14:paraId="72FDFA89" w14:textId="660563E8" w:rsidR="00BD6527" w:rsidRPr="00EB4589" w:rsidRDefault="00BD6527" w:rsidP="00BD6527">
            <w:pPr>
              <w:spacing w:after="0" w:line="240" w:lineRule="auto"/>
              <w:jc w:val="right"/>
              <w:rPr>
                <w:rFonts w:ascii="Arial" w:hAnsi="Arial" w:cs="Arial"/>
                <w:sz w:val="16"/>
                <w:szCs w:val="16"/>
              </w:rPr>
            </w:pPr>
            <w:r>
              <w:rPr>
                <w:rFonts w:ascii="Arial" w:hAnsi="Arial" w:cs="Arial"/>
                <w:sz w:val="16"/>
                <w:szCs w:val="16"/>
              </w:rPr>
              <w:t xml:space="preserve">431 </w:t>
            </w:r>
          </w:p>
        </w:tc>
      </w:tr>
    </w:tbl>
    <w:p w14:paraId="4051839F" w14:textId="0B5C3D0A" w:rsidR="00B91F3E" w:rsidRDefault="00B91F3E" w:rsidP="009E60A3">
      <w:pPr>
        <w:pStyle w:val="ChartandTableFootnoteAlpha"/>
        <w:numPr>
          <w:ilvl w:val="0"/>
          <w:numId w:val="161"/>
        </w:numPr>
        <w:spacing w:before="60"/>
        <w:jc w:val="left"/>
      </w:pPr>
      <w:r w:rsidRPr="00FF518E">
        <w:t xml:space="preserve">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w:t>
      </w:r>
      <w:r w:rsidR="003C4CC6">
        <w:t>Department</w:t>
      </w:r>
      <w:r w:rsidRPr="00FF518E">
        <w:t>.</w:t>
      </w:r>
    </w:p>
    <w:p w14:paraId="123330BF" w14:textId="11409B5B" w:rsidR="00B91F3E" w:rsidRDefault="00B91F3E" w:rsidP="003926A3">
      <w:pPr>
        <w:pStyle w:val="ChartandTableFootnoteAlpha"/>
        <w:numPr>
          <w:ilvl w:val="0"/>
          <w:numId w:val="7"/>
        </w:numPr>
        <w:jc w:val="left"/>
      </w:pPr>
      <w:r w:rsidRPr="00FF518E">
        <w:t xml:space="preserve">Relates to appropriation for corporate entities provided through the </w:t>
      </w:r>
      <w:r w:rsidR="003C4CC6">
        <w:t>Department</w:t>
      </w:r>
      <w:r w:rsidRPr="00FF518E">
        <w:t>.</w:t>
      </w:r>
    </w:p>
    <w:p w14:paraId="50E1DBE3" w14:textId="211EF8D1" w:rsidR="00B91F3E" w:rsidRDefault="002E58CB" w:rsidP="002E58CB">
      <w:pPr>
        <w:pStyle w:val="ChartandTableFootnoteAlpha"/>
      </w:pPr>
      <w:r w:rsidRPr="002E58CB">
        <w:t>Administered ‘Expenses not requiring appropriation in the Budget year’ comprises expenses relating to accruals, payments made from prior year appropriations and other non–cash expenses.</w:t>
      </w:r>
    </w:p>
    <w:p w14:paraId="17B4DCE1" w14:textId="77777777" w:rsidR="00B91F3E" w:rsidRDefault="00B91F3E" w:rsidP="00B91F3E">
      <w:pPr>
        <w:pStyle w:val="ChartandTableFootnoteAlpha"/>
        <w:jc w:val="left"/>
      </w:pPr>
      <w:r w:rsidRPr="00FF518E">
        <w:t>Estimated expenses incurred in relation to receipts retained under section 74 of the PGPA Act.</w:t>
      </w:r>
    </w:p>
    <w:p w14:paraId="7145B17C" w14:textId="77777777" w:rsidR="002E58CB" w:rsidRDefault="003C4CC6" w:rsidP="002E58CB">
      <w:pPr>
        <w:pStyle w:val="ChartandTableFootnoteAlpha"/>
        <w:jc w:val="left"/>
      </w:pPr>
      <w:r>
        <w:t>Department</w:t>
      </w:r>
      <w:r w:rsidR="00B91F3E" w:rsidRPr="00FF518E">
        <w:t>al ‘Expenses not requiring appropriation in the Budget year’ is made up of depreciation and amortisation expenses and expenses that are reduced by associated receipts.</w:t>
      </w:r>
    </w:p>
    <w:p w14:paraId="26044D5F" w14:textId="5C7E3860" w:rsidR="00B91F3E" w:rsidRPr="00FF518E" w:rsidRDefault="00B91F3E" w:rsidP="002E58CB">
      <w:pPr>
        <w:pStyle w:val="ChartandTableFootnoteAlpha"/>
        <w:jc w:val="left"/>
      </w:pPr>
      <w:r w:rsidRPr="00FF518E">
        <w:lastRenderedPageBreak/>
        <w:t>Figures displayed as a negative (–) represent a decrease in funds and a positive (+) represent an increase in funds.</w:t>
      </w:r>
    </w:p>
    <w:p w14:paraId="0E18F25B" w14:textId="4662D875" w:rsidR="00B91F3E" w:rsidRDefault="00B91F3E" w:rsidP="002E58CB">
      <w:pPr>
        <w:pStyle w:val="ChartandTableFootnote"/>
        <w:spacing w:before="60"/>
        <w:jc w:val="left"/>
      </w:pPr>
      <w:r w:rsidRPr="00446612">
        <w:t xml:space="preserve">Note: </w:t>
      </w:r>
      <w:r w:rsidR="003C4CC6">
        <w:t>Department</w:t>
      </w:r>
      <w:r w:rsidRPr="00446612">
        <w:t>al appropriation splits and totals are indicative estimates and m</w:t>
      </w:r>
      <w:r w:rsidR="006B398F">
        <w:t>ay change in the course of the B</w:t>
      </w:r>
      <w:r w:rsidRPr="00446612">
        <w:t>udget year as government priorities change.</w:t>
      </w:r>
    </w:p>
    <w:p w14:paraId="6E16536A" w14:textId="77777777" w:rsidR="00B91F3E" w:rsidRDefault="00B91F3E" w:rsidP="00B91F3E">
      <w:pPr>
        <w:spacing w:after="0"/>
        <w:rPr>
          <w:highlight w:val="yellow"/>
        </w:rPr>
      </w:pPr>
    </w:p>
    <w:p w14:paraId="698AF8D9" w14:textId="57D8FCB7" w:rsidR="00B91F3E" w:rsidRDefault="00B91F3E" w:rsidP="00B91F3E">
      <w:pPr>
        <w:spacing w:after="0"/>
        <w:rPr>
          <w:rStyle w:val="TableHeadingChar"/>
          <w:lang w:val="en-GB"/>
        </w:rPr>
      </w:pPr>
      <w:r w:rsidRPr="00B166C6">
        <w:rPr>
          <w:rStyle w:val="TableHeadingChar"/>
        </w:rPr>
        <w:t>Table 2.</w:t>
      </w:r>
      <w:r>
        <w:rPr>
          <w:rStyle w:val="TableHeadingChar"/>
          <w:lang w:val="en-GB"/>
        </w:rPr>
        <w:t>2</w:t>
      </w:r>
      <w:r w:rsidRPr="00B166C6">
        <w:rPr>
          <w:rStyle w:val="TableHeadingChar"/>
        </w:rPr>
        <w:t xml:space="preserve">.2: Program components of Outcome </w:t>
      </w:r>
      <w:r>
        <w:rPr>
          <w:rStyle w:val="TableHeadingChar"/>
          <w:lang w:val="en-GB"/>
        </w:rPr>
        <w:t>2</w:t>
      </w:r>
    </w:p>
    <w:tbl>
      <w:tblPr>
        <w:tblW w:w="0" w:type="auto"/>
        <w:tblLayout w:type="fixed"/>
        <w:tblLook w:val="04A0" w:firstRow="1" w:lastRow="0" w:firstColumn="1" w:lastColumn="0" w:noHBand="0" w:noVBand="1"/>
      </w:tblPr>
      <w:tblGrid>
        <w:gridCol w:w="2694"/>
        <w:gridCol w:w="978"/>
        <w:gridCol w:w="976"/>
        <w:gridCol w:w="977"/>
        <w:gridCol w:w="977"/>
        <w:gridCol w:w="977"/>
      </w:tblGrid>
      <w:tr w:rsidR="00B91F3E" w:rsidRPr="00396A6B" w14:paraId="68B9A7F2" w14:textId="77777777" w:rsidTr="00F96D8A">
        <w:trPr>
          <w:trHeight w:val="436"/>
        </w:trPr>
        <w:tc>
          <w:tcPr>
            <w:tcW w:w="2694" w:type="dxa"/>
            <w:tcBorders>
              <w:top w:val="single" w:sz="4" w:space="0" w:color="auto"/>
              <w:left w:val="nil"/>
              <w:bottom w:val="single" w:sz="4" w:space="0" w:color="auto"/>
              <w:right w:val="nil"/>
            </w:tcBorders>
            <w:shd w:val="clear" w:color="auto" w:fill="auto"/>
            <w:noWrap/>
            <w:vAlign w:val="bottom"/>
            <w:hideMark/>
          </w:tcPr>
          <w:p w14:paraId="13799A0A"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sz w:val="16"/>
                <w:szCs w:val="16"/>
              </w:rPr>
              <w:t> </w:t>
            </w:r>
          </w:p>
        </w:tc>
        <w:tc>
          <w:tcPr>
            <w:tcW w:w="978" w:type="dxa"/>
            <w:tcBorders>
              <w:top w:val="single" w:sz="4" w:space="0" w:color="auto"/>
              <w:left w:val="nil"/>
              <w:bottom w:val="single" w:sz="4" w:space="0" w:color="auto"/>
              <w:right w:val="nil"/>
            </w:tcBorders>
            <w:shd w:val="clear" w:color="auto" w:fill="auto"/>
            <w:vAlign w:val="bottom"/>
            <w:hideMark/>
          </w:tcPr>
          <w:p w14:paraId="3B17391D"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2021-22</w:t>
            </w:r>
            <w:r w:rsidRPr="00396A6B">
              <w:rPr>
                <w:rFonts w:ascii="Arial" w:hAnsi="Arial" w:cs="Arial"/>
                <w:sz w:val="16"/>
                <w:szCs w:val="16"/>
              </w:rPr>
              <w:br/>
              <w:t>Estimated  actual</w:t>
            </w:r>
            <w:r w:rsidRPr="00396A6B">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000000" w:fill="E6E6E6"/>
            <w:vAlign w:val="bottom"/>
            <w:hideMark/>
          </w:tcPr>
          <w:p w14:paraId="04F6F251"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2022-23</w:t>
            </w:r>
            <w:r w:rsidRPr="00396A6B">
              <w:rPr>
                <w:rFonts w:ascii="Arial" w:hAnsi="Arial" w:cs="Arial"/>
                <w:sz w:val="16"/>
                <w:szCs w:val="16"/>
              </w:rPr>
              <w:br/>
              <w:t xml:space="preserve"> Budget</w:t>
            </w:r>
            <w:r w:rsidRPr="00396A6B">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10BACCAB"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2023-24</w:t>
            </w:r>
            <w:r w:rsidRPr="00396A6B">
              <w:rPr>
                <w:rFonts w:ascii="Arial" w:hAnsi="Arial" w:cs="Arial"/>
                <w:sz w:val="16"/>
                <w:szCs w:val="16"/>
              </w:rPr>
              <w:br/>
              <w:t>Forward estimate</w:t>
            </w:r>
            <w:r w:rsidRPr="00396A6B">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694A7B49"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2024-25</w:t>
            </w:r>
            <w:r w:rsidRPr="00396A6B">
              <w:rPr>
                <w:rFonts w:ascii="Arial" w:hAnsi="Arial" w:cs="Arial"/>
                <w:sz w:val="16"/>
                <w:szCs w:val="16"/>
              </w:rPr>
              <w:br/>
              <w:t>Forward estimate</w:t>
            </w:r>
            <w:r w:rsidRPr="00396A6B">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69687E14"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2025-26</w:t>
            </w:r>
            <w:r w:rsidRPr="00396A6B">
              <w:rPr>
                <w:rFonts w:ascii="Arial" w:hAnsi="Arial" w:cs="Arial"/>
                <w:sz w:val="16"/>
                <w:szCs w:val="16"/>
              </w:rPr>
              <w:br/>
              <w:t>Forward estimate</w:t>
            </w:r>
            <w:r w:rsidRPr="00396A6B">
              <w:rPr>
                <w:rFonts w:ascii="Arial" w:hAnsi="Arial" w:cs="Arial"/>
                <w:sz w:val="16"/>
                <w:szCs w:val="16"/>
              </w:rPr>
              <w:br/>
              <w:t>$'000</w:t>
            </w:r>
          </w:p>
        </w:tc>
      </w:tr>
      <w:tr w:rsidR="00EC0B13" w:rsidRPr="00396A6B" w14:paraId="1FD1141C" w14:textId="77777777" w:rsidTr="00C616FA">
        <w:trPr>
          <w:trHeight w:val="225"/>
        </w:trPr>
        <w:tc>
          <w:tcPr>
            <w:tcW w:w="7579" w:type="dxa"/>
            <w:gridSpan w:val="6"/>
            <w:tcBorders>
              <w:top w:val="single" w:sz="4" w:space="0" w:color="auto"/>
              <w:left w:val="nil"/>
              <w:bottom w:val="single" w:sz="4" w:space="0" w:color="auto"/>
              <w:right w:val="nil"/>
            </w:tcBorders>
            <w:shd w:val="clear" w:color="000000" w:fill="E6E6E6"/>
            <w:noWrap/>
            <w:vAlign w:val="bottom"/>
            <w:hideMark/>
          </w:tcPr>
          <w:p w14:paraId="0088EBF7" w14:textId="5AABBAEA" w:rsidR="00EC0B13" w:rsidRPr="00396A6B" w:rsidRDefault="00EC0B13" w:rsidP="00EC0B13">
            <w:pPr>
              <w:spacing w:after="0" w:line="240" w:lineRule="auto"/>
              <w:jc w:val="left"/>
              <w:rPr>
                <w:rFonts w:ascii="Arial" w:hAnsi="Arial" w:cs="Arial"/>
                <w:sz w:val="16"/>
                <w:szCs w:val="16"/>
              </w:rPr>
            </w:pPr>
            <w:r w:rsidRPr="00396A6B">
              <w:rPr>
                <w:rFonts w:ascii="Arial" w:hAnsi="Arial" w:cs="Arial"/>
                <w:b/>
                <w:bCs/>
                <w:sz w:val="16"/>
                <w:szCs w:val="16"/>
              </w:rPr>
              <w:t xml:space="preserve">Components for Program 2.1: Surface Transport </w:t>
            </w:r>
            <w:r w:rsidRPr="00396A6B">
              <w:rPr>
                <w:rFonts w:ascii="Arial" w:hAnsi="Arial" w:cs="Arial"/>
                <w:sz w:val="16"/>
                <w:szCs w:val="16"/>
              </w:rPr>
              <w:t> </w:t>
            </w:r>
          </w:p>
        </w:tc>
      </w:tr>
      <w:tr w:rsidR="00B91F3E" w:rsidRPr="00396A6B" w14:paraId="056846D2" w14:textId="77777777" w:rsidTr="00F96D8A">
        <w:trPr>
          <w:trHeight w:val="204"/>
        </w:trPr>
        <w:tc>
          <w:tcPr>
            <w:tcW w:w="2694" w:type="dxa"/>
            <w:tcBorders>
              <w:top w:val="nil"/>
              <w:left w:val="nil"/>
              <w:bottom w:val="nil"/>
              <w:right w:val="nil"/>
            </w:tcBorders>
            <w:shd w:val="clear" w:color="auto" w:fill="auto"/>
            <w:noWrap/>
            <w:vAlign w:val="bottom"/>
            <w:hideMark/>
          </w:tcPr>
          <w:p w14:paraId="32FD448D"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sz w:val="16"/>
                <w:szCs w:val="16"/>
              </w:rPr>
              <w:t>Administered expenses</w:t>
            </w:r>
          </w:p>
        </w:tc>
        <w:tc>
          <w:tcPr>
            <w:tcW w:w="978" w:type="dxa"/>
            <w:tcBorders>
              <w:top w:val="nil"/>
              <w:left w:val="nil"/>
              <w:bottom w:val="nil"/>
              <w:right w:val="nil"/>
            </w:tcBorders>
            <w:shd w:val="clear" w:color="auto" w:fill="auto"/>
            <w:noWrap/>
            <w:vAlign w:val="bottom"/>
            <w:hideMark/>
          </w:tcPr>
          <w:p w14:paraId="393B940D" w14:textId="77777777" w:rsidR="00B91F3E" w:rsidRPr="00396A6B"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3DAB891B" w14:textId="77777777" w:rsidR="00B91F3E" w:rsidRPr="00396A6B"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8B7B2D0" w14:textId="77777777" w:rsidR="00B91F3E" w:rsidRPr="00396A6B"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A53C5E1" w14:textId="77777777" w:rsidR="00B91F3E" w:rsidRPr="00396A6B"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ADB2D5E" w14:textId="77777777" w:rsidR="00B91F3E" w:rsidRPr="00396A6B" w:rsidRDefault="00B91F3E" w:rsidP="00F96D8A">
            <w:pPr>
              <w:spacing w:after="0" w:line="240" w:lineRule="auto"/>
              <w:jc w:val="right"/>
              <w:rPr>
                <w:rFonts w:ascii="Arial" w:hAnsi="Arial" w:cs="Arial"/>
                <w:sz w:val="16"/>
                <w:szCs w:val="16"/>
              </w:rPr>
            </w:pPr>
          </w:p>
        </w:tc>
      </w:tr>
      <w:tr w:rsidR="002E58CB" w:rsidRPr="00396A6B" w14:paraId="0009F699" w14:textId="77777777" w:rsidTr="00F96D8A">
        <w:trPr>
          <w:trHeight w:val="204"/>
        </w:trPr>
        <w:tc>
          <w:tcPr>
            <w:tcW w:w="2694" w:type="dxa"/>
            <w:tcBorders>
              <w:top w:val="nil"/>
              <w:left w:val="nil"/>
              <w:bottom w:val="nil"/>
              <w:right w:val="nil"/>
            </w:tcBorders>
            <w:shd w:val="clear" w:color="auto" w:fill="auto"/>
            <w:vAlign w:val="bottom"/>
            <w:hideMark/>
          </w:tcPr>
          <w:p w14:paraId="0C718756" w14:textId="1393E528"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 xml:space="preserve">Bass Strait Passenger Vehicle Equalisation Scheme </w:t>
            </w:r>
            <w:r w:rsidRPr="002E58CB">
              <w:rPr>
                <w:rFonts w:ascii="Arial" w:hAnsi="Arial" w:cs="Arial"/>
                <w:sz w:val="16"/>
                <w:szCs w:val="16"/>
                <w:vertAlign w:val="superscript"/>
              </w:rPr>
              <w:t>(a)</w:t>
            </w:r>
          </w:p>
        </w:tc>
        <w:tc>
          <w:tcPr>
            <w:tcW w:w="978" w:type="dxa"/>
            <w:tcBorders>
              <w:top w:val="nil"/>
              <w:left w:val="nil"/>
              <w:bottom w:val="nil"/>
              <w:right w:val="nil"/>
            </w:tcBorders>
            <w:shd w:val="clear" w:color="auto" w:fill="auto"/>
            <w:noWrap/>
            <w:vAlign w:val="bottom"/>
            <w:hideMark/>
          </w:tcPr>
          <w:p w14:paraId="7A61A5B0" w14:textId="22008611"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53,195 </w:t>
            </w:r>
          </w:p>
        </w:tc>
        <w:tc>
          <w:tcPr>
            <w:tcW w:w="976" w:type="dxa"/>
            <w:tcBorders>
              <w:top w:val="nil"/>
              <w:left w:val="nil"/>
              <w:bottom w:val="nil"/>
              <w:right w:val="nil"/>
            </w:tcBorders>
            <w:shd w:val="clear" w:color="000000" w:fill="E6E6E6"/>
            <w:noWrap/>
            <w:vAlign w:val="bottom"/>
            <w:hideMark/>
          </w:tcPr>
          <w:p w14:paraId="0F1E3AAA" w14:textId="452F9102"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54,472 </w:t>
            </w:r>
          </w:p>
        </w:tc>
        <w:tc>
          <w:tcPr>
            <w:tcW w:w="977" w:type="dxa"/>
            <w:tcBorders>
              <w:top w:val="nil"/>
              <w:left w:val="nil"/>
              <w:bottom w:val="nil"/>
              <w:right w:val="nil"/>
            </w:tcBorders>
            <w:shd w:val="clear" w:color="auto" w:fill="auto"/>
            <w:noWrap/>
            <w:vAlign w:val="bottom"/>
            <w:hideMark/>
          </w:tcPr>
          <w:p w14:paraId="15BD4AA0" w14:textId="02B6AA8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55,888 </w:t>
            </w:r>
          </w:p>
        </w:tc>
        <w:tc>
          <w:tcPr>
            <w:tcW w:w="977" w:type="dxa"/>
            <w:tcBorders>
              <w:top w:val="nil"/>
              <w:left w:val="nil"/>
              <w:bottom w:val="nil"/>
              <w:right w:val="nil"/>
            </w:tcBorders>
            <w:shd w:val="clear" w:color="auto" w:fill="auto"/>
            <w:noWrap/>
            <w:vAlign w:val="bottom"/>
            <w:hideMark/>
          </w:tcPr>
          <w:p w14:paraId="19E49ED0" w14:textId="5884F339"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57,285 </w:t>
            </w:r>
          </w:p>
        </w:tc>
        <w:tc>
          <w:tcPr>
            <w:tcW w:w="977" w:type="dxa"/>
            <w:tcBorders>
              <w:top w:val="nil"/>
              <w:left w:val="nil"/>
              <w:bottom w:val="nil"/>
              <w:right w:val="nil"/>
            </w:tcBorders>
            <w:shd w:val="clear" w:color="auto" w:fill="auto"/>
            <w:noWrap/>
            <w:vAlign w:val="bottom"/>
            <w:hideMark/>
          </w:tcPr>
          <w:p w14:paraId="72AD5E5C" w14:textId="137A8C2E"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58,660 </w:t>
            </w:r>
          </w:p>
        </w:tc>
      </w:tr>
      <w:tr w:rsidR="002E58CB" w:rsidRPr="00396A6B" w14:paraId="77934654" w14:textId="77777777" w:rsidTr="00F96D8A">
        <w:trPr>
          <w:trHeight w:val="204"/>
        </w:trPr>
        <w:tc>
          <w:tcPr>
            <w:tcW w:w="2694" w:type="dxa"/>
            <w:tcBorders>
              <w:top w:val="nil"/>
              <w:left w:val="nil"/>
              <w:bottom w:val="nil"/>
              <w:right w:val="nil"/>
            </w:tcBorders>
            <w:shd w:val="clear" w:color="auto" w:fill="auto"/>
            <w:vAlign w:val="bottom"/>
            <w:hideMark/>
          </w:tcPr>
          <w:p w14:paraId="1945F2C6" w14:textId="155E4432"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Freight and Supply Chain Strategy - Freight Data Hub</w:t>
            </w:r>
          </w:p>
        </w:tc>
        <w:tc>
          <w:tcPr>
            <w:tcW w:w="978" w:type="dxa"/>
            <w:tcBorders>
              <w:top w:val="nil"/>
              <w:left w:val="nil"/>
              <w:bottom w:val="nil"/>
              <w:right w:val="nil"/>
            </w:tcBorders>
            <w:shd w:val="clear" w:color="auto" w:fill="auto"/>
            <w:noWrap/>
            <w:vAlign w:val="bottom"/>
            <w:hideMark/>
          </w:tcPr>
          <w:p w14:paraId="2B7F4955" w14:textId="0BE1974A"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246 </w:t>
            </w:r>
          </w:p>
        </w:tc>
        <w:tc>
          <w:tcPr>
            <w:tcW w:w="976" w:type="dxa"/>
            <w:tcBorders>
              <w:top w:val="nil"/>
              <w:left w:val="nil"/>
              <w:bottom w:val="nil"/>
              <w:right w:val="nil"/>
            </w:tcBorders>
            <w:shd w:val="clear" w:color="000000" w:fill="E6E6E6"/>
            <w:noWrap/>
            <w:vAlign w:val="bottom"/>
            <w:hideMark/>
          </w:tcPr>
          <w:p w14:paraId="4D2D1A3D" w14:textId="0375562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1,903 </w:t>
            </w:r>
          </w:p>
        </w:tc>
        <w:tc>
          <w:tcPr>
            <w:tcW w:w="977" w:type="dxa"/>
            <w:tcBorders>
              <w:top w:val="nil"/>
              <w:left w:val="nil"/>
              <w:bottom w:val="nil"/>
              <w:right w:val="nil"/>
            </w:tcBorders>
            <w:shd w:val="clear" w:color="auto" w:fill="auto"/>
            <w:noWrap/>
            <w:vAlign w:val="bottom"/>
            <w:hideMark/>
          </w:tcPr>
          <w:p w14:paraId="56546E0D" w14:textId="633CE694"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1,914 </w:t>
            </w:r>
          </w:p>
        </w:tc>
        <w:tc>
          <w:tcPr>
            <w:tcW w:w="977" w:type="dxa"/>
            <w:tcBorders>
              <w:top w:val="nil"/>
              <w:left w:val="nil"/>
              <w:bottom w:val="nil"/>
              <w:right w:val="nil"/>
            </w:tcBorders>
            <w:shd w:val="clear" w:color="auto" w:fill="auto"/>
            <w:noWrap/>
            <w:vAlign w:val="bottom"/>
            <w:hideMark/>
          </w:tcPr>
          <w:p w14:paraId="000EC50A" w14:textId="2915387A"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1A9BBB7" w14:textId="44D771F3"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73235E8C" w14:textId="77777777" w:rsidTr="00F96D8A">
        <w:trPr>
          <w:trHeight w:val="204"/>
        </w:trPr>
        <w:tc>
          <w:tcPr>
            <w:tcW w:w="2694" w:type="dxa"/>
            <w:tcBorders>
              <w:top w:val="nil"/>
              <w:left w:val="nil"/>
              <w:bottom w:val="nil"/>
              <w:right w:val="nil"/>
            </w:tcBorders>
            <w:shd w:val="clear" w:color="auto" w:fill="auto"/>
            <w:vAlign w:val="bottom"/>
          </w:tcPr>
          <w:p w14:paraId="2F783D3C" w14:textId="183B5F0E"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Improved Information on Vehicle Emissions and Fuel Economy</w:t>
            </w:r>
          </w:p>
        </w:tc>
        <w:tc>
          <w:tcPr>
            <w:tcW w:w="978" w:type="dxa"/>
            <w:tcBorders>
              <w:top w:val="nil"/>
              <w:left w:val="nil"/>
              <w:bottom w:val="nil"/>
              <w:right w:val="nil"/>
            </w:tcBorders>
            <w:shd w:val="clear" w:color="auto" w:fill="auto"/>
            <w:noWrap/>
            <w:vAlign w:val="bottom"/>
          </w:tcPr>
          <w:p w14:paraId="32D1E1EB" w14:textId="38BA6584" w:rsidR="002E58C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000000" w:fill="E6E6E6"/>
            <w:noWrap/>
            <w:vAlign w:val="bottom"/>
          </w:tcPr>
          <w:p w14:paraId="38D4CAEA" w14:textId="61D55317" w:rsidR="002E58CB" w:rsidRDefault="002E58CB" w:rsidP="002E58CB">
            <w:pPr>
              <w:spacing w:after="0" w:line="240" w:lineRule="auto"/>
              <w:jc w:val="right"/>
              <w:rPr>
                <w:rFonts w:ascii="Arial" w:hAnsi="Arial" w:cs="Arial"/>
                <w:sz w:val="16"/>
                <w:szCs w:val="16"/>
              </w:rPr>
            </w:pPr>
            <w:r>
              <w:rPr>
                <w:rFonts w:ascii="Arial" w:hAnsi="Arial" w:cs="Arial"/>
                <w:sz w:val="16"/>
                <w:szCs w:val="16"/>
              </w:rPr>
              <w:t xml:space="preserve">3,000 </w:t>
            </w:r>
          </w:p>
        </w:tc>
        <w:tc>
          <w:tcPr>
            <w:tcW w:w="977" w:type="dxa"/>
            <w:tcBorders>
              <w:top w:val="nil"/>
              <w:left w:val="nil"/>
              <w:bottom w:val="nil"/>
              <w:right w:val="nil"/>
            </w:tcBorders>
            <w:shd w:val="clear" w:color="auto" w:fill="auto"/>
            <w:noWrap/>
            <w:vAlign w:val="bottom"/>
          </w:tcPr>
          <w:p w14:paraId="567944FA" w14:textId="4FE186E6" w:rsidR="002E58CB" w:rsidRDefault="002E58CB" w:rsidP="002E58CB">
            <w:pPr>
              <w:spacing w:after="0" w:line="240" w:lineRule="auto"/>
              <w:jc w:val="right"/>
              <w:rPr>
                <w:rFonts w:ascii="Arial" w:hAnsi="Arial" w:cs="Arial"/>
                <w:sz w:val="16"/>
                <w:szCs w:val="16"/>
              </w:rPr>
            </w:pPr>
            <w:r>
              <w:rPr>
                <w:rFonts w:ascii="Arial" w:hAnsi="Arial" w:cs="Arial"/>
                <w:sz w:val="16"/>
                <w:szCs w:val="16"/>
              </w:rPr>
              <w:t xml:space="preserve">3,000 </w:t>
            </w:r>
          </w:p>
        </w:tc>
        <w:tc>
          <w:tcPr>
            <w:tcW w:w="977" w:type="dxa"/>
            <w:tcBorders>
              <w:top w:val="nil"/>
              <w:left w:val="nil"/>
              <w:bottom w:val="nil"/>
              <w:right w:val="nil"/>
            </w:tcBorders>
            <w:shd w:val="clear" w:color="auto" w:fill="auto"/>
            <w:noWrap/>
            <w:vAlign w:val="bottom"/>
          </w:tcPr>
          <w:p w14:paraId="05582016" w14:textId="1A0114D3" w:rsidR="002E58C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tcPr>
          <w:p w14:paraId="20D3A9BC" w14:textId="3688B260" w:rsidR="002E58C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39850FB2" w14:textId="77777777" w:rsidTr="00F96D8A">
        <w:trPr>
          <w:trHeight w:val="204"/>
        </w:trPr>
        <w:tc>
          <w:tcPr>
            <w:tcW w:w="2694" w:type="dxa"/>
            <w:tcBorders>
              <w:top w:val="nil"/>
              <w:left w:val="nil"/>
              <w:bottom w:val="nil"/>
              <w:right w:val="nil"/>
            </w:tcBorders>
            <w:shd w:val="clear" w:color="auto" w:fill="auto"/>
            <w:vAlign w:val="bottom"/>
            <w:hideMark/>
          </w:tcPr>
          <w:p w14:paraId="67FDECBD" w14:textId="0B39BA91"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International Maritime Organization - contribution</w:t>
            </w:r>
          </w:p>
        </w:tc>
        <w:tc>
          <w:tcPr>
            <w:tcW w:w="978" w:type="dxa"/>
            <w:tcBorders>
              <w:top w:val="nil"/>
              <w:left w:val="nil"/>
              <w:bottom w:val="nil"/>
              <w:right w:val="nil"/>
            </w:tcBorders>
            <w:shd w:val="clear" w:color="auto" w:fill="auto"/>
            <w:noWrap/>
            <w:vAlign w:val="bottom"/>
            <w:hideMark/>
          </w:tcPr>
          <w:p w14:paraId="137001FA" w14:textId="49BB50C0"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321 </w:t>
            </w:r>
          </w:p>
        </w:tc>
        <w:tc>
          <w:tcPr>
            <w:tcW w:w="976" w:type="dxa"/>
            <w:tcBorders>
              <w:top w:val="nil"/>
              <w:left w:val="nil"/>
              <w:bottom w:val="nil"/>
              <w:right w:val="nil"/>
            </w:tcBorders>
            <w:shd w:val="clear" w:color="000000" w:fill="E6E6E6"/>
            <w:noWrap/>
            <w:vAlign w:val="bottom"/>
            <w:hideMark/>
          </w:tcPr>
          <w:p w14:paraId="4B089C33" w14:textId="05D87BB4"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337 </w:t>
            </w:r>
          </w:p>
        </w:tc>
        <w:tc>
          <w:tcPr>
            <w:tcW w:w="977" w:type="dxa"/>
            <w:tcBorders>
              <w:top w:val="nil"/>
              <w:left w:val="nil"/>
              <w:bottom w:val="nil"/>
              <w:right w:val="nil"/>
            </w:tcBorders>
            <w:shd w:val="clear" w:color="auto" w:fill="auto"/>
            <w:noWrap/>
            <w:vAlign w:val="bottom"/>
            <w:hideMark/>
          </w:tcPr>
          <w:p w14:paraId="245D3C34" w14:textId="09E470F7"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349 </w:t>
            </w:r>
          </w:p>
        </w:tc>
        <w:tc>
          <w:tcPr>
            <w:tcW w:w="977" w:type="dxa"/>
            <w:tcBorders>
              <w:top w:val="nil"/>
              <w:left w:val="nil"/>
              <w:bottom w:val="nil"/>
              <w:right w:val="nil"/>
            </w:tcBorders>
            <w:shd w:val="clear" w:color="auto" w:fill="auto"/>
            <w:noWrap/>
            <w:vAlign w:val="bottom"/>
            <w:hideMark/>
          </w:tcPr>
          <w:p w14:paraId="27DB4B0B" w14:textId="566044B0"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363 </w:t>
            </w:r>
          </w:p>
        </w:tc>
        <w:tc>
          <w:tcPr>
            <w:tcW w:w="977" w:type="dxa"/>
            <w:tcBorders>
              <w:top w:val="nil"/>
              <w:left w:val="nil"/>
              <w:bottom w:val="nil"/>
              <w:right w:val="nil"/>
            </w:tcBorders>
            <w:shd w:val="clear" w:color="auto" w:fill="auto"/>
            <w:noWrap/>
            <w:vAlign w:val="bottom"/>
            <w:hideMark/>
          </w:tcPr>
          <w:p w14:paraId="22DAA8A9" w14:textId="6A0E83F2"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374 </w:t>
            </w:r>
          </w:p>
        </w:tc>
      </w:tr>
      <w:tr w:rsidR="002E58CB" w:rsidRPr="00396A6B" w14:paraId="04E9F50F" w14:textId="77777777" w:rsidTr="00F96D8A">
        <w:trPr>
          <w:trHeight w:val="204"/>
        </w:trPr>
        <w:tc>
          <w:tcPr>
            <w:tcW w:w="2694" w:type="dxa"/>
            <w:tcBorders>
              <w:top w:val="nil"/>
              <w:left w:val="nil"/>
              <w:bottom w:val="nil"/>
              <w:right w:val="nil"/>
            </w:tcBorders>
            <w:shd w:val="clear" w:color="auto" w:fill="auto"/>
            <w:vAlign w:val="bottom"/>
            <w:hideMark/>
          </w:tcPr>
          <w:p w14:paraId="40B7F143" w14:textId="03F46D8B"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Strategic Local Government Asset Assessment Project</w:t>
            </w:r>
          </w:p>
        </w:tc>
        <w:tc>
          <w:tcPr>
            <w:tcW w:w="978" w:type="dxa"/>
            <w:tcBorders>
              <w:top w:val="nil"/>
              <w:left w:val="nil"/>
              <w:bottom w:val="nil"/>
              <w:right w:val="nil"/>
            </w:tcBorders>
            <w:shd w:val="clear" w:color="auto" w:fill="auto"/>
            <w:noWrap/>
            <w:vAlign w:val="bottom"/>
            <w:hideMark/>
          </w:tcPr>
          <w:p w14:paraId="6BAF69C2" w14:textId="50711D49"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4,000 </w:t>
            </w:r>
          </w:p>
        </w:tc>
        <w:tc>
          <w:tcPr>
            <w:tcW w:w="976" w:type="dxa"/>
            <w:tcBorders>
              <w:top w:val="nil"/>
              <w:left w:val="nil"/>
              <w:bottom w:val="nil"/>
              <w:right w:val="nil"/>
            </w:tcBorders>
            <w:shd w:val="clear" w:color="000000" w:fill="E6E6E6"/>
            <w:noWrap/>
            <w:vAlign w:val="bottom"/>
            <w:hideMark/>
          </w:tcPr>
          <w:p w14:paraId="43793030" w14:textId="4C189DE2"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4,000 </w:t>
            </w:r>
          </w:p>
        </w:tc>
        <w:tc>
          <w:tcPr>
            <w:tcW w:w="977" w:type="dxa"/>
            <w:tcBorders>
              <w:top w:val="nil"/>
              <w:left w:val="nil"/>
              <w:bottom w:val="nil"/>
              <w:right w:val="nil"/>
            </w:tcBorders>
            <w:shd w:val="clear" w:color="auto" w:fill="auto"/>
            <w:noWrap/>
            <w:vAlign w:val="bottom"/>
            <w:hideMark/>
          </w:tcPr>
          <w:p w14:paraId="1B3A6CE5" w14:textId="780B752B"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4,000 </w:t>
            </w:r>
          </w:p>
        </w:tc>
        <w:tc>
          <w:tcPr>
            <w:tcW w:w="977" w:type="dxa"/>
            <w:tcBorders>
              <w:top w:val="nil"/>
              <w:left w:val="nil"/>
              <w:bottom w:val="nil"/>
              <w:right w:val="nil"/>
            </w:tcBorders>
            <w:shd w:val="clear" w:color="auto" w:fill="auto"/>
            <w:noWrap/>
            <w:vAlign w:val="bottom"/>
            <w:hideMark/>
          </w:tcPr>
          <w:p w14:paraId="2B703D4C" w14:textId="54FADF0E"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BEC579E" w14:textId="785CF44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17497EC8" w14:textId="77777777" w:rsidTr="00F96D8A">
        <w:trPr>
          <w:trHeight w:val="204"/>
        </w:trPr>
        <w:tc>
          <w:tcPr>
            <w:tcW w:w="2694" w:type="dxa"/>
            <w:tcBorders>
              <w:top w:val="nil"/>
              <w:left w:val="nil"/>
              <w:bottom w:val="nil"/>
              <w:right w:val="nil"/>
            </w:tcBorders>
            <w:shd w:val="clear" w:color="auto" w:fill="auto"/>
            <w:vAlign w:val="bottom"/>
            <w:hideMark/>
          </w:tcPr>
          <w:p w14:paraId="1E6AFDD1" w14:textId="4FCB2515"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 xml:space="preserve">National Heavy Vehicle Safety Initiatives </w:t>
            </w:r>
          </w:p>
        </w:tc>
        <w:tc>
          <w:tcPr>
            <w:tcW w:w="978" w:type="dxa"/>
            <w:tcBorders>
              <w:top w:val="nil"/>
              <w:left w:val="nil"/>
              <w:bottom w:val="nil"/>
              <w:right w:val="nil"/>
            </w:tcBorders>
            <w:shd w:val="clear" w:color="auto" w:fill="auto"/>
            <w:noWrap/>
            <w:vAlign w:val="bottom"/>
            <w:hideMark/>
          </w:tcPr>
          <w:p w14:paraId="09980BB4" w14:textId="0AF5A4A4"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5,528 </w:t>
            </w:r>
          </w:p>
        </w:tc>
        <w:tc>
          <w:tcPr>
            <w:tcW w:w="976" w:type="dxa"/>
            <w:tcBorders>
              <w:top w:val="nil"/>
              <w:left w:val="nil"/>
              <w:bottom w:val="nil"/>
              <w:right w:val="nil"/>
            </w:tcBorders>
            <w:shd w:val="clear" w:color="000000" w:fill="E6E6E6"/>
            <w:noWrap/>
            <w:vAlign w:val="bottom"/>
            <w:hideMark/>
          </w:tcPr>
          <w:p w14:paraId="2905A486" w14:textId="51B95263"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5,604 </w:t>
            </w:r>
          </w:p>
        </w:tc>
        <w:tc>
          <w:tcPr>
            <w:tcW w:w="977" w:type="dxa"/>
            <w:tcBorders>
              <w:top w:val="nil"/>
              <w:left w:val="nil"/>
              <w:bottom w:val="nil"/>
              <w:right w:val="nil"/>
            </w:tcBorders>
            <w:shd w:val="clear" w:color="auto" w:fill="auto"/>
            <w:noWrap/>
            <w:vAlign w:val="bottom"/>
            <w:hideMark/>
          </w:tcPr>
          <w:p w14:paraId="588581FE" w14:textId="39794E6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4,170 </w:t>
            </w:r>
          </w:p>
        </w:tc>
        <w:tc>
          <w:tcPr>
            <w:tcW w:w="977" w:type="dxa"/>
            <w:tcBorders>
              <w:top w:val="nil"/>
              <w:left w:val="nil"/>
              <w:bottom w:val="nil"/>
              <w:right w:val="nil"/>
            </w:tcBorders>
            <w:shd w:val="clear" w:color="auto" w:fill="auto"/>
            <w:noWrap/>
            <w:vAlign w:val="bottom"/>
            <w:hideMark/>
          </w:tcPr>
          <w:p w14:paraId="14D8DAE6" w14:textId="3292EEA2"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4,245 </w:t>
            </w:r>
          </w:p>
        </w:tc>
        <w:tc>
          <w:tcPr>
            <w:tcW w:w="977" w:type="dxa"/>
            <w:tcBorders>
              <w:top w:val="nil"/>
              <w:left w:val="nil"/>
              <w:bottom w:val="nil"/>
              <w:right w:val="nil"/>
            </w:tcBorders>
            <w:shd w:val="clear" w:color="auto" w:fill="auto"/>
            <w:noWrap/>
            <w:vAlign w:val="bottom"/>
            <w:hideMark/>
          </w:tcPr>
          <w:p w14:paraId="5E525310" w14:textId="3B48D80B"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4,318 </w:t>
            </w:r>
          </w:p>
        </w:tc>
      </w:tr>
      <w:tr w:rsidR="002E58CB" w:rsidRPr="00396A6B" w14:paraId="6C7B7AB6" w14:textId="77777777" w:rsidTr="00F96D8A">
        <w:trPr>
          <w:trHeight w:val="204"/>
        </w:trPr>
        <w:tc>
          <w:tcPr>
            <w:tcW w:w="2694" w:type="dxa"/>
            <w:tcBorders>
              <w:top w:val="nil"/>
              <w:left w:val="nil"/>
              <w:bottom w:val="nil"/>
              <w:right w:val="nil"/>
            </w:tcBorders>
            <w:shd w:val="clear" w:color="auto" w:fill="auto"/>
            <w:vAlign w:val="bottom"/>
            <w:hideMark/>
          </w:tcPr>
          <w:p w14:paraId="79917CB2" w14:textId="104571D1"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International Transport Forum - contribution</w:t>
            </w:r>
          </w:p>
        </w:tc>
        <w:tc>
          <w:tcPr>
            <w:tcW w:w="978" w:type="dxa"/>
            <w:tcBorders>
              <w:top w:val="nil"/>
              <w:left w:val="nil"/>
              <w:bottom w:val="nil"/>
              <w:right w:val="nil"/>
            </w:tcBorders>
            <w:shd w:val="clear" w:color="auto" w:fill="auto"/>
            <w:noWrap/>
            <w:vAlign w:val="bottom"/>
            <w:hideMark/>
          </w:tcPr>
          <w:p w14:paraId="5D69A1C9" w14:textId="5D60445D"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119 </w:t>
            </w:r>
          </w:p>
        </w:tc>
        <w:tc>
          <w:tcPr>
            <w:tcW w:w="976" w:type="dxa"/>
            <w:tcBorders>
              <w:top w:val="nil"/>
              <w:left w:val="nil"/>
              <w:bottom w:val="nil"/>
              <w:right w:val="nil"/>
            </w:tcBorders>
            <w:shd w:val="clear" w:color="000000" w:fill="E6E6E6"/>
            <w:noWrap/>
            <w:vAlign w:val="bottom"/>
            <w:hideMark/>
          </w:tcPr>
          <w:p w14:paraId="3870963A" w14:textId="0ECF5A29"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120 </w:t>
            </w:r>
          </w:p>
        </w:tc>
        <w:tc>
          <w:tcPr>
            <w:tcW w:w="977" w:type="dxa"/>
            <w:tcBorders>
              <w:top w:val="nil"/>
              <w:left w:val="nil"/>
              <w:bottom w:val="nil"/>
              <w:right w:val="nil"/>
            </w:tcBorders>
            <w:shd w:val="clear" w:color="auto" w:fill="auto"/>
            <w:noWrap/>
            <w:vAlign w:val="bottom"/>
            <w:hideMark/>
          </w:tcPr>
          <w:p w14:paraId="524012B9" w14:textId="1874397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121 </w:t>
            </w:r>
          </w:p>
        </w:tc>
        <w:tc>
          <w:tcPr>
            <w:tcW w:w="977" w:type="dxa"/>
            <w:tcBorders>
              <w:top w:val="nil"/>
              <w:left w:val="nil"/>
              <w:bottom w:val="nil"/>
              <w:right w:val="nil"/>
            </w:tcBorders>
            <w:shd w:val="clear" w:color="auto" w:fill="auto"/>
            <w:noWrap/>
            <w:vAlign w:val="bottom"/>
            <w:hideMark/>
          </w:tcPr>
          <w:p w14:paraId="7F1B335F" w14:textId="37EA98DB"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122 </w:t>
            </w:r>
          </w:p>
        </w:tc>
        <w:tc>
          <w:tcPr>
            <w:tcW w:w="977" w:type="dxa"/>
            <w:tcBorders>
              <w:top w:val="nil"/>
              <w:left w:val="nil"/>
              <w:bottom w:val="nil"/>
              <w:right w:val="nil"/>
            </w:tcBorders>
            <w:shd w:val="clear" w:color="auto" w:fill="auto"/>
            <w:noWrap/>
            <w:vAlign w:val="bottom"/>
            <w:hideMark/>
          </w:tcPr>
          <w:p w14:paraId="518EC07E" w14:textId="44E301B1"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119 </w:t>
            </w:r>
          </w:p>
        </w:tc>
      </w:tr>
      <w:tr w:rsidR="002E58CB" w:rsidRPr="00396A6B" w14:paraId="5AC72F18" w14:textId="77777777" w:rsidTr="00F96D8A">
        <w:trPr>
          <w:trHeight w:val="204"/>
        </w:trPr>
        <w:tc>
          <w:tcPr>
            <w:tcW w:w="2694" w:type="dxa"/>
            <w:tcBorders>
              <w:top w:val="nil"/>
              <w:left w:val="nil"/>
              <w:bottom w:val="nil"/>
              <w:right w:val="nil"/>
            </w:tcBorders>
            <w:shd w:val="clear" w:color="auto" w:fill="auto"/>
            <w:vAlign w:val="bottom"/>
            <w:hideMark/>
          </w:tcPr>
          <w:p w14:paraId="581F8942" w14:textId="3BB035BC"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 xml:space="preserve">Tasmanian Freight Equalisation Scheme </w:t>
            </w:r>
            <w:r w:rsidRPr="002E58CB">
              <w:rPr>
                <w:rFonts w:ascii="Arial" w:hAnsi="Arial" w:cs="Arial"/>
                <w:sz w:val="16"/>
                <w:szCs w:val="16"/>
                <w:vertAlign w:val="superscript"/>
              </w:rPr>
              <w:t>(a)</w:t>
            </w:r>
          </w:p>
        </w:tc>
        <w:tc>
          <w:tcPr>
            <w:tcW w:w="978" w:type="dxa"/>
            <w:tcBorders>
              <w:top w:val="nil"/>
              <w:left w:val="nil"/>
              <w:bottom w:val="nil"/>
              <w:right w:val="nil"/>
            </w:tcBorders>
            <w:shd w:val="clear" w:color="auto" w:fill="auto"/>
            <w:noWrap/>
            <w:vAlign w:val="bottom"/>
            <w:hideMark/>
          </w:tcPr>
          <w:p w14:paraId="4CE18D9B" w14:textId="10C7CAD6"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175,991 </w:t>
            </w:r>
          </w:p>
        </w:tc>
        <w:tc>
          <w:tcPr>
            <w:tcW w:w="976" w:type="dxa"/>
            <w:tcBorders>
              <w:top w:val="nil"/>
              <w:left w:val="nil"/>
              <w:bottom w:val="nil"/>
              <w:right w:val="nil"/>
            </w:tcBorders>
            <w:shd w:val="clear" w:color="000000" w:fill="E6E6E6"/>
            <w:noWrap/>
            <w:vAlign w:val="bottom"/>
            <w:hideMark/>
          </w:tcPr>
          <w:p w14:paraId="04024AFB" w14:textId="03FAD0FC"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177,984 </w:t>
            </w:r>
          </w:p>
        </w:tc>
        <w:tc>
          <w:tcPr>
            <w:tcW w:w="977" w:type="dxa"/>
            <w:tcBorders>
              <w:top w:val="nil"/>
              <w:left w:val="nil"/>
              <w:bottom w:val="nil"/>
              <w:right w:val="nil"/>
            </w:tcBorders>
            <w:shd w:val="clear" w:color="auto" w:fill="auto"/>
            <w:noWrap/>
            <w:vAlign w:val="bottom"/>
            <w:hideMark/>
          </w:tcPr>
          <w:p w14:paraId="6703203A" w14:textId="73A198D6"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179,977 </w:t>
            </w:r>
          </w:p>
        </w:tc>
        <w:tc>
          <w:tcPr>
            <w:tcW w:w="977" w:type="dxa"/>
            <w:tcBorders>
              <w:top w:val="nil"/>
              <w:left w:val="nil"/>
              <w:bottom w:val="nil"/>
              <w:right w:val="nil"/>
            </w:tcBorders>
            <w:shd w:val="clear" w:color="auto" w:fill="auto"/>
            <w:noWrap/>
            <w:vAlign w:val="bottom"/>
            <w:hideMark/>
          </w:tcPr>
          <w:p w14:paraId="7DF82EE1" w14:textId="25DECC53"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181,969 </w:t>
            </w:r>
          </w:p>
        </w:tc>
        <w:tc>
          <w:tcPr>
            <w:tcW w:w="977" w:type="dxa"/>
            <w:tcBorders>
              <w:top w:val="nil"/>
              <w:left w:val="nil"/>
              <w:bottom w:val="nil"/>
              <w:right w:val="nil"/>
            </w:tcBorders>
            <w:shd w:val="clear" w:color="auto" w:fill="auto"/>
            <w:noWrap/>
            <w:vAlign w:val="bottom"/>
            <w:hideMark/>
          </w:tcPr>
          <w:p w14:paraId="352B5777" w14:textId="1D6CD95C"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181,969 </w:t>
            </w:r>
          </w:p>
        </w:tc>
      </w:tr>
      <w:tr w:rsidR="002E58CB" w:rsidRPr="00396A6B" w14:paraId="2919A291" w14:textId="77777777" w:rsidTr="00F96D8A">
        <w:trPr>
          <w:trHeight w:val="204"/>
        </w:trPr>
        <w:tc>
          <w:tcPr>
            <w:tcW w:w="2694" w:type="dxa"/>
            <w:tcBorders>
              <w:top w:val="nil"/>
              <w:left w:val="nil"/>
              <w:bottom w:val="nil"/>
              <w:right w:val="nil"/>
            </w:tcBorders>
            <w:shd w:val="clear" w:color="auto" w:fill="auto"/>
            <w:vAlign w:val="bottom"/>
            <w:hideMark/>
          </w:tcPr>
          <w:p w14:paraId="266694C5" w14:textId="3F467D36" w:rsidR="002E58CB" w:rsidRPr="00396A6B" w:rsidRDefault="002E58CB" w:rsidP="002E58CB">
            <w:pPr>
              <w:spacing w:after="0" w:line="240" w:lineRule="auto"/>
              <w:jc w:val="left"/>
              <w:rPr>
                <w:rFonts w:ascii="Arial" w:hAnsi="Arial" w:cs="Arial"/>
                <w:sz w:val="16"/>
                <w:szCs w:val="16"/>
              </w:rPr>
            </w:pPr>
            <w:r>
              <w:rPr>
                <w:rFonts w:ascii="Arial" w:hAnsi="Arial" w:cs="Arial"/>
                <w:sz w:val="16"/>
                <w:szCs w:val="16"/>
              </w:rPr>
              <w:t>Special Appropriations</w:t>
            </w:r>
          </w:p>
        </w:tc>
        <w:tc>
          <w:tcPr>
            <w:tcW w:w="978" w:type="dxa"/>
            <w:tcBorders>
              <w:top w:val="nil"/>
              <w:left w:val="nil"/>
              <w:bottom w:val="nil"/>
              <w:right w:val="nil"/>
            </w:tcBorders>
            <w:shd w:val="clear" w:color="auto" w:fill="auto"/>
            <w:noWrap/>
            <w:vAlign w:val="bottom"/>
            <w:hideMark/>
          </w:tcPr>
          <w:p w14:paraId="4866165E" w14:textId="77777777" w:rsidR="002E58CB" w:rsidRPr="00396A6B" w:rsidRDefault="002E58CB" w:rsidP="002E58CB">
            <w:pPr>
              <w:spacing w:after="0" w:line="240" w:lineRule="auto"/>
              <w:ind w:firstLineChars="100" w:firstLine="160"/>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0F74F4F6" w14:textId="0E3E525E"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14E6288F" w14:textId="77777777" w:rsidR="002E58CB" w:rsidRPr="00396A6B"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CAEA959" w14:textId="77777777" w:rsidR="002E58CB" w:rsidRPr="00396A6B"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3A3AC66" w14:textId="77777777" w:rsidR="002E58CB" w:rsidRPr="00396A6B" w:rsidRDefault="002E58CB" w:rsidP="002E58CB">
            <w:pPr>
              <w:spacing w:after="0" w:line="240" w:lineRule="auto"/>
              <w:jc w:val="right"/>
              <w:rPr>
                <w:rFonts w:ascii="Arial" w:hAnsi="Arial" w:cs="Arial"/>
                <w:sz w:val="16"/>
                <w:szCs w:val="16"/>
              </w:rPr>
            </w:pPr>
          </w:p>
        </w:tc>
      </w:tr>
      <w:tr w:rsidR="002E58CB" w:rsidRPr="00396A6B" w14:paraId="1E92FA6D" w14:textId="77777777" w:rsidTr="00F96D8A">
        <w:trPr>
          <w:trHeight w:val="204"/>
        </w:trPr>
        <w:tc>
          <w:tcPr>
            <w:tcW w:w="2694" w:type="dxa"/>
            <w:tcBorders>
              <w:top w:val="nil"/>
              <w:left w:val="nil"/>
              <w:bottom w:val="nil"/>
              <w:right w:val="nil"/>
            </w:tcBorders>
            <w:shd w:val="clear" w:color="auto" w:fill="auto"/>
            <w:vAlign w:val="bottom"/>
            <w:hideMark/>
          </w:tcPr>
          <w:p w14:paraId="577E6286" w14:textId="4E28478C" w:rsidR="002E58CB" w:rsidRPr="00396A6B" w:rsidRDefault="002E58CB" w:rsidP="002E58CB">
            <w:pPr>
              <w:spacing w:after="0" w:line="240" w:lineRule="auto"/>
              <w:ind w:left="113"/>
              <w:jc w:val="left"/>
              <w:rPr>
                <w:rFonts w:ascii="Arial" w:hAnsi="Arial" w:cs="Arial"/>
                <w:i/>
                <w:iCs/>
                <w:sz w:val="16"/>
                <w:szCs w:val="16"/>
              </w:rPr>
            </w:pPr>
            <w:r>
              <w:rPr>
                <w:rFonts w:ascii="Arial" w:hAnsi="Arial" w:cs="Arial"/>
                <w:i/>
                <w:iCs/>
                <w:sz w:val="16"/>
                <w:szCs w:val="16"/>
              </w:rPr>
              <w:t xml:space="preserve">Australian Maritime Safety Authority Act 1990 </w:t>
            </w:r>
            <w:r w:rsidRPr="002E58CB">
              <w:rPr>
                <w:rFonts w:ascii="Arial" w:hAnsi="Arial" w:cs="Arial"/>
                <w:i/>
                <w:sz w:val="16"/>
                <w:szCs w:val="16"/>
                <w:vertAlign w:val="superscript"/>
              </w:rPr>
              <w:t>(b)</w:t>
            </w:r>
          </w:p>
        </w:tc>
        <w:tc>
          <w:tcPr>
            <w:tcW w:w="978" w:type="dxa"/>
            <w:tcBorders>
              <w:top w:val="nil"/>
              <w:left w:val="nil"/>
              <w:bottom w:val="nil"/>
              <w:right w:val="nil"/>
            </w:tcBorders>
            <w:shd w:val="clear" w:color="auto" w:fill="auto"/>
            <w:noWrap/>
            <w:vAlign w:val="bottom"/>
            <w:hideMark/>
          </w:tcPr>
          <w:p w14:paraId="2696A452" w14:textId="0CE65F5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133,916 </w:t>
            </w:r>
          </w:p>
        </w:tc>
        <w:tc>
          <w:tcPr>
            <w:tcW w:w="976" w:type="dxa"/>
            <w:tcBorders>
              <w:top w:val="nil"/>
              <w:left w:val="nil"/>
              <w:bottom w:val="nil"/>
              <w:right w:val="nil"/>
            </w:tcBorders>
            <w:shd w:val="clear" w:color="000000" w:fill="E6E6E6"/>
            <w:noWrap/>
            <w:vAlign w:val="bottom"/>
            <w:hideMark/>
          </w:tcPr>
          <w:p w14:paraId="7C2A9801" w14:textId="0773BCDD"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136,059 </w:t>
            </w:r>
          </w:p>
        </w:tc>
        <w:tc>
          <w:tcPr>
            <w:tcW w:w="977" w:type="dxa"/>
            <w:tcBorders>
              <w:top w:val="nil"/>
              <w:left w:val="nil"/>
              <w:bottom w:val="nil"/>
              <w:right w:val="nil"/>
            </w:tcBorders>
            <w:shd w:val="clear" w:color="auto" w:fill="auto"/>
            <w:noWrap/>
            <w:vAlign w:val="bottom"/>
            <w:hideMark/>
          </w:tcPr>
          <w:p w14:paraId="091663BD" w14:textId="59627DC9"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154,055 </w:t>
            </w:r>
          </w:p>
        </w:tc>
        <w:tc>
          <w:tcPr>
            <w:tcW w:w="977" w:type="dxa"/>
            <w:tcBorders>
              <w:top w:val="nil"/>
              <w:left w:val="nil"/>
              <w:bottom w:val="nil"/>
              <w:right w:val="nil"/>
            </w:tcBorders>
            <w:shd w:val="clear" w:color="auto" w:fill="auto"/>
            <w:noWrap/>
            <w:vAlign w:val="bottom"/>
            <w:hideMark/>
          </w:tcPr>
          <w:p w14:paraId="3AFD096D" w14:textId="01E68A38"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157,161 </w:t>
            </w:r>
          </w:p>
        </w:tc>
        <w:tc>
          <w:tcPr>
            <w:tcW w:w="977" w:type="dxa"/>
            <w:tcBorders>
              <w:top w:val="nil"/>
              <w:left w:val="nil"/>
              <w:bottom w:val="nil"/>
              <w:right w:val="nil"/>
            </w:tcBorders>
            <w:shd w:val="clear" w:color="auto" w:fill="auto"/>
            <w:noWrap/>
            <w:vAlign w:val="bottom"/>
            <w:hideMark/>
          </w:tcPr>
          <w:p w14:paraId="185F642E" w14:textId="3B1E3F39"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160,325 </w:t>
            </w:r>
          </w:p>
        </w:tc>
      </w:tr>
      <w:tr w:rsidR="002E58CB" w:rsidRPr="00396A6B" w14:paraId="3082B4BC" w14:textId="77777777" w:rsidTr="00F96D8A">
        <w:trPr>
          <w:trHeight w:val="204"/>
        </w:trPr>
        <w:tc>
          <w:tcPr>
            <w:tcW w:w="2694" w:type="dxa"/>
            <w:tcBorders>
              <w:top w:val="nil"/>
              <w:left w:val="nil"/>
              <w:bottom w:val="nil"/>
              <w:right w:val="nil"/>
            </w:tcBorders>
            <w:shd w:val="clear" w:color="auto" w:fill="auto"/>
            <w:vAlign w:val="bottom"/>
            <w:hideMark/>
          </w:tcPr>
          <w:p w14:paraId="079DE68B" w14:textId="5DDEE894" w:rsidR="002E58CB" w:rsidRPr="00396A6B" w:rsidRDefault="002E58CB" w:rsidP="002E58CB">
            <w:pPr>
              <w:spacing w:after="0" w:line="240" w:lineRule="auto"/>
              <w:ind w:left="113"/>
              <w:jc w:val="left"/>
              <w:rPr>
                <w:rFonts w:ascii="Arial" w:hAnsi="Arial" w:cs="Arial"/>
                <w:i/>
                <w:iCs/>
                <w:sz w:val="16"/>
                <w:szCs w:val="16"/>
              </w:rPr>
            </w:pPr>
            <w:r>
              <w:rPr>
                <w:rFonts w:ascii="Arial" w:hAnsi="Arial" w:cs="Arial"/>
                <w:i/>
                <w:iCs/>
                <w:sz w:val="16"/>
                <w:szCs w:val="16"/>
              </w:rPr>
              <w:t>Protection of the Sea (Oil Pollution Compensation Funds) Act 1993</w:t>
            </w:r>
          </w:p>
        </w:tc>
        <w:tc>
          <w:tcPr>
            <w:tcW w:w="978" w:type="dxa"/>
            <w:tcBorders>
              <w:top w:val="nil"/>
              <w:left w:val="nil"/>
              <w:bottom w:val="nil"/>
              <w:right w:val="nil"/>
            </w:tcBorders>
            <w:shd w:val="clear" w:color="auto" w:fill="auto"/>
            <w:noWrap/>
            <w:vAlign w:val="bottom"/>
            <w:hideMark/>
          </w:tcPr>
          <w:p w14:paraId="4FA205C9" w14:textId="0BB46B20"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600 </w:t>
            </w:r>
          </w:p>
        </w:tc>
        <w:tc>
          <w:tcPr>
            <w:tcW w:w="976" w:type="dxa"/>
            <w:tcBorders>
              <w:top w:val="nil"/>
              <w:left w:val="nil"/>
              <w:bottom w:val="nil"/>
              <w:right w:val="nil"/>
            </w:tcBorders>
            <w:shd w:val="clear" w:color="000000" w:fill="E6E6E6"/>
            <w:noWrap/>
            <w:vAlign w:val="bottom"/>
            <w:hideMark/>
          </w:tcPr>
          <w:p w14:paraId="15C4DF11" w14:textId="416B82F0"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tcBorders>
              <w:top w:val="nil"/>
              <w:left w:val="nil"/>
              <w:bottom w:val="nil"/>
              <w:right w:val="nil"/>
            </w:tcBorders>
            <w:shd w:val="clear" w:color="auto" w:fill="auto"/>
            <w:noWrap/>
            <w:vAlign w:val="bottom"/>
            <w:hideMark/>
          </w:tcPr>
          <w:p w14:paraId="3CAE49FF" w14:textId="742D48FB"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tcBorders>
              <w:top w:val="nil"/>
              <w:left w:val="nil"/>
              <w:bottom w:val="nil"/>
              <w:right w:val="nil"/>
            </w:tcBorders>
            <w:shd w:val="clear" w:color="auto" w:fill="auto"/>
            <w:noWrap/>
            <w:vAlign w:val="bottom"/>
            <w:hideMark/>
          </w:tcPr>
          <w:p w14:paraId="055985AB" w14:textId="5C26686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tcBorders>
              <w:top w:val="nil"/>
              <w:left w:val="nil"/>
              <w:bottom w:val="nil"/>
              <w:right w:val="nil"/>
            </w:tcBorders>
            <w:shd w:val="clear" w:color="auto" w:fill="auto"/>
            <w:noWrap/>
            <w:vAlign w:val="bottom"/>
            <w:hideMark/>
          </w:tcPr>
          <w:p w14:paraId="5669B647" w14:textId="242359C8"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600 </w:t>
            </w:r>
          </w:p>
        </w:tc>
      </w:tr>
      <w:tr w:rsidR="002E58CB" w:rsidRPr="00396A6B" w14:paraId="25F00170" w14:textId="77777777" w:rsidTr="00F96D8A">
        <w:trPr>
          <w:trHeight w:val="204"/>
        </w:trPr>
        <w:tc>
          <w:tcPr>
            <w:tcW w:w="2694" w:type="dxa"/>
            <w:tcBorders>
              <w:top w:val="nil"/>
              <w:left w:val="nil"/>
              <w:bottom w:val="nil"/>
              <w:right w:val="nil"/>
            </w:tcBorders>
            <w:shd w:val="clear" w:color="auto" w:fill="auto"/>
            <w:vAlign w:val="bottom"/>
            <w:hideMark/>
          </w:tcPr>
          <w:p w14:paraId="215C5C34" w14:textId="32EE74B7" w:rsidR="002E58CB" w:rsidRPr="00396A6B" w:rsidRDefault="002E58CB" w:rsidP="002E58CB">
            <w:pPr>
              <w:spacing w:after="0" w:line="240" w:lineRule="auto"/>
              <w:jc w:val="left"/>
              <w:rPr>
                <w:rFonts w:ascii="Arial" w:hAnsi="Arial" w:cs="Arial"/>
                <w:sz w:val="16"/>
                <w:szCs w:val="16"/>
              </w:rPr>
            </w:pPr>
            <w:r>
              <w:rPr>
                <w:rFonts w:ascii="Arial" w:hAnsi="Arial" w:cs="Arial"/>
                <w:sz w:val="16"/>
                <w:szCs w:val="16"/>
              </w:rPr>
              <w:t xml:space="preserve">Payments to corporate entities </w:t>
            </w:r>
            <w:r w:rsidRPr="002E58CB">
              <w:rPr>
                <w:rFonts w:ascii="Arial" w:hAnsi="Arial" w:cs="Arial"/>
                <w:sz w:val="16"/>
                <w:szCs w:val="16"/>
                <w:vertAlign w:val="superscript"/>
              </w:rPr>
              <w:t>(b)</w:t>
            </w:r>
          </w:p>
        </w:tc>
        <w:tc>
          <w:tcPr>
            <w:tcW w:w="978" w:type="dxa"/>
            <w:tcBorders>
              <w:top w:val="nil"/>
              <w:left w:val="nil"/>
              <w:bottom w:val="nil"/>
              <w:right w:val="nil"/>
            </w:tcBorders>
            <w:shd w:val="clear" w:color="auto" w:fill="auto"/>
            <w:noWrap/>
            <w:vAlign w:val="bottom"/>
            <w:hideMark/>
          </w:tcPr>
          <w:p w14:paraId="6F49EA70" w14:textId="77777777" w:rsidR="002E58CB" w:rsidRPr="00396A6B" w:rsidRDefault="002E58CB" w:rsidP="002E58CB">
            <w:pPr>
              <w:spacing w:after="0" w:line="240" w:lineRule="auto"/>
              <w:ind w:firstLineChars="100" w:firstLine="160"/>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01B3C9B2" w14:textId="0100721E"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694D60A4" w14:textId="77777777" w:rsidR="002E58CB" w:rsidRPr="00396A6B"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8816F83" w14:textId="77777777" w:rsidR="002E58CB" w:rsidRPr="00396A6B"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89FCFB3" w14:textId="77777777" w:rsidR="002E58CB" w:rsidRPr="00396A6B" w:rsidRDefault="002E58CB" w:rsidP="002E58CB">
            <w:pPr>
              <w:spacing w:after="0" w:line="240" w:lineRule="auto"/>
              <w:jc w:val="right"/>
              <w:rPr>
                <w:rFonts w:ascii="Arial" w:hAnsi="Arial" w:cs="Arial"/>
                <w:sz w:val="16"/>
                <w:szCs w:val="16"/>
              </w:rPr>
            </w:pPr>
          </w:p>
        </w:tc>
      </w:tr>
      <w:tr w:rsidR="002E58CB" w:rsidRPr="00396A6B" w14:paraId="50394A31" w14:textId="77777777" w:rsidTr="00F96D8A">
        <w:trPr>
          <w:trHeight w:val="204"/>
        </w:trPr>
        <w:tc>
          <w:tcPr>
            <w:tcW w:w="2694" w:type="dxa"/>
            <w:tcBorders>
              <w:top w:val="nil"/>
              <w:left w:val="nil"/>
              <w:bottom w:val="nil"/>
              <w:right w:val="nil"/>
            </w:tcBorders>
            <w:shd w:val="clear" w:color="auto" w:fill="auto"/>
            <w:vAlign w:val="bottom"/>
            <w:hideMark/>
          </w:tcPr>
          <w:p w14:paraId="0373DF76" w14:textId="276F95E3" w:rsidR="002E58CB" w:rsidRPr="00396A6B" w:rsidRDefault="002E58CB" w:rsidP="002E58CB">
            <w:pPr>
              <w:pStyle w:val="ListParagraph"/>
              <w:numPr>
                <w:ilvl w:val="0"/>
                <w:numId w:val="200"/>
              </w:numPr>
              <w:spacing w:after="0" w:line="240" w:lineRule="auto"/>
              <w:ind w:left="313" w:hanging="142"/>
              <w:rPr>
                <w:rFonts w:ascii="Arial" w:hAnsi="Arial" w:cs="Arial"/>
                <w:sz w:val="16"/>
                <w:szCs w:val="16"/>
              </w:rPr>
            </w:pPr>
            <w:r>
              <w:rPr>
                <w:rFonts w:ascii="Arial" w:hAnsi="Arial" w:cs="Arial"/>
                <w:sz w:val="16"/>
                <w:szCs w:val="16"/>
              </w:rPr>
              <w:t>Australian Maritime Safety Authority</w:t>
            </w:r>
          </w:p>
        </w:tc>
        <w:tc>
          <w:tcPr>
            <w:tcW w:w="978" w:type="dxa"/>
            <w:tcBorders>
              <w:top w:val="nil"/>
              <w:left w:val="nil"/>
              <w:bottom w:val="nil"/>
              <w:right w:val="nil"/>
            </w:tcBorders>
            <w:shd w:val="clear" w:color="auto" w:fill="auto"/>
            <w:noWrap/>
            <w:vAlign w:val="bottom"/>
            <w:hideMark/>
          </w:tcPr>
          <w:p w14:paraId="0F506712" w14:textId="72C2D42A"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87,802 </w:t>
            </w:r>
          </w:p>
        </w:tc>
        <w:tc>
          <w:tcPr>
            <w:tcW w:w="976" w:type="dxa"/>
            <w:tcBorders>
              <w:top w:val="nil"/>
              <w:left w:val="nil"/>
              <w:bottom w:val="nil"/>
              <w:right w:val="nil"/>
            </w:tcBorders>
            <w:shd w:val="clear" w:color="000000" w:fill="E6E6E6"/>
            <w:noWrap/>
            <w:vAlign w:val="bottom"/>
            <w:hideMark/>
          </w:tcPr>
          <w:p w14:paraId="1A8ECFAB" w14:textId="6A8E8152"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92,893 </w:t>
            </w:r>
          </w:p>
        </w:tc>
        <w:tc>
          <w:tcPr>
            <w:tcW w:w="977" w:type="dxa"/>
            <w:tcBorders>
              <w:top w:val="nil"/>
              <w:left w:val="nil"/>
              <w:bottom w:val="nil"/>
              <w:right w:val="nil"/>
            </w:tcBorders>
            <w:shd w:val="clear" w:color="auto" w:fill="auto"/>
            <w:noWrap/>
            <w:vAlign w:val="bottom"/>
            <w:hideMark/>
          </w:tcPr>
          <w:p w14:paraId="73C19A73" w14:textId="4FCC2D4D"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80,740 </w:t>
            </w:r>
          </w:p>
        </w:tc>
        <w:tc>
          <w:tcPr>
            <w:tcW w:w="977" w:type="dxa"/>
            <w:tcBorders>
              <w:top w:val="nil"/>
              <w:left w:val="nil"/>
              <w:bottom w:val="nil"/>
              <w:right w:val="nil"/>
            </w:tcBorders>
            <w:shd w:val="clear" w:color="auto" w:fill="auto"/>
            <w:noWrap/>
            <w:vAlign w:val="bottom"/>
            <w:hideMark/>
          </w:tcPr>
          <w:p w14:paraId="654F2AFB" w14:textId="0B6A3068"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82,051 </w:t>
            </w:r>
          </w:p>
        </w:tc>
        <w:tc>
          <w:tcPr>
            <w:tcW w:w="977" w:type="dxa"/>
            <w:tcBorders>
              <w:top w:val="nil"/>
              <w:left w:val="nil"/>
              <w:bottom w:val="nil"/>
              <w:right w:val="nil"/>
            </w:tcBorders>
            <w:shd w:val="clear" w:color="auto" w:fill="auto"/>
            <w:noWrap/>
            <w:vAlign w:val="bottom"/>
            <w:hideMark/>
          </w:tcPr>
          <w:p w14:paraId="2930CD1B" w14:textId="55199298"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82,931 </w:t>
            </w:r>
          </w:p>
        </w:tc>
      </w:tr>
      <w:tr w:rsidR="002E58CB" w:rsidRPr="00396A6B" w14:paraId="71B57D1B" w14:textId="77777777" w:rsidTr="00F96D8A">
        <w:trPr>
          <w:trHeight w:val="204"/>
        </w:trPr>
        <w:tc>
          <w:tcPr>
            <w:tcW w:w="2694" w:type="dxa"/>
            <w:tcBorders>
              <w:top w:val="nil"/>
              <w:left w:val="nil"/>
              <w:right w:val="nil"/>
            </w:tcBorders>
            <w:shd w:val="clear" w:color="auto" w:fill="auto"/>
            <w:vAlign w:val="bottom"/>
            <w:hideMark/>
          </w:tcPr>
          <w:p w14:paraId="40E01B48" w14:textId="60CFAF9A" w:rsidR="002E58CB" w:rsidRPr="00396A6B" w:rsidRDefault="002E58CB" w:rsidP="002E58CB">
            <w:pPr>
              <w:pStyle w:val="ListParagraph"/>
              <w:numPr>
                <w:ilvl w:val="0"/>
                <w:numId w:val="200"/>
              </w:numPr>
              <w:spacing w:after="0" w:line="240" w:lineRule="auto"/>
              <w:ind w:left="313" w:hanging="142"/>
              <w:rPr>
                <w:rFonts w:ascii="Arial" w:hAnsi="Arial" w:cs="Arial"/>
                <w:sz w:val="16"/>
                <w:szCs w:val="16"/>
              </w:rPr>
            </w:pPr>
            <w:r>
              <w:rPr>
                <w:rFonts w:ascii="Arial" w:hAnsi="Arial" w:cs="Arial"/>
                <w:sz w:val="16"/>
                <w:szCs w:val="16"/>
              </w:rPr>
              <w:t>National Transport Commission</w:t>
            </w:r>
          </w:p>
        </w:tc>
        <w:tc>
          <w:tcPr>
            <w:tcW w:w="978" w:type="dxa"/>
            <w:tcBorders>
              <w:top w:val="nil"/>
              <w:left w:val="nil"/>
              <w:bottom w:val="nil"/>
              <w:right w:val="nil"/>
            </w:tcBorders>
            <w:shd w:val="clear" w:color="auto" w:fill="auto"/>
            <w:noWrap/>
            <w:vAlign w:val="bottom"/>
            <w:hideMark/>
          </w:tcPr>
          <w:p w14:paraId="70837F0E" w14:textId="37DF8BB4"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4,464 </w:t>
            </w:r>
          </w:p>
        </w:tc>
        <w:tc>
          <w:tcPr>
            <w:tcW w:w="976" w:type="dxa"/>
            <w:tcBorders>
              <w:top w:val="nil"/>
              <w:left w:val="nil"/>
              <w:bottom w:val="nil"/>
              <w:right w:val="nil"/>
            </w:tcBorders>
            <w:shd w:val="clear" w:color="000000" w:fill="E6E6E6"/>
            <w:noWrap/>
            <w:vAlign w:val="bottom"/>
            <w:hideMark/>
          </w:tcPr>
          <w:p w14:paraId="7FAE3D7C" w14:textId="00896185"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4,427 </w:t>
            </w:r>
          </w:p>
        </w:tc>
        <w:tc>
          <w:tcPr>
            <w:tcW w:w="977" w:type="dxa"/>
            <w:tcBorders>
              <w:top w:val="nil"/>
              <w:left w:val="nil"/>
              <w:bottom w:val="nil"/>
              <w:right w:val="nil"/>
            </w:tcBorders>
            <w:shd w:val="clear" w:color="auto" w:fill="auto"/>
            <w:noWrap/>
            <w:vAlign w:val="bottom"/>
            <w:hideMark/>
          </w:tcPr>
          <w:p w14:paraId="5A79B28F" w14:textId="07938A55"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4,348 </w:t>
            </w:r>
          </w:p>
        </w:tc>
        <w:tc>
          <w:tcPr>
            <w:tcW w:w="977" w:type="dxa"/>
            <w:tcBorders>
              <w:top w:val="nil"/>
              <w:left w:val="nil"/>
              <w:bottom w:val="nil"/>
              <w:right w:val="nil"/>
            </w:tcBorders>
            <w:shd w:val="clear" w:color="auto" w:fill="auto"/>
            <w:noWrap/>
            <w:vAlign w:val="bottom"/>
            <w:hideMark/>
          </w:tcPr>
          <w:p w14:paraId="09C4032D" w14:textId="1245310E"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3,929 </w:t>
            </w:r>
          </w:p>
        </w:tc>
        <w:tc>
          <w:tcPr>
            <w:tcW w:w="977" w:type="dxa"/>
            <w:tcBorders>
              <w:top w:val="nil"/>
              <w:left w:val="nil"/>
              <w:bottom w:val="nil"/>
              <w:right w:val="nil"/>
            </w:tcBorders>
            <w:shd w:val="clear" w:color="auto" w:fill="auto"/>
            <w:noWrap/>
            <w:vAlign w:val="bottom"/>
            <w:hideMark/>
          </w:tcPr>
          <w:p w14:paraId="3FBA860D" w14:textId="1D56A5FB"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4,023 </w:t>
            </w:r>
          </w:p>
        </w:tc>
      </w:tr>
      <w:tr w:rsidR="002E58CB" w:rsidRPr="00396A6B" w14:paraId="055902C1"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5A8D7396" w14:textId="10D51A2E" w:rsidR="002E58CB" w:rsidRPr="00396A6B" w:rsidRDefault="002E58CB" w:rsidP="002E58CB">
            <w:pPr>
              <w:spacing w:after="0" w:line="240" w:lineRule="auto"/>
              <w:jc w:val="left"/>
              <w:rPr>
                <w:rFonts w:ascii="Arial" w:hAnsi="Arial" w:cs="Arial"/>
                <w:b/>
                <w:bCs/>
                <w:sz w:val="16"/>
                <w:szCs w:val="16"/>
              </w:rPr>
            </w:pPr>
            <w:r>
              <w:rPr>
                <w:rFonts w:ascii="Arial" w:hAnsi="Arial" w:cs="Arial"/>
                <w:b/>
                <w:bCs/>
                <w:sz w:val="16"/>
                <w:szCs w:val="16"/>
              </w:rPr>
              <w:t>Total expenses for Program 2.1</w:t>
            </w:r>
          </w:p>
        </w:tc>
        <w:tc>
          <w:tcPr>
            <w:tcW w:w="978" w:type="dxa"/>
            <w:tcBorders>
              <w:top w:val="single" w:sz="4" w:space="0" w:color="auto"/>
              <w:left w:val="nil"/>
              <w:bottom w:val="single" w:sz="4" w:space="0" w:color="auto"/>
              <w:right w:val="nil"/>
            </w:tcBorders>
            <w:shd w:val="clear" w:color="auto" w:fill="auto"/>
            <w:noWrap/>
            <w:vAlign w:val="bottom"/>
            <w:hideMark/>
          </w:tcPr>
          <w:p w14:paraId="7F982837" w14:textId="4DC6A845"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466,182 </w:t>
            </w:r>
          </w:p>
        </w:tc>
        <w:tc>
          <w:tcPr>
            <w:tcW w:w="976" w:type="dxa"/>
            <w:tcBorders>
              <w:top w:val="single" w:sz="4" w:space="0" w:color="auto"/>
              <w:left w:val="nil"/>
              <w:bottom w:val="single" w:sz="4" w:space="0" w:color="auto"/>
              <w:right w:val="nil"/>
            </w:tcBorders>
            <w:shd w:val="clear" w:color="000000" w:fill="E6E6E6"/>
            <w:noWrap/>
            <w:vAlign w:val="bottom"/>
            <w:hideMark/>
          </w:tcPr>
          <w:p w14:paraId="0B4BC74F" w14:textId="76EECBC0"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481,399 </w:t>
            </w:r>
          </w:p>
        </w:tc>
        <w:tc>
          <w:tcPr>
            <w:tcW w:w="977" w:type="dxa"/>
            <w:tcBorders>
              <w:top w:val="single" w:sz="4" w:space="0" w:color="auto"/>
              <w:left w:val="nil"/>
              <w:bottom w:val="single" w:sz="4" w:space="0" w:color="auto"/>
              <w:right w:val="nil"/>
            </w:tcBorders>
            <w:shd w:val="clear" w:color="auto" w:fill="auto"/>
            <w:noWrap/>
            <w:vAlign w:val="bottom"/>
            <w:hideMark/>
          </w:tcPr>
          <w:p w14:paraId="7529E8F4" w14:textId="4FE6EBBA"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489,162 </w:t>
            </w:r>
          </w:p>
        </w:tc>
        <w:tc>
          <w:tcPr>
            <w:tcW w:w="977" w:type="dxa"/>
            <w:tcBorders>
              <w:top w:val="single" w:sz="4" w:space="0" w:color="auto"/>
              <w:left w:val="nil"/>
              <w:bottom w:val="single" w:sz="4" w:space="0" w:color="auto"/>
              <w:right w:val="nil"/>
            </w:tcBorders>
            <w:shd w:val="clear" w:color="auto" w:fill="auto"/>
            <w:noWrap/>
            <w:vAlign w:val="bottom"/>
            <w:hideMark/>
          </w:tcPr>
          <w:p w14:paraId="63DACEE0" w14:textId="13AC48FB"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487,725 </w:t>
            </w:r>
          </w:p>
        </w:tc>
        <w:tc>
          <w:tcPr>
            <w:tcW w:w="977" w:type="dxa"/>
            <w:tcBorders>
              <w:top w:val="single" w:sz="4" w:space="0" w:color="auto"/>
              <w:left w:val="nil"/>
              <w:bottom w:val="single" w:sz="4" w:space="0" w:color="auto"/>
              <w:right w:val="nil"/>
            </w:tcBorders>
            <w:shd w:val="clear" w:color="auto" w:fill="auto"/>
            <w:noWrap/>
            <w:vAlign w:val="bottom"/>
            <w:hideMark/>
          </w:tcPr>
          <w:p w14:paraId="5C3F597D" w14:textId="4FEA9ADE"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493,319 </w:t>
            </w:r>
          </w:p>
        </w:tc>
      </w:tr>
      <w:tr w:rsidR="00B91F3E" w:rsidRPr="00396A6B" w14:paraId="5A975B00" w14:textId="77777777" w:rsidTr="00F96D8A">
        <w:trPr>
          <w:trHeight w:val="225"/>
        </w:trPr>
        <w:tc>
          <w:tcPr>
            <w:tcW w:w="3672" w:type="dxa"/>
            <w:gridSpan w:val="2"/>
            <w:tcBorders>
              <w:top w:val="single" w:sz="4" w:space="0" w:color="auto"/>
              <w:left w:val="nil"/>
              <w:bottom w:val="single" w:sz="4" w:space="0" w:color="auto"/>
              <w:right w:val="nil"/>
            </w:tcBorders>
            <w:shd w:val="clear" w:color="000000" w:fill="E6E6E6"/>
            <w:noWrap/>
            <w:vAlign w:val="bottom"/>
            <w:hideMark/>
          </w:tcPr>
          <w:p w14:paraId="42CB60A2"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b/>
                <w:bCs/>
                <w:sz w:val="16"/>
                <w:szCs w:val="16"/>
              </w:rPr>
              <w:t xml:space="preserve">Components for Program 2.2: Road Safety </w:t>
            </w:r>
          </w:p>
        </w:tc>
        <w:tc>
          <w:tcPr>
            <w:tcW w:w="976" w:type="dxa"/>
            <w:tcBorders>
              <w:top w:val="nil"/>
              <w:left w:val="nil"/>
              <w:bottom w:val="single" w:sz="4" w:space="0" w:color="auto"/>
              <w:right w:val="nil"/>
            </w:tcBorders>
            <w:shd w:val="clear" w:color="000000" w:fill="E6E6E6"/>
            <w:noWrap/>
            <w:vAlign w:val="bottom"/>
            <w:hideMark/>
          </w:tcPr>
          <w:p w14:paraId="0F46FB60"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 </w:t>
            </w:r>
          </w:p>
        </w:tc>
        <w:tc>
          <w:tcPr>
            <w:tcW w:w="977" w:type="dxa"/>
            <w:tcBorders>
              <w:top w:val="nil"/>
              <w:left w:val="nil"/>
              <w:bottom w:val="single" w:sz="4" w:space="0" w:color="auto"/>
              <w:right w:val="nil"/>
            </w:tcBorders>
            <w:shd w:val="clear" w:color="000000" w:fill="E6E6E6"/>
            <w:noWrap/>
            <w:vAlign w:val="bottom"/>
            <w:hideMark/>
          </w:tcPr>
          <w:p w14:paraId="31264128"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 </w:t>
            </w:r>
          </w:p>
        </w:tc>
        <w:tc>
          <w:tcPr>
            <w:tcW w:w="977" w:type="dxa"/>
            <w:tcBorders>
              <w:top w:val="nil"/>
              <w:left w:val="nil"/>
              <w:bottom w:val="single" w:sz="4" w:space="0" w:color="auto"/>
              <w:right w:val="nil"/>
            </w:tcBorders>
            <w:shd w:val="clear" w:color="000000" w:fill="E6E6E6"/>
            <w:noWrap/>
            <w:vAlign w:val="bottom"/>
            <w:hideMark/>
          </w:tcPr>
          <w:p w14:paraId="239E669D"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 </w:t>
            </w:r>
          </w:p>
        </w:tc>
        <w:tc>
          <w:tcPr>
            <w:tcW w:w="977" w:type="dxa"/>
            <w:tcBorders>
              <w:top w:val="nil"/>
              <w:left w:val="nil"/>
              <w:bottom w:val="single" w:sz="4" w:space="0" w:color="auto"/>
              <w:right w:val="nil"/>
            </w:tcBorders>
            <w:shd w:val="clear" w:color="000000" w:fill="E6E6E6"/>
            <w:noWrap/>
            <w:vAlign w:val="bottom"/>
            <w:hideMark/>
          </w:tcPr>
          <w:p w14:paraId="0ED348AA"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 </w:t>
            </w:r>
          </w:p>
        </w:tc>
      </w:tr>
      <w:tr w:rsidR="00B91F3E" w:rsidRPr="00396A6B" w14:paraId="56A06125" w14:textId="77777777" w:rsidTr="00F96D8A">
        <w:trPr>
          <w:trHeight w:val="204"/>
        </w:trPr>
        <w:tc>
          <w:tcPr>
            <w:tcW w:w="2694" w:type="dxa"/>
            <w:tcBorders>
              <w:top w:val="nil"/>
              <w:left w:val="nil"/>
              <w:bottom w:val="nil"/>
              <w:right w:val="nil"/>
            </w:tcBorders>
            <w:shd w:val="clear" w:color="auto" w:fill="auto"/>
            <w:noWrap/>
            <w:vAlign w:val="bottom"/>
            <w:hideMark/>
          </w:tcPr>
          <w:p w14:paraId="7B8B0682"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sz w:val="16"/>
                <w:szCs w:val="16"/>
              </w:rPr>
              <w:t>Administered expenses</w:t>
            </w:r>
          </w:p>
        </w:tc>
        <w:tc>
          <w:tcPr>
            <w:tcW w:w="978" w:type="dxa"/>
            <w:tcBorders>
              <w:top w:val="nil"/>
              <w:left w:val="nil"/>
              <w:bottom w:val="nil"/>
              <w:right w:val="nil"/>
            </w:tcBorders>
            <w:shd w:val="clear" w:color="auto" w:fill="auto"/>
            <w:noWrap/>
            <w:vAlign w:val="bottom"/>
            <w:hideMark/>
          </w:tcPr>
          <w:p w14:paraId="1F859E91" w14:textId="77777777" w:rsidR="00B91F3E" w:rsidRPr="00396A6B"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6420E588" w14:textId="77777777" w:rsidR="00B91F3E" w:rsidRPr="00396A6B"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D128FD6" w14:textId="77777777" w:rsidR="00B91F3E" w:rsidRPr="00396A6B"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C24E121" w14:textId="77777777" w:rsidR="00B91F3E" w:rsidRPr="00396A6B"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DDD8768" w14:textId="77777777" w:rsidR="00B91F3E" w:rsidRPr="00396A6B" w:rsidRDefault="00B91F3E" w:rsidP="00F96D8A">
            <w:pPr>
              <w:spacing w:after="0" w:line="240" w:lineRule="auto"/>
              <w:jc w:val="right"/>
              <w:rPr>
                <w:rFonts w:ascii="Arial" w:hAnsi="Arial" w:cs="Arial"/>
                <w:sz w:val="16"/>
                <w:szCs w:val="16"/>
              </w:rPr>
            </w:pPr>
          </w:p>
        </w:tc>
      </w:tr>
      <w:tr w:rsidR="002E58CB" w:rsidRPr="00396A6B" w14:paraId="040F2592" w14:textId="77777777" w:rsidTr="00F96D8A">
        <w:trPr>
          <w:trHeight w:val="204"/>
        </w:trPr>
        <w:tc>
          <w:tcPr>
            <w:tcW w:w="2694" w:type="dxa"/>
            <w:tcBorders>
              <w:top w:val="nil"/>
              <w:left w:val="nil"/>
              <w:bottom w:val="nil"/>
              <w:right w:val="nil"/>
            </w:tcBorders>
            <w:shd w:val="clear" w:color="auto" w:fill="auto"/>
            <w:noWrap/>
            <w:vAlign w:val="bottom"/>
          </w:tcPr>
          <w:p w14:paraId="6CFE9C78" w14:textId="5900BFAC"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Amy Gillett Foundation Program</w:t>
            </w:r>
          </w:p>
        </w:tc>
        <w:tc>
          <w:tcPr>
            <w:tcW w:w="978" w:type="dxa"/>
            <w:tcBorders>
              <w:top w:val="nil"/>
              <w:left w:val="nil"/>
              <w:bottom w:val="nil"/>
              <w:right w:val="nil"/>
            </w:tcBorders>
            <w:shd w:val="clear" w:color="auto" w:fill="auto"/>
            <w:noWrap/>
            <w:vAlign w:val="bottom"/>
          </w:tcPr>
          <w:p w14:paraId="7EC5A518" w14:textId="252F452B" w:rsidR="002E58CB" w:rsidRPr="00396A6B" w:rsidRDefault="002E58CB" w:rsidP="002E58CB">
            <w:pPr>
              <w:spacing w:after="0" w:line="240" w:lineRule="auto"/>
              <w:ind w:left="113"/>
              <w:jc w:val="right"/>
              <w:rPr>
                <w:rFonts w:ascii="Arial" w:hAnsi="Arial" w:cs="Arial"/>
                <w:sz w:val="16"/>
                <w:szCs w:val="16"/>
              </w:rPr>
            </w:pPr>
            <w:r>
              <w:rPr>
                <w:rFonts w:ascii="Arial" w:hAnsi="Arial" w:cs="Arial"/>
                <w:sz w:val="16"/>
                <w:szCs w:val="16"/>
              </w:rPr>
              <w:t xml:space="preserve">- </w:t>
            </w:r>
          </w:p>
        </w:tc>
        <w:tc>
          <w:tcPr>
            <w:tcW w:w="976" w:type="dxa"/>
            <w:tcBorders>
              <w:top w:val="nil"/>
              <w:left w:val="nil"/>
              <w:bottom w:val="nil"/>
              <w:right w:val="nil"/>
            </w:tcBorders>
            <w:shd w:val="clear" w:color="000000" w:fill="E6E6E6"/>
            <w:noWrap/>
            <w:vAlign w:val="bottom"/>
          </w:tcPr>
          <w:p w14:paraId="7F5B9382" w14:textId="5F5CC30A" w:rsidR="002E58CB" w:rsidRPr="00396A6B" w:rsidRDefault="002E58CB" w:rsidP="002E58CB">
            <w:pPr>
              <w:spacing w:after="0" w:line="240" w:lineRule="auto"/>
              <w:ind w:left="113"/>
              <w:jc w:val="right"/>
              <w:rPr>
                <w:rFonts w:ascii="Arial" w:hAnsi="Arial" w:cs="Arial"/>
                <w:sz w:val="16"/>
                <w:szCs w:val="16"/>
              </w:rPr>
            </w:pPr>
            <w:r>
              <w:rPr>
                <w:rFonts w:ascii="Arial" w:hAnsi="Arial" w:cs="Arial"/>
                <w:sz w:val="16"/>
                <w:szCs w:val="16"/>
              </w:rPr>
              <w:t xml:space="preserve">3,000 </w:t>
            </w:r>
          </w:p>
        </w:tc>
        <w:tc>
          <w:tcPr>
            <w:tcW w:w="977" w:type="dxa"/>
            <w:tcBorders>
              <w:top w:val="nil"/>
              <w:left w:val="nil"/>
              <w:bottom w:val="nil"/>
              <w:right w:val="nil"/>
            </w:tcBorders>
            <w:shd w:val="clear" w:color="auto" w:fill="auto"/>
            <w:noWrap/>
            <w:vAlign w:val="bottom"/>
          </w:tcPr>
          <w:p w14:paraId="7736E3ED" w14:textId="6D3FB69F" w:rsidR="002E58CB" w:rsidRPr="00396A6B" w:rsidRDefault="002E58CB" w:rsidP="002E58CB">
            <w:pPr>
              <w:spacing w:after="0" w:line="240" w:lineRule="auto"/>
              <w:ind w:left="113"/>
              <w:jc w:val="right"/>
              <w:rPr>
                <w:rFonts w:ascii="Arial" w:hAnsi="Arial" w:cs="Arial"/>
                <w:sz w:val="16"/>
                <w:szCs w:val="16"/>
              </w:rPr>
            </w:pPr>
            <w:r>
              <w:rPr>
                <w:rFonts w:ascii="Arial" w:hAnsi="Arial" w:cs="Arial"/>
                <w:sz w:val="16"/>
                <w:szCs w:val="16"/>
              </w:rPr>
              <w:t xml:space="preserve">3,000 </w:t>
            </w:r>
          </w:p>
        </w:tc>
        <w:tc>
          <w:tcPr>
            <w:tcW w:w="977" w:type="dxa"/>
            <w:tcBorders>
              <w:top w:val="nil"/>
              <w:left w:val="nil"/>
              <w:bottom w:val="nil"/>
              <w:right w:val="nil"/>
            </w:tcBorders>
            <w:shd w:val="clear" w:color="auto" w:fill="auto"/>
            <w:noWrap/>
            <w:vAlign w:val="bottom"/>
          </w:tcPr>
          <w:p w14:paraId="0FD2E520" w14:textId="0703BC9B" w:rsidR="002E58CB" w:rsidRPr="00396A6B" w:rsidRDefault="002E58CB" w:rsidP="002E58CB">
            <w:pPr>
              <w:spacing w:after="0" w:line="240" w:lineRule="auto"/>
              <w:ind w:left="113"/>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tcPr>
          <w:p w14:paraId="28ACB100" w14:textId="53600E5B" w:rsidR="002E58CB" w:rsidRPr="00396A6B" w:rsidRDefault="002E58CB" w:rsidP="002E58CB">
            <w:pPr>
              <w:spacing w:after="0" w:line="240" w:lineRule="auto"/>
              <w:ind w:left="113"/>
              <w:jc w:val="right"/>
              <w:rPr>
                <w:rFonts w:ascii="Arial" w:hAnsi="Arial" w:cs="Arial"/>
                <w:sz w:val="16"/>
                <w:szCs w:val="16"/>
              </w:rPr>
            </w:pPr>
            <w:r>
              <w:rPr>
                <w:rFonts w:ascii="Arial" w:hAnsi="Arial" w:cs="Arial"/>
                <w:sz w:val="16"/>
                <w:szCs w:val="16"/>
              </w:rPr>
              <w:t xml:space="preserve">- </w:t>
            </w:r>
          </w:p>
        </w:tc>
      </w:tr>
      <w:tr w:rsidR="002E58CB" w:rsidRPr="00396A6B" w14:paraId="109FA3AC" w14:textId="77777777" w:rsidTr="00F96D8A">
        <w:trPr>
          <w:trHeight w:val="204"/>
        </w:trPr>
        <w:tc>
          <w:tcPr>
            <w:tcW w:w="2694" w:type="dxa"/>
            <w:tcBorders>
              <w:top w:val="nil"/>
              <w:left w:val="nil"/>
              <w:bottom w:val="nil"/>
              <w:right w:val="nil"/>
            </w:tcBorders>
            <w:shd w:val="clear" w:color="auto" w:fill="auto"/>
            <w:vAlign w:val="bottom"/>
            <w:hideMark/>
          </w:tcPr>
          <w:p w14:paraId="61BBA367" w14:textId="360866F1"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Keys2drive</w:t>
            </w:r>
          </w:p>
        </w:tc>
        <w:tc>
          <w:tcPr>
            <w:tcW w:w="978" w:type="dxa"/>
            <w:tcBorders>
              <w:top w:val="nil"/>
              <w:left w:val="nil"/>
              <w:bottom w:val="nil"/>
              <w:right w:val="nil"/>
            </w:tcBorders>
            <w:shd w:val="clear" w:color="auto" w:fill="auto"/>
            <w:noWrap/>
            <w:vAlign w:val="bottom"/>
            <w:hideMark/>
          </w:tcPr>
          <w:p w14:paraId="767893E3" w14:textId="79368D5A"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4,000 </w:t>
            </w:r>
          </w:p>
        </w:tc>
        <w:tc>
          <w:tcPr>
            <w:tcW w:w="976" w:type="dxa"/>
            <w:tcBorders>
              <w:top w:val="nil"/>
              <w:left w:val="nil"/>
              <w:bottom w:val="nil"/>
              <w:right w:val="nil"/>
            </w:tcBorders>
            <w:shd w:val="clear" w:color="000000" w:fill="E6E6E6"/>
            <w:noWrap/>
            <w:vAlign w:val="bottom"/>
            <w:hideMark/>
          </w:tcPr>
          <w:p w14:paraId="0ACE53C5" w14:textId="06A58FF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6,000 </w:t>
            </w:r>
          </w:p>
        </w:tc>
        <w:tc>
          <w:tcPr>
            <w:tcW w:w="977" w:type="dxa"/>
            <w:tcBorders>
              <w:top w:val="nil"/>
              <w:left w:val="nil"/>
              <w:bottom w:val="nil"/>
              <w:right w:val="nil"/>
            </w:tcBorders>
            <w:shd w:val="clear" w:color="auto" w:fill="auto"/>
            <w:noWrap/>
            <w:vAlign w:val="bottom"/>
            <w:hideMark/>
          </w:tcPr>
          <w:p w14:paraId="28705A0D" w14:textId="2E441A10"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93B6203" w14:textId="31DF9A6C"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62BFD41" w14:textId="64511AC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0785BCF0" w14:textId="77777777" w:rsidTr="00F96D8A">
        <w:trPr>
          <w:trHeight w:val="204"/>
        </w:trPr>
        <w:tc>
          <w:tcPr>
            <w:tcW w:w="2694" w:type="dxa"/>
            <w:tcBorders>
              <w:top w:val="nil"/>
              <w:left w:val="nil"/>
              <w:bottom w:val="nil"/>
              <w:right w:val="nil"/>
            </w:tcBorders>
            <w:shd w:val="clear" w:color="auto" w:fill="auto"/>
            <w:vAlign w:val="bottom"/>
            <w:hideMark/>
          </w:tcPr>
          <w:p w14:paraId="5756B71A" w14:textId="0A6476DD"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Road Safety Awareness and Enablers Fund</w:t>
            </w:r>
          </w:p>
        </w:tc>
        <w:tc>
          <w:tcPr>
            <w:tcW w:w="978" w:type="dxa"/>
            <w:tcBorders>
              <w:top w:val="nil"/>
              <w:left w:val="nil"/>
              <w:bottom w:val="nil"/>
              <w:right w:val="nil"/>
            </w:tcBorders>
            <w:shd w:val="clear" w:color="auto" w:fill="auto"/>
            <w:noWrap/>
            <w:vAlign w:val="bottom"/>
            <w:hideMark/>
          </w:tcPr>
          <w:p w14:paraId="34BB546F" w14:textId="271E2EA4"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1,281 </w:t>
            </w:r>
          </w:p>
        </w:tc>
        <w:tc>
          <w:tcPr>
            <w:tcW w:w="976" w:type="dxa"/>
            <w:tcBorders>
              <w:top w:val="nil"/>
              <w:left w:val="nil"/>
              <w:bottom w:val="nil"/>
              <w:right w:val="nil"/>
            </w:tcBorders>
            <w:shd w:val="clear" w:color="000000" w:fill="E6E6E6"/>
            <w:noWrap/>
            <w:vAlign w:val="bottom"/>
            <w:hideMark/>
          </w:tcPr>
          <w:p w14:paraId="11A3070F" w14:textId="547209BA"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774 </w:t>
            </w:r>
          </w:p>
        </w:tc>
        <w:tc>
          <w:tcPr>
            <w:tcW w:w="977" w:type="dxa"/>
            <w:tcBorders>
              <w:top w:val="nil"/>
              <w:left w:val="nil"/>
              <w:bottom w:val="nil"/>
              <w:right w:val="nil"/>
            </w:tcBorders>
            <w:shd w:val="clear" w:color="auto" w:fill="auto"/>
            <w:noWrap/>
            <w:vAlign w:val="bottom"/>
            <w:hideMark/>
          </w:tcPr>
          <w:p w14:paraId="36529108" w14:textId="39FBEEC6"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892BDCB" w14:textId="5FB6738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087DF13" w14:textId="339DC990"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2DE4506D" w14:textId="77777777" w:rsidTr="00F96D8A">
        <w:trPr>
          <w:trHeight w:val="204"/>
        </w:trPr>
        <w:tc>
          <w:tcPr>
            <w:tcW w:w="2694" w:type="dxa"/>
            <w:tcBorders>
              <w:top w:val="nil"/>
              <w:left w:val="nil"/>
              <w:right w:val="nil"/>
            </w:tcBorders>
            <w:shd w:val="clear" w:color="auto" w:fill="auto"/>
            <w:vAlign w:val="bottom"/>
            <w:hideMark/>
          </w:tcPr>
          <w:p w14:paraId="30ADFF48" w14:textId="0EB4AAE5" w:rsidR="002E58CB" w:rsidRPr="00396A6B" w:rsidRDefault="002E58CB" w:rsidP="002E58CB">
            <w:pPr>
              <w:spacing w:after="0" w:line="240" w:lineRule="auto"/>
              <w:ind w:left="113"/>
              <w:jc w:val="left"/>
              <w:rPr>
                <w:rFonts w:ascii="Arial" w:hAnsi="Arial" w:cs="Arial"/>
                <w:sz w:val="16"/>
                <w:szCs w:val="16"/>
              </w:rPr>
            </w:pPr>
            <w:r>
              <w:rPr>
                <w:rFonts w:ascii="Arial" w:hAnsi="Arial" w:cs="Arial"/>
                <w:sz w:val="16"/>
                <w:szCs w:val="16"/>
              </w:rPr>
              <w:t>Road Safety Innovation Fund</w:t>
            </w:r>
          </w:p>
        </w:tc>
        <w:tc>
          <w:tcPr>
            <w:tcW w:w="978" w:type="dxa"/>
            <w:tcBorders>
              <w:top w:val="nil"/>
              <w:left w:val="nil"/>
              <w:bottom w:val="nil"/>
              <w:right w:val="nil"/>
            </w:tcBorders>
            <w:shd w:val="clear" w:color="auto" w:fill="auto"/>
            <w:noWrap/>
            <w:vAlign w:val="bottom"/>
            <w:hideMark/>
          </w:tcPr>
          <w:p w14:paraId="1E273A8F" w14:textId="39735CB1"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3,577 </w:t>
            </w:r>
          </w:p>
        </w:tc>
        <w:tc>
          <w:tcPr>
            <w:tcW w:w="976" w:type="dxa"/>
            <w:tcBorders>
              <w:top w:val="nil"/>
              <w:left w:val="nil"/>
              <w:bottom w:val="nil"/>
              <w:right w:val="nil"/>
            </w:tcBorders>
            <w:shd w:val="clear" w:color="000000" w:fill="E6E6E6"/>
            <w:noWrap/>
            <w:vAlign w:val="bottom"/>
            <w:hideMark/>
          </w:tcPr>
          <w:p w14:paraId="61FE4BC6" w14:textId="37BB39CF"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3,454 </w:t>
            </w:r>
          </w:p>
        </w:tc>
        <w:tc>
          <w:tcPr>
            <w:tcW w:w="977" w:type="dxa"/>
            <w:tcBorders>
              <w:top w:val="nil"/>
              <w:left w:val="nil"/>
              <w:bottom w:val="nil"/>
              <w:right w:val="nil"/>
            </w:tcBorders>
            <w:shd w:val="clear" w:color="auto" w:fill="auto"/>
            <w:noWrap/>
            <w:vAlign w:val="bottom"/>
            <w:hideMark/>
          </w:tcPr>
          <w:p w14:paraId="73ADE43C" w14:textId="7BE5BB11"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119D4EB" w14:textId="224374AA"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70A36C8" w14:textId="65CB7378" w:rsidR="002E58CB" w:rsidRPr="00396A6B"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34AF7DBD"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2AEE4129" w14:textId="7BF4020C" w:rsidR="002E58CB" w:rsidRPr="00396A6B" w:rsidRDefault="002E58CB" w:rsidP="002E58CB">
            <w:pPr>
              <w:spacing w:after="0" w:line="240" w:lineRule="auto"/>
              <w:jc w:val="left"/>
              <w:rPr>
                <w:rFonts w:ascii="Arial" w:hAnsi="Arial" w:cs="Arial"/>
                <w:b/>
                <w:bCs/>
                <w:sz w:val="16"/>
                <w:szCs w:val="16"/>
              </w:rPr>
            </w:pPr>
            <w:r>
              <w:rPr>
                <w:rFonts w:ascii="Arial" w:hAnsi="Arial" w:cs="Arial"/>
                <w:b/>
                <w:bCs/>
                <w:sz w:val="16"/>
                <w:szCs w:val="16"/>
              </w:rPr>
              <w:t>Total expenses for Program 2.2</w:t>
            </w:r>
          </w:p>
        </w:tc>
        <w:tc>
          <w:tcPr>
            <w:tcW w:w="978" w:type="dxa"/>
            <w:tcBorders>
              <w:top w:val="single" w:sz="4" w:space="0" w:color="auto"/>
              <w:left w:val="nil"/>
              <w:bottom w:val="single" w:sz="4" w:space="0" w:color="auto"/>
              <w:right w:val="nil"/>
            </w:tcBorders>
            <w:shd w:val="clear" w:color="auto" w:fill="auto"/>
            <w:noWrap/>
            <w:vAlign w:val="bottom"/>
            <w:hideMark/>
          </w:tcPr>
          <w:p w14:paraId="11469A63" w14:textId="152B12E5"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8,858 </w:t>
            </w:r>
          </w:p>
        </w:tc>
        <w:tc>
          <w:tcPr>
            <w:tcW w:w="976" w:type="dxa"/>
            <w:tcBorders>
              <w:top w:val="single" w:sz="4" w:space="0" w:color="auto"/>
              <w:left w:val="nil"/>
              <w:bottom w:val="single" w:sz="4" w:space="0" w:color="auto"/>
              <w:right w:val="nil"/>
            </w:tcBorders>
            <w:shd w:val="clear" w:color="000000" w:fill="E6E6E6"/>
            <w:noWrap/>
            <w:vAlign w:val="bottom"/>
            <w:hideMark/>
          </w:tcPr>
          <w:p w14:paraId="5C9D8F4C" w14:textId="52BC7BF3"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13,228 </w:t>
            </w:r>
          </w:p>
        </w:tc>
        <w:tc>
          <w:tcPr>
            <w:tcW w:w="977" w:type="dxa"/>
            <w:tcBorders>
              <w:top w:val="single" w:sz="4" w:space="0" w:color="auto"/>
              <w:left w:val="nil"/>
              <w:bottom w:val="single" w:sz="4" w:space="0" w:color="auto"/>
              <w:right w:val="nil"/>
            </w:tcBorders>
            <w:shd w:val="clear" w:color="auto" w:fill="auto"/>
            <w:noWrap/>
            <w:vAlign w:val="bottom"/>
            <w:hideMark/>
          </w:tcPr>
          <w:p w14:paraId="238F2D74" w14:textId="3124D1AE"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3,000 </w:t>
            </w:r>
          </w:p>
        </w:tc>
        <w:tc>
          <w:tcPr>
            <w:tcW w:w="977" w:type="dxa"/>
            <w:tcBorders>
              <w:top w:val="single" w:sz="4" w:space="0" w:color="auto"/>
              <w:left w:val="nil"/>
              <w:bottom w:val="single" w:sz="4" w:space="0" w:color="auto"/>
              <w:right w:val="nil"/>
            </w:tcBorders>
            <w:shd w:val="clear" w:color="auto" w:fill="auto"/>
            <w:noWrap/>
            <w:vAlign w:val="bottom"/>
            <w:hideMark/>
          </w:tcPr>
          <w:p w14:paraId="46CF829F" w14:textId="6FCA3698"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77" w:type="dxa"/>
            <w:tcBorders>
              <w:top w:val="single" w:sz="4" w:space="0" w:color="auto"/>
              <w:left w:val="nil"/>
              <w:bottom w:val="single" w:sz="4" w:space="0" w:color="auto"/>
              <w:right w:val="nil"/>
            </w:tcBorders>
            <w:shd w:val="clear" w:color="auto" w:fill="auto"/>
            <w:noWrap/>
            <w:vAlign w:val="bottom"/>
            <w:hideMark/>
          </w:tcPr>
          <w:p w14:paraId="21D2F28B" w14:textId="1EC78350" w:rsidR="002E58CB" w:rsidRPr="00396A6B"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4B777AD3" w14:textId="77777777" w:rsidR="00B91F3E" w:rsidRDefault="00B91F3E" w:rsidP="00B91F3E">
      <w:pPr>
        <w:spacing w:after="0"/>
        <w:rPr>
          <w:rStyle w:val="TableHeadingChar"/>
          <w:lang w:val="en-GB"/>
        </w:rPr>
      </w:pPr>
    </w:p>
    <w:p w14:paraId="41AFCF36" w14:textId="77777777" w:rsidR="00B91F3E" w:rsidRDefault="00B91F3E" w:rsidP="00B91F3E">
      <w:pPr>
        <w:spacing w:after="160" w:line="259" w:lineRule="auto"/>
        <w:jc w:val="left"/>
        <w:rPr>
          <w:rStyle w:val="TableHeadingChar"/>
        </w:rPr>
      </w:pPr>
      <w:r>
        <w:rPr>
          <w:rStyle w:val="TableHeadingChar"/>
        </w:rPr>
        <w:br w:type="page"/>
      </w:r>
    </w:p>
    <w:p w14:paraId="10AD2D4D" w14:textId="77777777" w:rsidR="00B91F3E" w:rsidRDefault="00B91F3E" w:rsidP="00B91F3E">
      <w:pPr>
        <w:spacing w:after="0"/>
        <w:rPr>
          <w:rStyle w:val="TableHeadingChar"/>
          <w:lang w:val="en-GB"/>
        </w:rPr>
      </w:pPr>
      <w:r w:rsidRPr="00B166C6">
        <w:rPr>
          <w:rStyle w:val="TableHeadingChar"/>
        </w:rPr>
        <w:lastRenderedPageBreak/>
        <w:t>Table 2.</w:t>
      </w:r>
      <w:r>
        <w:rPr>
          <w:rStyle w:val="TableHeadingChar"/>
          <w:lang w:val="en-GB"/>
        </w:rPr>
        <w:t>2</w:t>
      </w:r>
      <w:r w:rsidRPr="00B166C6">
        <w:rPr>
          <w:rStyle w:val="TableHeadingChar"/>
        </w:rPr>
        <w:t xml:space="preserve">.2: Program components of Outcome </w:t>
      </w:r>
      <w:r>
        <w:rPr>
          <w:rStyle w:val="TableHeadingChar"/>
          <w:lang w:val="en-GB"/>
        </w:rPr>
        <w:t>2 (continued)</w:t>
      </w:r>
    </w:p>
    <w:tbl>
      <w:tblPr>
        <w:tblW w:w="0" w:type="auto"/>
        <w:tblLayout w:type="fixed"/>
        <w:tblLook w:val="04A0" w:firstRow="1" w:lastRow="0" w:firstColumn="1" w:lastColumn="0" w:noHBand="0" w:noVBand="1"/>
      </w:tblPr>
      <w:tblGrid>
        <w:gridCol w:w="3119"/>
        <w:gridCol w:w="992"/>
        <w:gridCol w:w="851"/>
        <w:gridCol w:w="850"/>
        <w:gridCol w:w="850"/>
        <w:gridCol w:w="993"/>
      </w:tblGrid>
      <w:tr w:rsidR="00B91F3E" w:rsidRPr="00396A6B" w14:paraId="256464D3" w14:textId="77777777" w:rsidTr="00F96D8A">
        <w:trPr>
          <w:trHeight w:val="204"/>
        </w:trPr>
        <w:tc>
          <w:tcPr>
            <w:tcW w:w="3119" w:type="dxa"/>
            <w:tcBorders>
              <w:top w:val="single" w:sz="4" w:space="0" w:color="auto"/>
              <w:left w:val="nil"/>
              <w:bottom w:val="nil"/>
              <w:right w:val="nil"/>
            </w:tcBorders>
            <w:shd w:val="clear" w:color="auto" w:fill="auto"/>
            <w:noWrap/>
            <w:vAlign w:val="bottom"/>
            <w:hideMark/>
          </w:tcPr>
          <w:p w14:paraId="5EAF9EEA"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12705CD7"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2021-22</w:t>
            </w:r>
            <w:r w:rsidRPr="00396A6B">
              <w:rPr>
                <w:rFonts w:ascii="Arial" w:hAnsi="Arial" w:cs="Arial"/>
                <w:sz w:val="16"/>
                <w:szCs w:val="16"/>
              </w:rPr>
              <w:br/>
              <w:t>Estimated  actual</w:t>
            </w:r>
            <w:r w:rsidRPr="00396A6B">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7BA651CF"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2022-23</w:t>
            </w:r>
            <w:r w:rsidRPr="00396A6B">
              <w:rPr>
                <w:rFonts w:ascii="Arial" w:hAnsi="Arial" w:cs="Arial"/>
                <w:sz w:val="16"/>
                <w:szCs w:val="16"/>
              </w:rPr>
              <w:br/>
              <w:t xml:space="preserve"> Budget</w:t>
            </w:r>
            <w:r w:rsidRPr="00396A6B">
              <w:rPr>
                <w:rFonts w:ascii="Arial" w:hAnsi="Arial" w:cs="Arial"/>
                <w:sz w:val="16"/>
                <w:szCs w:val="16"/>
              </w:rPr>
              <w:br/>
              <w:t xml:space="preserve">                                      $'000</w:t>
            </w:r>
          </w:p>
        </w:tc>
        <w:tc>
          <w:tcPr>
            <w:tcW w:w="850" w:type="dxa"/>
            <w:tcBorders>
              <w:top w:val="single" w:sz="4" w:space="0" w:color="auto"/>
              <w:left w:val="nil"/>
              <w:bottom w:val="single" w:sz="4" w:space="0" w:color="auto"/>
              <w:right w:val="nil"/>
            </w:tcBorders>
            <w:shd w:val="clear" w:color="auto" w:fill="auto"/>
            <w:vAlign w:val="bottom"/>
            <w:hideMark/>
          </w:tcPr>
          <w:p w14:paraId="369D6AC2"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2023-24</w:t>
            </w:r>
            <w:r w:rsidRPr="00396A6B">
              <w:rPr>
                <w:rFonts w:ascii="Arial" w:hAnsi="Arial" w:cs="Arial"/>
                <w:sz w:val="16"/>
                <w:szCs w:val="16"/>
              </w:rPr>
              <w:br/>
              <w:t>Forward estimate</w:t>
            </w:r>
            <w:r w:rsidRPr="00396A6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015785B"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2024-25</w:t>
            </w:r>
            <w:r w:rsidRPr="00396A6B">
              <w:rPr>
                <w:rFonts w:ascii="Arial" w:hAnsi="Arial" w:cs="Arial"/>
                <w:sz w:val="16"/>
                <w:szCs w:val="16"/>
              </w:rPr>
              <w:br/>
              <w:t>Forward estimate</w:t>
            </w:r>
            <w:r w:rsidRPr="00396A6B">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62B719C4" w14:textId="77777777" w:rsidR="00B91F3E" w:rsidRPr="00396A6B" w:rsidRDefault="00B91F3E" w:rsidP="00F96D8A">
            <w:pPr>
              <w:spacing w:after="0" w:line="240" w:lineRule="auto"/>
              <w:jc w:val="right"/>
              <w:rPr>
                <w:rFonts w:ascii="Arial" w:hAnsi="Arial" w:cs="Arial"/>
                <w:sz w:val="16"/>
                <w:szCs w:val="16"/>
              </w:rPr>
            </w:pPr>
            <w:r w:rsidRPr="00396A6B">
              <w:rPr>
                <w:rFonts w:ascii="Arial" w:hAnsi="Arial" w:cs="Arial"/>
                <w:sz w:val="16"/>
                <w:szCs w:val="16"/>
              </w:rPr>
              <w:t>2025-26</w:t>
            </w:r>
            <w:r w:rsidRPr="00396A6B">
              <w:rPr>
                <w:rFonts w:ascii="Arial" w:hAnsi="Arial" w:cs="Arial"/>
                <w:sz w:val="16"/>
                <w:szCs w:val="16"/>
              </w:rPr>
              <w:br/>
              <w:t>Forward estimate</w:t>
            </w:r>
            <w:r w:rsidRPr="00396A6B">
              <w:rPr>
                <w:rFonts w:ascii="Arial" w:hAnsi="Arial" w:cs="Arial"/>
                <w:sz w:val="16"/>
                <w:szCs w:val="16"/>
              </w:rPr>
              <w:br/>
              <w:t>$'000</w:t>
            </w:r>
          </w:p>
        </w:tc>
      </w:tr>
      <w:tr w:rsidR="00B91F3E" w:rsidRPr="00396A6B" w14:paraId="2406B146" w14:textId="77777777" w:rsidTr="00F96D8A">
        <w:trPr>
          <w:trHeight w:val="204"/>
        </w:trPr>
        <w:tc>
          <w:tcPr>
            <w:tcW w:w="7655" w:type="dxa"/>
            <w:gridSpan w:val="6"/>
            <w:tcBorders>
              <w:top w:val="single" w:sz="4" w:space="0" w:color="auto"/>
              <w:left w:val="nil"/>
              <w:bottom w:val="single" w:sz="4" w:space="0" w:color="auto"/>
              <w:right w:val="nil"/>
            </w:tcBorders>
            <w:shd w:val="clear" w:color="000000" w:fill="E6E6E6"/>
            <w:noWrap/>
            <w:vAlign w:val="bottom"/>
            <w:hideMark/>
          </w:tcPr>
          <w:p w14:paraId="177CA65B"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b/>
                <w:bCs/>
                <w:sz w:val="16"/>
                <w:szCs w:val="16"/>
              </w:rPr>
              <w:t xml:space="preserve">Components for Program 2.3: Air Transport </w:t>
            </w:r>
          </w:p>
        </w:tc>
      </w:tr>
      <w:tr w:rsidR="00B91F3E" w:rsidRPr="00396A6B" w14:paraId="57713276" w14:textId="77777777" w:rsidTr="00F96D8A">
        <w:trPr>
          <w:trHeight w:val="204"/>
        </w:trPr>
        <w:tc>
          <w:tcPr>
            <w:tcW w:w="3119" w:type="dxa"/>
            <w:tcBorders>
              <w:top w:val="nil"/>
              <w:left w:val="nil"/>
              <w:bottom w:val="nil"/>
              <w:right w:val="nil"/>
            </w:tcBorders>
            <w:shd w:val="clear" w:color="auto" w:fill="auto"/>
            <w:noWrap/>
            <w:vAlign w:val="bottom"/>
            <w:hideMark/>
          </w:tcPr>
          <w:p w14:paraId="2FCB9775" w14:textId="77777777" w:rsidR="00B91F3E" w:rsidRPr="00396A6B" w:rsidRDefault="00B91F3E" w:rsidP="00F96D8A">
            <w:pPr>
              <w:spacing w:after="0" w:line="240" w:lineRule="auto"/>
              <w:jc w:val="left"/>
              <w:rPr>
                <w:rFonts w:ascii="Arial" w:hAnsi="Arial" w:cs="Arial"/>
                <w:sz w:val="16"/>
                <w:szCs w:val="16"/>
              </w:rPr>
            </w:pPr>
            <w:r w:rsidRPr="00396A6B">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307E32DB" w14:textId="77777777" w:rsidR="00B91F3E" w:rsidRPr="004913A4"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7471BCBE" w14:textId="77777777" w:rsidR="00B91F3E" w:rsidRPr="004913A4"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A62C646" w14:textId="77777777" w:rsidR="00B91F3E" w:rsidRPr="004913A4"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A5D5202" w14:textId="77777777" w:rsidR="00B91F3E" w:rsidRPr="004913A4" w:rsidRDefault="00B91F3E" w:rsidP="00F96D8A">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791FE3C0" w14:textId="77777777" w:rsidR="00B91F3E" w:rsidRPr="004913A4" w:rsidRDefault="00B91F3E" w:rsidP="00F96D8A">
            <w:pPr>
              <w:spacing w:after="0" w:line="240" w:lineRule="auto"/>
              <w:jc w:val="right"/>
              <w:rPr>
                <w:rFonts w:ascii="Arial" w:hAnsi="Arial" w:cs="Arial"/>
                <w:sz w:val="16"/>
                <w:szCs w:val="16"/>
              </w:rPr>
            </w:pPr>
          </w:p>
        </w:tc>
      </w:tr>
      <w:tr w:rsidR="002E58CB" w:rsidRPr="00396A6B" w14:paraId="748E8836" w14:textId="77777777" w:rsidTr="000B0083">
        <w:trPr>
          <w:trHeight w:val="204"/>
        </w:trPr>
        <w:tc>
          <w:tcPr>
            <w:tcW w:w="3119" w:type="dxa"/>
            <w:tcBorders>
              <w:top w:val="nil"/>
              <w:left w:val="nil"/>
              <w:bottom w:val="nil"/>
              <w:right w:val="nil"/>
            </w:tcBorders>
            <w:shd w:val="clear" w:color="auto" w:fill="auto"/>
            <w:vAlign w:val="bottom"/>
            <w:hideMark/>
          </w:tcPr>
          <w:p w14:paraId="2CA9C07F"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Airport Lessee Companies</w:t>
            </w:r>
          </w:p>
        </w:tc>
        <w:tc>
          <w:tcPr>
            <w:tcW w:w="992" w:type="dxa"/>
            <w:tcBorders>
              <w:top w:val="nil"/>
              <w:left w:val="nil"/>
              <w:bottom w:val="nil"/>
              <w:right w:val="nil"/>
            </w:tcBorders>
            <w:shd w:val="clear" w:color="auto" w:fill="auto"/>
            <w:noWrap/>
            <w:vAlign w:val="bottom"/>
            <w:hideMark/>
          </w:tcPr>
          <w:p w14:paraId="074A83A2" w14:textId="3438E23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 </w:t>
            </w:r>
          </w:p>
        </w:tc>
        <w:tc>
          <w:tcPr>
            <w:tcW w:w="851" w:type="dxa"/>
            <w:tcBorders>
              <w:top w:val="nil"/>
              <w:left w:val="nil"/>
              <w:bottom w:val="nil"/>
              <w:right w:val="nil"/>
            </w:tcBorders>
            <w:shd w:val="clear" w:color="000000" w:fill="E6E6E6"/>
            <w:noWrap/>
            <w:vAlign w:val="bottom"/>
            <w:hideMark/>
          </w:tcPr>
          <w:p w14:paraId="50A899DE" w14:textId="31F3C94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 </w:t>
            </w:r>
          </w:p>
        </w:tc>
        <w:tc>
          <w:tcPr>
            <w:tcW w:w="850" w:type="dxa"/>
            <w:tcBorders>
              <w:top w:val="nil"/>
              <w:left w:val="nil"/>
              <w:bottom w:val="nil"/>
              <w:right w:val="nil"/>
            </w:tcBorders>
            <w:shd w:val="clear" w:color="auto" w:fill="auto"/>
            <w:noWrap/>
            <w:vAlign w:val="bottom"/>
            <w:hideMark/>
          </w:tcPr>
          <w:p w14:paraId="6F23C671" w14:textId="75407A3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 </w:t>
            </w:r>
          </w:p>
        </w:tc>
        <w:tc>
          <w:tcPr>
            <w:tcW w:w="850" w:type="dxa"/>
            <w:tcBorders>
              <w:top w:val="nil"/>
              <w:left w:val="nil"/>
              <w:bottom w:val="nil"/>
              <w:right w:val="nil"/>
            </w:tcBorders>
            <w:shd w:val="clear" w:color="auto" w:fill="auto"/>
            <w:noWrap/>
            <w:vAlign w:val="bottom"/>
            <w:hideMark/>
          </w:tcPr>
          <w:p w14:paraId="4A80D35D" w14:textId="25A8C052"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 </w:t>
            </w:r>
          </w:p>
        </w:tc>
        <w:tc>
          <w:tcPr>
            <w:tcW w:w="993" w:type="dxa"/>
            <w:tcBorders>
              <w:top w:val="nil"/>
              <w:left w:val="nil"/>
              <w:bottom w:val="nil"/>
              <w:right w:val="nil"/>
            </w:tcBorders>
            <w:shd w:val="clear" w:color="auto" w:fill="auto"/>
            <w:noWrap/>
            <w:vAlign w:val="bottom"/>
            <w:hideMark/>
          </w:tcPr>
          <w:p w14:paraId="4B39696E" w14:textId="11D7B5C8"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 </w:t>
            </w:r>
          </w:p>
        </w:tc>
      </w:tr>
      <w:tr w:rsidR="002E58CB" w:rsidRPr="00396A6B" w14:paraId="6161AF5D" w14:textId="77777777" w:rsidTr="00F96D8A">
        <w:trPr>
          <w:trHeight w:val="204"/>
        </w:trPr>
        <w:tc>
          <w:tcPr>
            <w:tcW w:w="3119" w:type="dxa"/>
            <w:tcBorders>
              <w:top w:val="nil"/>
              <w:left w:val="nil"/>
              <w:bottom w:val="nil"/>
              <w:right w:val="nil"/>
            </w:tcBorders>
            <w:shd w:val="clear" w:color="auto" w:fill="auto"/>
            <w:vAlign w:val="bottom"/>
            <w:hideMark/>
          </w:tcPr>
          <w:p w14:paraId="1B0C64FF"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Aviation Services Accreditation Program</w:t>
            </w:r>
          </w:p>
        </w:tc>
        <w:tc>
          <w:tcPr>
            <w:tcW w:w="992" w:type="dxa"/>
            <w:tcBorders>
              <w:top w:val="nil"/>
              <w:left w:val="nil"/>
              <w:bottom w:val="nil"/>
              <w:right w:val="nil"/>
            </w:tcBorders>
            <w:shd w:val="clear" w:color="auto" w:fill="auto"/>
            <w:noWrap/>
            <w:vAlign w:val="bottom"/>
            <w:hideMark/>
          </w:tcPr>
          <w:p w14:paraId="458B5B56" w14:textId="1D605FC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38,055 </w:t>
            </w:r>
          </w:p>
        </w:tc>
        <w:tc>
          <w:tcPr>
            <w:tcW w:w="851" w:type="dxa"/>
            <w:tcBorders>
              <w:top w:val="nil"/>
              <w:left w:val="nil"/>
              <w:bottom w:val="nil"/>
              <w:right w:val="nil"/>
            </w:tcBorders>
            <w:shd w:val="clear" w:color="000000" w:fill="E6E6E6"/>
            <w:noWrap/>
            <w:vAlign w:val="bottom"/>
            <w:hideMark/>
          </w:tcPr>
          <w:p w14:paraId="0E3BBDC6" w14:textId="79E4C255"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4EC0C01" w14:textId="177F7E25"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0E954940" w14:textId="3D77824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1027C949" w14:textId="63DDC62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4A0FD486" w14:textId="77777777" w:rsidTr="00F96D8A">
        <w:trPr>
          <w:trHeight w:val="204"/>
        </w:trPr>
        <w:tc>
          <w:tcPr>
            <w:tcW w:w="3119" w:type="dxa"/>
            <w:tcBorders>
              <w:top w:val="nil"/>
              <w:left w:val="nil"/>
              <w:bottom w:val="nil"/>
              <w:right w:val="nil"/>
            </w:tcBorders>
            <w:shd w:val="clear" w:color="auto" w:fill="auto"/>
            <w:vAlign w:val="bottom"/>
            <w:hideMark/>
          </w:tcPr>
          <w:p w14:paraId="7B916550"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 xml:space="preserve">Domestic Aviation Network Support </w:t>
            </w:r>
            <w:r w:rsidRPr="00F859EF">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13E8A8CC" w14:textId="24B23033"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nfp</w:t>
            </w:r>
          </w:p>
        </w:tc>
        <w:tc>
          <w:tcPr>
            <w:tcW w:w="851" w:type="dxa"/>
            <w:tcBorders>
              <w:top w:val="nil"/>
              <w:left w:val="nil"/>
              <w:bottom w:val="nil"/>
              <w:right w:val="nil"/>
            </w:tcBorders>
            <w:shd w:val="clear" w:color="000000" w:fill="E6E6E6"/>
            <w:noWrap/>
            <w:vAlign w:val="bottom"/>
            <w:hideMark/>
          </w:tcPr>
          <w:p w14:paraId="5FA061F7" w14:textId="2584ECC4"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6DB21FD" w14:textId="695A99D4"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FB3B7E8" w14:textId="616EAADC"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6CA326AE" w14:textId="533FDA3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0F59F27C" w14:textId="77777777" w:rsidTr="00F96D8A">
        <w:trPr>
          <w:trHeight w:val="204"/>
        </w:trPr>
        <w:tc>
          <w:tcPr>
            <w:tcW w:w="3119" w:type="dxa"/>
            <w:tcBorders>
              <w:top w:val="nil"/>
              <w:left w:val="nil"/>
              <w:bottom w:val="nil"/>
              <w:right w:val="nil"/>
            </w:tcBorders>
            <w:shd w:val="clear" w:color="auto" w:fill="auto"/>
            <w:vAlign w:val="bottom"/>
            <w:hideMark/>
          </w:tcPr>
          <w:p w14:paraId="5C59077F"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Domestic Airports Security Program</w:t>
            </w:r>
          </w:p>
        </w:tc>
        <w:tc>
          <w:tcPr>
            <w:tcW w:w="992" w:type="dxa"/>
            <w:tcBorders>
              <w:top w:val="nil"/>
              <w:left w:val="nil"/>
              <w:bottom w:val="nil"/>
              <w:right w:val="nil"/>
            </w:tcBorders>
            <w:shd w:val="clear" w:color="auto" w:fill="auto"/>
            <w:noWrap/>
            <w:vAlign w:val="bottom"/>
            <w:hideMark/>
          </w:tcPr>
          <w:p w14:paraId="5E8185C7" w14:textId="55189AA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125,100 </w:t>
            </w:r>
          </w:p>
        </w:tc>
        <w:tc>
          <w:tcPr>
            <w:tcW w:w="851" w:type="dxa"/>
            <w:tcBorders>
              <w:top w:val="nil"/>
              <w:left w:val="nil"/>
              <w:bottom w:val="nil"/>
              <w:right w:val="nil"/>
            </w:tcBorders>
            <w:shd w:val="clear" w:color="000000" w:fill="E6E6E6"/>
            <w:noWrap/>
            <w:vAlign w:val="bottom"/>
            <w:hideMark/>
          </w:tcPr>
          <w:p w14:paraId="29F5F9B0" w14:textId="70CAA018"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C7898F9" w14:textId="6CC89572"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9915F9A" w14:textId="155DCC5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790D53EF" w14:textId="1641E8B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4AE872D3" w14:textId="77777777" w:rsidTr="00F96D8A">
        <w:trPr>
          <w:trHeight w:val="204"/>
        </w:trPr>
        <w:tc>
          <w:tcPr>
            <w:tcW w:w="3119" w:type="dxa"/>
            <w:tcBorders>
              <w:top w:val="nil"/>
              <w:left w:val="nil"/>
              <w:bottom w:val="nil"/>
              <w:right w:val="nil"/>
            </w:tcBorders>
            <w:shd w:val="clear" w:color="auto" w:fill="auto"/>
            <w:vAlign w:val="bottom"/>
            <w:hideMark/>
          </w:tcPr>
          <w:p w14:paraId="08B83FDD"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Emerging Aviation Technologies Programs</w:t>
            </w:r>
          </w:p>
        </w:tc>
        <w:tc>
          <w:tcPr>
            <w:tcW w:w="992" w:type="dxa"/>
            <w:tcBorders>
              <w:top w:val="nil"/>
              <w:left w:val="nil"/>
              <w:bottom w:val="nil"/>
              <w:right w:val="nil"/>
            </w:tcBorders>
            <w:shd w:val="clear" w:color="auto" w:fill="auto"/>
            <w:noWrap/>
            <w:vAlign w:val="bottom"/>
            <w:hideMark/>
          </w:tcPr>
          <w:p w14:paraId="1F76B955" w14:textId="57A5A7F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2,067 </w:t>
            </w:r>
          </w:p>
        </w:tc>
        <w:tc>
          <w:tcPr>
            <w:tcW w:w="851" w:type="dxa"/>
            <w:tcBorders>
              <w:top w:val="nil"/>
              <w:left w:val="nil"/>
              <w:bottom w:val="nil"/>
              <w:right w:val="nil"/>
            </w:tcBorders>
            <w:shd w:val="clear" w:color="000000" w:fill="E6E6E6"/>
            <w:noWrap/>
            <w:vAlign w:val="bottom"/>
            <w:hideMark/>
          </w:tcPr>
          <w:p w14:paraId="28B0C6A0" w14:textId="15F3C28C"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11,521 </w:t>
            </w:r>
          </w:p>
        </w:tc>
        <w:tc>
          <w:tcPr>
            <w:tcW w:w="850" w:type="dxa"/>
            <w:tcBorders>
              <w:top w:val="nil"/>
              <w:left w:val="nil"/>
              <w:bottom w:val="nil"/>
              <w:right w:val="nil"/>
            </w:tcBorders>
            <w:shd w:val="clear" w:color="auto" w:fill="auto"/>
            <w:noWrap/>
            <w:vAlign w:val="bottom"/>
            <w:hideMark/>
          </w:tcPr>
          <w:p w14:paraId="20C0AC50" w14:textId="673477F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18,997 </w:t>
            </w:r>
          </w:p>
        </w:tc>
        <w:tc>
          <w:tcPr>
            <w:tcW w:w="850" w:type="dxa"/>
            <w:tcBorders>
              <w:top w:val="nil"/>
              <w:left w:val="nil"/>
              <w:bottom w:val="nil"/>
              <w:right w:val="nil"/>
            </w:tcBorders>
            <w:shd w:val="clear" w:color="auto" w:fill="auto"/>
            <w:noWrap/>
            <w:vAlign w:val="bottom"/>
            <w:hideMark/>
          </w:tcPr>
          <w:p w14:paraId="1A9F37C8" w14:textId="234E1CF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692BA867" w14:textId="47A1631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3E80D35F" w14:textId="77777777" w:rsidTr="00F96D8A">
        <w:trPr>
          <w:trHeight w:val="204"/>
        </w:trPr>
        <w:tc>
          <w:tcPr>
            <w:tcW w:w="3119" w:type="dxa"/>
            <w:tcBorders>
              <w:top w:val="nil"/>
              <w:left w:val="nil"/>
              <w:bottom w:val="nil"/>
              <w:right w:val="nil"/>
            </w:tcBorders>
            <w:shd w:val="clear" w:color="auto" w:fill="auto"/>
            <w:vAlign w:val="bottom"/>
            <w:hideMark/>
          </w:tcPr>
          <w:p w14:paraId="5289E8B6"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Enhanced Regional Security Screening</w:t>
            </w:r>
          </w:p>
        </w:tc>
        <w:tc>
          <w:tcPr>
            <w:tcW w:w="992" w:type="dxa"/>
            <w:tcBorders>
              <w:top w:val="nil"/>
              <w:left w:val="nil"/>
              <w:bottom w:val="nil"/>
              <w:right w:val="nil"/>
            </w:tcBorders>
            <w:shd w:val="clear" w:color="auto" w:fill="auto"/>
            <w:noWrap/>
            <w:vAlign w:val="bottom"/>
            <w:hideMark/>
          </w:tcPr>
          <w:p w14:paraId="0FB162B7" w14:textId="79D0B18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44,952 </w:t>
            </w:r>
          </w:p>
        </w:tc>
        <w:tc>
          <w:tcPr>
            <w:tcW w:w="851" w:type="dxa"/>
            <w:tcBorders>
              <w:top w:val="nil"/>
              <w:left w:val="nil"/>
              <w:bottom w:val="nil"/>
              <w:right w:val="nil"/>
            </w:tcBorders>
            <w:shd w:val="clear" w:color="000000" w:fill="E6E6E6"/>
            <w:noWrap/>
            <w:vAlign w:val="bottom"/>
            <w:hideMark/>
          </w:tcPr>
          <w:p w14:paraId="2324BCBB" w14:textId="360670C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26,106 </w:t>
            </w:r>
          </w:p>
        </w:tc>
        <w:tc>
          <w:tcPr>
            <w:tcW w:w="850" w:type="dxa"/>
            <w:tcBorders>
              <w:top w:val="nil"/>
              <w:left w:val="nil"/>
              <w:bottom w:val="nil"/>
              <w:right w:val="nil"/>
            </w:tcBorders>
            <w:shd w:val="clear" w:color="auto" w:fill="auto"/>
            <w:noWrap/>
            <w:vAlign w:val="bottom"/>
            <w:hideMark/>
          </w:tcPr>
          <w:p w14:paraId="536918E4" w14:textId="38B6A5BA"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01ECBD32" w14:textId="7F906490"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7222DCE3" w14:textId="74CCD94A"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7A9071CF" w14:textId="77777777" w:rsidTr="00F96D8A">
        <w:trPr>
          <w:trHeight w:val="204"/>
        </w:trPr>
        <w:tc>
          <w:tcPr>
            <w:tcW w:w="3119" w:type="dxa"/>
            <w:tcBorders>
              <w:top w:val="nil"/>
              <w:left w:val="nil"/>
              <w:bottom w:val="nil"/>
              <w:right w:val="nil"/>
            </w:tcBorders>
            <w:shd w:val="clear" w:color="auto" w:fill="auto"/>
            <w:vAlign w:val="bottom"/>
            <w:hideMark/>
          </w:tcPr>
          <w:p w14:paraId="6F39CB6F"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Gold Coast Airport Contribution</w:t>
            </w:r>
          </w:p>
        </w:tc>
        <w:tc>
          <w:tcPr>
            <w:tcW w:w="992" w:type="dxa"/>
            <w:tcBorders>
              <w:top w:val="nil"/>
              <w:left w:val="nil"/>
              <w:bottom w:val="nil"/>
              <w:right w:val="nil"/>
            </w:tcBorders>
            <w:shd w:val="clear" w:color="auto" w:fill="auto"/>
            <w:noWrap/>
            <w:vAlign w:val="bottom"/>
            <w:hideMark/>
          </w:tcPr>
          <w:p w14:paraId="173E5F0F" w14:textId="5C3D9138"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8,400 </w:t>
            </w:r>
          </w:p>
        </w:tc>
        <w:tc>
          <w:tcPr>
            <w:tcW w:w="851" w:type="dxa"/>
            <w:tcBorders>
              <w:top w:val="nil"/>
              <w:left w:val="nil"/>
              <w:bottom w:val="nil"/>
              <w:right w:val="nil"/>
            </w:tcBorders>
            <w:shd w:val="clear" w:color="000000" w:fill="E6E6E6"/>
            <w:noWrap/>
            <w:vAlign w:val="bottom"/>
            <w:hideMark/>
          </w:tcPr>
          <w:p w14:paraId="4ED16E22" w14:textId="2CF806FC"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37AE438" w14:textId="60235E3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C921854" w14:textId="7C70D55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7BBC1C23" w14:textId="3E6A91F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4E649FAB" w14:textId="77777777" w:rsidTr="00F96D8A">
        <w:trPr>
          <w:trHeight w:val="204"/>
        </w:trPr>
        <w:tc>
          <w:tcPr>
            <w:tcW w:w="3119" w:type="dxa"/>
            <w:tcBorders>
              <w:top w:val="nil"/>
              <w:left w:val="nil"/>
              <w:bottom w:val="nil"/>
              <w:right w:val="nil"/>
            </w:tcBorders>
            <w:shd w:val="clear" w:color="auto" w:fill="auto"/>
            <w:vAlign w:val="bottom"/>
            <w:hideMark/>
          </w:tcPr>
          <w:p w14:paraId="126AFF39"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International Air Security Charges Rebate</w:t>
            </w:r>
          </w:p>
        </w:tc>
        <w:tc>
          <w:tcPr>
            <w:tcW w:w="992" w:type="dxa"/>
            <w:tcBorders>
              <w:top w:val="nil"/>
              <w:left w:val="nil"/>
              <w:bottom w:val="nil"/>
              <w:right w:val="nil"/>
            </w:tcBorders>
            <w:shd w:val="clear" w:color="auto" w:fill="auto"/>
            <w:noWrap/>
            <w:vAlign w:val="bottom"/>
            <w:hideMark/>
          </w:tcPr>
          <w:p w14:paraId="2DCDEC46" w14:textId="3D265E7C"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64,000 </w:t>
            </w:r>
          </w:p>
        </w:tc>
        <w:tc>
          <w:tcPr>
            <w:tcW w:w="851" w:type="dxa"/>
            <w:tcBorders>
              <w:top w:val="nil"/>
              <w:left w:val="nil"/>
              <w:bottom w:val="nil"/>
              <w:right w:val="nil"/>
            </w:tcBorders>
            <w:shd w:val="clear" w:color="000000" w:fill="E6E6E6"/>
            <w:noWrap/>
            <w:vAlign w:val="bottom"/>
            <w:hideMark/>
          </w:tcPr>
          <w:p w14:paraId="4FEE069B" w14:textId="16A4CEF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79804597" w14:textId="7EAB0B63"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48FAB787" w14:textId="02FD6B60"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555F91AE" w14:textId="3D5E9B30"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70449904" w14:textId="77777777" w:rsidTr="000B0083">
        <w:trPr>
          <w:trHeight w:val="204"/>
        </w:trPr>
        <w:tc>
          <w:tcPr>
            <w:tcW w:w="3119" w:type="dxa"/>
            <w:tcBorders>
              <w:top w:val="nil"/>
              <w:left w:val="nil"/>
              <w:bottom w:val="nil"/>
              <w:right w:val="nil"/>
            </w:tcBorders>
            <w:shd w:val="clear" w:color="auto" w:fill="auto"/>
            <w:vAlign w:val="bottom"/>
            <w:hideMark/>
          </w:tcPr>
          <w:p w14:paraId="054E4CB3"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 xml:space="preserve">International Aviation Support </w:t>
            </w:r>
          </w:p>
        </w:tc>
        <w:tc>
          <w:tcPr>
            <w:tcW w:w="992" w:type="dxa"/>
            <w:tcBorders>
              <w:top w:val="nil"/>
              <w:left w:val="nil"/>
              <w:bottom w:val="nil"/>
              <w:right w:val="nil"/>
            </w:tcBorders>
            <w:shd w:val="clear" w:color="auto" w:fill="auto"/>
            <w:noWrap/>
            <w:vAlign w:val="bottom"/>
            <w:hideMark/>
          </w:tcPr>
          <w:p w14:paraId="27E11FE2" w14:textId="16D7F18E"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254,448 </w:t>
            </w:r>
          </w:p>
        </w:tc>
        <w:tc>
          <w:tcPr>
            <w:tcW w:w="851" w:type="dxa"/>
            <w:tcBorders>
              <w:top w:val="nil"/>
              <w:left w:val="nil"/>
              <w:bottom w:val="nil"/>
              <w:right w:val="nil"/>
            </w:tcBorders>
            <w:shd w:val="clear" w:color="000000" w:fill="E6E6E6"/>
            <w:noWrap/>
            <w:vAlign w:val="bottom"/>
            <w:hideMark/>
          </w:tcPr>
          <w:p w14:paraId="0290E511" w14:textId="2F3F072C"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0BB066FD" w14:textId="2C7F09C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096BB907" w14:textId="3AA96EA2"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04A60619" w14:textId="32A9CA13"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503A4E79" w14:textId="77777777" w:rsidTr="00F96D8A">
        <w:trPr>
          <w:trHeight w:val="204"/>
        </w:trPr>
        <w:tc>
          <w:tcPr>
            <w:tcW w:w="3119" w:type="dxa"/>
            <w:tcBorders>
              <w:top w:val="nil"/>
              <w:left w:val="nil"/>
              <w:bottom w:val="nil"/>
              <w:right w:val="nil"/>
            </w:tcBorders>
            <w:shd w:val="clear" w:color="auto" w:fill="auto"/>
            <w:vAlign w:val="bottom"/>
            <w:hideMark/>
          </w:tcPr>
          <w:p w14:paraId="12AF20A3"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International Civil Aviation Organization - contribution</w:t>
            </w:r>
          </w:p>
        </w:tc>
        <w:tc>
          <w:tcPr>
            <w:tcW w:w="992" w:type="dxa"/>
            <w:tcBorders>
              <w:top w:val="nil"/>
              <w:left w:val="nil"/>
              <w:bottom w:val="nil"/>
              <w:right w:val="nil"/>
            </w:tcBorders>
            <w:shd w:val="clear" w:color="auto" w:fill="auto"/>
            <w:noWrap/>
            <w:vAlign w:val="bottom"/>
            <w:hideMark/>
          </w:tcPr>
          <w:p w14:paraId="6383D106" w14:textId="1C55C7B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2,889 </w:t>
            </w:r>
          </w:p>
        </w:tc>
        <w:tc>
          <w:tcPr>
            <w:tcW w:w="851" w:type="dxa"/>
            <w:tcBorders>
              <w:top w:val="nil"/>
              <w:left w:val="nil"/>
              <w:bottom w:val="nil"/>
              <w:right w:val="nil"/>
            </w:tcBorders>
            <w:shd w:val="clear" w:color="000000" w:fill="E6E6E6"/>
            <w:noWrap/>
            <w:vAlign w:val="bottom"/>
            <w:hideMark/>
          </w:tcPr>
          <w:p w14:paraId="52F6BBC7" w14:textId="7AB6FE42"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2,999 </w:t>
            </w:r>
          </w:p>
        </w:tc>
        <w:tc>
          <w:tcPr>
            <w:tcW w:w="850" w:type="dxa"/>
            <w:tcBorders>
              <w:top w:val="nil"/>
              <w:left w:val="nil"/>
              <w:bottom w:val="nil"/>
              <w:right w:val="nil"/>
            </w:tcBorders>
            <w:shd w:val="clear" w:color="auto" w:fill="auto"/>
            <w:noWrap/>
            <w:vAlign w:val="bottom"/>
            <w:hideMark/>
          </w:tcPr>
          <w:p w14:paraId="5E8EB102" w14:textId="4B92CDE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3,085 </w:t>
            </w:r>
          </w:p>
        </w:tc>
        <w:tc>
          <w:tcPr>
            <w:tcW w:w="850" w:type="dxa"/>
            <w:tcBorders>
              <w:top w:val="nil"/>
              <w:left w:val="nil"/>
              <w:bottom w:val="nil"/>
              <w:right w:val="nil"/>
            </w:tcBorders>
            <w:shd w:val="clear" w:color="auto" w:fill="auto"/>
            <w:noWrap/>
            <w:vAlign w:val="bottom"/>
            <w:hideMark/>
          </w:tcPr>
          <w:p w14:paraId="23299343" w14:textId="542F66B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3,218 </w:t>
            </w:r>
          </w:p>
        </w:tc>
        <w:tc>
          <w:tcPr>
            <w:tcW w:w="993" w:type="dxa"/>
            <w:tcBorders>
              <w:top w:val="nil"/>
              <w:left w:val="nil"/>
              <w:bottom w:val="nil"/>
              <w:right w:val="nil"/>
            </w:tcBorders>
            <w:shd w:val="clear" w:color="auto" w:fill="auto"/>
            <w:noWrap/>
            <w:vAlign w:val="bottom"/>
            <w:hideMark/>
          </w:tcPr>
          <w:p w14:paraId="0D033CA5" w14:textId="3AF33E7E"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3,162 </w:t>
            </w:r>
          </w:p>
        </w:tc>
      </w:tr>
      <w:tr w:rsidR="002E58CB" w:rsidRPr="00396A6B" w14:paraId="2323B794" w14:textId="77777777" w:rsidTr="00F96D8A">
        <w:trPr>
          <w:trHeight w:val="204"/>
        </w:trPr>
        <w:tc>
          <w:tcPr>
            <w:tcW w:w="3119" w:type="dxa"/>
            <w:tcBorders>
              <w:top w:val="nil"/>
              <w:left w:val="nil"/>
              <w:bottom w:val="nil"/>
              <w:right w:val="nil"/>
            </w:tcBorders>
            <w:shd w:val="clear" w:color="auto" w:fill="auto"/>
            <w:vAlign w:val="bottom"/>
            <w:hideMark/>
          </w:tcPr>
          <w:p w14:paraId="67E14B33"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 xml:space="preserve">Payment scheme for Airservices Australia's en route charges </w:t>
            </w:r>
            <w:r w:rsidRPr="00F859EF">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490EDC29" w14:textId="488B741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2,000 </w:t>
            </w:r>
          </w:p>
        </w:tc>
        <w:tc>
          <w:tcPr>
            <w:tcW w:w="851" w:type="dxa"/>
            <w:tcBorders>
              <w:top w:val="nil"/>
              <w:left w:val="nil"/>
              <w:bottom w:val="nil"/>
              <w:right w:val="nil"/>
            </w:tcBorders>
            <w:shd w:val="clear" w:color="000000" w:fill="E6E6E6"/>
            <w:noWrap/>
            <w:vAlign w:val="bottom"/>
            <w:hideMark/>
          </w:tcPr>
          <w:p w14:paraId="5A20FBAB" w14:textId="5E3F8C04"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2,000 </w:t>
            </w:r>
          </w:p>
        </w:tc>
        <w:tc>
          <w:tcPr>
            <w:tcW w:w="850" w:type="dxa"/>
            <w:tcBorders>
              <w:top w:val="nil"/>
              <w:left w:val="nil"/>
              <w:bottom w:val="nil"/>
              <w:right w:val="nil"/>
            </w:tcBorders>
            <w:shd w:val="clear" w:color="auto" w:fill="auto"/>
            <w:noWrap/>
            <w:vAlign w:val="bottom"/>
            <w:hideMark/>
          </w:tcPr>
          <w:p w14:paraId="3E63A2BE" w14:textId="4D7B945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2,000 </w:t>
            </w:r>
          </w:p>
        </w:tc>
        <w:tc>
          <w:tcPr>
            <w:tcW w:w="850" w:type="dxa"/>
            <w:tcBorders>
              <w:top w:val="nil"/>
              <w:left w:val="nil"/>
              <w:bottom w:val="nil"/>
              <w:right w:val="nil"/>
            </w:tcBorders>
            <w:shd w:val="clear" w:color="auto" w:fill="auto"/>
            <w:noWrap/>
            <w:vAlign w:val="bottom"/>
            <w:hideMark/>
          </w:tcPr>
          <w:p w14:paraId="0F6721C7" w14:textId="47D6455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2,000 </w:t>
            </w:r>
          </w:p>
        </w:tc>
        <w:tc>
          <w:tcPr>
            <w:tcW w:w="993" w:type="dxa"/>
            <w:tcBorders>
              <w:top w:val="nil"/>
              <w:left w:val="nil"/>
              <w:bottom w:val="nil"/>
              <w:right w:val="nil"/>
            </w:tcBorders>
            <w:shd w:val="clear" w:color="auto" w:fill="auto"/>
            <w:noWrap/>
            <w:vAlign w:val="bottom"/>
            <w:hideMark/>
          </w:tcPr>
          <w:p w14:paraId="02877F1A" w14:textId="755AE29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2,000 </w:t>
            </w:r>
          </w:p>
        </w:tc>
      </w:tr>
      <w:tr w:rsidR="002E58CB" w:rsidRPr="00396A6B" w14:paraId="55F19181" w14:textId="77777777" w:rsidTr="00F96D8A">
        <w:trPr>
          <w:trHeight w:val="204"/>
        </w:trPr>
        <w:tc>
          <w:tcPr>
            <w:tcW w:w="3119" w:type="dxa"/>
            <w:tcBorders>
              <w:top w:val="nil"/>
              <w:left w:val="nil"/>
              <w:bottom w:val="nil"/>
              <w:right w:val="nil"/>
            </w:tcBorders>
            <w:shd w:val="clear" w:color="auto" w:fill="auto"/>
            <w:vAlign w:val="bottom"/>
            <w:hideMark/>
          </w:tcPr>
          <w:p w14:paraId="2C4665E9"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Women In the Aviation Industry</w:t>
            </w:r>
          </w:p>
        </w:tc>
        <w:tc>
          <w:tcPr>
            <w:tcW w:w="992" w:type="dxa"/>
            <w:tcBorders>
              <w:top w:val="nil"/>
              <w:left w:val="nil"/>
              <w:bottom w:val="nil"/>
              <w:right w:val="nil"/>
            </w:tcBorders>
            <w:shd w:val="clear" w:color="auto" w:fill="auto"/>
            <w:noWrap/>
            <w:vAlign w:val="bottom"/>
            <w:hideMark/>
          </w:tcPr>
          <w:p w14:paraId="23C06E84" w14:textId="3AA3D790"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2,684 </w:t>
            </w:r>
          </w:p>
        </w:tc>
        <w:tc>
          <w:tcPr>
            <w:tcW w:w="851" w:type="dxa"/>
            <w:tcBorders>
              <w:top w:val="nil"/>
              <w:left w:val="nil"/>
              <w:bottom w:val="nil"/>
              <w:right w:val="nil"/>
            </w:tcBorders>
            <w:shd w:val="clear" w:color="000000" w:fill="E6E6E6"/>
            <w:noWrap/>
            <w:vAlign w:val="bottom"/>
            <w:hideMark/>
          </w:tcPr>
          <w:p w14:paraId="285C93BF" w14:textId="7B6FD88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841 </w:t>
            </w:r>
          </w:p>
        </w:tc>
        <w:tc>
          <w:tcPr>
            <w:tcW w:w="850" w:type="dxa"/>
            <w:tcBorders>
              <w:top w:val="nil"/>
              <w:left w:val="nil"/>
              <w:bottom w:val="nil"/>
              <w:right w:val="nil"/>
            </w:tcBorders>
            <w:shd w:val="clear" w:color="auto" w:fill="auto"/>
            <w:noWrap/>
            <w:vAlign w:val="bottom"/>
            <w:hideMark/>
          </w:tcPr>
          <w:p w14:paraId="029CDF68" w14:textId="15F4E24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841 </w:t>
            </w:r>
          </w:p>
        </w:tc>
        <w:tc>
          <w:tcPr>
            <w:tcW w:w="850" w:type="dxa"/>
            <w:tcBorders>
              <w:top w:val="nil"/>
              <w:left w:val="nil"/>
              <w:bottom w:val="nil"/>
              <w:right w:val="nil"/>
            </w:tcBorders>
            <w:shd w:val="clear" w:color="auto" w:fill="auto"/>
            <w:noWrap/>
            <w:vAlign w:val="bottom"/>
            <w:hideMark/>
          </w:tcPr>
          <w:p w14:paraId="5733442A" w14:textId="3CE9CBE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841 </w:t>
            </w:r>
          </w:p>
        </w:tc>
        <w:tc>
          <w:tcPr>
            <w:tcW w:w="993" w:type="dxa"/>
            <w:tcBorders>
              <w:top w:val="nil"/>
              <w:left w:val="nil"/>
              <w:bottom w:val="nil"/>
              <w:right w:val="nil"/>
            </w:tcBorders>
            <w:shd w:val="clear" w:color="auto" w:fill="auto"/>
            <w:noWrap/>
            <w:vAlign w:val="bottom"/>
            <w:hideMark/>
          </w:tcPr>
          <w:p w14:paraId="64CADF9E" w14:textId="73605BFA"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841 </w:t>
            </w:r>
          </w:p>
        </w:tc>
      </w:tr>
      <w:tr w:rsidR="002E58CB" w:rsidRPr="00396A6B" w14:paraId="44D9DCF3" w14:textId="77777777" w:rsidTr="00F96D8A">
        <w:trPr>
          <w:trHeight w:val="204"/>
        </w:trPr>
        <w:tc>
          <w:tcPr>
            <w:tcW w:w="3119" w:type="dxa"/>
            <w:tcBorders>
              <w:top w:val="nil"/>
              <w:left w:val="nil"/>
              <w:bottom w:val="nil"/>
              <w:right w:val="nil"/>
            </w:tcBorders>
            <w:shd w:val="clear" w:color="auto" w:fill="auto"/>
            <w:vAlign w:val="bottom"/>
            <w:hideMark/>
          </w:tcPr>
          <w:p w14:paraId="2F67EB4A"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Automatic Dependent Surveillance - Broadcast (ADS-B) Rebate Program</w:t>
            </w:r>
          </w:p>
        </w:tc>
        <w:tc>
          <w:tcPr>
            <w:tcW w:w="992" w:type="dxa"/>
            <w:tcBorders>
              <w:top w:val="nil"/>
              <w:left w:val="nil"/>
              <w:bottom w:val="nil"/>
              <w:right w:val="nil"/>
            </w:tcBorders>
            <w:shd w:val="clear" w:color="auto" w:fill="auto"/>
            <w:noWrap/>
            <w:vAlign w:val="bottom"/>
            <w:hideMark/>
          </w:tcPr>
          <w:p w14:paraId="40BA3F2A" w14:textId="199B5DA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15,000 </w:t>
            </w:r>
          </w:p>
        </w:tc>
        <w:tc>
          <w:tcPr>
            <w:tcW w:w="851" w:type="dxa"/>
            <w:tcBorders>
              <w:top w:val="nil"/>
              <w:left w:val="nil"/>
              <w:bottom w:val="nil"/>
              <w:right w:val="nil"/>
            </w:tcBorders>
            <w:shd w:val="clear" w:color="000000" w:fill="E6E6E6"/>
            <w:noWrap/>
            <w:vAlign w:val="bottom"/>
            <w:hideMark/>
          </w:tcPr>
          <w:p w14:paraId="4415FA76" w14:textId="44BA009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15,000 </w:t>
            </w:r>
          </w:p>
        </w:tc>
        <w:tc>
          <w:tcPr>
            <w:tcW w:w="850" w:type="dxa"/>
            <w:tcBorders>
              <w:top w:val="nil"/>
              <w:left w:val="nil"/>
              <w:bottom w:val="nil"/>
              <w:right w:val="nil"/>
            </w:tcBorders>
            <w:shd w:val="clear" w:color="auto" w:fill="auto"/>
            <w:noWrap/>
            <w:vAlign w:val="bottom"/>
            <w:hideMark/>
          </w:tcPr>
          <w:p w14:paraId="1A36504B" w14:textId="7C1DE1C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0B31567" w14:textId="627C5168"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6148E72F" w14:textId="3B1306A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0DCCA586" w14:textId="77777777" w:rsidTr="00F96D8A">
        <w:trPr>
          <w:trHeight w:val="204"/>
        </w:trPr>
        <w:tc>
          <w:tcPr>
            <w:tcW w:w="3119" w:type="dxa"/>
            <w:tcBorders>
              <w:top w:val="nil"/>
              <w:left w:val="nil"/>
              <w:bottom w:val="nil"/>
              <w:right w:val="nil"/>
            </w:tcBorders>
            <w:shd w:val="clear" w:color="auto" w:fill="auto"/>
            <w:vAlign w:val="bottom"/>
            <w:hideMark/>
          </w:tcPr>
          <w:p w14:paraId="74FE3F2D"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Regional Airline Network Support</w:t>
            </w:r>
          </w:p>
        </w:tc>
        <w:tc>
          <w:tcPr>
            <w:tcW w:w="992" w:type="dxa"/>
            <w:tcBorders>
              <w:top w:val="nil"/>
              <w:left w:val="nil"/>
              <w:bottom w:val="nil"/>
              <w:right w:val="nil"/>
            </w:tcBorders>
            <w:shd w:val="clear" w:color="auto" w:fill="auto"/>
            <w:noWrap/>
            <w:vAlign w:val="bottom"/>
            <w:hideMark/>
          </w:tcPr>
          <w:p w14:paraId="58CA8693" w14:textId="58BD75D2"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88,902 </w:t>
            </w:r>
          </w:p>
        </w:tc>
        <w:tc>
          <w:tcPr>
            <w:tcW w:w="851" w:type="dxa"/>
            <w:tcBorders>
              <w:top w:val="nil"/>
              <w:left w:val="nil"/>
              <w:bottom w:val="nil"/>
              <w:right w:val="nil"/>
            </w:tcBorders>
            <w:shd w:val="clear" w:color="000000" w:fill="E6E6E6"/>
            <w:noWrap/>
            <w:vAlign w:val="bottom"/>
            <w:hideMark/>
          </w:tcPr>
          <w:p w14:paraId="6C999E86" w14:textId="66E67A3C"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C6374D0" w14:textId="2B05CCDE"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E852C65" w14:textId="15BA27E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060520EC" w14:textId="7776BA40"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307DD85A" w14:textId="77777777" w:rsidTr="00F96D8A">
        <w:trPr>
          <w:trHeight w:val="204"/>
        </w:trPr>
        <w:tc>
          <w:tcPr>
            <w:tcW w:w="3119" w:type="dxa"/>
            <w:tcBorders>
              <w:top w:val="nil"/>
              <w:left w:val="nil"/>
              <w:bottom w:val="nil"/>
              <w:right w:val="nil"/>
            </w:tcBorders>
            <w:shd w:val="clear" w:color="auto" w:fill="auto"/>
            <w:vAlign w:val="bottom"/>
            <w:hideMark/>
          </w:tcPr>
          <w:p w14:paraId="7EF6CA76"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Regional Airports Program</w:t>
            </w:r>
          </w:p>
        </w:tc>
        <w:tc>
          <w:tcPr>
            <w:tcW w:w="992" w:type="dxa"/>
            <w:tcBorders>
              <w:top w:val="nil"/>
              <w:left w:val="nil"/>
              <w:bottom w:val="nil"/>
              <w:right w:val="nil"/>
            </w:tcBorders>
            <w:shd w:val="clear" w:color="auto" w:fill="auto"/>
            <w:noWrap/>
            <w:vAlign w:val="bottom"/>
            <w:hideMark/>
          </w:tcPr>
          <w:p w14:paraId="5CC20754" w14:textId="058F212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38,500 </w:t>
            </w:r>
          </w:p>
        </w:tc>
        <w:tc>
          <w:tcPr>
            <w:tcW w:w="851" w:type="dxa"/>
            <w:tcBorders>
              <w:top w:val="nil"/>
              <w:left w:val="nil"/>
              <w:bottom w:val="nil"/>
              <w:right w:val="nil"/>
            </w:tcBorders>
            <w:shd w:val="clear" w:color="000000" w:fill="E6E6E6"/>
            <w:noWrap/>
            <w:vAlign w:val="bottom"/>
            <w:hideMark/>
          </w:tcPr>
          <w:p w14:paraId="1AA0021A" w14:textId="708307C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27,571 </w:t>
            </w:r>
          </w:p>
        </w:tc>
        <w:tc>
          <w:tcPr>
            <w:tcW w:w="850" w:type="dxa"/>
            <w:tcBorders>
              <w:top w:val="nil"/>
              <w:left w:val="nil"/>
              <w:bottom w:val="nil"/>
              <w:right w:val="nil"/>
            </w:tcBorders>
            <w:shd w:val="clear" w:color="auto" w:fill="auto"/>
            <w:noWrap/>
            <w:vAlign w:val="bottom"/>
            <w:hideMark/>
          </w:tcPr>
          <w:p w14:paraId="077D5818" w14:textId="1E1FA2C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10,000 </w:t>
            </w:r>
          </w:p>
        </w:tc>
        <w:tc>
          <w:tcPr>
            <w:tcW w:w="850" w:type="dxa"/>
            <w:tcBorders>
              <w:top w:val="nil"/>
              <w:left w:val="nil"/>
              <w:bottom w:val="nil"/>
              <w:right w:val="nil"/>
            </w:tcBorders>
            <w:shd w:val="clear" w:color="auto" w:fill="auto"/>
            <w:noWrap/>
            <w:vAlign w:val="bottom"/>
            <w:hideMark/>
          </w:tcPr>
          <w:p w14:paraId="6EA9507B" w14:textId="094EC4D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10,000 </w:t>
            </w:r>
          </w:p>
        </w:tc>
        <w:tc>
          <w:tcPr>
            <w:tcW w:w="993" w:type="dxa"/>
            <w:tcBorders>
              <w:top w:val="nil"/>
              <w:left w:val="nil"/>
              <w:bottom w:val="nil"/>
              <w:right w:val="nil"/>
            </w:tcBorders>
            <w:shd w:val="clear" w:color="auto" w:fill="auto"/>
            <w:noWrap/>
            <w:vAlign w:val="bottom"/>
            <w:hideMark/>
          </w:tcPr>
          <w:p w14:paraId="70816EA0" w14:textId="060589E5"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7BF0F585" w14:textId="77777777" w:rsidTr="00F96D8A">
        <w:trPr>
          <w:trHeight w:val="204"/>
        </w:trPr>
        <w:tc>
          <w:tcPr>
            <w:tcW w:w="3119" w:type="dxa"/>
            <w:tcBorders>
              <w:top w:val="nil"/>
              <w:left w:val="nil"/>
              <w:bottom w:val="nil"/>
              <w:right w:val="nil"/>
            </w:tcBorders>
            <w:shd w:val="clear" w:color="auto" w:fill="auto"/>
            <w:vAlign w:val="bottom"/>
            <w:hideMark/>
          </w:tcPr>
          <w:p w14:paraId="66E1C1A5"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Regional Aviation Access</w:t>
            </w:r>
          </w:p>
        </w:tc>
        <w:tc>
          <w:tcPr>
            <w:tcW w:w="992" w:type="dxa"/>
            <w:tcBorders>
              <w:top w:val="nil"/>
              <w:left w:val="nil"/>
              <w:bottom w:val="nil"/>
              <w:right w:val="nil"/>
            </w:tcBorders>
            <w:shd w:val="clear" w:color="auto" w:fill="auto"/>
            <w:noWrap/>
            <w:vAlign w:val="bottom"/>
            <w:hideMark/>
          </w:tcPr>
          <w:p w14:paraId="7DCEC5AF" w14:textId="7D7E74B8"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30,029 </w:t>
            </w:r>
          </w:p>
        </w:tc>
        <w:tc>
          <w:tcPr>
            <w:tcW w:w="851" w:type="dxa"/>
            <w:tcBorders>
              <w:top w:val="nil"/>
              <w:left w:val="nil"/>
              <w:bottom w:val="nil"/>
              <w:right w:val="nil"/>
            </w:tcBorders>
            <w:shd w:val="clear" w:color="000000" w:fill="E6E6E6"/>
            <w:noWrap/>
            <w:vAlign w:val="bottom"/>
            <w:hideMark/>
          </w:tcPr>
          <w:p w14:paraId="0082B640" w14:textId="7017C742"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25,477 </w:t>
            </w:r>
          </w:p>
        </w:tc>
        <w:tc>
          <w:tcPr>
            <w:tcW w:w="850" w:type="dxa"/>
            <w:tcBorders>
              <w:top w:val="nil"/>
              <w:left w:val="nil"/>
              <w:bottom w:val="nil"/>
              <w:right w:val="nil"/>
            </w:tcBorders>
            <w:shd w:val="clear" w:color="auto" w:fill="auto"/>
            <w:noWrap/>
            <w:vAlign w:val="bottom"/>
            <w:hideMark/>
          </w:tcPr>
          <w:p w14:paraId="3196697A" w14:textId="5E12B4A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18,726 </w:t>
            </w:r>
          </w:p>
        </w:tc>
        <w:tc>
          <w:tcPr>
            <w:tcW w:w="850" w:type="dxa"/>
            <w:tcBorders>
              <w:top w:val="nil"/>
              <w:left w:val="nil"/>
              <w:bottom w:val="nil"/>
              <w:right w:val="nil"/>
            </w:tcBorders>
            <w:shd w:val="clear" w:color="auto" w:fill="auto"/>
            <w:noWrap/>
            <w:vAlign w:val="bottom"/>
            <w:hideMark/>
          </w:tcPr>
          <w:p w14:paraId="725937F3" w14:textId="0EFDDDA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16,097 </w:t>
            </w:r>
          </w:p>
        </w:tc>
        <w:tc>
          <w:tcPr>
            <w:tcW w:w="993" w:type="dxa"/>
            <w:tcBorders>
              <w:top w:val="nil"/>
              <w:left w:val="nil"/>
              <w:bottom w:val="nil"/>
              <w:right w:val="nil"/>
            </w:tcBorders>
            <w:shd w:val="clear" w:color="auto" w:fill="auto"/>
            <w:noWrap/>
            <w:vAlign w:val="bottom"/>
            <w:hideMark/>
          </w:tcPr>
          <w:p w14:paraId="63C44752" w14:textId="3E9AF735"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14,689 </w:t>
            </w:r>
          </w:p>
        </w:tc>
      </w:tr>
      <w:tr w:rsidR="002E58CB" w:rsidRPr="00396A6B" w14:paraId="02461A5B" w14:textId="77777777" w:rsidTr="00F96D8A">
        <w:trPr>
          <w:trHeight w:val="204"/>
        </w:trPr>
        <w:tc>
          <w:tcPr>
            <w:tcW w:w="3119" w:type="dxa"/>
            <w:tcBorders>
              <w:top w:val="nil"/>
              <w:left w:val="nil"/>
              <w:bottom w:val="nil"/>
              <w:right w:val="nil"/>
            </w:tcBorders>
            <w:shd w:val="clear" w:color="auto" w:fill="auto"/>
            <w:vAlign w:val="bottom"/>
            <w:hideMark/>
          </w:tcPr>
          <w:p w14:paraId="6607DC43"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Retaining Domestic Air Capability</w:t>
            </w:r>
          </w:p>
        </w:tc>
        <w:tc>
          <w:tcPr>
            <w:tcW w:w="992" w:type="dxa"/>
            <w:tcBorders>
              <w:top w:val="nil"/>
              <w:left w:val="nil"/>
              <w:bottom w:val="nil"/>
              <w:right w:val="nil"/>
            </w:tcBorders>
            <w:shd w:val="clear" w:color="auto" w:fill="auto"/>
            <w:noWrap/>
            <w:vAlign w:val="bottom"/>
            <w:hideMark/>
          </w:tcPr>
          <w:p w14:paraId="5699D460" w14:textId="62B86204"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185,464 </w:t>
            </w:r>
          </w:p>
        </w:tc>
        <w:tc>
          <w:tcPr>
            <w:tcW w:w="851" w:type="dxa"/>
            <w:tcBorders>
              <w:top w:val="nil"/>
              <w:left w:val="nil"/>
              <w:bottom w:val="nil"/>
              <w:right w:val="nil"/>
            </w:tcBorders>
            <w:shd w:val="clear" w:color="000000" w:fill="E6E6E6"/>
            <w:noWrap/>
            <w:vAlign w:val="bottom"/>
            <w:hideMark/>
          </w:tcPr>
          <w:p w14:paraId="66753F23" w14:textId="317ECD2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B0420DE" w14:textId="1CFEF00A"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86DC7DB" w14:textId="19C67113"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1698E2EB" w14:textId="4D741C83"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5A6BF72E" w14:textId="77777777" w:rsidTr="00F96D8A">
        <w:trPr>
          <w:trHeight w:val="204"/>
        </w:trPr>
        <w:tc>
          <w:tcPr>
            <w:tcW w:w="3119" w:type="dxa"/>
            <w:tcBorders>
              <w:top w:val="nil"/>
              <w:left w:val="nil"/>
              <w:bottom w:val="nil"/>
              <w:right w:val="nil"/>
            </w:tcBorders>
            <w:shd w:val="clear" w:color="auto" w:fill="auto"/>
            <w:vAlign w:val="bottom"/>
            <w:hideMark/>
          </w:tcPr>
          <w:p w14:paraId="566DC563"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 xml:space="preserve">Tourism Aviation Network Support Program </w:t>
            </w:r>
            <w:r w:rsidRPr="00F859EF">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4C3A46E0" w14:textId="344A00E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nfp</w:t>
            </w:r>
          </w:p>
        </w:tc>
        <w:tc>
          <w:tcPr>
            <w:tcW w:w="851" w:type="dxa"/>
            <w:tcBorders>
              <w:top w:val="nil"/>
              <w:left w:val="nil"/>
              <w:bottom w:val="nil"/>
              <w:right w:val="nil"/>
            </w:tcBorders>
            <w:shd w:val="clear" w:color="000000" w:fill="E6E6E6"/>
            <w:noWrap/>
            <w:vAlign w:val="bottom"/>
            <w:hideMark/>
          </w:tcPr>
          <w:p w14:paraId="72BDDD08" w14:textId="41E82383"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78D57E0E" w14:textId="07F5A43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151CC8F" w14:textId="253831A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2A214BF6" w14:textId="6E178EF5"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0A53317F" w14:textId="77777777" w:rsidTr="00F96D8A">
        <w:trPr>
          <w:trHeight w:val="204"/>
        </w:trPr>
        <w:tc>
          <w:tcPr>
            <w:tcW w:w="3119" w:type="dxa"/>
            <w:tcBorders>
              <w:top w:val="nil"/>
              <w:left w:val="nil"/>
              <w:bottom w:val="nil"/>
              <w:right w:val="nil"/>
            </w:tcBorders>
            <w:shd w:val="clear" w:color="auto" w:fill="auto"/>
            <w:vAlign w:val="bottom"/>
            <w:hideMark/>
          </w:tcPr>
          <w:p w14:paraId="7AF67F3E"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Waiver for Airservices Australia Charges</w:t>
            </w:r>
          </w:p>
        </w:tc>
        <w:tc>
          <w:tcPr>
            <w:tcW w:w="992" w:type="dxa"/>
            <w:tcBorders>
              <w:top w:val="nil"/>
              <w:left w:val="nil"/>
              <w:bottom w:val="nil"/>
              <w:right w:val="nil"/>
            </w:tcBorders>
            <w:shd w:val="clear" w:color="auto" w:fill="auto"/>
            <w:noWrap/>
            <w:vAlign w:val="bottom"/>
            <w:hideMark/>
          </w:tcPr>
          <w:p w14:paraId="5D7C5E10" w14:textId="207DE037"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63,934 </w:t>
            </w:r>
          </w:p>
        </w:tc>
        <w:tc>
          <w:tcPr>
            <w:tcW w:w="851" w:type="dxa"/>
            <w:tcBorders>
              <w:top w:val="nil"/>
              <w:left w:val="nil"/>
              <w:bottom w:val="nil"/>
              <w:right w:val="nil"/>
            </w:tcBorders>
            <w:shd w:val="clear" w:color="000000" w:fill="E6E6E6"/>
            <w:noWrap/>
            <w:vAlign w:val="bottom"/>
            <w:hideMark/>
          </w:tcPr>
          <w:p w14:paraId="0731856D" w14:textId="2021D6C1"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1D85282" w14:textId="086804A4"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2E209A3" w14:textId="609D7B70"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249885D6" w14:textId="419BC03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396A6B" w14:paraId="24E62803" w14:textId="77777777" w:rsidTr="00F96D8A">
        <w:trPr>
          <w:trHeight w:val="204"/>
        </w:trPr>
        <w:tc>
          <w:tcPr>
            <w:tcW w:w="3119" w:type="dxa"/>
            <w:tcBorders>
              <w:top w:val="nil"/>
              <w:left w:val="nil"/>
              <w:bottom w:val="nil"/>
              <w:right w:val="nil"/>
            </w:tcBorders>
            <w:shd w:val="clear" w:color="auto" w:fill="auto"/>
            <w:vAlign w:val="bottom"/>
            <w:hideMark/>
          </w:tcPr>
          <w:p w14:paraId="349E84F1" w14:textId="77777777" w:rsidR="002E58CB" w:rsidRPr="00396A6B" w:rsidRDefault="002E58CB" w:rsidP="002E58CB">
            <w:pPr>
              <w:spacing w:after="0" w:line="240" w:lineRule="auto"/>
              <w:ind w:left="113"/>
              <w:jc w:val="left"/>
              <w:rPr>
                <w:rFonts w:ascii="Arial" w:hAnsi="Arial" w:cs="Arial"/>
                <w:sz w:val="16"/>
                <w:szCs w:val="16"/>
              </w:rPr>
            </w:pPr>
            <w:r w:rsidRPr="00396A6B">
              <w:rPr>
                <w:rFonts w:ascii="Arial" w:hAnsi="Arial" w:cs="Arial"/>
                <w:sz w:val="16"/>
                <w:szCs w:val="16"/>
              </w:rPr>
              <w:t>Western Sydney Airport – preparatory activities</w:t>
            </w:r>
          </w:p>
        </w:tc>
        <w:tc>
          <w:tcPr>
            <w:tcW w:w="992" w:type="dxa"/>
            <w:tcBorders>
              <w:top w:val="nil"/>
              <w:left w:val="nil"/>
              <w:bottom w:val="nil"/>
              <w:right w:val="nil"/>
            </w:tcBorders>
            <w:shd w:val="clear" w:color="auto" w:fill="auto"/>
            <w:noWrap/>
            <w:vAlign w:val="bottom"/>
            <w:hideMark/>
          </w:tcPr>
          <w:p w14:paraId="405EE70B" w14:textId="74C8032E"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40,451 </w:t>
            </w:r>
          </w:p>
        </w:tc>
        <w:tc>
          <w:tcPr>
            <w:tcW w:w="851" w:type="dxa"/>
            <w:tcBorders>
              <w:top w:val="nil"/>
              <w:left w:val="nil"/>
              <w:bottom w:val="nil"/>
              <w:right w:val="nil"/>
            </w:tcBorders>
            <w:shd w:val="clear" w:color="000000" w:fill="E6E6E6"/>
            <w:noWrap/>
            <w:vAlign w:val="bottom"/>
            <w:hideMark/>
          </w:tcPr>
          <w:p w14:paraId="13D27481" w14:textId="7AEB0F8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73,520 </w:t>
            </w:r>
          </w:p>
        </w:tc>
        <w:tc>
          <w:tcPr>
            <w:tcW w:w="850" w:type="dxa"/>
            <w:tcBorders>
              <w:top w:val="nil"/>
              <w:left w:val="nil"/>
              <w:bottom w:val="nil"/>
              <w:right w:val="nil"/>
            </w:tcBorders>
            <w:shd w:val="clear" w:color="auto" w:fill="auto"/>
            <w:noWrap/>
            <w:vAlign w:val="bottom"/>
            <w:hideMark/>
          </w:tcPr>
          <w:p w14:paraId="0BCC34BC" w14:textId="43E8987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33,030 </w:t>
            </w:r>
          </w:p>
        </w:tc>
        <w:tc>
          <w:tcPr>
            <w:tcW w:w="850" w:type="dxa"/>
            <w:tcBorders>
              <w:top w:val="nil"/>
              <w:left w:val="nil"/>
              <w:bottom w:val="nil"/>
              <w:right w:val="nil"/>
            </w:tcBorders>
            <w:shd w:val="clear" w:color="auto" w:fill="auto"/>
            <w:noWrap/>
            <w:vAlign w:val="bottom"/>
            <w:hideMark/>
          </w:tcPr>
          <w:p w14:paraId="340FC8CB" w14:textId="0D2D790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8,811 </w:t>
            </w:r>
          </w:p>
        </w:tc>
        <w:tc>
          <w:tcPr>
            <w:tcW w:w="993" w:type="dxa"/>
            <w:tcBorders>
              <w:top w:val="nil"/>
              <w:left w:val="nil"/>
              <w:bottom w:val="nil"/>
              <w:right w:val="nil"/>
            </w:tcBorders>
            <w:shd w:val="clear" w:color="auto" w:fill="auto"/>
            <w:noWrap/>
            <w:vAlign w:val="bottom"/>
            <w:hideMark/>
          </w:tcPr>
          <w:p w14:paraId="5C96EBEF" w14:textId="36A4B31A"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4,580 </w:t>
            </w:r>
          </w:p>
        </w:tc>
      </w:tr>
      <w:tr w:rsidR="002E58CB" w:rsidRPr="00396A6B" w14:paraId="2C970036" w14:textId="77777777" w:rsidTr="00F96D8A">
        <w:trPr>
          <w:trHeight w:val="204"/>
        </w:trPr>
        <w:tc>
          <w:tcPr>
            <w:tcW w:w="3119" w:type="dxa"/>
            <w:tcBorders>
              <w:top w:val="nil"/>
              <w:left w:val="nil"/>
              <w:bottom w:val="nil"/>
              <w:right w:val="nil"/>
            </w:tcBorders>
            <w:shd w:val="clear" w:color="auto" w:fill="auto"/>
            <w:vAlign w:val="bottom"/>
            <w:hideMark/>
          </w:tcPr>
          <w:p w14:paraId="2C99BC0E" w14:textId="77777777" w:rsidR="002E58CB" w:rsidRPr="00396A6B" w:rsidRDefault="002E58CB" w:rsidP="002E58CB">
            <w:pPr>
              <w:spacing w:after="0" w:line="240" w:lineRule="auto"/>
              <w:jc w:val="left"/>
              <w:rPr>
                <w:rFonts w:ascii="Arial" w:hAnsi="Arial" w:cs="Arial"/>
                <w:sz w:val="16"/>
                <w:szCs w:val="16"/>
              </w:rPr>
            </w:pPr>
            <w:r w:rsidRPr="00396A6B">
              <w:rPr>
                <w:rFonts w:ascii="Arial" w:hAnsi="Arial" w:cs="Arial"/>
                <w:sz w:val="16"/>
                <w:szCs w:val="16"/>
              </w:rPr>
              <w:t xml:space="preserve">Payments to corporate entities </w:t>
            </w:r>
            <w:r w:rsidRPr="00F859EF">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20D02B12" w14:textId="77777777" w:rsidR="002E58CB" w:rsidRPr="004913A4" w:rsidRDefault="002E58CB" w:rsidP="002E58CB">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D111E0A" w14:textId="6777CD1A"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44BA50EE" w14:textId="77777777" w:rsidR="002E58CB" w:rsidRPr="004913A4" w:rsidRDefault="002E58CB" w:rsidP="002E58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ABF987F" w14:textId="77777777" w:rsidR="002E58CB" w:rsidRPr="004913A4" w:rsidRDefault="002E58CB" w:rsidP="002E58CB">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634A1867" w14:textId="77777777" w:rsidR="002E58CB" w:rsidRPr="004913A4" w:rsidRDefault="002E58CB" w:rsidP="002E58CB">
            <w:pPr>
              <w:spacing w:after="0" w:line="240" w:lineRule="auto"/>
              <w:jc w:val="right"/>
              <w:rPr>
                <w:rFonts w:ascii="Arial" w:hAnsi="Arial" w:cs="Arial"/>
                <w:sz w:val="16"/>
                <w:szCs w:val="16"/>
              </w:rPr>
            </w:pPr>
          </w:p>
        </w:tc>
      </w:tr>
      <w:tr w:rsidR="002E58CB" w:rsidRPr="00396A6B" w14:paraId="33DB30E6" w14:textId="77777777" w:rsidTr="00F96D8A">
        <w:trPr>
          <w:trHeight w:val="204"/>
        </w:trPr>
        <w:tc>
          <w:tcPr>
            <w:tcW w:w="3119" w:type="dxa"/>
            <w:tcBorders>
              <w:top w:val="nil"/>
              <w:left w:val="nil"/>
              <w:bottom w:val="nil"/>
              <w:right w:val="nil"/>
            </w:tcBorders>
            <w:shd w:val="clear" w:color="auto" w:fill="auto"/>
            <w:vAlign w:val="bottom"/>
            <w:hideMark/>
          </w:tcPr>
          <w:p w14:paraId="37EFD476" w14:textId="77777777" w:rsidR="002E58CB" w:rsidRPr="00396A6B" w:rsidRDefault="002E58CB" w:rsidP="002E58CB">
            <w:pPr>
              <w:pStyle w:val="ListParagraph"/>
              <w:numPr>
                <w:ilvl w:val="0"/>
                <w:numId w:val="200"/>
              </w:numPr>
              <w:spacing w:after="0" w:line="240" w:lineRule="auto"/>
              <w:ind w:left="313" w:hanging="142"/>
              <w:rPr>
                <w:rFonts w:ascii="Arial" w:hAnsi="Arial" w:cs="Arial"/>
                <w:sz w:val="16"/>
                <w:szCs w:val="16"/>
              </w:rPr>
            </w:pPr>
            <w:r w:rsidRPr="00396A6B">
              <w:rPr>
                <w:rFonts w:ascii="Arial" w:hAnsi="Arial" w:cs="Arial"/>
                <w:sz w:val="16"/>
                <w:szCs w:val="16"/>
              </w:rPr>
              <w:t>Civil Aviation Safety Authority</w:t>
            </w:r>
          </w:p>
        </w:tc>
        <w:tc>
          <w:tcPr>
            <w:tcW w:w="992" w:type="dxa"/>
            <w:tcBorders>
              <w:top w:val="nil"/>
              <w:left w:val="nil"/>
              <w:bottom w:val="nil"/>
              <w:right w:val="nil"/>
            </w:tcBorders>
            <w:shd w:val="clear" w:color="auto" w:fill="auto"/>
            <w:noWrap/>
            <w:vAlign w:val="bottom"/>
            <w:hideMark/>
          </w:tcPr>
          <w:p w14:paraId="06B6793B" w14:textId="10C1C53E"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122,082 </w:t>
            </w:r>
          </w:p>
        </w:tc>
        <w:tc>
          <w:tcPr>
            <w:tcW w:w="851" w:type="dxa"/>
            <w:tcBorders>
              <w:top w:val="nil"/>
              <w:left w:val="nil"/>
              <w:bottom w:val="nil"/>
              <w:right w:val="nil"/>
            </w:tcBorders>
            <w:shd w:val="clear" w:color="000000" w:fill="E6E6E6"/>
            <w:noWrap/>
            <w:vAlign w:val="bottom"/>
            <w:hideMark/>
          </w:tcPr>
          <w:p w14:paraId="21556F0D" w14:textId="6AB11DD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92,445 </w:t>
            </w:r>
          </w:p>
        </w:tc>
        <w:tc>
          <w:tcPr>
            <w:tcW w:w="850" w:type="dxa"/>
            <w:tcBorders>
              <w:top w:val="nil"/>
              <w:left w:val="nil"/>
              <w:bottom w:val="nil"/>
              <w:right w:val="nil"/>
            </w:tcBorders>
            <w:shd w:val="clear" w:color="auto" w:fill="auto"/>
            <w:noWrap/>
            <w:vAlign w:val="bottom"/>
            <w:hideMark/>
          </w:tcPr>
          <w:p w14:paraId="65921C6A" w14:textId="07F3C32D"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73,304 </w:t>
            </w:r>
          </w:p>
        </w:tc>
        <w:tc>
          <w:tcPr>
            <w:tcW w:w="850" w:type="dxa"/>
            <w:tcBorders>
              <w:top w:val="nil"/>
              <w:left w:val="nil"/>
              <w:bottom w:val="nil"/>
              <w:right w:val="nil"/>
            </w:tcBorders>
            <w:shd w:val="clear" w:color="auto" w:fill="auto"/>
            <w:noWrap/>
            <w:vAlign w:val="bottom"/>
            <w:hideMark/>
          </w:tcPr>
          <w:p w14:paraId="3158EE6B" w14:textId="05AB6059"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41,024 </w:t>
            </w:r>
          </w:p>
        </w:tc>
        <w:tc>
          <w:tcPr>
            <w:tcW w:w="993" w:type="dxa"/>
            <w:tcBorders>
              <w:top w:val="nil"/>
              <w:left w:val="nil"/>
              <w:bottom w:val="nil"/>
              <w:right w:val="nil"/>
            </w:tcBorders>
            <w:shd w:val="clear" w:color="auto" w:fill="auto"/>
            <w:noWrap/>
            <w:vAlign w:val="bottom"/>
            <w:hideMark/>
          </w:tcPr>
          <w:p w14:paraId="3BBF4587" w14:textId="6860132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41,223 </w:t>
            </w:r>
          </w:p>
        </w:tc>
      </w:tr>
      <w:tr w:rsidR="002E58CB" w:rsidRPr="00396A6B" w14:paraId="789B52A3" w14:textId="77777777" w:rsidTr="00F96D8A">
        <w:trPr>
          <w:trHeight w:val="204"/>
        </w:trPr>
        <w:tc>
          <w:tcPr>
            <w:tcW w:w="3119" w:type="dxa"/>
            <w:tcBorders>
              <w:top w:val="nil"/>
              <w:left w:val="nil"/>
              <w:bottom w:val="nil"/>
              <w:right w:val="nil"/>
            </w:tcBorders>
            <w:shd w:val="clear" w:color="auto" w:fill="auto"/>
            <w:noWrap/>
            <w:vAlign w:val="bottom"/>
            <w:hideMark/>
          </w:tcPr>
          <w:p w14:paraId="7AEFADC2" w14:textId="77777777" w:rsidR="002E58CB" w:rsidRPr="00396A6B" w:rsidRDefault="002E58CB" w:rsidP="002E58CB">
            <w:pPr>
              <w:spacing w:after="0" w:line="240" w:lineRule="auto"/>
              <w:jc w:val="left"/>
              <w:rPr>
                <w:rFonts w:ascii="Arial" w:hAnsi="Arial" w:cs="Arial"/>
                <w:sz w:val="16"/>
                <w:szCs w:val="16"/>
              </w:rPr>
            </w:pPr>
            <w:r w:rsidRPr="00396A6B">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57E9F33F" w14:textId="175B68CF" w:rsidR="002E58CB" w:rsidRPr="004913A4" w:rsidRDefault="002E58CB" w:rsidP="002E58C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452596D2" w14:textId="48CB7F15"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4E17D573" w14:textId="716AA175" w:rsidR="002E58CB" w:rsidRPr="004913A4" w:rsidRDefault="002E58CB" w:rsidP="002E58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3646A7B" w14:textId="22C0FDB1" w:rsidR="002E58CB" w:rsidRPr="004913A4" w:rsidRDefault="002E58CB" w:rsidP="002E58CB">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3E55B206" w14:textId="60D13043" w:rsidR="002E58CB" w:rsidRPr="004913A4" w:rsidRDefault="002E58CB" w:rsidP="002E58CB">
            <w:pPr>
              <w:spacing w:after="0" w:line="240" w:lineRule="auto"/>
              <w:jc w:val="right"/>
              <w:rPr>
                <w:rFonts w:ascii="Arial" w:hAnsi="Arial" w:cs="Arial"/>
                <w:sz w:val="16"/>
                <w:szCs w:val="16"/>
              </w:rPr>
            </w:pPr>
          </w:p>
        </w:tc>
      </w:tr>
      <w:tr w:rsidR="002E58CB" w:rsidRPr="00396A6B" w14:paraId="203A07FE" w14:textId="77777777" w:rsidTr="00F96D8A">
        <w:trPr>
          <w:trHeight w:val="204"/>
        </w:trPr>
        <w:tc>
          <w:tcPr>
            <w:tcW w:w="3119" w:type="dxa"/>
            <w:tcBorders>
              <w:top w:val="nil"/>
              <w:left w:val="nil"/>
              <w:bottom w:val="nil"/>
              <w:right w:val="nil"/>
            </w:tcBorders>
            <w:shd w:val="clear" w:color="auto" w:fill="auto"/>
            <w:vAlign w:val="bottom"/>
            <w:hideMark/>
          </w:tcPr>
          <w:p w14:paraId="79BE3BD6" w14:textId="77777777" w:rsidR="002E58CB" w:rsidRPr="00396A6B" w:rsidRDefault="002E58CB" w:rsidP="002E58CB">
            <w:pPr>
              <w:spacing w:after="0" w:line="240" w:lineRule="auto"/>
              <w:ind w:left="113"/>
              <w:jc w:val="left"/>
              <w:rPr>
                <w:rFonts w:ascii="Arial" w:hAnsi="Arial" w:cs="Arial"/>
                <w:i/>
                <w:iCs/>
                <w:sz w:val="16"/>
                <w:szCs w:val="16"/>
              </w:rPr>
            </w:pPr>
            <w:r w:rsidRPr="00396A6B">
              <w:rPr>
                <w:rFonts w:ascii="Arial" w:hAnsi="Arial" w:cs="Arial"/>
                <w:i/>
                <w:iCs/>
                <w:sz w:val="16"/>
                <w:szCs w:val="16"/>
              </w:rPr>
              <w:t xml:space="preserve">Aviation Fuel Revenues (Special Appropriation) Act 1988 </w:t>
            </w:r>
            <w:r w:rsidRPr="00F859EF">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120A6E11" w14:textId="74F90B46"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85,300 </w:t>
            </w:r>
          </w:p>
        </w:tc>
        <w:tc>
          <w:tcPr>
            <w:tcW w:w="851" w:type="dxa"/>
            <w:tcBorders>
              <w:top w:val="nil"/>
              <w:left w:val="nil"/>
              <w:bottom w:val="nil"/>
              <w:right w:val="nil"/>
            </w:tcBorders>
            <w:shd w:val="clear" w:color="000000" w:fill="E6E6E6"/>
            <w:noWrap/>
            <w:vAlign w:val="bottom"/>
            <w:hideMark/>
          </w:tcPr>
          <w:p w14:paraId="352D3640" w14:textId="54F8F1C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88,300 </w:t>
            </w:r>
          </w:p>
        </w:tc>
        <w:tc>
          <w:tcPr>
            <w:tcW w:w="850" w:type="dxa"/>
            <w:tcBorders>
              <w:top w:val="nil"/>
              <w:left w:val="nil"/>
              <w:bottom w:val="nil"/>
              <w:right w:val="nil"/>
            </w:tcBorders>
            <w:shd w:val="clear" w:color="auto" w:fill="auto"/>
            <w:noWrap/>
            <w:vAlign w:val="bottom"/>
            <w:hideMark/>
          </w:tcPr>
          <w:p w14:paraId="2287184F" w14:textId="4C91B7C8"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90,300 </w:t>
            </w:r>
          </w:p>
        </w:tc>
        <w:tc>
          <w:tcPr>
            <w:tcW w:w="850" w:type="dxa"/>
            <w:tcBorders>
              <w:top w:val="nil"/>
              <w:left w:val="nil"/>
              <w:bottom w:val="nil"/>
              <w:right w:val="nil"/>
            </w:tcBorders>
            <w:shd w:val="clear" w:color="auto" w:fill="auto"/>
            <w:noWrap/>
            <w:vAlign w:val="bottom"/>
            <w:hideMark/>
          </w:tcPr>
          <w:p w14:paraId="33BC471F" w14:textId="0E97A73F"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94,200 </w:t>
            </w:r>
          </w:p>
        </w:tc>
        <w:tc>
          <w:tcPr>
            <w:tcW w:w="993" w:type="dxa"/>
            <w:tcBorders>
              <w:top w:val="nil"/>
              <w:left w:val="nil"/>
              <w:bottom w:val="nil"/>
              <w:right w:val="nil"/>
            </w:tcBorders>
            <w:shd w:val="clear" w:color="auto" w:fill="auto"/>
            <w:noWrap/>
            <w:vAlign w:val="bottom"/>
            <w:hideMark/>
          </w:tcPr>
          <w:p w14:paraId="5901417C" w14:textId="3FA1770B" w:rsidR="002E58CB" w:rsidRPr="004913A4" w:rsidRDefault="002E58CB" w:rsidP="002E58CB">
            <w:pPr>
              <w:spacing w:after="0" w:line="240" w:lineRule="auto"/>
              <w:jc w:val="right"/>
              <w:rPr>
                <w:rFonts w:ascii="Arial" w:hAnsi="Arial" w:cs="Arial"/>
                <w:sz w:val="16"/>
                <w:szCs w:val="16"/>
              </w:rPr>
            </w:pPr>
            <w:r>
              <w:rPr>
                <w:rFonts w:ascii="Arial" w:hAnsi="Arial" w:cs="Arial"/>
                <w:sz w:val="16"/>
                <w:szCs w:val="16"/>
              </w:rPr>
              <w:t xml:space="preserve">94,200 </w:t>
            </w:r>
          </w:p>
        </w:tc>
      </w:tr>
      <w:tr w:rsidR="002E58CB" w:rsidRPr="00396A6B" w14:paraId="41F2393D" w14:textId="77777777" w:rsidTr="00F96D8A">
        <w:trPr>
          <w:trHeight w:val="204"/>
        </w:trPr>
        <w:tc>
          <w:tcPr>
            <w:tcW w:w="3119" w:type="dxa"/>
            <w:tcBorders>
              <w:top w:val="nil"/>
              <w:left w:val="nil"/>
              <w:bottom w:val="single" w:sz="4" w:space="0" w:color="auto"/>
              <w:right w:val="nil"/>
            </w:tcBorders>
            <w:shd w:val="clear" w:color="auto" w:fill="auto"/>
            <w:noWrap/>
            <w:vAlign w:val="bottom"/>
            <w:hideMark/>
          </w:tcPr>
          <w:p w14:paraId="5CC4547C" w14:textId="77777777" w:rsidR="002E58CB" w:rsidRPr="00396A6B" w:rsidRDefault="002E58CB" w:rsidP="002E58CB">
            <w:pPr>
              <w:spacing w:after="0" w:line="240" w:lineRule="auto"/>
              <w:jc w:val="left"/>
              <w:rPr>
                <w:rFonts w:ascii="Arial" w:hAnsi="Arial" w:cs="Arial"/>
                <w:b/>
                <w:bCs/>
                <w:sz w:val="16"/>
                <w:szCs w:val="16"/>
              </w:rPr>
            </w:pPr>
            <w:r w:rsidRPr="00396A6B">
              <w:rPr>
                <w:rFonts w:ascii="Arial" w:hAnsi="Arial" w:cs="Arial"/>
                <w:b/>
                <w:bCs/>
                <w:sz w:val="16"/>
                <w:szCs w:val="16"/>
              </w:rPr>
              <w:t>Total expenses for Program 2.3</w:t>
            </w:r>
          </w:p>
        </w:tc>
        <w:tc>
          <w:tcPr>
            <w:tcW w:w="992" w:type="dxa"/>
            <w:tcBorders>
              <w:top w:val="single" w:sz="4" w:space="0" w:color="auto"/>
              <w:left w:val="nil"/>
              <w:bottom w:val="single" w:sz="4" w:space="0" w:color="auto"/>
              <w:right w:val="nil"/>
            </w:tcBorders>
            <w:shd w:val="clear" w:color="auto" w:fill="auto"/>
            <w:noWrap/>
            <w:vAlign w:val="bottom"/>
            <w:hideMark/>
          </w:tcPr>
          <w:p w14:paraId="72E9FAD3" w14:textId="0ABB6C1B" w:rsidR="002E58CB" w:rsidRPr="004913A4"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1,215,257 </w:t>
            </w:r>
          </w:p>
        </w:tc>
        <w:tc>
          <w:tcPr>
            <w:tcW w:w="851" w:type="dxa"/>
            <w:tcBorders>
              <w:top w:val="single" w:sz="4" w:space="0" w:color="auto"/>
              <w:left w:val="nil"/>
              <w:bottom w:val="single" w:sz="4" w:space="0" w:color="auto"/>
              <w:right w:val="nil"/>
            </w:tcBorders>
            <w:shd w:val="clear" w:color="000000" w:fill="E6E6E6"/>
            <w:noWrap/>
            <w:vAlign w:val="bottom"/>
            <w:hideMark/>
          </w:tcPr>
          <w:p w14:paraId="1548726E" w14:textId="4DE0A061" w:rsidR="002E58CB" w:rsidRPr="004913A4"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366,780 </w:t>
            </w:r>
          </w:p>
        </w:tc>
        <w:tc>
          <w:tcPr>
            <w:tcW w:w="850" w:type="dxa"/>
            <w:tcBorders>
              <w:top w:val="single" w:sz="4" w:space="0" w:color="auto"/>
              <w:left w:val="nil"/>
              <w:bottom w:val="single" w:sz="4" w:space="0" w:color="auto"/>
              <w:right w:val="nil"/>
            </w:tcBorders>
            <w:shd w:val="clear" w:color="auto" w:fill="auto"/>
            <w:noWrap/>
            <w:vAlign w:val="bottom"/>
            <w:hideMark/>
          </w:tcPr>
          <w:p w14:paraId="175AB084" w14:textId="6054E662" w:rsidR="002E58CB" w:rsidRPr="004913A4"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251,283 </w:t>
            </w:r>
          </w:p>
        </w:tc>
        <w:tc>
          <w:tcPr>
            <w:tcW w:w="850" w:type="dxa"/>
            <w:tcBorders>
              <w:top w:val="single" w:sz="4" w:space="0" w:color="auto"/>
              <w:left w:val="nil"/>
              <w:bottom w:val="single" w:sz="4" w:space="0" w:color="auto"/>
              <w:right w:val="nil"/>
            </w:tcBorders>
            <w:shd w:val="clear" w:color="auto" w:fill="auto"/>
            <w:noWrap/>
            <w:vAlign w:val="bottom"/>
            <w:hideMark/>
          </w:tcPr>
          <w:p w14:paraId="0D328788" w14:textId="78F02D6C" w:rsidR="002E58CB" w:rsidRPr="004913A4"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177,191 </w:t>
            </w:r>
          </w:p>
        </w:tc>
        <w:tc>
          <w:tcPr>
            <w:tcW w:w="993" w:type="dxa"/>
            <w:tcBorders>
              <w:top w:val="single" w:sz="4" w:space="0" w:color="auto"/>
              <w:left w:val="nil"/>
              <w:bottom w:val="single" w:sz="4" w:space="0" w:color="auto"/>
              <w:right w:val="nil"/>
            </w:tcBorders>
            <w:shd w:val="clear" w:color="auto" w:fill="auto"/>
            <w:noWrap/>
            <w:vAlign w:val="bottom"/>
            <w:hideMark/>
          </w:tcPr>
          <w:p w14:paraId="66861C22" w14:textId="1FCC217A" w:rsidR="002E58CB" w:rsidRPr="004913A4"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161,695 </w:t>
            </w:r>
          </w:p>
        </w:tc>
      </w:tr>
    </w:tbl>
    <w:p w14:paraId="048AC0CA" w14:textId="5B4D8474" w:rsidR="00B91F3E" w:rsidRPr="004C7D4D" w:rsidRDefault="00B91F3E" w:rsidP="003926A3">
      <w:pPr>
        <w:pStyle w:val="ListParagraph"/>
        <w:numPr>
          <w:ilvl w:val="0"/>
          <w:numId w:val="14"/>
        </w:numPr>
        <w:spacing w:before="60" w:after="0"/>
        <w:ind w:left="284" w:hanging="284"/>
        <w:rPr>
          <w:rFonts w:ascii="Arial" w:hAnsi="Arial" w:cs="Arial"/>
          <w:sz w:val="16"/>
          <w:szCs w:val="16"/>
        </w:rPr>
      </w:pPr>
      <w:r w:rsidRPr="004C7D4D">
        <w:rPr>
          <w:rFonts w:ascii="Arial" w:hAnsi="Arial" w:cs="Arial"/>
          <w:sz w:val="16"/>
          <w:szCs w:val="16"/>
        </w:rPr>
        <w:t xml:space="preserve">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w:t>
      </w:r>
      <w:r w:rsidR="003C4CC6">
        <w:rPr>
          <w:rFonts w:ascii="Arial" w:hAnsi="Arial" w:cs="Arial"/>
          <w:sz w:val="16"/>
          <w:szCs w:val="16"/>
        </w:rPr>
        <w:t>Department</w:t>
      </w:r>
      <w:r w:rsidRPr="004C7D4D">
        <w:rPr>
          <w:rFonts w:ascii="Arial" w:hAnsi="Arial" w:cs="Arial"/>
          <w:sz w:val="16"/>
          <w:szCs w:val="16"/>
        </w:rPr>
        <w:t>.</w:t>
      </w:r>
    </w:p>
    <w:p w14:paraId="5A12C0E0" w14:textId="57FB84F5" w:rsidR="00B91F3E" w:rsidRPr="004C7D4D" w:rsidRDefault="00B91F3E" w:rsidP="003926A3">
      <w:pPr>
        <w:pStyle w:val="ListParagraph"/>
        <w:numPr>
          <w:ilvl w:val="0"/>
          <w:numId w:val="14"/>
        </w:numPr>
        <w:spacing w:after="0"/>
        <w:ind w:left="284" w:hanging="284"/>
        <w:rPr>
          <w:rFonts w:ascii="Arial" w:hAnsi="Arial" w:cs="Arial"/>
          <w:sz w:val="16"/>
          <w:szCs w:val="16"/>
        </w:rPr>
      </w:pPr>
      <w:r w:rsidRPr="00396A6B">
        <w:rPr>
          <w:rFonts w:ascii="Arial" w:hAnsi="Arial" w:cs="Arial"/>
          <w:sz w:val="16"/>
          <w:szCs w:val="16"/>
        </w:rPr>
        <w:t xml:space="preserve">Relates to appropriation for corporate entities provided through the </w:t>
      </w:r>
      <w:r w:rsidR="003C4CC6">
        <w:rPr>
          <w:rFonts w:ascii="Arial" w:hAnsi="Arial" w:cs="Arial"/>
          <w:sz w:val="16"/>
          <w:szCs w:val="16"/>
        </w:rPr>
        <w:t>Department</w:t>
      </w:r>
      <w:r w:rsidRPr="00396A6B">
        <w:rPr>
          <w:rFonts w:ascii="Arial" w:hAnsi="Arial" w:cs="Arial"/>
          <w:sz w:val="16"/>
          <w:szCs w:val="16"/>
        </w:rPr>
        <w:t>.</w:t>
      </w:r>
    </w:p>
    <w:p w14:paraId="1C7E33C2" w14:textId="77777777" w:rsidR="00B91F3E" w:rsidRPr="004C7D4D" w:rsidRDefault="00B91F3E" w:rsidP="003926A3">
      <w:pPr>
        <w:pStyle w:val="ListParagraph"/>
        <w:numPr>
          <w:ilvl w:val="0"/>
          <w:numId w:val="14"/>
        </w:numPr>
        <w:spacing w:after="0"/>
        <w:ind w:left="284" w:hanging="284"/>
        <w:rPr>
          <w:rFonts w:ascii="Arial" w:hAnsi="Arial" w:cs="Arial"/>
          <w:sz w:val="16"/>
          <w:szCs w:val="16"/>
        </w:rPr>
      </w:pPr>
      <w:r w:rsidRPr="00396A6B">
        <w:rPr>
          <w:rFonts w:ascii="Arial" w:hAnsi="Arial" w:cs="Arial"/>
          <w:sz w:val="16"/>
          <w:szCs w:val="16"/>
        </w:rPr>
        <w:t>‘nfp’ figures are not for publication due to commercial sensitivity, and are not included in totals.</w:t>
      </w:r>
    </w:p>
    <w:p w14:paraId="47303D98" w14:textId="77777777" w:rsidR="00B91F3E" w:rsidRDefault="00B91F3E" w:rsidP="00B91F3E">
      <w:pPr>
        <w:spacing w:after="160" w:line="259" w:lineRule="auto"/>
        <w:jc w:val="left"/>
        <w:rPr>
          <w:rFonts w:ascii="Arial" w:hAnsi="Arial"/>
          <w:b/>
          <w:color w:val="000000"/>
          <w:lang w:val="x-none" w:eastAsia="x-none"/>
        </w:rPr>
      </w:pPr>
      <w:r>
        <w:br w:type="page"/>
      </w:r>
    </w:p>
    <w:p w14:paraId="20B7C2CB" w14:textId="77777777" w:rsidR="00B91F3E" w:rsidRPr="00F71634" w:rsidRDefault="00B91F3E" w:rsidP="00B91F3E">
      <w:pPr>
        <w:pStyle w:val="TableHeading"/>
      </w:pPr>
      <w:r w:rsidRPr="00F71634">
        <w:lastRenderedPageBreak/>
        <w:t>Table 2.</w:t>
      </w:r>
      <w:r>
        <w:rPr>
          <w:lang w:val="en-GB"/>
        </w:rPr>
        <w:t>2</w:t>
      </w:r>
      <w:r w:rsidRPr="00F71634">
        <w:t xml:space="preserve">.3: Performance </w:t>
      </w:r>
      <w:r>
        <w:rPr>
          <w:lang w:val="en-AU"/>
        </w:rPr>
        <w:t>measure</w:t>
      </w:r>
      <w:r w:rsidRPr="00F71634">
        <w:t xml:space="preserve"> for Outcome </w:t>
      </w:r>
      <w:r>
        <w:rPr>
          <w:lang w:val="en-GB"/>
        </w:rPr>
        <w:t>2</w:t>
      </w:r>
    </w:p>
    <w:p w14:paraId="44B89FAA" w14:textId="77777777" w:rsidR="00B91F3E" w:rsidRDefault="00B91F3E" w:rsidP="00B91F3E">
      <w:pPr>
        <w:jc w:val="left"/>
      </w:pPr>
      <w:r w:rsidRPr="001B2F81">
        <w:t>Table 2.</w:t>
      </w:r>
      <w:r>
        <w:t>2</w:t>
      </w:r>
      <w:r w:rsidRPr="001B2F81">
        <w:t>.</w:t>
      </w:r>
      <w:r>
        <w:t>3</w:t>
      </w:r>
      <w:r w:rsidRPr="001B2F81">
        <w:t xml:space="preserve"> details the performance measures for each program associated with Outcome</w:t>
      </w:r>
      <w:r>
        <w:t> 2</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B2F81" w14:paraId="3C150845" w14:textId="77777777" w:rsidTr="004C5CB1">
        <w:trPr>
          <w:trHeight w:val="569"/>
          <w:tblHeader/>
        </w:trPr>
        <w:tc>
          <w:tcPr>
            <w:tcW w:w="7655" w:type="dxa"/>
            <w:gridSpan w:val="3"/>
            <w:shd w:val="clear" w:color="auto" w:fill="F2F2F2"/>
          </w:tcPr>
          <w:p w14:paraId="21866673" w14:textId="77777777" w:rsidR="004C5CB1" w:rsidRPr="008D4C03" w:rsidRDefault="004C5CB1" w:rsidP="004C5CB1">
            <w:pPr>
              <w:spacing w:before="120" w:after="120" w:line="240" w:lineRule="auto"/>
              <w:jc w:val="left"/>
              <w:rPr>
                <w:b/>
              </w:rPr>
            </w:pPr>
            <w:r w:rsidRPr="008D4C03">
              <w:rPr>
                <w:rStyle w:val="TableHeadingChar"/>
                <w:rFonts w:eastAsia="Calibri"/>
              </w:rPr>
              <w:t xml:space="preserve">Outcome 2 </w:t>
            </w:r>
            <w:r w:rsidRPr="00EC0B13">
              <w:rPr>
                <w:rStyle w:val="TableHeadingChar"/>
                <w:rFonts w:eastAsia="Calibri"/>
                <w:b w:val="0"/>
                <w:lang w:val="en-GB"/>
              </w:rPr>
              <w:t xml:space="preserve">– </w:t>
            </w:r>
            <w:r w:rsidRPr="00EC0B13">
              <w:rPr>
                <w:rStyle w:val="TableHeadingChar"/>
                <w:rFonts w:eastAsia="Calibri"/>
                <w:b w:val="0"/>
              </w:rPr>
              <w:t>An efficient, sustainable, competitive, safe and secure transport system for all transport users through regulation, financial assistance and safety investigations</w:t>
            </w:r>
          </w:p>
        </w:tc>
      </w:tr>
      <w:tr w:rsidR="004C5CB1" w:rsidRPr="001B2F81" w14:paraId="15D603AE" w14:textId="77777777" w:rsidTr="004C5CB1">
        <w:trPr>
          <w:trHeight w:val="522"/>
          <w:tblHeader/>
        </w:trPr>
        <w:tc>
          <w:tcPr>
            <w:tcW w:w="7655" w:type="dxa"/>
            <w:gridSpan w:val="3"/>
            <w:shd w:val="clear" w:color="auto" w:fill="F2F2F2"/>
          </w:tcPr>
          <w:p w14:paraId="0DEB0547" w14:textId="77777777" w:rsidR="004C5CB1" w:rsidRPr="00EC0B13" w:rsidRDefault="004C5CB1" w:rsidP="004C5CB1">
            <w:pPr>
              <w:pStyle w:val="TableTextLeft"/>
              <w:rPr>
                <w:b/>
              </w:rPr>
            </w:pPr>
            <w:bookmarkStart w:id="32" w:name="SurfaceTransport2_1"/>
            <w:r w:rsidRPr="008D4C03">
              <w:rPr>
                <w:b/>
              </w:rPr>
              <w:t>Program 2.</w:t>
            </w:r>
            <w:r w:rsidRPr="00EC0B13">
              <w:rPr>
                <w:b/>
              </w:rPr>
              <w:t>1 – Surface Transport</w:t>
            </w:r>
            <w:bookmarkEnd w:id="32"/>
          </w:p>
          <w:p w14:paraId="0C362FD7" w14:textId="77777777" w:rsidR="004C5CB1" w:rsidRPr="005134E8" w:rsidRDefault="004C5CB1" w:rsidP="004C5CB1">
            <w:pPr>
              <w:pStyle w:val="TableTextLeft"/>
              <w:rPr>
                <w:highlight w:val="yellow"/>
              </w:rPr>
            </w:pPr>
            <w:r w:rsidRPr="008D4C03">
              <w:t>The surface transport program supports economic growth, makes travel safer and increases transport access through delivering programs, policies and regulation for efficient, sustainable, safer and better-connected road, rail and maritime sectors.</w:t>
            </w:r>
          </w:p>
        </w:tc>
      </w:tr>
      <w:tr w:rsidR="004C5CB1" w:rsidRPr="001B2F81" w14:paraId="45B7F966" w14:textId="77777777" w:rsidTr="004C5CB1">
        <w:trPr>
          <w:trHeight w:val="694"/>
        </w:trPr>
        <w:tc>
          <w:tcPr>
            <w:tcW w:w="1560" w:type="dxa"/>
            <w:tcBorders>
              <w:bottom w:val="double" w:sz="4" w:space="0" w:color="auto"/>
            </w:tcBorders>
          </w:tcPr>
          <w:p w14:paraId="4E57E302" w14:textId="77777777" w:rsidR="004C5CB1" w:rsidRPr="00160C23" w:rsidRDefault="004C5CB1" w:rsidP="004C5CB1">
            <w:pPr>
              <w:tabs>
                <w:tab w:val="left" w:pos="709"/>
              </w:tabs>
              <w:spacing w:before="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p>
        </w:tc>
        <w:tc>
          <w:tcPr>
            <w:tcW w:w="6095" w:type="dxa"/>
            <w:gridSpan w:val="2"/>
            <w:tcBorders>
              <w:bottom w:val="double" w:sz="4" w:space="0" w:color="auto"/>
            </w:tcBorders>
          </w:tcPr>
          <w:p w14:paraId="1CAC916E" w14:textId="77777777" w:rsidR="004C5CB1" w:rsidRPr="0057358A"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57358A">
              <w:rPr>
                <w:rFonts w:ascii="Arial" w:eastAsia="Calibri" w:hAnsi="Arial" w:cs="Arial"/>
                <w:sz w:val="16"/>
                <w:szCs w:val="16"/>
                <w:lang w:eastAsia="en-US"/>
              </w:rPr>
              <w:t>Advise on and deliver better road safety as well as vehicle and rail regulation</w:t>
            </w:r>
          </w:p>
          <w:p w14:paraId="2353EA4D" w14:textId="77777777" w:rsidR="004C5CB1" w:rsidRPr="0057358A"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57358A">
              <w:rPr>
                <w:rFonts w:ascii="Arial" w:eastAsia="Calibri" w:hAnsi="Arial" w:cs="Arial"/>
                <w:sz w:val="16"/>
                <w:szCs w:val="16"/>
                <w:lang w:eastAsia="en-US"/>
              </w:rPr>
              <w:t>Advise on and deliver policy for access to transport for people with a disability</w:t>
            </w:r>
          </w:p>
          <w:p w14:paraId="65504E6F" w14:textId="77777777" w:rsidR="004C5CB1" w:rsidRPr="0057358A"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8D4C03">
              <w:rPr>
                <w:rFonts w:ascii="Arial" w:eastAsia="Calibri" w:hAnsi="Arial" w:cs="Arial"/>
                <w:sz w:val="16"/>
                <w:szCs w:val="16"/>
                <w:lang w:eastAsia="en-US"/>
              </w:rPr>
              <w:t>Advise on technology advances in the road transport sector</w:t>
            </w:r>
            <w:r>
              <w:rPr>
                <w:rFonts w:ascii="Arial" w:eastAsia="Calibri" w:hAnsi="Arial" w:cs="Arial"/>
                <w:sz w:val="16"/>
                <w:szCs w:val="16"/>
                <w:lang w:eastAsia="en-US"/>
              </w:rPr>
              <w:t xml:space="preserve"> </w:t>
            </w:r>
            <w:r>
              <w:rPr>
                <w:rFonts w:ascii="Arial" w:eastAsia="Calibri" w:hAnsi="Arial" w:cs="Arial"/>
                <w:sz w:val="16"/>
                <w:szCs w:val="16"/>
                <w:vertAlign w:val="superscript"/>
                <w:lang w:eastAsia="en-US"/>
              </w:rPr>
              <w:t>(a</w:t>
            </w:r>
            <w:r w:rsidRPr="00DD1C72">
              <w:rPr>
                <w:rFonts w:ascii="Arial" w:eastAsia="Calibri" w:hAnsi="Arial" w:cs="Arial"/>
                <w:sz w:val="16"/>
                <w:szCs w:val="16"/>
                <w:vertAlign w:val="superscript"/>
                <w:lang w:eastAsia="en-US"/>
              </w:rPr>
              <w:t>)</w:t>
            </w:r>
          </w:p>
          <w:p w14:paraId="54DDD695" w14:textId="77777777" w:rsidR="004C5CB1" w:rsidRPr="0057358A"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57358A">
              <w:rPr>
                <w:rFonts w:ascii="Arial" w:eastAsia="Calibri" w:hAnsi="Arial" w:cs="Arial"/>
                <w:sz w:val="16"/>
                <w:szCs w:val="16"/>
                <w:lang w:eastAsia="en-US"/>
              </w:rPr>
              <w:t>Manage domestic and international maritime policy, programs and regulation to support efficient sea trade, vessel safety and environment protection</w:t>
            </w:r>
          </w:p>
          <w:p w14:paraId="5D7DFF4C" w14:textId="77777777" w:rsidR="004C5CB1" w:rsidRPr="00160C23" w:rsidRDefault="004C5CB1" w:rsidP="004C5CB1">
            <w:pPr>
              <w:numPr>
                <w:ilvl w:val="0"/>
                <w:numId w:val="39"/>
              </w:numPr>
              <w:spacing w:before="60" w:after="60" w:line="240" w:lineRule="auto"/>
              <w:ind w:left="179" w:hanging="218"/>
              <w:jc w:val="left"/>
              <w:rPr>
                <w:rFonts w:ascii="Arial" w:hAnsi="Arial" w:cs="Arial"/>
                <w:i/>
                <w:sz w:val="16"/>
                <w:szCs w:val="16"/>
              </w:rPr>
            </w:pPr>
            <w:r w:rsidRPr="0057358A">
              <w:rPr>
                <w:rFonts w:ascii="Arial" w:eastAsia="Calibri" w:hAnsi="Arial" w:cs="Arial"/>
                <w:sz w:val="16"/>
                <w:szCs w:val="16"/>
                <w:lang w:eastAsia="en-US"/>
              </w:rPr>
              <w:t>Implement the National Freight and Supply Chain Strategy and Action Plan</w:t>
            </w:r>
            <w:r>
              <w:rPr>
                <w:rFonts w:ascii="Arial" w:eastAsia="Calibri" w:hAnsi="Arial" w:cs="Arial"/>
                <w:sz w:val="16"/>
                <w:szCs w:val="16"/>
                <w:lang w:eastAsia="en-US"/>
              </w:rPr>
              <w:t xml:space="preserve"> </w:t>
            </w:r>
            <w:r>
              <w:rPr>
                <w:rFonts w:ascii="Arial" w:eastAsia="Calibri" w:hAnsi="Arial" w:cs="Arial"/>
                <w:sz w:val="16"/>
                <w:szCs w:val="16"/>
                <w:vertAlign w:val="superscript"/>
                <w:lang w:eastAsia="en-US"/>
              </w:rPr>
              <w:t>(b</w:t>
            </w:r>
            <w:r w:rsidRPr="00DD1C72">
              <w:rPr>
                <w:rFonts w:ascii="Arial" w:eastAsia="Calibri" w:hAnsi="Arial" w:cs="Arial"/>
                <w:sz w:val="16"/>
                <w:szCs w:val="16"/>
                <w:vertAlign w:val="superscript"/>
                <w:lang w:eastAsia="en-US"/>
              </w:rPr>
              <w:t>)</w:t>
            </w:r>
          </w:p>
        </w:tc>
      </w:tr>
      <w:tr w:rsidR="004C5CB1" w:rsidRPr="001B2F81" w14:paraId="35D8F789" w14:textId="77777777" w:rsidTr="004C5CB1">
        <w:trPr>
          <w:trHeight w:val="258"/>
        </w:trPr>
        <w:tc>
          <w:tcPr>
            <w:tcW w:w="1560" w:type="dxa"/>
            <w:tcBorders>
              <w:top w:val="double" w:sz="4" w:space="0" w:color="auto"/>
              <w:bottom w:val="single" w:sz="4" w:space="0" w:color="auto"/>
              <w:right w:val="single" w:sz="4" w:space="0" w:color="auto"/>
            </w:tcBorders>
          </w:tcPr>
          <w:p w14:paraId="3DE7A262" w14:textId="77777777" w:rsidR="004C5CB1" w:rsidRPr="00160C23" w:rsidRDefault="004C5CB1" w:rsidP="004C5CB1">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A4D6BC1"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72BC95F"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1B2F81" w14:paraId="71430A34" w14:textId="77777777" w:rsidTr="004C5CB1">
        <w:trPr>
          <w:cantSplit/>
          <w:trHeight w:val="642"/>
        </w:trPr>
        <w:tc>
          <w:tcPr>
            <w:tcW w:w="1560" w:type="dxa"/>
            <w:tcBorders>
              <w:top w:val="single" w:sz="4" w:space="0" w:color="auto"/>
              <w:bottom w:val="nil"/>
              <w:right w:val="single" w:sz="4" w:space="0" w:color="auto"/>
            </w:tcBorders>
          </w:tcPr>
          <w:p w14:paraId="5F9D1B2F" w14:textId="77777777" w:rsidR="004C5CB1" w:rsidRPr="00160C23" w:rsidRDefault="004C5CB1" w:rsidP="004C5CB1">
            <w:pPr>
              <w:pStyle w:val="TableTextBase"/>
              <w:rPr>
                <w:sz w:val="16"/>
                <w:szCs w:val="16"/>
              </w:rPr>
            </w:pPr>
            <w:r w:rsidRPr="00160C23">
              <w:rPr>
                <w:sz w:val="16"/>
                <w:szCs w:val="16"/>
              </w:rPr>
              <w:t xml:space="preserve">Current year </w:t>
            </w:r>
          </w:p>
          <w:p w14:paraId="2928C0CD" w14:textId="77777777" w:rsidR="004C5CB1" w:rsidRPr="00160C23" w:rsidRDefault="004C5CB1" w:rsidP="004C5CB1">
            <w:pPr>
              <w:pStyle w:val="TableTextBase"/>
              <w:rPr>
                <w:sz w:val="16"/>
                <w:szCs w:val="16"/>
              </w:rPr>
            </w:pPr>
            <w:r w:rsidRPr="00160C23">
              <w:rPr>
                <w:sz w:val="16"/>
                <w:szCs w:val="16"/>
              </w:rPr>
              <w:t>2021</w:t>
            </w:r>
            <w:r>
              <w:rPr>
                <w:sz w:val="16"/>
                <w:szCs w:val="16"/>
              </w:rPr>
              <w:t>–</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1B795370" w14:textId="77777777" w:rsidR="004C5CB1" w:rsidRPr="00CB20D1" w:rsidRDefault="004C5CB1" w:rsidP="004C5CB1">
            <w:pPr>
              <w:pStyle w:val="TableTextBase"/>
              <w:rPr>
                <w:sz w:val="16"/>
                <w:szCs w:val="16"/>
              </w:rPr>
            </w:pPr>
            <w:r w:rsidRPr="00CB20D1">
              <w:rPr>
                <w:rFonts w:eastAsia="Calibri" w:cs="Arial"/>
                <w:sz w:val="16"/>
                <w:szCs w:val="16"/>
                <w:lang w:eastAsia="en-US"/>
              </w:rPr>
              <w:t>Progress reforms for regulating vehicles and rail</w:t>
            </w:r>
          </w:p>
        </w:tc>
        <w:tc>
          <w:tcPr>
            <w:tcW w:w="2977" w:type="dxa"/>
            <w:tcBorders>
              <w:top w:val="single" w:sz="4" w:space="0" w:color="auto"/>
              <w:left w:val="single" w:sz="4" w:space="0" w:color="auto"/>
              <w:bottom w:val="single" w:sz="4" w:space="0" w:color="auto"/>
            </w:tcBorders>
          </w:tcPr>
          <w:p w14:paraId="1882B6CC"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Implementation milestones for the National Rail Action Plan are met </w:t>
            </w:r>
          </w:p>
          <w:p w14:paraId="69AB720B" w14:textId="77777777" w:rsidR="004C5CB1" w:rsidRPr="00CB20D1" w:rsidRDefault="004C5CB1" w:rsidP="004C5CB1">
            <w:pPr>
              <w:tabs>
                <w:tab w:val="left" w:pos="204"/>
                <w:tab w:val="left" w:pos="396"/>
              </w:tabs>
              <w:spacing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Target expected to be met</w:t>
            </w:r>
          </w:p>
        </w:tc>
      </w:tr>
      <w:tr w:rsidR="004C5CB1" w:rsidRPr="001B2F81" w14:paraId="54A5201C" w14:textId="77777777" w:rsidTr="004C5CB1">
        <w:trPr>
          <w:cantSplit/>
          <w:trHeight w:val="642"/>
        </w:trPr>
        <w:tc>
          <w:tcPr>
            <w:tcW w:w="1560" w:type="dxa"/>
            <w:tcBorders>
              <w:top w:val="nil"/>
              <w:bottom w:val="nil"/>
              <w:right w:val="single" w:sz="4" w:space="0" w:color="auto"/>
            </w:tcBorders>
          </w:tcPr>
          <w:p w14:paraId="33EB508C"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57DD4D0" w14:textId="77777777" w:rsidR="004C5CB1" w:rsidRPr="00CB20D1" w:rsidRDefault="004C5CB1" w:rsidP="004C5CB1">
            <w:pPr>
              <w:pStyle w:val="TableTextBase"/>
              <w:rPr>
                <w:sz w:val="16"/>
                <w:szCs w:val="16"/>
              </w:rPr>
            </w:pPr>
            <w:r w:rsidRPr="00CB20D1">
              <w:rPr>
                <w:rFonts w:eastAsia="Calibri" w:cs="Arial"/>
                <w:sz w:val="16"/>
                <w:szCs w:val="16"/>
                <w:lang w:eastAsia="en-US"/>
              </w:rPr>
              <w:t>Progress of reforms to the Disability Standards for Accessible Public Transport</w:t>
            </w:r>
          </w:p>
        </w:tc>
        <w:tc>
          <w:tcPr>
            <w:tcW w:w="2977" w:type="dxa"/>
            <w:tcBorders>
              <w:top w:val="single" w:sz="4" w:space="0" w:color="auto"/>
              <w:left w:val="single" w:sz="4" w:space="0" w:color="auto"/>
              <w:bottom w:val="single" w:sz="4" w:space="0" w:color="auto"/>
            </w:tcBorders>
          </w:tcPr>
          <w:p w14:paraId="275A141E"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Financial year delivery milestones set by the Infrastructure and Transport Ministers’ Meeting (ITMM) are met </w:t>
            </w:r>
          </w:p>
          <w:p w14:paraId="45C29399" w14:textId="77777777" w:rsidR="004C5CB1" w:rsidRPr="00CB20D1" w:rsidRDefault="004C5CB1" w:rsidP="004C5CB1">
            <w:pPr>
              <w:pStyle w:val="TableTextBase"/>
              <w:rPr>
                <w:sz w:val="16"/>
                <w:szCs w:val="16"/>
              </w:rPr>
            </w:pPr>
            <w:r w:rsidRPr="00CB20D1">
              <w:rPr>
                <w:rFonts w:eastAsia="Calibri" w:cs="Arial"/>
                <w:sz w:val="16"/>
                <w:szCs w:val="16"/>
                <w:lang w:eastAsia="en-US"/>
              </w:rPr>
              <w:t>Target expected to be met</w:t>
            </w:r>
          </w:p>
        </w:tc>
      </w:tr>
      <w:tr w:rsidR="004C5CB1" w:rsidRPr="001B2F81" w14:paraId="7F4CF34A" w14:textId="77777777" w:rsidTr="004C5CB1">
        <w:trPr>
          <w:cantSplit/>
          <w:trHeight w:val="642"/>
        </w:trPr>
        <w:tc>
          <w:tcPr>
            <w:tcW w:w="1560" w:type="dxa"/>
            <w:tcBorders>
              <w:top w:val="nil"/>
              <w:bottom w:val="single" w:sz="4" w:space="0" w:color="auto"/>
              <w:right w:val="single" w:sz="4" w:space="0" w:color="auto"/>
            </w:tcBorders>
          </w:tcPr>
          <w:p w14:paraId="5DCDAF9B"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6D6BA8E"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Satisfaction of regulated shipping entities</w:t>
            </w:r>
            <w:r w:rsidRPr="00262F91">
              <w:rPr>
                <w:rFonts w:eastAsia="Calibri" w:cs="Arial"/>
                <w:sz w:val="16"/>
                <w:szCs w:val="16"/>
                <w:vertAlign w:val="superscript"/>
                <w:lang w:eastAsia="en-US"/>
              </w:rPr>
              <w:t>(c)</w:t>
            </w:r>
          </w:p>
        </w:tc>
        <w:tc>
          <w:tcPr>
            <w:tcW w:w="2977" w:type="dxa"/>
            <w:tcBorders>
              <w:top w:val="single" w:sz="4" w:space="0" w:color="auto"/>
              <w:left w:val="single" w:sz="4" w:space="0" w:color="auto"/>
              <w:bottom w:val="single" w:sz="4" w:space="0" w:color="auto"/>
            </w:tcBorders>
          </w:tcPr>
          <w:p w14:paraId="66BFACFB"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Financial year survey results indicate we are effective, communicate clearly, and seek continuous improvement </w:t>
            </w:r>
          </w:p>
          <w:p w14:paraId="625BF964"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Data not yet available </w:t>
            </w:r>
          </w:p>
          <w:p w14:paraId="7D7B53DB"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Shipping entities satisfaction survey process will be undertaken at the end of the 2021–22 financial year</w:t>
            </w:r>
          </w:p>
        </w:tc>
      </w:tr>
    </w:tbl>
    <w:p w14:paraId="20898341" w14:textId="77777777" w:rsidR="00B91F3E" w:rsidRDefault="00B91F3E" w:rsidP="00B91F3E">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60C23" w14:paraId="403A3E21" w14:textId="77777777" w:rsidTr="004C5CB1">
        <w:trPr>
          <w:trHeight w:val="258"/>
        </w:trPr>
        <w:tc>
          <w:tcPr>
            <w:tcW w:w="1560" w:type="dxa"/>
            <w:tcBorders>
              <w:top w:val="double" w:sz="4" w:space="0" w:color="auto"/>
              <w:bottom w:val="single" w:sz="4" w:space="0" w:color="auto"/>
              <w:right w:val="single" w:sz="4" w:space="0" w:color="auto"/>
            </w:tcBorders>
          </w:tcPr>
          <w:p w14:paraId="5750497C" w14:textId="77777777" w:rsidR="004C5CB1" w:rsidRPr="00160C23" w:rsidRDefault="004C5CB1" w:rsidP="004C5CB1">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E2007BE"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DD5DADD"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1B2F81" w14:paraId="6A4D486A" w14:textId="77777777" w:rsidTr="004C5CB1">
        <w:trPr>
          <w:cantSplit/>
          <w:trHeight w:val="642"/>
        </w:trPr>
        <w:tc>
          <w:tcPr>
            <w:tcW w:w="1560" w:type="dxa"/>
            <w:tcBorders>
              <w:top w:val="single" w:sz="4" w:space="0" w:color="auto"/>
              <w:bottom w:val="nil"/>
              <w:right w:val="single" w:sz="4" w:space="0" w:color="auto"/>
            </w:tcBorders>
          </w:tcPr>
          <w:p w14:paraId="156E5CEB" w14:textId="77777777" w:rsidR="004C5CB1" w:rsidRPr="00160C23" w:rsidRDefault="004C5CB1" w:rsidP="004C5CB1">
            <w:pPr>
              <w:pStyle w:val="TableTextBase"/>
              <w:rPr>
                <w:sz w:val="16"/>
                <w:szCs w:val="16"/>
              </w:rPr>
            </w:pPr>
            <w:r w:rsidRPr="00160C23">
              <w:rPr>
                <w:sz w:val="16"/>
                <w:szCs w:val="16"/>
              </w:rPr>
              <w:t xml:space="preserve">Current year </w:t>
            </w:r>
          </w:p>
          <w:p w14:paraId="45EF708C" w14:textId="77777777" w:rsidR="004C5CB1" w:rsidRPr="00160C23" w:rsidRDefault="004C5CB1" w:rsidP="004C5CB1">
            <w:pPr>
              <w:pStyle w:val="TableTextBase"/>
              <w:rPr>
                <w:sz w:val="16"/>
                <w:szCs w:val="16"/>
              </w:rPr>
            </w:pPr>
            <w:r w:rsidRPr="00160C23">
              <w:rPr>
                <w:sz w:val="16"/>
                <w:szCs w:val="16"/>
              </w:rPr>
              <w:t>2021</w:t>
            </w:r>
            <w:r>
              <w:rPr>
                <w:sz w:val="16"/>
                <w:szCs w:val="16"/>
              </w:rPr>
              <w:t>–</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0DBD8826"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Performance of Tasmanian shipping programs, indicated through number of:</w:t>
            </w:r>
          </w:p>
          <w:p w14:paraId="3B1CD2C0" w14:textId="77777777" w:rsidR="004C5CB1" w:rsidRPr="00CB20D1" w:rsidRDefault="004C5CB1" w:rsidP="009E60A3">
            <w:pPr>
              <w:pStyle w:val="ListParagraph"/>
              <w:numPr>
                <w:ilvl w:val="0"/>
                <w:numId w:val="218"/>
              </w:numPr>
              <w:spacing w:before="60" w:after="60" w:line="240" w:lineRule="auto"/>
              <w:ind w:left="318" w:right="-11" w:hanging="284"/>
              <w:contextualSpacing w:val="0"/>
              <w:rPr>
                <w:rFonts w:ascii="Arial" w:hAnsi="Arial" w:cs="Arial"/>
                <w:sz w:val="16"/>
                <w:szCs w:val="16"/>
              </w:rPr>
            </w:pPr>
            <w:r w:rsidRPr="00CB20D1">
              <w:rPr>
                <w:rFonts w:ascii="Arial" w:hAnsi="Arial" w:cs="Arial"/>
                <w:sz w:val="16"/>
                <w:szCs w:val="16"/>
              </w:rPr>
              <w:t>claims paid (Tasmanian Freight Equalisation Scheme)</w:t>
            </w:r>
          </w:p>
          <w:p w14:paraId="5BCDEB63" w14:textId="77777777" w:rsidR="004C5CB1" w:rsidRPr="00CB20D1" w:rsidRDefault="004C5CB1" w:rsidP="009E60A3">
            <w:pPr>
              <w:pStyle w:val="ListParagraph"/>
              <w:numPr>
                <w:ilvl w:val="0"/>
                <w:numId w:val="218"/>
              </w:numPr>
              <w:spacing w:before="60" w:after="60" w:line="240" w:lineRule="auto"/>
              <w:ind w:left="319" w:right="-12" w:hanging="283"/>
              <w:rPr>
                <w:rFonts w:ascii="Arial" w:hAnsi="Arial" w:cs="Arial"/>
                <w:sz w:val="16"/>
                <w:szCs w:val="16"/>
              </w:rPr>
            </w:pPr>
            <w:r w:rsidRPr="00CB20D1">
              <w:rPr>
                <w:rFonts w:ascii="Arial" w:hAnsi="Arial" w:cs="Arial"/>
                <w:sz w:val="16"/>
                <w:szCs w:val="16"/>
              </w:rPr>
              <w:t>rebates provided (Bass Strait Passenger Vehicle Equalisation Scheme)</w:t>
            </w:r>
          </w:p>
        </w:tc>
        <w:tc>
          <w:tcPr>
            <w:tcW w:w="2977" w:type="dxa"/>
            <w:tcBorders>
              <w:top w:val="single" w:sz="4" w:space="0" w:color="auto"/>
              <w:left w:val="single" w:sz="4" w:space="0" w:color="auto"/>
              <w:bottom w:val="single" w:sz="4" w:space="0" w:color="auto"/>
            </w:tcBorders>
          </w:tcPr>
          <w:p w14:paraId="05CC146D"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Programs are demand-driven </w:t>
            </w:r>
          </w:p>
          <w:p w14:paraId="01385CD0" w14:textId="77777777" w:rsidR="004C5CB1" w:rsidRPr="00CB20D1" w:rsidRDefault="004C5CB1" w:rsidP="004C5CB1">
            <w:pPr>
              <w:pStyle w:val="TableTextBase"/>
              <w:rPr>
                <w:sz w:val="16"/>
                <w:szCs w:val="16"/>
              </w:rPr>
            </w:pPr>
            <w:r w:rsidRPr="00CB20D1">
              <w:rPr>
                <w:rFonts w:eastAsia="Calibri" w:cs="Arial"/>
                <w:sz w:val="16"/>
                <w:szCs w:val="22"/>
                <w:lang w:eastAsia="en-US"/>
              </w:rPr>
              <w:t>The Tasmanian shipping programs address the cost of sea travel between mainland Australia and Tasmania, with the number of claims paid or rebates provided dependent on demand</w:t>
            </w:r>
          </w:p>
        </w:tc>
      </w:tr>
      <w:tr w:rsidR="004C5CB1" w:rsidRPr="001B2F81" w14:paraId="27784E4E" w14:textId="77777777" w:rsidTr="004C5CB1">
        <w:trPr>
          <w:cantSplit/>
          <w:trHeight w:val="642"/>
        </w:trPr>
        <w:tc>
          <w:tcPr>
            <w:tcW w:w="1560" w:type="dxa"/>
            <w:tcBorders>
              <w:top w:val="nil"/>
              <w:bottom w:val="nil"/>
              <w:right w:val="single" w:sz="4" w:space="0" w:color="auto"/>
            </w:tcBorders>
          </w:tcPr>
          <w:p w14:paraId="31DFF4D5"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7C06B03" w14:textId="77777777" w:rsidR="004C5CB1" w:rsidRPr="00CB20D1" w:rsidRDefault="004C5CB1" w:rsidP="004C5CB1">
            <w:pPr>
              <w:pStyle w:val="TableTextBase"/>
              <w:rPr>
                <w:sz w:val="16"/>
                <w:szCs w:val="16"/>
              </w:rPr>
            </w:pPr>
            <w:r w:rsidRPr="00CB20D1">
              <w:rPr>
                <w:rFonts w:eastAsia="Calibri" w:cs="Arial"/>
                <w:sz w:val="16"/>
                <w:szCs w:val="16"/>
                <w:lang w:eastAsia="en-US"/>
              </w:rPr>
              <w:t>Effectiveness of international engagement on maritime matters</w:t>
            </w:r>
            <w:r>
              <w:rPr>
                <w:rFonts w:eastAsia="Calibri" w:cs="Arial"/>
                <w:sz w:val="16"/>
                <w:szCs w:val="16"/>
                <w:vertAlign w:val="superscript"/>
                <w:lang w:eastAsia="en-US"/>
              </w:rPr>
              <w:t>(c</w:t>
            </w:r>
            <w:r w:rsidRPr="00541D27">
              <w:rPr>
                <w:rFonts w:eastAsia="Calibri"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2BD657EA"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In financial year, outcomes achieved in line with the negotiation mandate agreed by the Australian Government </w:t>
            </w:r>
          </w:p>
          <w:p w14:paraId="58F76F5E"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Target expected to be met</w:t>
            </w:r>
          </w:p>
        </w:tc>
      </w:tr>
      <w:tr w:rsidR="004C5CB1" w:rsidRPr="001B2F81" w14:paraId="3FAD7A47" w14:textId="77777777" w:rsidTr="004C5CB1">
        <w:trPr>
          <w:cantSplit/>
          <w:trHeight w:val="642"/>
        </w:trPr>
        <w:tc>
          <w:tcPr>
            <w:tcW w:w="1560" w:type="dxa"/>
            <w:tcBorders>
              <w:top w:val="nil"/>
              <w:bottom w:val="nil"/>
              <w:right w:val="single" w:sz="4" w:space="0" w:color="auto"/>
            </w:tcBorders>
          </w:tcPr>
          <w:p w14:paraId="4D60C20E"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4016403" w14:textId="77777777" w:rsidR="004C5CB1" w:rsidRPr="00CB20D1" w:rsidRDefault="004C5CB1" w:rsidP="004C5CB1">
            <w:pPr>
              <w:pStyle w:val="TableTextBase"/>
              <w:rPr>
                <w:sz w:val="16"/>
                <w:szCs w:val="16"/>
              </w:rPr>
            </w:pPr>
            <w:r w:rsidRPr="00CB20D1">
              <w:rPr>
                <w:rFonts w:eastAsia="Calibri" w:cs="Arial"/>
                <w:sz w:val="16"/>
                <w:szCs w:val="16"/>
                <w:lang w:eastAsia="en-US"/>
              </w:rPr>
              <w:t>Progress implementing the National Freight and Supply Chain Strategy (the Strategy) for the next 20 years and beyond to 2040</w:t>
            </w:r>
          </w:p>
        </w:tc>
        <w:tc>
          <w:tcPr>
            <w:tcW w:w="2977" w:type="dxa"/>
            <w:tcBorders>
              <w:top w:val="single" w:sz="4" w:space="0" w:color="auto"/>
              <w:left w:val="single" w:sz="4" w:space="0" w:color="auto"/>
              <w:bottom w:val="single" w:sz="4" w:space="0" w:color="auto"/>
            </w:tcBorders>
          </w:tcPr>
          <w:p w14:paraId="1466812A"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By June 2022, the 2020–21 annual report on national freight performance outcomes is complete, and the Strategy’s performance framework is updated </w:t>
            </w:r>
          </w:p>
          <w:p w14:paraId="3B75D2F8"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Target met</w:t>
            </w:r>
          </w:p>
          <w:p w14:paraId="322B3C1A"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The 2020–2021 National Freight and Supply Chain Strategy Annual Report was released in January 2022 and the Strategy’s performance framework updated to include three new indicators</w:t>
            </w:r>
          </w:p>
        </w:tc>
      </w:tr>
      <w:tr w:rsidR="004C5CB1" w:rsidRPr="001B2F81" w14:paraId="5115EF89" w14:textId="77777777" w:rsidTr="004C5CB1">
        <w:trPr>
          <w:cantSplit/>
          <w:trHeight w:val="642"/>
        </w:trPr>
        <w:tc>
          <w:tcPr>
            <w:tcW w:w="1560" w:type="dxa"/>
            <w:tcBorders>
              <w:top w:val="nil"/>
              <w:bottom w:val="nil"/>
              <w:right w:val="single" w:sz="4" w:space="0" w:color="auto"/>
            </w:tcBorders>
          </w:tcPr>
          <w:p w14:paraId="7D38BE8C"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4F2E903" w14:textId="54EF943F"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Transport costs for road freight</w:t>
            </w:r>
            <w:r w:rsidR="00B917D6">
              <w:rPr>
                <w:rFonts w:ascii="Arial" w:eastAsia="Calibri" w:hAnsi="Arial" w:cs="Arial"/>
                <w:sz w:val="16"/>
                <w:szCs w:val="16"/>
                <w:lang w:eastAsia="en-US"/>
              </w:rPr>
              <w:t xml:space="preserve"> </w:t>
            </w:r>
            <w:r w:rsidRPr="00B917D6">
              <w:rPr>
                <w:rFonts w:ascii="Arial" w:eastAsia="Calibri" w:hAnsi="Arial" w:cs="Arial"/>
                <w:sz w:val="16"/>
                <w:szCs w:val="16"/>
                <w:vertAlign w:val="superscript"/>
                <w:lang w:eastAsia="en-US"/>
              </w:rPr>
              <w:t>(c)</w:t>
            </w:r>
          </w:p>
        </w:tc>
        <w:tc>
          <w:tcPr>
            <w:tcW w:w="2977" w:type="dxa"/>
            <w:tcBorders>
              <w:top w:val="single" w:sz="4" w:space="0" w:color="auto"/>
              <w:left w:val="single" w:sz="4" w:space="0" w:color="auto"/>
              <w:bottom w:val="single" w:sz="4" w:space="0" w:color="auto"/>
            </w:tcBorders>
          </w:tcPr>
          <w:p w14:paraId="75E1DE25" w14:textId="77777777" w:rsidR="004C5CB1" w:rsidRPr="00CB20D1" w:rsidRDefault="004C5CB1" w:rsidP="004C5CB1">
            <w:pPr>
              <w:spacing w:after="0" w:line="240" w:lineRule="auto"/>
              <w:ind w:right="-11"/>
              <w:jc w:val="left"/>
              <w:rPr>
                <w:rFonts w:ascii="Arial" w:eastAsia="Calibri" w:hAnsi="Arial" w:cs="Arial"/>
                <w:sz w:val="16"/>
                <w:szCs w:val="16"/>
                <w:lang w:eastAsia="en-US"/>
              </w:rPr>
            </w:pPr>
            <w:r w:rsidRPr="00CB20D1">
              <w:rPr>
                <w:rFonts w:ascii="Arial" w:eastAsia="Calibri" w:hAnsi="Arial" w:cs="Arial"/>
                <w:sz w:val="16"/>
                <w:szCs w:val="16"/>
                <w:lang w:eastAsia="en-US"/>
              </w:rPr>
              <w:t>No target due to COVID-19 impacts</w:t>
            </w:r>
          </w:p>
          <w:p w14:paraId="75142B46" w14:textId="77777777" w:rsidR="004C5CB1" w:rsidRPr="00CB20D1" w:rsidRDefault="004C5CB1" w:rsidP="004C5CB1">
            <w:pPr>
              <w:spacing w:after="0" w:line="240" w:lineRule="auto"/>
              <w:ind w:right="-11"/>
              <w:jc w:val="left"/>
              <w:rPr>
                <w:rFonts w:ascii="Arial" w:eastAsia="Calibri" w:hAnsi="Arial" w:cs="Arial"/>
                <w:sz w:val="16"/>
                <w:szCs w:val="16"/>
                <w:lang w:eastAsia="en-US"/>
              </w:rPr>
            </w:pPr>
            <w:r w:rsidRPr="00CB20D1">
              <w:rPr>
                <w:rFonts w:ascii="Arial" w:eastAsia="Calibri" w:hAnsi="Arial" w:cs="Arial"/>
                <w:sz w:val="16"/>
                <w:szCs w:val="16"/>
                <w:lang w:eastAsia="en-US"/>
              </w:rPr>
              <w:t>Data not yet available</w:t>
            </w:r>
          </w:p>
          <w:p w14:paraId="21CD03C2"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Data will be available from ABS in July 2022</w:t>
            </w:r>
          </w:p>
        </w:tc>
      </w:tr>
      <w:tr w:rsidR="004C5CB1" w:rsidRPr="001B2F81" w14:paraId="515A0261" w14:textId="77777777" w:rsidTr="004C5CB1">
        <w:trPr>
          <w:cantSplit/>
          <w:trHeight w:val="642"/>
        </w:trPr>
        <w:tc>
          <w:tcPr>
            <w:tcW w:w="1560" w:type="dxa"/>
            <w:tcBorders>
              <w:top w:val="nil"/>
              <w:bottom w:val="nil"/>
              <w:right w:val="single" w:sz="4" w:space="0" w:color="auto"/>
            </w:tcBorders>
          </w:tcPr>
          <w:p w14:paraId="51932E3D"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661C157" w14:textId="55C5E541" w:rsidR="004C5CB1" w:rsidRPr="00CB20D1" w:rsidRDefault="004C5CB1" w:rsidP="004C5CB1">
            <w:pPr>
              <w:pStyle w:val="TableTextBase"/>
              <w:rPr>
                <w:sz w:val="16"/>
                <w:szCs w:val="16"/>
              </w:rPr>
            </w:pPr>
            <w:r w:rsidRPr="00CB20D1">
              <w:rPr>
                <w:rFonts w:eastAsia="Calibri" w:cs="Arial"/>
                <w:sz w:val="16"/>
                <w:szCs w:val="16"/>
                <w:lang w:eastAsia="en-US"/>
              </w:rPr>
              <w:t>Transport costs for rail freight</w:t>
            </w:r>
            <w:r w:rsidR="00B917D6">
              <w:rPr>
                <w:rFonts w:eastAsia="Calibri" w:cs="Arial"/>
                <w:sz w:val="16"/>
                <w:szCs w:val="16"/>
                <w:lang w:eastAsia="en-US"/>
              </w:rPr>
              <w:t xml:space="preserve"> </w:t>
            </w:r>
            <w:r>
              <w:rPr>
                <w:rFonts w:eastAsia="Calibri" w:cs="Arial"/>
                <w:sz w:val="16"/>
                <w:szCs w:val="16"/>
                <w:vertAlign w:val="superscript"/>
                <w:lang w:eastAsia="en-US"/>
              </w:rPr>
              <w:t>(c</w:t>
            </w:r>
            <w:r w:rsidRPr="00541D27">
              <w:rPr>
                <w:rFonts w:eastAsia="Calibri"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3F42DEA7" w14:textId="77777777" w:rsidR="004C5CB1" w:rsidRPr="00CB20D1" w:rsidRDefault="004C5CB1" w:rsidP="004C5CB1">
            <w:pPr>
              <w:spacing w:after="0" w:line="240" w:lineRule="auto"/>
              <w:ind w:right="-11"/>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No target due to COVID-19 impacts </w:t>
            </w:r>
          </w:p>
          <w:p w14:paraId="0364816A" w14:textId="77777777" w:rsidR="004C5CB1" w:rsidRPr="00CB20D1" w:rsidRDefault="004C5CB1" w:rsidP="004C5CB1">
            <w:pPr>
              <w:spacing w:after="0" w:line="240" w:lineRule="auto"/>
              <w:ind w:right="-11"/>
              <w:jc w:val="left"/>
              <w:rPr>
                <w:rFonts w:ascii="Arial" w:eastAsia="Calibri" w:hAnsi="Arial" w:cs="Arial"/>
                <w:sz w:val="16"/>
                <w:szCs w:val="16"/>
                <w:lang w:eastAsia="en-US"/>
              </w:rPr>
            </w:pPr>
            <w:r w:rsidRPr="00CB20D1">
              <w:rPr>
                <w:rFonts w:ascii="Arial" w:eastAsia="Calibri" w:hAnsi="Arial" w:cs="Arial"/>
                <w:sz w:val="16"/>
                <w:szCs w:val="16"/>
                <w:lang w:eastAsia="en-US"/>
              </w:rPr>
              <w:t>Data not yet available</w:t>
            </w:r>
          </w:p>
          <w:p w14:paraId="41C583B1"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Data will be available from ABS in July 2022</w:t>
            </w:r>
          </w:p>
        </w:tc>
      </w:tr>
      <w:tr w:rsidR="004C5CB1" w:rsidRPr="001B2F81" w14:paraId="4987654C" w14:textId="77777777" w:rsidTr="004C5CB1">
        <w:trPr>
          <w:cantSplit/>
          <w:trHeight w:val="642"/>
        </w:trPr>
        <w:tc>
          <w:tcPr>
            <w:tcW w:w="1560" w:type="dxa"/>
            <w:tcBorders>
              <w:top w:val="nil"/>
              <w:bottom w:val="nil"/>
              <w:right w:val="single" w:sz="4" w:space="0" w:color="auto"/>
            </w:tcBorders>
          </w:tcPr>
          <w:p w14:paraId="051A1E5B"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60B37BD" w14:textId="77777777" w:rsidR="004C5CB1" w:rsidRPr="00CB20D1" w:rsidRDefault="004C5CB1" w:rsidP="004C5CB1">
            <w:pPr>
              <w:pStyle w:val="TableTextBase"/>
              <w:rPr>
                <w:sz w:val="16"/>
                <w:szCs w:val="16"/>
              </w:rPr>
            </w:pPr>
            <w:r w:rsidRPr="00CB20D1">
              <w:rPr>
                <w:rFonts w:eastAsia="Calibri" w:cs="Arial"/>
                <w:sz w:val="16"/>
                <w:szCs w:val="16"/>
                <w:lang w:eastAsia="en-US"/>
              </w:rPr>
              <w:t>Domestic CO</w:t>
            </w:r>
            <w:r w:rsidRPr="00CB20D1">
              <w:rPr>
                <w:rFonts w:eastAsia="Calibri" w:cs="Arial"/>
                <w:sz w:val="16"/>
                <w:szCs w:val="16"/>
                <w:vertAlign w:val="subscript"/>
                <w:lang w:eastAsia="en-US"/>
              </w:rPr>
              <w:t>2</w:t>
            </w:r>
            <w:r w:rsidRPr="00CB20D1">
              <w:rPr>
                <w:rFonts w:eastAsia="Calibri" w:cs="Arial"/>
                <w:sz w:val="16"/>
                <w:szCs w:val="16"/>
                <w:lang w:eastAsia="en-US"/>
              </w:rPr>
              <w:t xml:space="preserve"> emissions and rate of emissions: road (per vehicle kilometre)</w:t>
            </w:r>
          </w:p>
        </w:tc>
        <w:tc>
          <w:tcPr>
            <w:tcW w:w="2977" w:type="dxa"/>
            <w:tcBorders>
              <w:top w:val="single" w:sz="4" w:space="0" w:color="auto"/>
              <w:left w:val="single" w:sz="4" w:space="0" w:color="auto"/>
              <w:bottom w:val="single" w:sz="4" w:space="0" w:color="auto"/>
            </w:tcBorders>
          </w:tcPr>
          <w:p w14:paraId="07662DB9"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The Department does not set targets for emissions as it reports against an economy-wide framework (the National Greenhouse Gas Inventory)</w:t>
            </w:r>
          </w:p>
          <w:p w14:paraId="75F4C06F"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Road emissions in 2020–21 totalled 92,126 gigagrams (CO</w:t>
            </w:r>
            <w:r w:rsidRPr="00E73F6C">
              <w:rPr>
                <w:rFonts w:eastAsia="Calibri" w:cs="Arial"/>
                <w:sz w:val="16"/>
                <w:szCs w:val="16"/>
                <w:vertAlign w:val="subscript"/>
                <w:lang w:eastAsia="en-US"/>
              </w:rPr>
              <w:t>2</w:t>
            </w:r>
            <w:r w:rsidRPr="00CB20D1">
              <w:rPr>
                <w:rFonts w:eastAsia="Calibri" w:cs="Arial"/>
                <w:sz w:val="16"/>
                <w:szCs w:val="16"/>
                <w:lang w:eastAsia="en-US"/>
              </w:rPr>
              <w:t>-equivalent). This is 370 gigagrams per billion vehicle kilometres</w:t>
            </w:r>
          </w:p>
        </w:tc>
      </w:tr>
      <w:tr w:rsidR="004C5CB1" w:rsidRPr="001B2F81" w14:paraId="683C1D24" w14:textId="77777777" w:rsidTr="004C5CB1">
        <w:trPr>
          <w:cantSplit/>
          <w:trHeight w:val="642"/>
        </w:trPr>
        <w:tc>
          <w:tcPr>
            <w:tcW w:w="1560" w:type="dxa"/>
            <w:tcBorders>
              <w:top w:val="nil"/>
              <w:bottom w:val="single" w:sz="4" w:space="0" w:color="auto"/>
              <w:right w:val="single" w:sz="4" w:space="0" w:color="auto"/>
            </w:tcBorders>
          </w:tcPr>
          <w:p w14:paraId="6A4601ED"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AC4E1D4" w14:textId="77777777" w:rsidR="004C5CB1" w:rsidRPr="00CB20D1" w:rsidRDefault="004C5CB1" w:rsidP="004C5CB1">
            <w:pPr>
              <w:pStyle w:val="TableTextBase"/>
              <w:rPr>
                <w:sz w:val="16"/>
                <w:szCs w:val="16"/>
              </w:rPr>
            </w:pPr>
            <w:r w:rsidRPr="00CB20D1">
              <w:rPr>
                <w:rFonts w:eastAsia="Calibri" w:cs="Arial"/>
                <w:sz w:val="16"/>
                <w:szCs w:val="16"/>
                <w:lang w:eastAsia="en-US"/>
              </w:rPr>
              <w:t>Domestic CO</w:t>
            </w:r>
            <w:r w:rsidRPr="00CB20D1">
              <w:rPr>
                <w:rFonts w:eastAsia="Calibri" w:cs="Arial"/>
                <w:sz w:val="16"/>
                <w:szCs w:val="16"/>
                <w:vertAlign w:val="subscript"/>
                <w:lang w:eastAsia="en-US"/>
              </w:rPr>
              <w:t>2</w:t>
            </w:r>
            <w:r w:rsidRPr="00CB20D1">
              <w:rPr>
                <w:rFonts w:eastAsia="Calibri" w:cs="Arial"/>
                <w:sz w:val="16"/>
                <w:szCs w:val="16"/>
                <w:lang w:eastAsia="en-US"/>
              </w:rPr>
              <w:t xml:space="preserve"> emissions and rate of emissions: rail (per tonne kilometre)</w:t>
            </w:r>
          </w:p>
        </w:tc>
        <w:tc>
          <w:tcPr>
            <w:tcW w:w="2977" w:type="dxa"/>
            <w:tcBorders>
              <w:top w:val="single" w:sz="4" w:space="0" w:color="auto"/>
              <w:left w:val="single" w:sz="4" w:space="0" w:color="auto"/>
              <w:bottom w:val="single" w:sz="4" w:space="0" w:color="auto"/>
            </w:tcBorders>
          </w:tcPr>
          <w:p w14:paraId="0E1837BE"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The Department does not set targets for emissions as it reports against an economy-wide framework (the National Greenhouse Gas Inventory)</w:t>
            </w:r>
          </w:p>
          <w:p w14:paraId="521F3091"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Rail emissions in 2020–21 totalled 6,145 gigagrams (CO</w:t>
            </w:r>
            <w:r w:rsidRPr="00E73F6C">
              <w:rPr>
                <w:rFonts w:ascii="Arial" w:eastAsia="Calibri" w:hAnsi="Arial" w:cs="Arial"/>
                <w:sz w:val="16"/>
                <w:szCs w:val="16"/>
                <w:vertAlign w:val="subscript"/>
                <w:lang w:eastAsia="en-US"/>
              </w:rPr>
              <w:t>2</w:t>
            </w:r>
            <w:r w:rsidRPr="00CB20D1">
              <w:rPr>
                <w:rFonts w:ascii="Arial" w:eastAsia="Calibri" w:hAnsi="Arial" w:cs="Arial"/>
                <w:sz w:val="16"/>
                <w:szCs w:val="16"/>
                <w:lang w:eastAsia="en-US"/>
              </w:rPr>
              <w:t>-equivalent, full fuel cycles)</w:t>
            </w:r>
          </w:p>
          <w:p w14:paraId="1196FB87"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Data on emissions per kilometre is not yet available. Data from Office of the National Rail Safety Regulator (ONRSR) which will be used for the calculation is expected to be available in April 2022</w:t>
            </w:r>
          </w:p>
        </w:tc>
      </w:tr>
    </w:tbl>
    <w:p w14:paraId="01205AC6" w14:textId="77777777" w:rsidR="00F60753" w:rsidRDefault="00F60753">
      <w:pPr>
        <w:spacing w:after="0" w:line="240" w:lineRule="auto"/>
        <w:jc w:val="left"/>
        <w:rPr>
          <w:rFonts w:ascii="Arial" w:hAnsi="Arial" w:cs="Arial"/>
          <w:sz w:val="16"/>
        </w:rPr>
      </w:pPr>
      <w:r>
        <w:rPr>
          <w:rFonts w:ascii="Arial" w:hAnsi="Arial" w:cs="Arial"/>
          <w:sz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60C23" w14:paraId="349F74A6" w14:textId="77777777" w:rsidTr="004C5CB1">
        <w:trPr>
          <w:trHeight w:val="258"/>
        </w:trPr>
        <w:tc>
          <w:tcPr>
            <w:tcW w:w="1560" w:type="dxa"/>
            <w:tcBorders>
              <w:top w:val="double" w:sz="4" w:space="0" w:color="auto"/>
              <w:bottom w:val="single" w:sz="4" w:space="0" w:color="auto"/>
              <w:right w:val="single" w:sz="4" w:space="0" w:color="auto"/>
            </w:tcBorders>
          </w:tcPr>
          <w:p w14:paraId="3A315895" w14:textId="77777777" w:rsidR="004C5CB1" w:rsidRPr="00160C23" w:rsidRDefault="004C5CB1" w:rsidP="004C5CB1">
            <w:pPr>
              <w:pStyle w:val="TableTextBase"/>
              <w:rPr>
                <w:b/>
                <w:sz w:val="16"/>
                <w:szCs w:val="16"/>
              </w:rPr>
            </w:pPr>
            <w:r>
              <w:rPr>
                <w:rFonts w:ascii="Book Antiqua" w:hAnsi="Book Antiqua"/>
                <w:sz w:val="20"/>
              </w:rPr>
              <w:lastRenderedPageBreak/>
              <w:br w:type="page"/>
            </w: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1220157D"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73E50937"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1B2F81" w14:paraId="0814ACC8" w14:textId="77777777" w:rsidTr="004C5CB1">
        <w:trPr>
          <w:cantSplit/>
          <w:trHeight w:val="642"/>
        </w:trPr>
        <w:tc>
          <w:tcPr>
            <w:tcW w:w="1560" w:type="dxa"/>
            <w:tcBorders>
              <w:top w:val="single" w:sz="4" w:space="0" w:color="auto"/>
              <w:bottom w:val="nil"/>
              <w:right w:val="single" w:sz="4" w:space="0" w:color="auto"/>
            </w:tcBorders>
          </w:tcPr>
          <w:p w14:paraId="644ACCE9" w14:textId="77777777" w:rsidR="004C5CB1" w:rsidRPr="00160C23" w:rsidRDefault="004C5CB1" w:rsidP="004C5CB1">
            <w:pPr>
              <w:pStyle w:val="TableTextBase"/>
              <w:rPr>
                <w:sz w:val="16"/>
                <w:szCs w:val="16"/>
              </w:rPr>
            </w:pPr>
            <w:r w:rsidRPr="00160C23">
              <w:rPr>
                <w:sz w:val="16"/>
                <w:szCs w:val="16"/>
              </w:rPr>
              <w:t xml:space="preserve">Current year </w:t>
            </w:r>
          </w:p>
          <w:p w14:paraId="24A3E0DC" w14:textId="77777777" w:rsidR="004C5CB1" w:rsidRPr="00160C23" w:rsidRDefault="004C5CB1" w:rsidP="004C5CB1">
            <w:pPr>
              <w:pStyle w:val="TableTextBase"/>
              <w:rPr>
                <w:sz w:val="16"/>
                <w:szCs w:val="16"/>
              </w:rPr>
            </w:pPr>
            <w:r>
              <w:rPr>
                <w:sz w:val="16"/>
                <w:szCs w:val="16"/>
              </w:rPr>
              <w:t>2021–</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3DF62613" w14:textId="77777777" w:rsidR="004C5CB1" w:rsidRPr="00CB20D1" w:rsidRDefault="004C5CB1" w:rsidP="004C5CB1">
            <w:pPr>
              <w:pStyle w:val="TableTextBase"/>
              <w:rPr>
                <w:sz w:val="16"/>
                <w:szCs w:val="16"/>
              </w:rPr>
            </w:pPr>
            <w:r w:rsidRPr="00CB20D1">
              <w:rPr>
                <w:rFonts w:eastAsia="Calibri" w:cs="Arial"/>
                <w:sz w:val="16"/>
                <w:szCs w:val="16"/>
                <w:lang w:eastAsia="en-US"/>
              </w:rPr>
              <w:t>Domestic CO</w:t>
            </w:r>
            <w:r w:rsidRPr="00CB20D1">
              <w:rPr>
                <w:rFonts w:eastAsia="Calibri" w:cs="Arial"/>
                <w:sz w:val="16"/>
                <w:szCs w:val="16"/>
                <w:vertAlign w:val="subscript"/>
                <w:lang w:eastAsia="en-US"/>
              </w:rPr>
              <w:t>2</w:t>
            </w:r>
            <w:r w:rsidRPr="00CB20D1">
              <w:rPr>
                <w:rFonts w:eastAsia="Calibri" w:cs="Arial"/>
                <w:sz w:val="16"/>
                <w:szCs w:val="16"/>
                <w:lang w:eastAsia="en-US"/>
              </w:rPr>
              <w:t xml:space="preserve"> emissions and rate of emissions: maritime (per tonne kilometre)</w:t>
            </w:r>
          </w:p>
        </w:tc>
        <w:tc>
          <w:tcPr>
            <w:tcW w:w="2977" w:type="dxa"/>
            <w:tcBorders>
              <w:top w:val="single" w:sz="4" w:space="0" w:color="auto"/>
              <w:left w:val="single" w:sz="4" w:space="0" w:color="auto"/>
              <w:bottom w:val="single" w:sz="4" w:space="0" w:color="auto"/>
            </w:tcBorders>
          </w:tcPr>
          <w:p w14:paraId="271F6BB0" w14:textId="77777777" w:rsidR="004C5CB1" w:rsidRPr="00CB20D1" w:rsidRDefault="004C5CB1" w:rsidP="004C5CB1">
            <w:pPr>
              <w:spacing w:before="120" w:after="12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The Department does not set targets for emissions as it reports against an economy-wide framework (the National Greenhouse Gas Inventory)</w:t>
            </w:r>
          </w:p>
          <w:p w14:paraId="7B730F08"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Dome</w:t>
            </w:r>
            <w:r>
              <w:rPr>
                <w:rFonts w:eastAsia="Calibri" w:cs="Arial"/>
                <w:sz w:val="16"/>
                <w:szCs w:val="16"/>
                <w:lang w:eastAsia="en-US"/>
              </w:rPr>
              <w:t>stic maritime emissions in</w:t>
            </w:r>
            <w:r>
              <w:rPr>
                <w:rFonts w:eastAsia="Calibri" w:cs="Arial"/>
                <w:sz w:val="16"/>
                <w:szCs w:val="16"/>
                <w:lang w:eastAsia="en-US"/>
              </w:rPr>
              <w:br/>
              <w:t>2020–</w:t>
            </w:r>
            <w:r w:rsidRPr="00CB20D1">
              <w:rPr>
                <w:rFonts w:eastAsia="Calibri" w:cs="Arial"/>
                <w:sz w:val="16"/>
                <w:szCs w:val="16"/>
                <w:lang w:eastAsia="en-US"/>
              </w:rPr>
              <w:t>21 totalled 2,509 gigagrams (CO</w:t>
            </w:r>
            <w:r w:rsidRPr="00E73F6C">
              <w:rPr>
                <w:rFonts w:eastAsia="Calibri" w:cs="Arial"/>
                <w:sz w:val="16"/>
                <w:szCs w:val="16"/>
                <w:vertAlign w:val="subscript"/>
                <w:lang w:eastAsia="en-US"/>
              </w:rPr>
              <w:t>2</w:t>
            </w:r>
            <w:r w:rsidRPr="00CB20D1">
              <w:rPr>
                <w:rFonts w:eastAsia="Calibri" w:cs="Arial"/>
                <w:sz w:val="16"/>
                <w:szCs w:val="16"/>
                <w:lang w:eastAsia="en-US"/>
              </w:rPr>
              <w:t>-equivalent)</w:t>
            </w:r>
          </w:p>
        </w:tc>
      </w:tr>
      <w:tr w:rsidR="004C5CB1" w:rsidRPr="001B2F81" w14:paraId="310B8F9A" w14:textId="77777777" w:rsidTr="004C5CB1">
        <w:trPr>
          <w:cantSplit/>
          <w:trHeight w:val="642"/>
        </w:trPr>
        <w:tc>
          <w:tcPr>
            <w:tcW w:w="1560" w:type="dxa"/>
            <w:tcBorders>
              <w:top w:val="nil"/>
              <w:bottom w:val="nil"/>
              <w:right w:val="single" w:sz="4" w:space="0" w:color="auto"/>
            </w:tcBorders>
          </w:tcPr>
          <w:p w14:paraId="1C352656"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E0C7521" w14:textId="77777777" w:rsidR="004C5CB1" w:rsidRPr="00CB20D1" w:rsidRDefault="004C5CB1" w:rsidP="004C5CB1">
            <w:pPr>
              <w:pStyle w:val="TableTextBase"/>
              <w:rPr>
                <w:sz w:val="16"/>
                <w:szCs w:val="16"/>
              </w:rPr>
            </w:pPr>
            <w:r w:rsidRPr="00CB20D1">
              <w:rPr>
                <w:rFonts w:eastAsia="Calibri" w:cs="Arial"/>
                <w:sz w:val="16"/>
                <w:szCs w:val="16"/>
                <w:lang w:eastAsia="en-US"/>
              </w:rPr>
              <w:t>Number of fatalities and fatality rate per 100,000 population: rail</w:t>
            </w:r>
            <w:r>
              <w:rPr>
                <w:rFonts w:eastAsia="Calibri" w:cs="Arial"/>
                <w:sz w:val="16"/>
                <w:szCs w:val="16"/>
                <w:lang w:eastAsia="en-US"/>
              </w:rPr>
              <w:t xml:space="preserve"> </w:t>
            </w:r>
            <w:r w:rsidRPr="00541D27">
              <w:rPr>
                <w:rFonts w:eastAsia="Calibri" w:cs="Arial"/>
                <w:sz w:val="16"/>
                <w:szCs w:val="16"/>
                <w:vertAlign w:val="superscript"/>
                <w:lang w:eastAsia="en-US"/>
              </w:rPr>
              <w:t>(</w:t>
            </w:r>
            <w:r>
              <w:rPr>
                <w:rFonts w:eastAsia="Calibri" w:cs="Arial"/>
                <w:sz w:val="16"/>
                <w:szCs w:val="16"/>
                <w:vertAlign w:val="superscript"/>
                <w:lang w:eastAsia="en-US"/>
              </w:rPr>
              <w:t>c</w:t>
            </w:r>
            <w:r w:rsidRPr="00541D27">
              <w:rPr>
                <w:rFonts w:eastAsia="Calibri"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7EF63C31"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Annual target setting not appropriate, results sought are long term </w:t>
            </w:r>
          </w:p>
          <w:p w14:paraId="47700F66"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Data will be available from Office of the National Rail Safety Regulator in July 2022</w:t>
            </w:r>
          </w:p>
        </w:tc>
      </w:tr>
      <w:tr w:rsidR="004C5CB1" w:rsidRPr="001B2F81" w14:paraId="0C41F1DF" w14:textId="77777777" w:rsidTr="004C5CB1">
        <w:trPr>
          <w:cantSplit/>
          <w:trHeight w:val="642"/>
        </w:trPr>
        <w:tc>
          <w:tcPr>
            <w:tcW w:w="1560" w:type="dxa"/>
            <w:tcBorders>
              <w:top w:val="nil"/>
              <w:bottom w:val="single" w:sz="4" w:space="0" w:color="auto"/>
              <w:right w:val="single" w:sz="4" w:space="0" w:color="auto"/>
            </w:tcBorders>
          </w:tcPr>
          <w:p w14:paraId="2390CEBB"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5578FDD" w14:textId="77777777" w:rsidR="004C5CB1" w:rsidRPr="00CB20D1" w:rsidRDefault="004C5CB1" w:rsidP="004C5CB1">
            <w:pPr>
              <w:pStyle w:val="TableTextBase"/>
              <w:rPr>
                <w:sz w:val="16"/>
                <w:szCs w:val="16"/>
              </w:rPr>
            </w:pPr>
            <w:r w:rsidRPr="00CB20D1">
              <w:rPr>
                <w:rFonts w:eastAsia="Calibri" w:cs="Arial"/>
                <w:sz w:val="16"/>
                <w:szCs w:val="16"/>
                <w:lang w:eastAsia="en-US"/>
              </w:rPr>
              <w:t>Number of fatalities and fatality rate per 100,000 population: maritime</w:t>
            </w:r>
          </w:p>
        </w:tc>
        <w:tc>
          <w:tcPr>
            <w:tcW w:w="2977" w:type="dxa"/>
            <w:tcBorders>
              <w:top w:val="single" w:sz="4" w:space="0" w:color="auto"/>
              <w:left w:val="single" w:sz="4" w:space="0" w:color="auto"/>
              <w:bottom w:val="single" w:sz="4" w:space="0" w:color="auto"/>
            </w:tcBorders>
          </w:tcPr>
          <w:p w14:paraId="0B36C00B"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Annual target setting not appropriate, results sought are long term </w:t>
            </w:r>
          </w:p>
          <w:p w14:paraId="4E7226A9"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Data will be available from Australian Transport Safety Bureau in July 2022</w:t>
            </w:r>
          </w:p>
        </w:tc>
      </w:tr>
      <w:tr w:rsidR="004C5CB1" w:rsidRPr="00160C23" w14:paraId="173E65A3" w14:textId="77777777" w:rsidTr="004C5CB1">
        <w:trPr>
          <w:trHeight w:val="258"/>
        </w:trPr>
        <w:tc>
          <w:tcPr>
            <w:tcW w:w="1560" w:type="dxa"/>
            <w:tcBorders>
              <w:top w:val="double" w:sz="4" w:space="0" w:color="auto"/>
              <w:bottom w:val="single" w:sz="4" w:space="0" w:color="auto"/>
              <w:right w:val="single" w:sz="4" w:space="0" w:color="auto"/>
            </w:tcBorders>
          </w:tcPr>
          <w:p w14:paraId="58E8AEA2" w14:textId="77777777" w:rsidR="004C5CB1" w:rsidRPr="00160C23" w:rsidRDefault="004C5CB1" w:rsidP="004C5CB1">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18066A6"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5EEDA6D" w14:textId="77777777" w:rsidR="004C5CB1" w:rsidRPr="00160C23" w:rsidRDefault="004C5CB1" w:rsidP="004C5CB1">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4C5CB1" w14:paraId="32290C74" w14:textId="77777777" w:rsidTr="004C5CB1">
        <w:trPr>
          <w:cantSplit/>
          <w:trHeight w:val="642"/>
        </w:trPr>
        <w:tc>
          <w:tcPr>
            <w:tcW w:w="1560" w:type="dxa"/>
            <w:tcBorders>
              <w:top w:val="single" w:sz="4" w:space="0" w:color="auto"/>
              <w:bottom w:val="nil"/>
              <w:right w:val="single" w:sz="4" w:space="0" w:color="auto"/>
            </w:tcBorders>
          </w:tcPr>
          <w:p w14:paraId="4FCDD01E" w14:textId="77777777" w:rsidR="004C5CB1" w:rsidRPr="005B62E0" w:rsidRDefault="004C5CB1" w:rsidP="004C5CB1">
            <w:pPr>
              <w:spacing w:before="60" w:after="60" w:line="240" w:lineRule="auto"/>
              <w:jc w:val="left"/>
              <w:rPr>
                <w:rFonts w:ascii="Arial" w:hAnsi="Arial" w:cs="Arial"/>
                <w:sz w:val="16"/>
                <w:szCs w:val="16"/>
              </w:rPr>
            </w:pPr>
            <w:r w:rsidRPr="005B62E0">
              <w:rPr>
                <w:rFonts w:ascii="Arial" w:eastAsia="Calibri" w:hAnsi="Arial" w:cs="Arial"/>
                <w:sz w:val="16"/>
                <w:szCs w:val="16"/>
                <w:lang w:eastAsia="en-US"/>
              </w:rPr>
              <w:t>Budget year</w:t>
            </w:r>
            <w:r w:rsidRPr="005B62E0">
              <w:rPr>
                <w:rFonts w:ascii="Arial" w:eastAsia="Calibri" w:hAnsi="Arial" w:cs="Arial"/>
                <w:sz w:val="16"/>
                <w:szCs w:val="16"/>
                <w:lang w:eastAsia="en-US"/>
              </w:rPr>
              <w:br/>
              <w:t xml:space="preserve">2022–23 </w:t>
            </w:r>
          </w:p>
        </w:tc>
        <w:tc>
          <w:tcPr>
            <w:tcW w:w="3118" w:type="dxa"/>
            <w:tcBorders>
              <w:top w:val="single" w:sz="4" w:space="0" w:color="auto"/>
              <w:left w:val="single" w:sz="4" w:space="0" w:color="auto"/>
              <w:bottom w:val="single" w:sz="4" w:space="0" w:color="auto"/>
              <w:right w:val="single" w:sz="4" w:space="0" w:color="auto"/>
            </w:tcBorders>
          </w:tcPr>
          <w:p w14:paraId="25B5E7B1" w14:textId="77777777" w:rsidR="004C5CB1" w:rsidRPr="00CB20D1" w:rsidRDefault="004C5CB1" w:rsidP="004C5CB1">
            <w:pPr>
              <w:spacing w:before="60" w:after="60" w:line="240" w:lineRule="auto"/>
              <w:jc w:val="left"/>
              <w:rPr>
                <w:rFonts w:ascii="Arial" w:eastAsia="Calibri" w:hAnsi="Arial" w:cs="Arial"/>
                <w:i/>
                <w:sz w:val="16"/>
                <w:szCs w:val="16"/>
                <w:lang w:eastAsia="en-US"/>
              </w:rPr>
            </w:pPr>
            <w:r w:rsidRPr="00CB20D1">
              <w:rPr>
                <w:rFonts w:ascii="Arial" w:eastAsia="Calibri" w:hAnsi="Arial" w:cs="Arial"/>
                <w:i/>
                <w:sz w:val="16"/>
                <w:szCs w:val="16"/>
                <w:lang w:eastAsia="en-US"/>
              </w:rPr>
              <w:t>Progress reforms for regulating vehicles and rail that support safety and productivity</w:t>
            </w:r>
          </w:p>
        </w:tc>
        <w:tc>
          <w:tcPr>
            <w:tcW w:w="2977" w:type="dxa"/>
            <w:tcBorders>
              <w:top w:val="single" w:sz="4" w:space="0" w:color="auto"/>
              <w:left w:val="single" w:sz="4" w:space="0" w:color="auto"/>
              <w:bottom w:val="single" w:sz="4" w:space="0" w:color="auto"/>
            </w:tcBorders>
          </w:tcPr>
          <w:p w14:paraId="4E862E24" w14:textId="77777777" w:rsidR="004C5CB1" w:rsidRPr="00CB20D1" w:rsidRDefault="004C5CB1" w:rsidP="004C5CB1">
            <w:pPr>
              <w:pStyle w:val="TableTextBase"/>
              <w:rPr>
                <w:rFonts w:eastAsia="Calibri" w:cs="Arial"/>
                <w:sz w:val="16"/>
                <w:szCs w:val="16"/>
                <w:lang w:eastAsia="en-US"/>
              </w:rPr>
            </w:pPr>
            <w:r w:rsidRPr="00CB20D1">
              <w:rPr>
                <w:rFonts w:cs="Arial"/>
                <w:sz w:val="16"/>
                <w:szCs w:val="16"/>
              </w:rPr>
              <w:t xml:space="preserve">Policy advice is high-quality, </w:t>
            </w:r>
            <w:r w:rsidRPr="00CB20D1">
              <w:rPr>
                <w:rFonts w:eastAsia="Calibri" w:cs="Arial"/>
                <w:sz w:val="16"/>
                <w:szCs w:val="16"/>
                <w:lang w:eastAsia="en-US"/>
              </w:rPr>
              <w:t>timely and evidence-based to support decision making on heavy vehicle and rail productivity and safety matters</w:t>
            </w:r>
          </w:p>
          <w:p w14:paraId="0CA507CD"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Funding is delivered for relevant programs such as the Heavy Vehicle Safety Initiative, Strategic Local Government Asset Assessment Project and Regional Australia Level Crossing Safety Program</w:t>
            </w:r>
          </w:p>
        </w:tc>
      </w:tr>
      <w:tr w:rsidR="004C5CB1" w14:paraId="1D5322FD" w14:textId="77777777" w:rsidTr="004C5CB1">
        <w:trPr>
          <w:cantSplit/>
          <w:trHeight w:val="642"/>
        </w:trPr>
        <w:tc>
          <w:tcPr>
            <w:tcW w:w="1560" w:type="dxa"/>
            <w:tcBorders>
              <w:top w:val="nil"/>
              <w:bottom w:val="nil"/>
              <w:right w:val="single" w:sz="4" w:space="0" w:color="auto"/>
            </w:tcBorders>
          </w:tcPr>
          <w:p w14:paraId="6BCF94D5"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14:paraId="158D8F4A" w14:textId="77777777" w:rsidR="004C5CB1" w:rsidRPr="00CB20D1" w:rsidRDefault="004C5CB1" w:rsidP="004C5CB1">
            <w:pPr>
              <w:pStyle w:val="TableTextBase"/>
              <w:rPr>
                <w:sz w:val="16"/>
                <w:szCs w:val="16"/>
              </w:rPr>
            </w:pPr>
            <w:r w:rsidRPr="00CB20D1">
              <w:rPr>
                <w:rFonts w:eastAsia="Calibri" w:cs="Arial"/>
                <w:sz w:val="16"/>
                <w:szCs w:val="16"/>
                <w:lang w:eastAsia="en-US"/>
              </w:rPr>
              <w:t>Progress of reforms to the Disability Standards for Accessible Public Transport</w:t>
            </w:r>
          </w:p>
        </w:tc>
        <w:tc>
          <w:tcPr>
            <w:tcW w:w="2977" w:type="dxa"/>
            <w:tcBorders>
              <w:top w:val="single" w:sz="4" w:space="0" w:color="auto"/>
              <w:left w:val="single" w:sz="4" w:space="0" w:color="auto"/>
              <w:bottom w:val="single" w:sz="4" w:space="0" w:color="auto"/>
            </w:tcBorders>
          </w:tcPr>
          <w:p w14:paraId="72BED08A"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Financial year delivery milestones set by the Infrastructure and Transport Ministers’ Meeting (ITMM) are met</w:t>
            </w:r>
          </w:p>
        </w:tc>
      </w:tr>
      <w:tr w:rsidR="004C5CB1" w14:paraId="2A7EA316" w14:textId="77777777" w:rsidTr="004C5CB1">
        <w:trPr>
          <w:cantSplit/>
          <w:trHeight w:val="642"/>
        </w:trPr>
        <w:tc>
          <w:tcPr>
            <w:tcW w:w="1560" w:type="dxa"/>
            <w:tcBorders>
              <w:top w:val="nil"/>
              <w:bottom w:val="single" w:sz="4" w:space="0" w:color="auto"/>
              <w:right w:val="single" w:sz="4" w:space="0" w:color="auto"/>
            </w:tcBorders>
          </w:tcPr>
          <w:p w14:paraId="19720A45"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700C20C" w14:textId="77777777" w:rsidR="004C5CB1" w:rsidRPr="00CB20D1" w:rsidRDefault="004C5CB1" w:rsidP="004C5CB1">
            <w:pPr>
              <w:pStyle w:val="TableTextBase"/>
              <w:rPr>
                <w:sz w:val="16"/>
                <w:szCs w:val="16"/>
              </w:rPr>
            </w:pPr>
            <w:r w:rsidRPr="00CB20D1">
              <w:rPr>
                <w:rFonts w:eastAsia="Calibri" w:cs="Arial"/>
                <w:i/>
                <w:iCs/>
                <w:sz w:val="16"/>
                <w:szCs w:val="16"/>
                <w:lang w:eastAsia="en-US"/>
              </w:rPr>
              <w:t>Develop policy and regulatory advice, including supporting of trials and research, to support progress towards the safe, legal and nationally consistent introduction and uptake of connected and automated vehicles in Australia</w:t>
            </w:r>
          </w:p>
        </w:tc>
        <w:tc>
          <w:tcPr>
            <w:tcW w:w="2977" w:type="dxa"/>
            <w:tcBorders>
              <w:top w:val="single" w:sz="4" w:space="0" w:color="auto"/>
              <w:left w:val="single" w:sz="4" w:space="0" w:color="auto"/>
              <w:bottom w:val="single" w:sz="4" w:space="0" w:color="auto"/>
            </w:tcBorders>
          </w:tcPr>
          <w:p w14:paraId="03211D0E"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Policy advice is high quality, timely and evidence-based, adapts to the changing environment and developed in partnership with states and territories, the NTC and key industry stakeholders</w:t>
            </w:r>
          </w:p>
          <w:p w14:paraId="28645BA2"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 xml:space="preserve">Commonwealth-led actions in the National Land Transport Technology Action Plan (NLTTAP) 2020–2023 are substantially complete and progress is made towards developing the next iteration of the NLTTAP </w:t>
            </w:r>
          </w:p>
          <w:p w14:paraId="2D1C1C83"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Progress on a national automated vehicle safety law (AVSL) and associated in-service framework meets the timeframes set by Infrastructure and Transport Ministers</w:t>
            </w:r>
          </w:p>
        </w:tc>
      </w:tr>
    </w:tbl>
    <w:p w14:paraId="0DC671A7" w14:textId="77777777" w:rsidR="00F60753" w:rsidRDefault="00F60753">
      <w:pPr>
        <w:spacing w:after="0" w:line="240" w:lineRule="auto"/>
        <w:jc w:val="left"/>
        <w:rPr>
          <w:rFonts w:ascii="Arial" w:hAnsi="Arial" w:cs="Arial"/>
          <w:sz w:val="16"/>
        </w:rPr>
      </w:pPr>
      <w:r>
        <w:rPr>
          <w:rFonts w:ascii="Arial" w:hAnsi="Arial" w:cs="Arial"/>
          <w:sz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60C23" w14:paraId="719D92CC" w14:textId="77777777" w:rsidTr="004C5CB1">
        <w:trPr>
          <w:trHeight w:val="258"/>
        </w:trPr>
        <w:tc>
          <w:tcPr>
            <w:tcW w:w="1560" w:type="dxa"/>
            <w:tcBorders>
              <w:top w:val="double" w:sz="4" w:space="0" w:color="auto"/>
              <w:bottom w:val="single" w:sz="4" w:space="0" w:color="auto"/>
              <w:right w:val="single" w:sz="4" w:space="0" w:color="auto"/>
            </w:tcBorders>
          </w:tcPr>
          <w:p w14:paraId="778754F6" w14:textId="77777777" w:rsidR="004C5CB1" w:rsidRPr="00160C23" w:rsidRDefault="004C5CB1" w:rsidP="004C5CB1">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1DD36ACA"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52B47FF4" w14:textId="77777777" w:rsidR="004C5CB1" w:rsidRPr="00160C23" w:rsidRDefault="004C5CB1" w:rsidP="004C5CB1">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4C5CB1" w14:paraId="7575CB89" w14:textId="77777777" w:rsidTr="004C5CB1">
        <w:trPr>
          <w:cantSplit/>
          <w:trHeight w:val="642"/>
        </w:trPr>
        <w:tc>
          <w:tcPr>
            <w:tcW w:w="1560" w:type="dxa"/>
            <w:tcBorders>
              <w:top w:val="nil"/>
              <w:bottom w:val="nil"/>
              <w:right w:val="single" w:sz="4" w:space="0" w:color="auto"/>
            </w:tcBorders>
          </w:tcPr>
          <w:p w14:paraId="4515902C" w14:textId="77777777" w:rsidR="004C5CB1" w:rsidRPr="00160C23" w:rsidRDefault="004C5CB1" w:rsidP="004C5CB1">
            <w:pPr>
              <w:pStyle w:val="TableTextBase"/>
              <w:rPr>
                <w:sz w:val="16"/>
                <w:szCs w:val="16"/>
              </w:rPr>
            </w:pPr>
            <w:r>
              <w:rPr>
                <w:rFonts w:eastAsia="Calibri" w:cs="Arial"/>
                <w:sz w:val="16"/>
                <w:szCs w:val="16"/>
                <w:lang w:eastAsia="en-US"/>
              </w:rPr>
              <w:t>Budget y</w:t>
            </w:r>
            <w:r w:rsidRPr="00BE08C4">
              <w:rPr>
                <w:rFonts w:eastAsia="Calibri" w:cs="Arial"/>
                <w:sz w:val="16"/>
                <w:szCs w:val="16"/>
                <w:lang w:eastAsia="en-US"/>
              </w:rPr>
              <w:t>ear</w:t>
            </w:r>
            <w:r>
              <w:rPr>
                <w:rFonts w:eastAsia="Calibri" w:cs="Arial"/>
                <w:sz w:val="16"/>
                <w:szCs w:val="16"/>
                <w:lang w:eastAsia="en-US"/>
              </w:rPr>
              <w:br/>
            </w:r>
            <w:r w:rsidRPr="00BE08C4">
              <w:rPr>
                <w:rFonts w:eastAsia="Calibri" w:cs="Arial"/>
                <w:sz w:val="16"/>
                <w:szCs w:val="16"/>
                <w:lang w:eastAsia="en-US"/>
              </w:rPr>
              <w:t>2022–23</w:t>
            </w:r>
            <w:r>
              <w:rPr>
                <w:rFonts w:eastAsia="Calibri" w:cs="Arial"/>
                <w:sz w:val="16"/>
                <w:szCs w:val="16"/>
                <w:lang w:eastAsia="en-US"/>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6748CFC2" w14:textId="77777777" w:rsidR="004C5CB1" w:rsidRPr="00CB20D1" w:rsidRDefault="004C5CB1" w:rsidP="004C5CB1">
            <w:pPr>
              <w:spacing w:before="60" w:after="60" w:line="240" w:lineRule="auto"/>
              <w:jc w:val="left"/>
              <w:rPr>
                <w:rFonts w:ascii="Arial" w:eastAsia="Calibri" w:hAnsi="Arial" w:cs="Arial"/>
                <w:sz w:val="16"/>
                <w:szCs w:val="16"/>
                <w:lang w:eastAsia="en-US"/>
              </w:rPr>
            </w:pPr>
            <w:r w:rsidRPr="00CB20D1">
              <w:rPr>
                <w:rFonts w:ascii="Arial" w:eastAsia="Calibri" w:hAnsi="Arial" w:cs="Arial"/>
                <w:sz w:val="16"/>
                <w:szCs w:val="16"/>
                <w:lang w:eastAsia="en-US"/>
              </w:rPr>
              <w:t>Performance of Tasmanian shipping programs, indicated through number of:</w:t>
            </w:r>
          </w:p>
          <w:p w14:paraId="6F573544" w14:textId="77777777" w:rsidR="004C5CB1" w:rsidRPr="00CB20D1" w:rsidRDefault="004C5CB1" w:rsidP="009E60A3">
            <w:pPr>
              <w:pStyle w:val="ListParagraph"/>
              <w:numPr>
                <w:ilvl w:val="0"/>
                <w:numId w:val="219"/>
              </w:numPr>
              <w:spacing w:before="60" w:after="60" w:line="240" w:lineRule="auto"/>
              <w:ind w:left="318" w:right="-11" w:hanging="284"/>
              <w:contextualSpacing w:val="0"/>
              <w:rPr>
                <w:rFonts w:ascii="Arial" w:hAnsi="Arial" w:cs="Arial"/>
                <w:sz w:val="16"/>
                <w:szCs w:val="16"/>
              </w:rPr>
            </w:pPr>
            <w:r w:rsidRPr="00CB20D1">
              <w:rPr>
                <w:rFonts w:ascii="Arial" w:hAnsi="Arial" w:cs="Arial"/>
                <w:sz w:val="16"/>
                <w:szCs w:val="16"/>
              </w:rPr>
              <w:t>claims paid (Tasmanian Freight Equalisation Scheme)</w:t>
            </w:r>
          </w:p>
          <w:p w14:paraId="7FA37234" w14:textId="77777777" w:rsidR="004C5CB1" w:rsidRPr="00CB20D1" w:rsidRDefault="004C5CB1" w:rsidP="009E60A3">
            <w:pPr>
              <w:pStyle w:val="ListParagraph"/>
              <w:numPr>
                <w:ilvl w:val="0"/>
                <w:numId w:val="219"/>
              </w:numPr>
              <w:spacing w:before="60" w:after="60" w:line="240" w:lineRule="auto"/>
              <w:ind w:left="318" w:right="-11" w:hanging="284"/>
              <w:contextualSpacing w:val="0"/>
              <w:rPr>
                <w:rFonts w:ascii="Arial" w:hAnsi="Arial" w:cs="Arial"/>
                <w:sz w:val="16"/>
                <w:szCs w:val="16"/>
              </w:rPr>
            </w:pPr>
            <w:r w:rsidRPr="00CB20D1">
              <w:rPr>
                <w:rFonts w:ascii="Arial" w:hAnsi="Arial" w:cs="Arial"/>
                <w:sz w:val="16"/>
                <w:szCs w:val="16"/>
              </w:rPr>
              <w:t>rebates provided (Bass Strait Passenger Vehicle Equalisation Scheme)</w:t>
            </w:r>
          </w:p>
        </w:tc>
        <w:tc>
          <w:tcPr>
            <w:tcW w:w="2977" w:type="dxa"/>
            <w:tcBorders>
              <w:top w:val="single" w:sz="4" w:space="0" w:color="auto"/>
              <w:left w:val="single" w:sz="4" w:space="0" w:color="auto"/>
              <w:bottom w:val="single" w:sz="4" w:space="0" w:color="auto"/>
            </w:tcBorders>
          </w:tcPr>
          <w:p w14:paraId="3C612283"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Programs are demand-driven</w:t>
            </w:r>
          </w:p>
        </w:tc>
      </w:tr>
      <w:tr w:rsidR="004C5CB1" w14:paraId="14C49694" w14:textId="77777777" w:rsidTr="004C5CB1">
        <w:trPr>
          <w:cantSplit/>
          <w:trHeight w:val="642"/>
        </w:trPr>
        <w:tc>
          <w:tcPr>
            <w:tcW w:w="1560" w:type="dxa"/>
            <w:tcBorders>
              <w:top w:val="nil"/>
              <w:bottom w:val="nil"/>
              <w:right w:val="single" w:sz="4" w:space="0" w:color="auto"/>
            </w:tcBorders>
          </w:tcPr>
          <w:p w14:paraId="430E3FB4"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4AEBCD4" w14:textId="77777777" w:rsidR="004C5CB1" w:rsidRPr="00CB20D1" w:rsidRDefault="004C5CB1" w:rsidP="004C5CB1">
            <w:pPr>
              <w:pStyle w:val="TableTextBase"/>
              <w:rPr>
                <w:sz w:val="16"/>
                <w:szCs w:val="16"/>
                <w:highlight w:val="yellow"/>
              </w:rPr>
            </w:pPr>
            <w:r w:rsidRPr="00CB20D1">
              <w:rPr>
                <w:rFonts w:eastAsia="Calibri" w:cs="Arial"/>
                <w:sz w:val="16"/>
                <w:szCs w:val="16"/>
                <w:lang w:eastAsia="en-US"/>
              </w:rPr>
              <w:t>Progress implementing the National Freight and Supply Chain Strategy (the Strategy) for the next 20 years and beyond to 2040</w:t>
            </w:r>
          </w:p>
        </w:tc>
        <w:tc>
          <w:tcPr>
            <w:tcW w:w="2977" w:type="dxa"/>
            <w:tcBorders>
              <w:top w:val="single" w:sz="4" w:space="0" w:color="auto"/>
              <w:left w:val="single" w:sz="4" w:space="0" w:color="auto"/>
              <w:bottom w:val="single" w:sz="4" w:space="0" w:color="auto"/>
            </w:tcBorders>
          </w:tcPr>
          <w:p w14:paraId="0E8EBBBA"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The 2021–22 annual report on national freight performance outcomes is complete, and the Strategy’s p</w:t>
            </w:r>
            <w:r>
              <w:rPr>
                <w:rFonts w:eastAsia="Calibri" w:cs="Arial"/>
                <w:sz w:val="16"/>
                <w:szCs w:val="16"/>
                <w:lang w:eastAsia="en-US"/>
              </w:rPr>
              <w:t>erformance framework is updated</w:t>
            </w:r>
          </w:p>
        </w:tc>
      </w:tr>
      <w:tr w:rsidR="004C5CB1" w14:paraId="2BA02C8A" w14:textId="77777777" w:rsidTr="004C5CB1">
        <w:trPr>
          <w:cantSplit/>
          <w:trHeight w:val="642"/>
        </w:trPr>
        <w:tc>
          <w:tcPr>
            <w:tcW w:w="1560" w:type="dxa"/>
            <w:tcBorders>
              <w:top w:val="nil"/>
              <w:bottom w:val="nil"/>
              <w:right w:val="single" w:sz="4" w:space="0" w:color="auto"/>
            </w:tcBorders>
          </w:tcPr>
          <w:p w14:paraId="54D17498"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272DA57" w14:textId="77777777" w:rsidR="004C5CB1" w:rsidRPr="00CB20D1" w:rsidRDefault="004C5CB1" w:rsidP="004C5CB1">
            <w:pPr>
              <w:pStyle w:val="TableTextBase"/>
              <w:rPr>
                <w:sz w:val="16"/>
                <w:szCs w:val="16"/>
              </w:rPr>
            </w:pPr>
            <w:r w:rsidRPr="00CB20D1">
              <w:rPr>
                <w:rFonts w:eastAsia="Calibri" w:cs="Arial"/>
                <w:i/>
                <w:iCs/>
                <w:sz w:val="16"/>
                <w:szCs w:val="16"/>
                <w:lang w:eastAsia="en-US"/>
              </w:rPr>
              <w:t>Provide policy advice on reducing CO</w:t>
            </w:r>
            <w:r w:rsidRPr="00E73F6C">
              <w:rPr>
                <w:rFonts w:eastAsia="Calibri" w:cs="Arial"/>
                <w:i/>
                <w:iCs/>
                <w:sz w:val="16"/>
                <w:szCs w:val="16"/>
                <w:vertAlign w:val="subscript"/>
                <w:lang w:eastAsia="en-US"/>
              </w:rPr>
              <w:t>2</w:t>
            </w:r>
            <w:r w:rsidRPr="00CB20D1">
              <w:rPr>
                <w:rFonts w:eastAsia="Calibri" w:cs="Arial"/>
                <w:i/>
                <w:iCs/>
                <w:sz w:val="16"/>
                <w:szCs w:val="16"/>
                <w:lang w:eastAsia="en-US"/>
              </w:rPr>
              <w:t xml:space="preserve"> emissions consistent with Government comm</w:t>
            </w:r>
            <w:r>
              <w:rPr>
                <w:rFonts w:eastAsia="Calibri" w:cs="Arial"/>
                <w:i/>
                <w:iCs/>
                <w:sz w:val="16"/>
                <w:szCs w:val="16"/>
                <w:lang w:eastAsia="en-US"/>
              </w:rPr>
              <w:t xml:space="preserve">itments for the transport sector </w:t>
            </w:r>
            <w:r w:rsidRPr="00564EE1">
              <w:rPr>
                <w:rFonts w:eastAsia="Calibri" w:cs="Arial"/>
                <w:i/>
                <w:iCs/>
                <w:sz w:val="16"/>
                <w:szCs w:val="16"/>
                <w:vertAlign w:val="superscript"/>
                <w:lang w:eastAsia="en-US"/>
              </w:rPr>
              <w:t>(d)</w:t>
            </w:r>
            <w:r w:rsidRPr="00CB20D1">
              <w:rPr>
                <w:rFonts w:eastAsia="Calibri" w:cs="Arial"/>
                <w:i/>
                <w:iCs/>
                <w:sz w:val="16"/>
                <w:szCs w:val="16"/>
                <w:lang w:eastAsia="en-US"/>
              </w:rPr>
              <w:t xml:space="preserve"> </w:t>
            </w:r>
          </w:p>
        </w:tc>
        <w:tc>
          <w:tcPr>
            <w:tcW w:w="2977" w:type="dxa"/>
            <w:tcBorders>
              <w:top w:val="single" w:sz="4" w:space="0" w:color="auto"/>
              <w:left w:val="single" w:sz="4" w:space="0" w:color="auto"/>
              <w:bottom w:val="single" w:sz="4" w:space="0" w:color="auto"/>
            </w:tcBorders>
          </w:tcPr>
          <w:p w14:paraId="0B2EFD65"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Policy advice is high quality, timely and evidence-based and adapts to the changing environment</w:t>
            </w:r>
          </w:p>
          <w:p w14:paraId="24BBD19B"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Active participation in relevant international forums</w:t>
            </w:r>
          </w:p>
          <w:p w14:paraId="5464DD79"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Progress Australia’s engagement and activities under the Clydebank Declaration, Quad Green Shipping Taskforce and maritime low emission technology initiative with Singapore</w:t>
            </w:r>
          </w:p>
          <w:p w14:paraId="3C914210" w14:textId="77777777" w:rsidR="004C5CB1" w:rsidRPr="00CB20D1" w:rsidRDefault="004C5CB1" w:rsidP="004C5CB1">
            <w:pPr>
              <w:pStyle w:val="TableTextBase"/>
              <w:rPr>
                <w:rFonts w:eastAsia="Calibri" w:cs="Arial"/>
                <w:sz w:val="16"/>
                <w:szCs w:val="16"/>
                <w:lang w:eastAsia="en-US"/>
              </w:rPr>
            </w:pPr>
            <w:r w:rsidRPr="00CB20D1">
              <w:rPr>
                <w:rFonts w:eastAsia="Calibri" w:cs="Arial"/>
                <w:sz w:val="16"/>
                <w:szCs w:val="16"/>
                <w:lang w:eastAsia="en-US"/>
              </w:rPr>
              <w:t>Updates to the Green Vehicle Guide to improve information on electric vehicles and charging infrastructure</w:t>
            </w:r>
          </w:p>
        </w:tc>
      </w:tr>
      <w:tr w:rsidR="004C5CB1" w14:paraId="5DC25776" w14:textId="77777777" w:rsidTr="004C5CB1">
        <w:trPr>
          <w:cantSplit/>
          <w:trHeight w:val="642"/>
        </w:trPr>
        <w:tc>
          <w:tcPr>
            <w:tcW w:w="1560" w:type="dxa"/>
            <w:tcBorders>
              <w:top w:val="nil"/>
              <w:bottom w:val="single" w:sz="4" w:space="0" w:color="auto"/>
              <w:right w:val="single" w:sz="4" w:space="0" w:color="auto"/>
            </w:tcBorders>
          </w:tcPr>
          <w:p w14:paraId="3AD983F9"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5A8B921" w14:textId="77777777" w:rsidR="004C5CB1" w:rsidRPr="00CB20D1" w:rsidRDefault="004C5CB1" w:rsidP="004C5CB1">
            <w:pPr>
              <w:pStyle w:val="TableTextBase"/>
              <w:rPr>
                <w:sz w:val="16"/>
                <w:szCs w:val="16"/>
              </w:rPr>
            </w:pPr>
            <w:r w:rsidRPr="00CB20D1">
              <w:rPr>
                <w:rFonts w:eastAsia="Calibri" w:cs="Arial"/>
                <w:i/>
                <w:sz w:val="16"/>
                <w:szCs w:val="16"/>
                <w:lang w:eastAsia="en-US"/>
              </w:rPr>
              <w:t>Provide policy advice supporting safety: maritime</w:t>
            </w:r>
          </w:p>
        </w:tc>
        <w:tc>
          <w:tcPr>
            <w:tcW w:w="2977" w:type="dxa"/>
            <w:tcBorders>
              <w:top w:val="single" w:sz="4" w:space="0" w:color="auto"/>
              <w:left w:val="single" w:sz="4" w:space="0" w:color="auto"/>
              <w:bottom w:val="single" w:sz="4" w:space="0" w:color="auto"/>
            </w:tcBorders>
          </w:tcPr>
          <w:p w14:paraId="74D30060" w14:textId="77777777" w:rsidR="004C5CB1" w:rsidRPr="00CB20D1" w:rsidRDefault="004C5CB1" w:rsidP="004C5CB1">
            <w:pPr>
              <w:pStyle w:val="TableTextBase"/>
              <w:rPr>
                <w:rFonts w:eastAsia="Calibri" w:cs="Arial"/>
                <w:sz w:val="16"/>
                <w:szCs w:val="16"/>
                <w:lang w:eastAsia="en-US"/>
              </w:rPr>
            </w:pPr>
            <w:r w:rsidRPr="00CB20D1">
              <w:rPr>
                <w:rFonts w:cs="Arial"/>
                <w:sz w:val="16"/>
                <w:szCs w:val="16"/>
              </w:rPr>
              <w:t>Policy advice is high-quality, timely and evidence-based to support decision making on the Review of Domestic Commercial Vessels Safety Legislation and Costs and Charging Arrangements</w:t>
            </w:r>
          </w:p>
        </w:tc>
      </w:tr>
      <w:tr w:rsidR="004C5CB1" w14:paraId="00C1F307" w14:textId="77777777" w:rsidTr="004C5CB1">
        <w:trPr>
          <w:cantSplit/>
          <w:trHeight w:val="642"/>
        </w:trPr>
        <w:tc>
          <w:tcPr>
            <w:tcW w:w="1560" w:type="dxa"/>
            <w:tcBorders>
              <w:top w:val="single" w:sz="4" w:space="0" w:color="auto"/>
              <w:bottom w:val="nil"/>
              <w:right w:val="single" w:sz="4" w:space="0" w:color="auto"/>
            </w:tcBorders>
          </w:tcPr>
          <w:p w14:paraId="03A23BFD" w14:textId="77777777" w:rsidR="004C5CB1" w:rsidRPr="00160C23" w:rsidRDefault="004C5CB1" w:rsidP="004C5CB1">
            <w:pPr>
              <w:pStyle w:val="TableTextBase"/>
              <w:rPr>
                <w:sz w:val="16"/>
                <w:szCs w:val="16"/>
              </w:rPr>
            </w:pPr>
            <w:r>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01E3FE87" w14:textId="77777777" w:rsidR="004C5CB1" w:rsidRPr="00CB20D1" w:rsidRDefault="004C5CB1" w:rsidP="004C5CB1">
            <w:pPr>
              <w:pStyle w:val="TableTextBase"/>
              <w:rPr>
                <w:rFonts w:eastAsia="Calibri" w:cs="Arial"/>
                <w:i/>
                <w:sz w:val="16"/>
                <w:szCs w:val="16"/>
                <w:lang w:eastAsia="en-US"/>
              </w:rPr>
            </w:pPr>
            <w:r w:rsidRPr="00CB20D1">
              <w:rPr>
                <w:rFonts w:eastAsia="Calibri" w:cs="Arial"/>
                <w:i/>
                <w:sz w:val="16"/>
                <w:szCs w:val="16"/>
                <w:lang w:eastAsia="en-US"/>
              </w:rPr>
              <w:t>Progress reforms for regulating vehicles and rail that support safety and productivity</w:t>
            </w:r>
          </w:p>
        </w:tc>
        <w:tc>
          <w:tcPr>
            <w:tcW w:w="2977" w:type="dxa"/>
            <w:tcBorders>
              <w:top w:val="single" w:sz="4" w:space="0" w:color="auto"/>
              <w:left w:val="single" w:sz="4" w:space="0" w:color="auto"/>
              <w:bottom w:val="single" w:sz="4" w:space="0" w:color="auto"/>
            </w:tcBorders>
          </w:tcPr>
          <w:p w14:paraId="22A83B90" w14:textId="77777777" w:rsidR="004C5CB1" w:rsidRPr="00CB20D1" w:rsidRDefault="004C5CB1" w:rsidP="004C5CB1">
            <w:pPr>
              <w:pStyle w:val="TableTextBase"/>
              <w:rPr>
                <w:rFonts w:eastAsia="Calibri" w:cs="Arial"/>
                <w:sz w:val="16"/>
                <w:szCs w:val="16"/>
                <w:lang w:eastAsia="en-US"/>
              </w:rPr>
            </w:pPr>
            <w:r w:rsidRPr="00CB20D1">
              <w:rPr>
                <w:rFonts w:cs="Arial"/>
                <w:sz w:val="16"/>
                <w:szCs w:val="16"/>
              </w:rPr>
              <w:t xml:space="preserve">Policy advice is high-quality, </w:t>
            </w:r>
            <w:r w:rsidRPr="00CB20D1">
              <w:rPr>
                <w:rFonts w:eastAsia="Calibri" w:cs="Arial"/>
                <w:sz w:val="16"/>
                <w:szCs w:val="16"/>
                <w:lang w:eastAsia="en-US"/>
              </w:rPr>
              <w:t>timely and evidence-based to support decision making on heavy vehicle and rail productivity and safety matters</w:t>
            </w:r>
          </w:p>
          <w:p w14:paraId="2B01D7D6" w14:textId="77777777" w:rsidR="004C5CB1" w:rsidRPr="00CB20D1" w:rsidRDefault="004C5CB1" w:rsidP="004C5CB1">
            <w:pPr>
              <w:pStyle w:val="TableTextBase"/>
              <w:rPr>
                <w:rFonts w:eastAsia="Calibri" w:cs="Arial"/>
                <w:b/>
                <w:sz w:val="16"/>
                <w:szCs w:val="16"/>
                <w:lang w:eastAsia="en-US"/>
              </w:rPr>
            </w:pPr>
            <w:r w:rsidRPr="00CB20D1">
              <w:rPr>
                <w:rFonts w:eastAsia="Calibri" w:cs="Arial"/>
                <w:sz w:val="16"/>
                <w:szCs w:val="16"/>
                <w:lang w:eastAsia="en-US"/>
              </w:rPr>
              <w:t>Funding is delivered for relevant programs such as the Heavy Vehicle Safety Initiative, Strategic Local Government Asset Assessment Project and Regional Australia Level Crossing Safety Program</w:t>
            </w:r>
          </w:p>
        </w:tc>
      </w:tr>
      <w:tr w:rsidR="004C5CB1" w14:paraId="243F4A2F" w14:textId="77777777" w:rsidTr="004C5CB1">
        <w:trPr>
          <w:cantSplit/>
          <w:trHeight w:val="642"/>
        </w:trPr>
        <w:tc>
          <w:tcPr>
            <w:tcW w:w="1560" w:type="dxa"/>
            <w:tcBorders>
              <w:top w:val="nil"/>
              <w:bottom w:val="nil"/>
              <w:right w:val="single" w:sz="4" w:space="0" w:color="auto"/>
            </w:tcBorders>
          </w:tcPr>
          <w:p w14:paraId="2B95158E"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14:paraId="1168C367" w14:textId="77777777" w:rsidR="004C5CB1" w:rsidRPr="00CB20D1" w:rsidRDefault="004C5CB1" w:rsidP="004C5CB1">
            <w:pPr>
              <w:pStyle w:val="TableTextBase"/>
              <w:rPr>
                <w:rFonts w:eastAsia="Calibri" w:cs="Arial"/>
                <w:i/>
                <w:sz w:val="16"/>
                <w:szCs w:val="16"/>
                <w:lang w:eastAsia="en-US"/>
              </w:rPr>
            </w:pPr>
            <w:r w:rsidRPr="00CB20D1">
              <w:rPr>
                <w:rFonts w:eastAsia="Calibri" w:cs="Arial"/>
                <w:sz w:val="16"/>
                <w:szCs w:val="16"/>
                <w:lang w:eastAsia="en-US"/>
              </w:rPr>
              <w:t>Progress of reforms to the Disability Standards for Accessible Public Transport</w:t>
            </w:r>
          </w:p>
        </w:tc>
        <w:tc>
          <w:tcPr>
            <w:tcW w:w="2977" w:type="dxa"/>
            <w:tcBorders>
              <w:top w:val="single" w:sz="4" w:space="0" w:color="auto"/>
              <w:left w:val="single" w:sz="4" w:space="0" w:color="auto"/>
              <w:bottom w:val="single" w:sz="4" w:space="0" w:color="auto"/>
            </w:tcBorders>
          </w:tcPr>
          <w:p w14:paraId="7B1D0B16" w14:textId="77777777" w:rsidR="004C5CB1" w:rsidRPr="00CB20D1" w:rsidRDefault="004C5CB1" w:rsidP="004C5CB1">
            <w:pPr>
              <w:pStyle w:val="TableTextBase"/>
              <w:rPr>
                <w:rFonts w:eastAsia="Calibri" w:cs="Arial"/>
                <w:b/>
                <w:sz w:val="16"/>
                <w:szCs w:val="16"/>
                <w:lang w:eastAsia="en-US"/>
              </w:rPr>
            </w:pPr>
            <w:r w:rsidRPr="00CB20D1">
              <w:rPr>
                <w:rFonts w:eastAsia="Calibri" w:cs="Arial"/>
                <w:sz w:val="16"/>
                <w:szCs w:val="16"/>
                <w:lang w:eastAsia="en-US"/>
              </w:rPr>
              <w:t>Financial year delivery milestones set by the Infrastructure and Transport Ministers’ Meeting (ITMM) are met</w:t>
            </w:r>
          </w:p>
        </w:tc>
      </w:tr>
      <w:tr w:rsidR="004C5CB1" w14:paraId="46AC9D23" w14:textId="77777777" w:rsidTr="004C5CB1">
        <w:trPr>
          <w:cantSplit/>
          <w:trHeight w:val="642"/>
        </w:trPr>
        <w:tc>
          <w:tcPr>
            <w:tcW w:w="1560" w:type="dxa"/>
            <w:tcBorders>
              <w:top w:val="nil"/>
              <w:left w:val="single" w:sz="4" w:space="0" w:color="auto"/>
              <w:bottom w:val="single" w:sz="4" w:space="0" w:color="auto"/>
              <w:right w:val="single" w:sz="4" w:space="0" w:color="auto"/>
            </w:tcBorders>
          </w:tcPr>
          <w:p w14:paraId="2B0DC09F"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9A35B8B" w14:textId="77777777" w:rsidR="004C5CB1" w:rsidRPr="00CB20D1" w:rsidRDefault="004C5CB1" w:rsidP="004C5CB1">
            <w:pPr>
              <w:pStyle w:val="TableTextBase"/>
              <w:rPr>
                <w:rFonts w:eastAsia="Calibri" w:cs="Arial"/>
                <w:sz w:val="16"/>
                <w:szCs w:val="16"/>
                <w:lang w:eastAsia="en-US"/>
              </w:rPr>
            </w:pPr>
            <w:r w:rsidRPr="00CB20D1">
              <w:rPr>
                <w:rFonts w:eastAsia="Calibri" w:cs="Arial"/>
                <w:i/>
                <w:iCs/>
                <w:sz w:val="16"/>
                <w:szCs w:val="16"/>
                <w:lang w:eastAsia="en-US"/>
              </w:rPr>
              <w:t>Develop policy and regulatory advice, including supporting of trials and research, to support progress towards the safe, legal and nationally consistent introduction and uptake of connected and automated vehicles in Australia</w:t>
            </w:r>
          </w:p>
        </w:tc>
        <w:tc>
          <w:tcPr>
            <w:tcW w:w="2977" w:type="dxa"/>
            <w:tcBorders>
              <w:top w:val="single" w:sz="4" w:space="0" w:color="auto"/>
              <w:left w:val="single" w:sz="4" w:space="0" w:color="auto"/>
              <w:bottom w:val="single" w:sz="4" w:space="0" w:color="auto"/>
            </w:tcBorders>
          </w:tcPr>
          <w:p w14:paraId="1AFBBDCA" w14:textId="77777777" w:rsidR="004C5CB1" w:rsidRPr="00CB20D1" w:rsidRDefault="004C5CB1" w:rsidP="004C5CB1">
            <w:pPr>
              <w:pStyle w:val="TableTextBase"/>
              <w:rPr>
                <w:rFonts w:eastAsia="Calibri" w:cs="Arial"/>
                <w:b/>
                <w:sz w:val="16"/>
                <w:szCs w:val="16"/>
                <w:lang w:eastAsia="en-US"/>
              </w:rPr>
            </w:pPr>
            <w:r w:rsidRPr="00CB20D1">
              <w:rPr>
                <w:rFonts w:eastAsia="Calibri" w:cs="Arial"/>
                <w:sz w:val="16"/>
                <w:szCs w:val="16"/>
                <w:lang w:eastAsia="en-US"/>
              </w:rPr>
              <w:t>Drafting instructions for a national AVSL to be implemented through Commonwealth law are complete, the national AVSL is introduced, and a national regulator is established, consistent with the roadmap for implementing a national safety framework for automated vehicles agreed by Infrastructure and Transport Ministers</w:t>
            </w:r>
          </w:p>
        </w:tc>
      </w:tr>
      <w:tr w:rsidR="004C5CB1" w:rsidRPr="00160C23" w14:paraId="619FE436" w14:textId="77777777" w:rsidTr="004C5CB1">
        <w:trPr>
          <w:trHeight w:val="258"/>
        </w:trPr>
        <w:tc>
          <w:tcPr>
            <w:tcW w:w="1560" w:type="dxa"/>
            <w:tcBorders>
              <w:top w:val="double" w:sz="4" w:space="0" w:color="auto"/>
              <w:bottom w:val="single" w:sz="4" w:space="0" w:color="auto"/>
              <w:right w:val="single" w:sz="4" w:space="0" w:color="auto"/>
            </w:tcBorders>
          </w:tcPr>
          <w:p w14:paraId="1F3740CD" w14:textId="77777777" w:rsidR="004C5CB1" w:rsidRPr="00160C23" w:rsidRDefault="004C5CB1" w:rsidP="004C5CB1">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5BDAB93"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786BFB98" w14:textId="77777777" w:rsidR="004C5CB1" w:rsidRPr="00160C23" w:rsidRDefault="004C5CB1" w:rsidP="004C5CB1">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4C5CB1" w:rsidRPr="00B0305F" w14:paraId="6E137342" w14:textId="77777777" w:rsidTr="004C5CB1">
        <w:trPr>
          <w:cantSplit/>
          <w:trHeight w:val="642"/>
        </w:trPr>
        <w:tc>
          <w:tcPr>
            <w:tcW w:w="1560" w:type="dxa"/>
            <w:vMerge w:val="restart"/>
            <w:tcBorders>
              <w:top w:val="single" w:sz="4" w:space="0" w:color="auto"/>
              <w:right w:val="single" w:sz="4" w:space="0" w:color="auto"/>
            </w:tcBorders>
          </w:tcPr>
          <w:p w14:paraId="4E02DE55" w14:textId="77777777" w:rsidR="004C5CB1" w:rsidRPr="00B0305F" w:rsidRDefault="004C5CB1" w:rsidP="004C5CB1">
            <w:pPr>
              <w:pStyle w:val="TableTextBase"/>
              <w:rPr>
                <w:sz w:val="16"/>
                <w:szCs w:val="16"/>
              </w:rPr>
            </w:pPr>
            <w:r w:rsidRPr="00B0305F">
              <w:rPr>
                <w:sz w:val="16"/>
                <w:szCs w:val="16"/>
              </w:rPr>
              <w:t>Forward Estimates 2023-26 cont.</w:t>
            </w:r>
          </w:p>
        </w:tc>
        <w:tc>
          <w:tcPr>
            <w:tcW w:w="3118" w:type="dxa"/>
            <w:tcBorders>
              <w:top w:val="single" w:sz="4" w:space="0" w:color="auto"/>
              <w:left w:val="single" w:sz="4" w:space="0" w:color="auto"/>
              <w:bottom w:val="single" w:sz="4" w:space="0" w:color="auto"/>
              <w:right w:val="single" w:sz="4" w:space="0" w:color="auto"/>
            </w:tcBorders>
          </w:tcPr>
          <w:p w14:paraId="5F18403D" w14:textId="77777777" w:rsidR="004C5CB1" w:rsidRPr="005B62E0" w:rsidRDefault="004C5CB1" w:rsidP="004C5CB1">
            <w:pPr>
              <w:spacing w:before="60" w:after="60" w:line="240" w:lineRule="auto"/>
              <w:jc w:val="left"/>
              <w:rPr>
                <w:rFonts w:ascii="Arial" w:eastAsia="Calibri" w:hAnsi="Arial" w:cs="Arial"/>
                <w:sz w:val="16"/>
                <w:szCs w:val="16"/>
                <w:lang w:eastAsia="en-US"/>
              </w:rPr>
            </w:pPr>
            <w:r w:rsidRPr="005B62E0">
              <w:rPr>
                <w:rFonts w:ascii="Arial" w:eastAsia="Calibri" w:hAnsi="Arial" w:cs="Arial"/>
                <w:sz w:val="16"/>
                <w:szCs w:val="16"/>
                <w:lang w:eastAsia="en-US"/>
              </w:rPr>
              <w:t>Performance of Tasmanian shipping programs, indicated through number of:</w:t>
            </w:r>
          </w:p>
          <w:p w14:paraId="40654A70" w14:textId="77777777" w:rsidR="004C5CB1" w:rsidRDefault="004C5CB1" w:rsidP="00B917D6">
            <w:pPr>
              <w:pStyle w:val="ListParagraph"/>
              <w:numPr>
                <w:ilvl w:val="0"/>
                <w:numId w:val="247"/>
              </w:numPr>
              <w:spacing w:before="60" w:after="60" w:line="240" w:lineRule="auto"/>
              <w:ind w:left="318" w:right="-11" w:hanging="284"/>
              <w:contextualSpacing w:val="0"/>
              <w:rPr>
                <w:rFonts w:ascii="Arial" w:hAnsi="Arial" w:cs="Arial"/>
                <w:sz w:val="16"/>
                <w:szCs w:val="16"/>
              </w:rPr>
            </w:pPr>
            <w:r w:rsidRPr="005B62E0">
              <w:rPr>
                <w:rFonts w:ascii="Arial" w:hAnsi="Arial" w:cs="Arial"/>
                <w:sz w:val="16"/>
                <w:szCs w:val="16"/>
              </w:rPr>
              <w:t>claims paid (Tasmanian Freight Equalisation Scheme)</w:t>
            </w:r>
          </w:p>
          <w:p w14:paraId="08E58235" w14:textId="77777777" w:rsidR="004C5CB1" w:rsidRPr="00B36F40" w:rsidRDefault="004C5CB1" w:rsidP="00B917D6">
            <w:pPr>
              <w:pStyle w:val="ListParagraph"/>
              <w:numPr>
                <w:ilvl w:val="0"/>
                <w:numId w:val="247"/>
              </w:numPr>
              <w:spacing w:before="60" w:after="60" w:line="240" w:lineRule="auto"/>
              <w:ind w:left="318" w:right="-11" w:hanging="284"/>
              <w:contextualSpacing w:val="0"/>
              <w:rPr>
                <w:rFonts w:ascii="Arial" w:hAnsi="Arial" w:cs="Arial"/>
                <w:sz w:val="16"/>
                <w:szCs w:val="16"/>
              </w:rPr>
            </w:pPr>
            <w:r w:rsidRPr="00B36F40">
              <w:rPr>
                <w:rFonts w:ascii="Arial" w:hAnsi="Arial" w:cs="Arial"/>
                <w:sz w:val="16"/>
                <w:szCs w:val="16"/>
              </w:rPr>
              <w:t>rebates provided (Bass Strait Passenger Vehicle Equalisation Scheme)</w:t>
            </w:r>
          </w:p>
        </w:tc>
        <w:tc>
          <w:tcPr>
            <w:tcW w:w="2977" w:type="dxa"/>
            <w:tcBorders>
              <w:top w:val="single" w:sz="4" w:space="0" w:color="auto"/>
              <w:left w:val="single" w:sz="4" w:space="0" w:color="auto"/>
              <w:bottom w:val="single" w:sz="4" w:space="0" w:color="auto"/>
            </w:tcBorders>
          </w:tcPr>
          <w:p w14:paraId="67C0E4B9" w14:textId="77777777" w:rsidR="004C5CB1" w:rsidRPr="00B0305F" w:rsidRDefault="004C5CB1" w:rsidP="004C5CB1">
            <w:pPr>
              <w:pStyle w:val="TableTextBase"/>
              <w:rPr>
                <w:rFonts w:eastAsia="Calibri" w:cs="Arial"/>
                <w:sz w:val="16"/>
                <w:szCs w:val="16"/>
                <w:lang w:eastAsia="en-US"/>
              </w:rPr>
            </w:pPr>
            <w:r w:rsidRPr="00CB20D1">
              <w:rPr>
                <w:rFonts w:eastAsia="Calibri" w:cs="Arial"/>
                <w:sz w:val="16"/>
                <w:szCs w:val="16"/>
                <w:lang w:eastAsia="en-US"/>
              </w:rPr>
              <w:t>Programs are demand-driven</w:t>
            </w:r>
          </w:p>
        </w:tc>
      </w:tr>
      <w:tr w:rsidR="004C5CB1" w:rsidRPr="00B0305F" w14:paraId="7AD3AE79" w14:textId="77777777" w:rsidTr="004C5CB1">
        <w:trPr>
          <w:cantSplit/>
          <w:trHeight w:val="642"/>
        </w:trPr>
        <w:tc>
          <w:tcPr>
            <w:tcW w:w="1560" w:type="dxa"/>
            <w:vMerge/>
            <w:tcBorders>
              <w:bottom w:val="nil"/>
              <w:right w:val="single" w:sz="4" w:space="0" w:color="auto"/>
            </w:tcBorders>
          </w:tcPr>
          <w:p w14:paraId="7B3993F3" w14:textId="77777777" w:rsidR="004C5CB1" w:rsidRPr="00B0305F"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AEDBD8C" w14:textId="77777777" w:rsidR="004C5CB1" w:rsidRPr="00B0305F" w:rsidRDefault="004C5CB1" w:rsidP="004C5CB1">
            <w:pPr>
              <w:pStyle w:val="TableTextBase"/>
              <w:rPr>
                <w:rFonts w:eastAsia="Calibri" w:cs="Arial"/>
                <w:iCs/>
                <w:sz w:val="16"/>
                <w:szCs w:val="16"/>
                <w:lang w:eastAsia="en-US"/>
              </w:rPr>
            </w:pPr>
            <w:r w:rsidRPr="00B0305F">
              <w:rPr>
                <w:rFonts w:eastAsia="Calibri" w:cs="Arial"/>
                <w:sz w:val="16"/>
                <w:szCs w:val="16"/>
                <w:lang w:eastAsia="en-US"/>
              </w:rPr>
              <w:t>Progress implementing the National Freight and Supply Chain Strategy (the Strategy) for the next 20 years and beyond to 2040</w:t>
            </w:r>
          </w:p>
        </w:tc>
        <w:tc>
          <w:tcPr>
            <w:tcW w:w="2977" w:type="dxa"/>
            <w:tcBorders>
              <w:top w:val="single" w:sz="4" w:space="0" w:color="auto"/>
              <w:left w:val="single" w:sz="4" w:space="0" w:color="auto"/>
              <w:bottom w:val="single" w:sz="4" w:space="0" w:color="auto"/>
            </w:tcBorders>
          </w:tcPr>
          <w:p w14:paraId="3D8D8FD5" w14:textId="77777777" w:rsidR="004C5CB1" w:rsidRPr="00B0305F" w:rsidRDefault="004C5CB1" w:rsidP="004C5CB1">
            <w:pPr>
              <w:pStyle w:val="TableTextBase"/>
              <w:rPr>
                <w:rFonts w:eastAsia="Calibri" w:cs="Arial"/>
                <w:b/>
                <w:sz w:val="16"/>
                <w:szCs w:val="16"/>
                <w:lang w:eastAsia="en-US"/>
              </w:rPr>
            </w:pPr>
            <w:r w:rsidRPr="00B0305F">
              <w:rPr>
                <w:rFonts w:eastAsia="Calibri" w:cs="Arial"/>
                <w:sz w:val="16"/>
                <w:szCs w:val="16"/>
                <w:lang w:eastAsia="en-US"/>
              </w:rPr>
              <w:t>Delivery milestones are met for the financial year, and a five-year review of the Strategy and Action Plan is completed</w:t>
            </w:r>
          </w:p>
        </w:tc>
      </w:tr>
      <w:tr w:rsidR="004C5CB1" w14:paraId="27782BE3" w14:textId="77777777" w:rsidTr="004C5CB1">
        <w:trPr>
          <w:cantSplit/>
          <w:trHeight w:val="642"/>
        </w:trPr>
        <w:tc>
          <w:tcPr>
            <w:tcW w:w="1560" w:type="dxa"/>
            <w:tcBorders>
              <w:top w:val="nil"/>
              <w:bottom w:val="nil"/>
              <w:right w:val="single" w:sz="4" w:space="0" w:color="auto"/>
            </w:tcBorders>
          </w:tcPr>
          <w:p w14:paraId="25D95ED4"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17C30F" w14:textId="77777777" w:rsidR="004C5CB1" w:rsidRPr="00CB20D1" w:rsidRDefault="004C5CB1" w:rsidP="004C5CB1">
            <w:pPr>
              <w:pStyle w:val="TableTextBase"/>
              <w:rPr>
                <w:rFonts w:eastAsia="Calibri" w:cs="Arial"/>
                <w:sz w:val="16"/>
                <w:szCs w:val="16"/>
                <w:lang w:eastAsia="en-US"/>
              </w:rPr>
            </w:pPr>
            <w:r w:rsidRPr="00CB20D1">
              <w:rPr>
                <w:rFonts w:eastAsia="Calibri" w:cs="Arial"/>
                <w:i/>
                <w:iCs/>
                <w:sz w:val="16"/>
                <w:szCs w:val="16"/>
                <w:lang w:eastAsia="en-US"/>
              </w:rPr>
              <w:t>Provide policy advice on reducing CO</w:t>
            </w:r>
            <w:r w:rsidRPr="00E73F6C">
              <w:rPr>
                <w:rFonts w:eastAsia="Calibri" w:cs="Arial"/>
                <w:i/>
                <w:iCs/>
                <w:sz w:val="16"/>
                <w:szCs w:val="16"/>
                <w:vertAlign w:val="subscript"/>
                <w:lang w:eastAsia="en-US"/>
              </w:rPr>
              <w:t>2</w:t>
            </w:r>
            <w:r w:rsidRPr="00CB20D1">
              <w:rPr>
                <w:rFonts w:eastAsia="Calibri" w:cs="Arial"/>
                <w:i/>
                <w:iCs/>
                <w:sz w:val="16"/>
                <w:szCs w:val="16"/>
                <w:lang w:eastAsia="en-US"/>
              </w:rPr>
              <w:t xml:space="preserve"> emissions consistent with Government comm</w:t>
            </w:r>
            <w:r>
              <w:rPr>
                <w:rFonts w:eastAsia="Calibri" w:cs="Arial"/>
                <w:i/>
                <w:iCs/>
                <w:sz w:val="16"/>
                <w:szCs w:val="16"/>
                <w:lang w:eastAsia="en-US"/>
              </w:rPr>
              <w:t>itments for the transport sector</w:t>
            </w:r>
            <w:r w:rsidRPr="00564EE1">
              <w:rPr>
                <w:rFonts w:eastAsia="Calibri" w:cs="Arial"/>
                <w:i/>
                <w:iCs/>
                <w:sz w:val="16"/>
                <w:szCs w:val="16"/>
                <w:vertAlign w:val="superscript"/>
                <w:lang w:eastAsia="en-US"/>
              </w:rPr>
              <w:t xml:space="preserve"> </w:t>
            </w:r>
          </w:p>
        </w:tc>
        <w:tc>
          <w:tcPr>
            <w:tcW w:w="2977" w:type="dxa"/>
            <w:tcBorders>
              <w:top w:val="single" w:sz="4" w:space="0" w:color="auto"/>
              <w:left w:val="single" w:sz="4" w:space="0" w:color="auto"/>
              <w:bottom w:val="single" w:sz="4" w:space="0" w:color="auto"/>
            </w:tcBorders>
          </w:tcPr>
          <w:p w14:paraId="6DA2DA55"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Policy advice is high quality, timely and evidence-based and adapts to the changing environment</w:t>
            </w:r>
          </w:p>
          <w:p w14:paraId="1B9EDE73"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Active participation in relevant international forums</w:t>
            </w:r>
          </w:p>
          <w:p w14:paraId="38C8A716" w14:textId="77777777" w:rsidR="004C5CB1" w:rsidRPr="00CB20D1" w:rsidRDefault="004C5CB1" w:rsidP="004C5CB1">
            <w:pPr>
              <w:spacing w:before="60" w:after="60" w:line="240" w:lineRule="auto"/>
              <w:ind w:right="-12"/>
              <w:jc w:val="left"/>
              <w:rPr>
                <w:rFonts w:ascii="Arial" w:eastAsia="Calibri" w:hAnsi="Arial" w:cs="Arial"/>
                <w:sz w:val="16"/>
                <w:szCs w:val="16"/>
                <w:lang w:eastAsia="en-US"/>
              </w:rPr>
            </w:pPr>
            <w:r w:rsidRPr="00CB20D1">
              <w:rPr>
                <w:rFonts w:ascii="Arial" w:eastAsia="Calibri" w:hAnsi="Arial" w:cs="Arial"/>
                <w:sz w:val="16"/>
                <w:szCs w:val="16"/>
                <w:lang w:eastAsia="en-US"/>
              </w:rPr>
              <w:t>Progress Australia’s engagement and activities under the Clydebank Declaration, Quad Green Shipping Taskforce and maritime low emission technology initiative with Singapore</w:t>
            </w:r>
          </w:p>
          <w:p w14:paraId="04BED182" w14:textId="77777777" w:rsidR="004C5CB1" w:rsidRPr="00DB3E42" w:rsidRDefault="004C5CB1" w:rsidP="004C5CB1">
            <w:pPr>
              <w:pStyle w:val="TableTextBase"/>
              <w:rPr>
                <w:rFonts w:eastAsia="Calibri" w:cs="Arial"/>
                <w:sz w:val="16"/>
                <w:szCs w:val="16"/>
                <w:lang w:eastAsia="en-US"/>
              </w:rPr>
            </w:pPr>
            <w:r w:rsidRPr="00CB20D1">
              <w:rPr>
                <w:rFonts w:eastAsia="Calibri" w:cs="Arial"/>
                <w:sz w:val="16"/>
                <w:szCs w:val="16"/>
                <w:lang w:eastAsia="en-US"/>
              </w:rPr>
              <w:t>Updates to the Green Vehicle Guide to improve information on electric vehicles and charging infrastructure</w:t>
            </w:r>
          </w:p>
        </w:tc>
      </w:tr>
      <w:tr w:rsidR="004C5CB1" w14:paraId="74BE105A" w14:textId="77777777" w:rsidTr="004C5CB1">
        <w:trPr>
          <w:cantSplit/>
          <w:trHeight w:val="642"/>
        </w:trPr>
        <w:tc>
          <w:tcPr>
            <w:tcW w:w="1560" w:type="dxa"/>
            <w:tcBorders>
              <w:top w:val="nil"/>
              <w:bottom w:val="single" w:sz="4" w:space="0" w:color="auto"/>
              <w:right w:val="single" w:sz="4" w:space="0" w:color="auto"/>
            </w:tcBorders>
          </w:tcPr>
          <w:p w14:paraId="48387E21"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A4B8996" w14:textId="77777777" w:rsidR="004C5CB1" w:rsidRPr="00CB20D1" w:rsidRDefault="004C5CB1" w:rsidP="004C5CB1">
            <w:pPr>
              <w:pStyle w:val="TableTextBase"/>
              <w:rPr>
                <w:rFonts w:eastAsia="Calibri" w:cs="Arial"/>
                <w:i/>
                <w:iCs/>
                <w:sz w:val="16"/>
                <w:szCs w:val="16"/>
                <w:lang w:eastAsia="en-US"/>
              </w:rPr>
            </w:pPr>
            <w:r w:rsidRPr="00CB20D1">
              <w:rPr>
                <w:rFonts w:eastAsia="Calibri" w:cs="Arial"/>
                <w:i/>
                <w:sz w:val="16"/>
                <w:szCs w:val="16"/>
                <w:lang w:eastAsia="en-US"/>
              </w:rPr>
              <w:t>Provide policy advice supporting safety: maritime</w:t>
            </w:r>
          </w:p>
        </w:tc>
        <w:tc>
          <w:tcPr>
            <w:tcW w:w="2977" w:type="dxa"/>
            <w:tcBorders>
              <w:top w:val="single" w:sz="4" w:space="0" w:color="auto"/>
              <w:left w:val="single" w:sz="4" w:space="0" w:color="auto"/>
              <w:bottom w:val="single" w:sz="4" w:space="0" w:color="auto"/>
            </w:tcBorders>
          </w:tcPr>
          <w:p w14:paraId="7EEA11E9" w14:textId="77777777" w:rsidR="004C5CB1" w:rsidRPr="00CB20D1" w:rsidRDefault="004C5CB1" w:rsidP="004C5CB1">
            <w:pPr>
              <w:pStyle w:val="TableTextBase"/>
              <w:rPr>
                <w:rFonts w:eastAsia="Calibri" w:cs="Arial"/>
                <w:b/>
                <w:sz w:val="16"/>
                <w:szCs w:val="16"/>
                <w:lang w:eastAsia="en-US"/>
              </w:rPr>
            </w:pPr>
            <w:r w:rsidRPr="00CB20D1">
              <w:rPr>
                <w:rFonts w:cs="Arial"/>
                <w:sz w:val="16"/>
                <w:szCs w:val="16"/>
              </w:rPr>
              <w:t>Policy advice is high-quality, timely and evidence-based to support decision making on the Review of Domestic Commercial Vessels Safety Legislation and Costs and Charging Arrangements</w:t>
            </w:r>
          </w:p>
        </w:tc>
      </w:tr>
    </w:tbl>
    <w:p w14:paraId="220C7BC0" w14:textId="77777777" w:rsidR="004C5CB1" w:rsidRPr="00FC202F" w:rsidRDefault="004C5CB1" w:rsidP="004C5CB1">
      <w:pPr>
        <w:spacing w:before="60" w:after="0" w:line="240" w:lineRule="auto"/>
        <w:rPr>
          <w:rFonts w:ascii="Arial" w:hAnsi="Arial" w:cs="Arial"/>
          <w:sz w:val="16"/>
          <w:szCs w:val="16"/>
        </w:rPr>
      </w:pPr>
      <w:r w:rsidRPr="00A6185E">
        <w:rPr>
          <w:rFonts w:ascii="Arial" w:hAnsi="Arial" w:cs="Arial"/>
          <w:sz w:val="16"/>
          <w:szCs w:val="16"/>
        </w:rPr>
        <w:t xml:space="preserve">New or modified performance measures that reflect new or materially changed programs are shown in </w:t>
      </w:r>
      <w:r w:rsidRPr="00E824FB">
        <w:rPr>
          <w:rFonts w:ascii="Arial" w:hAnsi="Arial" w:cs="Arial"/>
          <w:i/>
          <w:sz w:val="16"/>
          <w:szCs w:val="16"/>
        </w:rPr>
        <w:t>italics</w:t>
      </w:r>
      <w:r w:rsidRPr="00A6185E">
        <w:rPr>
          <w:rFonts w:ascii="Arial" w:hAnsi="Arial" w:cs="Arial"/>
          <w:sz w:val="16"/>
          <w:szCs w:val="16"/>
        </w:rPr>
        <w:t>.</w:t>
      </w:r>
    </w:p>
    <w:p w14:paraId="53F43F3A" w14:textId="77777777" w:rsidR="004C5CB1" w:rsidRPr="00DD1C72" w:rsidRDefault="004C5CB1" w:rsidP="004C5CB1">
      <w:pPr>
        <w:pStyle w:val="ListParagraph"/>
        <w:numPr>
          <w:ilvl w:val="0"/>
          <w:numId w:val="54"/>
        </w:numPr>
        <w:spacing w:after="0" w:line="240" w:lineRule="auto"/>
        <w:ind w:left="284" w:hanging="284"/>
        <w:rPr>
          <w:sz w:val="16"/>
          <w:szCs w:val="16"/>
        </w:rPr>
      </w:pPr>
      <w:r w:rsidRPr="00DD1C72">
        <w:rPr>
          <w:rFonts w:ascii="Arial" w:hAnsi="Arial" w:cs="Arial"/>
          <w:sz w:val="16"/>
          <w:szCs w:val="16"/>
        </w:rPr>
        <w:t>New key activity to be reflected in the 2022–23 Corporate Plan.</w:t>
      </w:r>
    </w:p>
    <w:p w14:paraId="5C2A830A" w14:textId="77777777" w:rsidR="004C5CB1" w:rsidRPr="00DD1C72" w:rsidRDefault="004C5CB1" w:rsidP="004C5CB1">
      <w:pPr>
        <w:pStyle w:val="ListParagraph"/>
        <w:numPr>
          <w:ilvl w:val="0"/>
          <w:numId w:val="54"/>
        </w:numPr>
        <w:spacing w:after="0" w:line="240" w:lineRule="auto"/>
        <w:ind w:left="284" w:hanging="284"/>
        <w:rPr>
          <w:sz w:val="16"/>
          <w:szCs w:val="16"/>
        </w:rPr>
      </w:pPr>
      <w:r w:rsidRPr="00DD1C72">
        <w:rPr>
          <w:rFonts w:ascii="Arial" w:hAnsi="Arial" w:cs="Arial"/>
          <w:sz w:val="16"/>
          <w:szCs w:val="16"/>
        </w:rPr>
        <w:t>Refers to updated key activity that will be reflected in the 2022–23 Corporate Plan</w:t>
      </w:r>
      <w:r>
        <w:rPr>
          <w:rFonts w:ascii="Arial" w:hAnsi="Arial" w:cs="Arial"/>
          <w:sz w:val="16"/>
          <w:szCs w:val="16"/>
        </w:rPr>
        <w:t>.</w:t>
      </w:r>
    </w:p>
    <w:p w14:paraId="65F1F0D8" w14:textId="77777777" w:rsidR="004C5CB1" w:rsidRPr="00502311" w:rsidRDefault="004C5CB1" w:rsidP="004C5CB1">
      <w:pPr>
        <w:pStyle w:val="ListParagraph"/>
        <w:numPr>
          <w:ilvl w:val="0"/>
          <w:numId w:val="54"/>
        </w:numPr>
        <w:spacing w:after="0" w:line="240" w:lineRule="auto"/>
        <w:ind w:left="284" w:hanging="284"/>
        <w:rPr>
          <w:sz w:val="16"/>
          <w:szCs w:val="16"/>
        </w:rPr>
      </w:pPr>
      <w:r w:rsidRPr="00DD1C72">
        <w:rPr>
          <w:rFonts w:ascii="Arial" w:hAnsi="Arial" w:cs="Arial"/>
          <w:sz w:val="16"/>
          <w:szCs w:val="16"/>
        </w:rPr>
        <w:t>Final reporting period for this measure. Further details will be included in the 2022–23 Corporate Plan.</w:t>
      </w:r>
    </w:p>
    <w:p w14:paraId="69F0B0BA" w14:textId="67BC103D" w:rsidR="004C5CB1" w:rsidRPr="00B917D6" w:rsidRDefault="004C5CB1" w:rsidP="00B917D6">
      <w:pPr>
        <w:pStyle w:val="ListParagraph"/>
        <w:numPr>
          <w:ilvl w:val="0"/>
          <w:numId w:val="54"/>
        </w:numPr>
        <w:spacing w:after="0" w:line="240" w:lineRule="auto"/>
        <w:ind w:left="284" w:hanging="284"/>
        <w:rPr>
          <w:sz w:val="16"/>
          <w:szCs w:val="16"/>
        </w:rPr>
      </w:pPr>
      <w:r w:rsidRPr="00502311">
        <w:rPr>
          <w:rFonts w:ascii="Arial" w:hAnsi="Arial" w:cs="Arial"/>
          <w:sz w:val="16"/>
        </w:rPr>
        <w:t>This 2022–23 measure combines three 2021–22 measures</w:t>
      </w:r>
      <w:r>
        <w:rPr>
          <w:rFonts w:ascii="Arial" w:hAnsi="Arial" w:cs="Arial"/>
          <w:sz w:val="16"/>
        </w:rPr>
        <w:t>.</w:t>
      </w:r>
    </w:p>
    <w:p w14:paraId="1206C257" w14:textId="77777777" w:rsidR="00B91F3E" w:rsidRDefault="00B91F3E" w:rsidP="00B91F3E">
      <w:bookmarkStart w:id="33" w:name="RoadSafety2_2"/>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5134E8" w14:paraId="06B0966E" w14:textId="77777777" w:rsidTr="004C5CB1">
        <w:trPr>
          <w:trHeight w:val="522"/>
          <w:tblHeader/>
        </w:trPr>
        <w:tc>
          <w:tcPr>
            <w:tcW w:w="7655" w:type="dxa"/>
            <w:gridSpan w:val="3"/>
            <w:tcBorders>
              <w:top w:val="double" w:sz="4" w:space="0" w:color="auto"/>
            </w:tcBorders>
            <w:shd w:val="clear" w:color="auto" w:fill="F2F2F2"/>
          </w:tcPr>
          <w:bookmarkEnd w:id="33"/>
          <w:p w14:paraId="03CB4A40" w14:textId="77777777" w:rsidR="004C5CB1" w:rsidRPr="00EC0B13" w:rsidRDefault="004C5CB1" w:rsidP="004C5CB1">
            <w:pPr>
              <w:spacing w:before="120" w:after="120" w:line="240" w:lineRule="auto"/>
              <w:jc w:val="left"/>
              <w:rPr>
                <w:rFonts w:ascii="Arial" w:eastAsia="Calibri" w:hAnsi="Arial" w:cs="Arial"/>
                <w:b/>
                <w:sz w:val="18"/>
                <w:szCs w:val="18"/>
                <w:lang w:eastAsia="en-US"/>
              </w:rPr>
            </w:pPr>
            <w:r w:rsidRPr="00EC0B13">
              <w:rPr>
                <w:rFonts w:ascii="Arial" w:eastAsia="Calibri" w:hAnsi="Arial" w:cs="Arial"/>
                <w:b/>
                <w:sz w:val="18"/>
                <w:szCs w:val="18"/>
                <w:lang w:eastAsia="en-US"/>
              </w:rPr>
              <w:lastRenderedPageBreak/>
              <w:t>Program 2.2 – Road Safety</w:t>
            </w:r>
          </w:p>
          <w:p w14:paraId="28EC2768" w14:textId="77777777" w:rsidR="004C5CB1" w:rsidRPr="005134E8" w:rsidRDefault="004C5CB1" w:rsidP="004C5CB1">
            <w:pPr>
              <w:pStyle w:val="TableTextLeft"/>
              <w:rPr>
                <w:highlight w:val="yellow"/>
              </w:rPr>
            </w:pPr>
            <w:r w:rsidRPr="001F7463">
              <w:rPr>
                <w:rFonts w:eastAsia="Calibri" w:cs="Arial"/>
                <w:szCs w:val="18"/>
                <w:lang w:eastAsia="en-US"/>
              </w:rPr>
              <w:t>The road safety program makes travel safer through coordinating a national strategic approach to improving road safety and working to make vehicles safer for all road users.</w:t>
            </w:r>
          </w:p>
        </w:tc>
      </w:tr>
      <w:tr w:rsidR="004C5CB1" w:rsidRPr="00160C23" w14:paraId="1CC7ED5A" w14:textId="77777777" w:rsidTr="00B917D6">
        <w:trPr>
          <w:trHeight w:val="176"/>
        </w:trPr>
        <w:tc>
          <w:tcPr>
            <w:tcW w:w="1560" w:type="dxa"/>
            <w:tcBorders>
              <w:bottom w:val="double" w:sz="4" w:space="0" w:color="auto"/>
            </w:tcBorders>
          </w:tcPr>
          <w:p w14:paraId="3F879EAD" w14:textId="77777777" w:rsidR="004C5CB1" w:rsidRPr="00160C23" w:rsidRDefault="004C5CB1" w:rsidP="004C5CB1">
            <w:pPr>
              <w:tabs>
                <w:tab w:val="left" w:pos="709"/>
              </w:tabs>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p>
        </w:tc>
        <w:tc>
          <w:tcPr>
            <w:tcW w:w="6095" w:type="dxa"/>
            <w:gridSpan w:val="2"/>
            <w:tcBorders>
              <w:bottom w:val="double" w:sz="4" w:space="0" w:color="auto"/>
            </w:tcBorders>
          </w:tcPr>
          <w:p w14:paraId="50DF2CD6" w14:textId="77777777" w:rsidR="004C5CB1" w:rsidRPr="001F7463"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894BCA">
              <w:rPr>
                <w:rFonts w:ascii="Arial" w:eastAsia="Calibri" w:hAnsi="Arial" w:cs="Arial"/>
                <w:sz w:val="16"/>
                <w:szCs w:val="16"/>
                <w:lang w:eastAsia="en-US"/>
              </w:rPr>
              <w:t>Advise on and deliver better road safety as well as vehicle and rail regulation</w:t>
            </w:r>
          </w:p>
        </w:tc>
      </w:tr>
      <w:tr w:rsidR="004C5CB1" w:rsidRPr="00160C23" w14:paraId="413619C1" w14:textId="77777777" w:rsidTr="004C5CB1">
        <w:trPr>
          <w:trHeight w:val="258"/>
        </w:trPr>
        <w:tc>
          <w:tcPr>
            <w:tcW w:w="1560" w:type="dxa"/>
            <w:tcBorders>
              <w:top w:val="double" w:sz="4" w:space="0" w:color="auto"/>
              <w:bottom w:val="single" w:sz="4" w:space="0" w:color="auto"/>
              <w:right w:val="single" w:sz="4" w:space="0" w:color="auto"/>
            </w:tcBorders>
          </w:tcPr>
          <w:p w14:paraId="3CE966D8" w14:textId="77777777" w:rsidR="004C5CB1" w:rsidRPr="00160C23" w:rsidRDefault="004C5CB1" w:rsidP="004C5CB1">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11B3B71"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CC4491F"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BB29BE" w14:paraId="1F038BB8" w14:textId="77777777" w:rsidTr="004C5CB1">
        <w:trPr>
          <w:cantSplit/>
          <w:trHeight w:val="642"/>
        </w:trPr>
        <w:tc>
          <w:tcPr>
            <w:tcW w:w="1560" w:type="dxa"/>
            <w:tcBorders>
              <w:top w:val="single" w:sz="4" w:space="0" w:color="auto"/>
              <w:bottom w:val="nil"/>
              <w:right w:val="single" w:sz="4" w:space="0" w:color="auto"/>
            </w:tcBorders>
          </w:tcPr>
          <w:p w14:paraId="5386E5BE" w14:textId="77777777" w:rsidR="004C5CB1" w:rsidRPr="00BB29BE" w:rsidRDefault="004C5CB1" w:rsidP="004C5CB1">
            <w:pPr>
              <w:pStyle w:val="TableTextBase"/>
              <w:rPr>
                <w:sz w:val="16"/>
                <w:szCs w:val="16"/>
              </w:rPr>
            </w:pPr>
            <w:r w:rsidRPr="00BB29BE">
              <w:rPr>
                <w:sz w:val="16"/>
                <w:szCs w:val="16"/>
              </w:rPr>
              <w:t xml:space="preserve">Current year </w:t>
            </w:r>
            <w:r>
              <w:rPr>
                <w:sz w:val="16"/>
                <w:szCs w:val="16"/>
              </w:rPr>
              <w:br/>
            </w:r>
            <w:r w:rsidRPr="00BB29BE">
              <w:rPr>
                <w:sz w:val="16"/>
                <w:szCs w:val="16"/>
              </w:rPr>
              <w:t>2021</w:t>
            </w:r>
            <w:r>
              <w:rPr>
                <w:sz w:val="16"/>
                <w:szCs w:val="16"/>
              </w:rPr>
              <w:t>–</w:t>
            </w:r>
            <w:r w:rsidRPr="00BB29BE">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792881B0" w14:textId="77777777" w:rsidR="004C5CB1" w:rsidRPr="00D5175D" w:rsidRDefault="004C5CB1" w:rsidP="004C5CB1">
            <w:pPr>
              <w:spacing w:before="60" w:after="60" w:line="240" w:lineRule="auto"/>
              <w:jc w:val="left"/>
              <w:rPr>
                <w:rFonts w:ascii="Arial" w:eastAsia="Calibri" w:hAnsi="Arial" w:cs="Arial"/>
                <w:sz w:val="16"/>
                <w:szCs w:val="16"/>
                <w:lang w:eastAsia="en-US"/>
              </w:rPr>
            </w:pPr>
            <w:r w:rsidRPr="00D5175D">
              <w:rPr>
                <w:rFonts w:ascii="Arial" w:eastAsia="Calibri" w:hAnsi="Arial" w:cs="Arial"/>
                <w:sz w:val="16"/>
                <w:szCs w:val="16"/>
                <w:lang w:eastAsia="en-US"/>
              </w:rPr>
              <w:t>Progress of the implementation of:</w:t>
            </w:r>
          </w:p>
          <w:p w14:paraId="22042AB6" w14:textId="77777777" w:rsidR="004C5CB1" w:rsidRPr="00D5175D" w:rsidRDefault="004C5CB1" w:rsidP="009E60A3">
            <w:pPr>
              <w:pStyle w:val="ListParagraph"/>
              <w:numPr>
                <w:ilvl w:val="0"/>
                <w:numId w:val="220"/>
              </w:numPr>
              <w:spacing w:before="60" w:after="60" w:line="240" w:lineRule="auto"/>
              <w:ind w:left="318" w:right="-11" w:hanging="284"/>
              <w:rPr>
                <w:rFonts w:ascii="Arial" w:hAnsi="Arial" w:cs="Arial"/>
                <w:sz w:val="16"/>
                <w:szCs w:val="16"/>
              </w:rPr>
            </w:pPr>
            <w:r w:rsidRPr="00D5175D">
              <w:rPr>
                <w:rFonts w:ascii="Arial" w:hAnsi="Arial" w:cs="Arial"/>
                <w:sz w:val="16"/>
                <w:szCs w:val="16"/>
              </w:rPr>
              <w:t>the National Road Safety Strategy for the decade 2021 to 2030; and</w:t>
            </w:r>
          </w:p>
          <w:p w14:paraId="14E73FA4" w14:textId="77777777" w:rsidR="004C5CB1" w:rsidRPr="00D5175D" w:rsidRDefault="004C5CB1" w:rsidP="009E60A3">
            <w:pPr>
              <w:pStyle w:val="ListParagraph"/>
              <w:numPr>
                <w:ilvl w:val="0"/>
                <w:numId w:val="220"/>
              </w:numPr>
              <w:spacing w:before="60" w:after="60" w:line="240" w:lineRule="auto"/>
              <w:ind w:left="318" w:right="-11" w:hanging="284"/>
              <w:rPr>
                <w:rFonts w:ascii="Arial" w:hAnsi="Arial" w:cs="Arial"/>
                <w:sz w:val="16"/>
                <w:szCs w:val="16"/>
              </w:rPr>
            </w:pPr>
            <w:r w:rsidRPr="00D5175D">
              <w:rPr>
                <w:rFonts w:ascii="Arial" w:hAnsi="Arial" w:cs="Arial"/>
                <w:sz w:val="16"/>
                <w:szCs w:val="16"/>
              </w:rPr>
              <w:t>the National Road Safety Data Hub</w:t>
            </w:r>
          </w:p>
        </w:tc>
        <w:tc>
          <w:tcPr>
            <w:tcW w:w="2977" w:type="dxa"/>
            <w:tcBorders>
              <w:top w:val="single" w:sz="4" w:space="0" w:color="auto"/>
              <w:left w:val="single" w:sz="4" w:space="0" w:color="auto"/>
              <w:bottom w:val="single" w:sz="4" w:space="0" w:color="auto"/>
            </w:tcBorders>
          </w:tcPr>
          <w:p w14:paraId="068140E9" w14:textId="77777777" w:rsidR="004C5CB1" w:rsidRPr="00D5175D" w:rsidRDefault="004C5CB1" w:rsidP="009E60A3">
            <w:pPr>
              <w:pStyle w:val="ListParagraph"/>
              <w:numPr>
                <w:ilvl w:val="0"/>
                <w:numId w:val="224"/>
              </w:numPr>
              <w:spacing w:before="60" w:after="60" w:line="240" w:lineRule="auto"/>
              <w:ind w:left="318" w:right="-11" w:hanging="284"/>
              <w:rPr>
                <w:rFonts w:ascii="Arial" w:hAnsi="Arial" w:cs="Arial"/>
                <w:sz w:val="16"/>
                <w:szCs w:val="16"/>
              </w:rPr>
            </w:pPr>
            <w:r w:rsidRPr="00D5175D">
              <w:rPr>
                <w:rFonts w:ascii="Arial" w:hAnsi="Arial" w:cs="Arial"/>
                <w:sz w:val="16"/>
                <w:szCs w:val="16"/>
              </w:rPr>
              <w:t>Establish an ongoing consistent source of updated national serious injury data by June 2022</w:t>
            </w:r>
          </w:p>
          <w:p w14:paraId="27A3E551" w14:textId="77777777" w:rsidR="004C5CB1" w:rsidRPr="00D5175D" w:rsidRDefault="004C5CB1" w:rsidP="009E60A3">
            <w:pPr>
              <w:pStyle w:val="ListParagraph"/>
              <w:numPr>
                <w:ilvl w:val="0"/>
                <w:numId w:val="224"/>
              </w:numPr>
              <w:spacing w:before="60" w:after="60" w:line="240" w:lineRule="auto"/>
              <w:ind w:left="318" w:right="-11" w:hanging="284"/>
              <w:rPr>
                <w:rFonts w:ascii="Arial" w:hAnsi="Arial" w:cs="Arial"/>
                <w:sz w:val="16"/>
                <w:szCs w:val="16"/>
              </w:rPr>
            </w:pPr>
            <w:r w:rsidRPr="00D5175D">
              <w:rPr>
                <w:rFonts w:ascii="Arial" w:hAnsi="Arial" w:cs="Arial"/>
                <w:sz w:val="16"/>
                <w:szCs w:val="16"/>
              </w:rPr>
              <w:t>Data Hub is established</w:t>
            </w:r>
          </w:p>
          <w:p w14:paraId="55A11084" w14:textId="77777777" w:rsidR="004C5CB1" w:rsidRPr="00D5175D" w:rsidRDefault="004C5CB1" w:rsidP="004C5CB1">
            <w:pPr>
              <w:spacing w:before="60" w:after="60" w:line="240" w:lineRule="auto"/>
              <w:jc w:val="left"/>
              <w:rPr>
                <w:rFonts w:ascii="Arial" w:eastAsia="Calibri" w:hAnsi="Arial" w:cs="Arial"/>
                <w:sz w:val="16"/>
                <w:szCs w:val="16"/>
                <w:lang w:eastAsia="en-US"/>
              </w:rPr>
            </w:pPr>
            <w:r w:rsidRPr="00D5175D">
              <w:rPr>
                <w:rFonts w:ascii="Arial" w:eastAsia="Calibri" w:hAnsi="Arial" w:cs="Arial"/>
                <w:sz w:val="16"/>
                <w:szCs w:val="16"/>
                <w:lang w:eastAsia="en-US"/>
              </w:rPr>
              <w:t>Target expected to be met</w:t>
            </w:r>
          </w:p>
        </w:tc>
      </w:tr>
      <w:tr w:rsidR="004C5CB1" w:rsidRPr="00BB29BE" w14:paraId="712FF819" w14:textId="77777777" w:rsidTr="0064083D">
        <w:trPr>
          <w:cantSplit/>
          <w:trHeight w:val="244"/>
        </w:trPr>
        <w:tc>
          <w:tcPr>
            <w:tcW w:w="1560" w:type="dxa"/>
            <w:tcBorders>
              <w:top w:val="nil"/>
              <w:bottom w:val="double" w:sz="4" w:space="0" w:color="auto"/>
              <w:right w:val="single" w:sz="4" w:space="0" w:color="auto"/>
            </w:tcBorders>
          </w:tcPr>
          <w:p w14:paraId="6613DDAB" w14:textId="77777777" w:rsidR="004C5CB1" w:rsidRPr="00BB29BE" w:rsidRDefault="004C5CB1" w:rsidP="004C5CB1">
            <w:pPr>
              <w:pStyle w:val="TableTextBase"/>
              <w:rPr>
                <w:sz w:val="16"/>
                <w:szCs w:val="16"/>
              </w:rPr>
            </w:pPr>
          </w:p>
        </w:tc>
        <w:tc>
          <w:tcPr>
            <w:tcW w:w="3118" w:type="dxa"/>
            <w:tcBorders>
              <w:top w:val="single" w:sz="4" w:space="0" w:color="auto"/>
              <w:left w:val="single" w:sz="4" w:space="0" w:color="auto"/>
              <w:bottom w:val="double" w:sz="4" w:space="0" w:color="auto"/>
              <w:right w:val="single" w:sz="4" w:space="0" w:color="auto"/>
            </w:tcBorders>
          </w:tcPr>
          <w:p w14:paraId="232BE26F" w14:textId="77777777" w:rsidR="004C5CB1" w:rsidRPr="00D5175D" w:rsidRDefault="004C5CB1" w:rsidP="004C5CB1">
            <w:pPr>
              <w:pStyle w:val="TableTextBase"/>
              <w:rPr>
                <w:rFonts w:cs="Arial"/>
                <w:sz w:val="16"/>
                <w:szCs w:val="16"/>
              </w:rPr>
            </w:pPr>
            <w:r w:rsidRPr="00D5175D">
              <w:rPr>
                <w:rFonts w:eastAsia="Calibri" w:cs="Arial"/>
                <w:sz w:val="16"/>
                <w:szCs w:val="16"/>
                <w:lang w:eastAsia="en-US"/>
              </w:rPr>
              <w:t>Number of fatalities and fatality rate per 100,000 population: road</w:t>
            </w:r>
          </w:p>
        </w:tc>
        <w:tc>
          <w:tcPr>
            <w:tcW w:w="2977" w:type="dxa"/>
            <w:tcBorders>
              <w:top w:val="single" w:sz="4" w:space="0" w:color="auto"/>
              <w:left w:val="single" w:sz="4" w:space="0" w:color="auto"/>
              <w:bottom w:val="double" w:sz="4" w:space="0" w:color="auto"/>
            </w:tcBorders>
          </w:tcPr>
          <w:p w14:paraId="659A72B8" w14:textId="77777777" w:rsidR="004C5CB1" w:rsidRPr="00D5175D" w:rsidRDefault="004C5CB1" w:rsidP="004C5CB1">
            <w:pPr>
              <w:pStyle w:val="TableTextBase"/>
              <w:rPr>
                <w:rFonts w:cs="Arial"/>
                <w:sz w:val="16"/>
                <w:szCs w:val="16"/>
              </w:rPr>
            </w:pPr>
            <w:r w:rsidRPr="00D5175D">
              <w:rPr>
                <w:rFonts w:eastAsia="Calibri" w:cs="Arial"/>
                <w:sz w:val="16"/>
                <w:szCs w:val="16"/>
                <w:lang w:eastAsia="en-US"/>
              </w:rPr>
              <w:t>Annual target setting not appropriate, results sought are long term</w:t>
            </w:r>
          </w:p>
        </w:tc>
      </w:tr>
      <w:tr w:rsidR="004C5CB1" w:rsidRPr="00BB29BE" w14:paraId="695A3324" w14:textId="77777777" w:rsidTr="004C5CB1">
        <w:trPr>
          <w:cantSplit/>
          <w:trHeight w:val="315"/>
        </w:trPr>
        <w:tc>
          <w:tcPr>
            <w:tcW w:w="1560" w:type="dxa"/>
            <w:tcBorders>
              <w:top w:val="double" w:sz="4" w:space="0" w:color="auto"/>
              <w:bottom w:val="single" w:sz="4" w:space="0" w:color="auto"/>
              <w:right w:val="single" w:sz="4" w:space="0" w:color="auto"/>
            </w:tcBorders>
          </w:tcPr>
          <w:p w14:paraId="584DCF91" w14:textId="77777777" w:rsidR="004C5CB1" w:rsidRPr="00E73F6C" w:rsidRDefault="004C5CB1" w:rsidP="004C5CB1">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C20CA83" w14:textId="77777777" w:rsidR="004C5CB1" w:rsidRPr="00E73F6C" w:rsidRDefault="004C5CB1" w:rsidP="004C5CB1">
            <w:pPr>
              <w:pStyle w:val="TableTextBase"/>
              <w:rPr>
                <w:b/>
                <w:sz w:val="16"/>
                <w:szCs w:val="16"/>
              </w:rPr>
            </w:pPr>
            <w:r w:rsidRPr="00E73F6C">
              <w:rPr>
                <w:b/>
                <w:sz w:val="16"/>
                <w:szCs w:val="16"/>
              </w:rPr>
              <w:t>Performance measures</w:t>
            </w:r>
          </w:p>
        </w:tc>
        <w:tc>
          <w:tcPr>
            <w:tcW w:w="2977" w:type="dxa"/>
            <w:tcBorders>
              <w:top w:val="double" w:sz="4" w:space="0" w:color="auto"/>
              <w:left w:val="single" w:sz="4" w:space="0" w:color="auto"/>
              <w:bottom w:val="single" w:sz="4" w:space="0" w:color="auto"/>
            </w:tcBorders>
          </w:tcPr>
          <w:p w14:paraId="5105DF74" w14:textId="77777777" w:rsidR="004C5CB1" w:rsidRPr="00E73F6C" w:rsidRDefault="004C5CB1" w:rsidP="004C5CB1">
            <w:pPr>
              <w:pStyle w:val="TableTextBase"/>
              <w:rPr>
                <w:b/>
                <w:sz w:val="16"/>
                <w:szCs w:val="16"/>
              </w:rPr>
            </w:pPr>
            <w:r>
              <w:rPr>
                <w:b/>
                <w:sz w:val="16"/>
                <w:szCs w:val="16"/>
              </w:rPr>
              <w:t xml:space="preserve">Planned </w:t>
            </w:r>
            <w:r w:rsidRPr="00E73F6C">
              <w:rPr>
                <w:b/>
                <w:sz w:val="16"/>
                <w:szCs w:val="16"/>
              </w:rPr>
              <w:t>Performance Results</w:t>
            </w:r>
          </w:p>
        </w:tc>
      </w:tr>
      <w:tr w:rsidR="004C5CB1" w:rsidRPr="00BB29BE" w14:paraId="109D90BE" w14:textId="77777777" w:rsidTr="0064083D">
        <w:trPr>
          <w:cantSplit/>
          <w:trHeight w:val="114"/>
        </w:trPr>
        <w:tc>
          <w:tcPr>
            <w:tcW w:w="1560" w:type="dxa"/>
            <w:tcBorders>
              <w:top w:val="single" w:sz="4" w:space="0" w:color="auto"/>
              <w:bottom w:val="nil"/>
              <w:right w:val="single" w:sz="4" w:space="0" w:color="auto"/>
            </w:tcBorders>
          </w:tcPr>
          <w:p w14:paraId="4468C94A" w14:textId="77777777" w:rsidR="004C5CB1" w:rsidRPr="006B398F" w:rsidRDefault="004C5CB1" w:rsidP="004C5CB1">
            <w:pPr>
              <w:spacing w:before="60" w:after="60" w:line="240" w:lineRule="auto"/>
              <w:jc w:val="left"/>
              <w:rPr>
                <w:rFonts w:ascii="Arial" w:hAnsi="Arial" w:cs="Arial"/>
                <w:sz w:val="16"/>
                <w:szCs w:val="16"/>
              </w:rPr>
            </w:pPr>
            <w:r w:rsidRPr="006B398F">
              <w:rPr>
                <w:rFonts w:ascii="Arial" w:eastAsia="Calibri" w:hAnsi="Arial" w:cs="Arial"/>
                <w:sz w:val="16"/>
                <w:szCs w:val="16"/>
                <w:lang w:eastAsia="en-US"/>
              </w:rPr>
              <w:t>Budget year</w:t>
            </w:r>
            <w:r w:rsidRPr="006B398F">
              <w:rPr>
                <w:rFonts w:ascii="Arial" w:eastAsia="Calibri" w:hAnsi="Arial" w:cs="Arial"/>
                <w:sz w:val="16"/>
                <w:szCs w:val="16"/>
                <w:lang w:eastAsia="en-US"/>
              </w:rPr>
              <w:br/>
            </w:r>
            <w:r>
              <w:rPr>
                <w:rFonts w:ascii="Arial" w:eastAsia="Calibri" w:hAnsi="Arial" w:cs="Arial"/>
                <w:sz w:val="16"/>
                <w:szCs w:val="16"/>
                <w:lang w:eastAsia="en-US"/>
              </w:rPr>
              <w:t xml:space="preserve">2022–23 </w:t>
            </w:r>
          </w:p>
        </w:tc>
        <w:tc>
          <w:tcPr>
            <w:tcW w:w="3118" w:type="dxa"/>
            <w:tcBorders>
              <w:top w:val="single" w:sz="4" w:space="0" w:color="auto"/>
              <w:left w:val="single" w:sz="4" w:space="0" w:color="auto"/>
              <w:bottom w:val="single" w:sz="4" w:space="0" w:color="auto"/>
              <w:right w:val="single" w:sz="4" w:space="0" w:color="auto"/>
            </w:tcBorders>
          </w:tcPr>
          <w:p w14:paraId="02FEF43A" w14:textId="77777777" w:rsidR="004C5CB1" w:rsidRPr="00BB29BE" w:rsidRDefault="004C5CB1" w:rsidP="004C5CB1">
            <w:pPr>
              <w:spacing w:before="60" w:after="60" w:line="240" w:lineRule="auto"/>
              <w:jc w:val="left"/>
              <w:rPr>
                <w:rFonts w:ascii="Arial" w:eastAsia="Calibri" w:hAnsi="Arial" w:cs="Arial"/>
                <w:sz w:val="16"/>
                <w:szCs w:val="16"/>
                <w:lang w:eastAsia="en-US"/>
              </w:rPr>
            </w:pPr>
            <w:r w:rsidRPr="00BB29BE">
              <w:rPr>
                <w:rFonts w:ascii="Arial" w:eastAsia="Calibri" w:hAnsi="Arial" w:cs="Arial"/>
                <w:sz w:val="16"/>
                <w:szCs w:val="16"/>
                <w:lang w:eastAsia="en-US"/>
              </w:rPr>
              <w:t>Progress of the implementation of:</w:t>
            </w:r>
          </w:p>
          <w:p w14:paraId="09EC0E78" w14:textId="77777777" w:rsidR="004C5CB1" w:rsidRPr="00BB29BE" w:rsidRDefault="004C5CB1" w:rsidP="009E60A3">
            <w:pPr>
              <w:pStyle w:val="ListParagraph"/>
              <w:numPr>
                <w:ilvl w:val="0"/>
                <w:numId w:val="222"/>
              </w:numPr>
              <w:spacing w:before="60" w:after="60" w:line="240" w:lineRule="auto"/>
              <w:ind w:left="318" w:right="-11" w:hanging="284"/>
              <w:rPr>
                <w:rFonts w:ascii="Arial" w:hAnsi="Arial" w:cs="Arial"/>
                <w:sz w:val="16"/>
                <w:szCs w:val="16"/>
              </w:rPr>
            </w:pPr>
            <w:r w:rsidRPr="00BB29BE">
              <w:rPr>
                <w:rFonts w:ascii="Arial" w:hAnsi="Arial" w:cs="Arial"/>
                <w:sz w:val="16"/>
                <w:szCs w:val="16"/>
              </w:rPr>
              <w:t>the National Road Safety Strategy for the decade 2021 to 2030; and</w:t>
            </w:r>
          </w:p>
          <w:p w14:paraId="3FF3CA51" w14:textId="77777777" w:rsidR="004C5CB1" w:rsidRPr="00BB29BE" w:rsidRDefault="004C5CB1" w:rsidP="009E60A3">
            <w:pPr>
              <w:pStyle w:val="ListParagraph"/>
              <w:numPr>
                <w:ilvl w:val="0"/>
                <w:numId w:val="222"/>
              </w:numPr>
              <w:spacing w:before="60" w:after="60" w:line="240" w:lineRule="auto"/>
              <w:ind w:left="318" w:right="-11" w:hanging="284"/>
              <w:contextualSpacing w:val="0"/>
              <w:rPr>
                <w:rFonts w:ascii="Arial" w:hAnsi="Arial" w:cs="Arial"/>
                <w:sz w:val="16"/>
                <w:szCs w:val="16"/>
              </w:rPr>
            </w:pPr>
            <w:r w:rsidRPr="00BB29BE">
              <w:rPr>
                <w:rFonts w:ascii="Arial" w:hAnsi="Arial" w:cs="Arial"/>
                <w:sz w:val="16"/>
                <w:szCs w:val="16"/>
              </w:rPr>
              <w:t>the National Road Safety Data Hub</w:t>
            </w:r>
          </w:p>
        </w:tc>
        <w:tc>
          <w:tcPr>
            <w:tcW w:w="2977" w:type="dxa"/>
            <w:tcBorders>
              <w:top w:val="single" w:sz="4" w:space="0" w:color="auto"/>
              <w:left w:val="single" w:sz="4" w:space="0" w:color="auto"/>
              <w:bottom w:val="single" w:sz="4" w:space="0" w:color="auto"/>
            </w:tcBorders>
          </w:tcPr>
          <w:p w14:paraId="06A56328" w14:textId="77777777" w:rsidR="004C5CB1" w:rsidRPr="00BB29BE" w:rsidRDefault="004C5CB1" w:rsidP="009E60A3">
            <w:pPr>
              <w:pStyle w:val="ListParagraph"/>
              <w:numPr>
                <w:ilvl w:val="0"/>
                <w:numId w:val="221"/>
              </w:numPr>
              <w:spacing w:before="60" w:after="60" w:line="240" w:lineRule="auto"/>
              <w:ind w:left="318" w:right="-11" w:hanging="284"/>
              <w:rPr>
                <w:rFonts w:ascii="Arial" w:hAnsi="Arial" w:cs="Arial"/>
                <w:sz w:val="16"/>
                <w:szCs w:val="16"/>
              </w:rPr>
            </w:pPr>
            <w:r w:rsidRPr="00BB29BE">
              <w:rPr>
                <w:rFonts w:ascii="Arial" w:hAnsi="Arial" w:cs="Arial"/>
                <w:sz w:val="16"/>
                <w:szCs w:val="16"/>
              </w:rPr>
              <w:t>Implement and report using newly established consistent source of national serious injury data</w:t>
            </w:r>
          </w:p>
          <w:p w14:paraId="65412E64" w14:textId="67EDDF5E" w:rsidR="004C5CB1" w:rsidRPr="0064083D" w:rsidRDefault="004C5CB1" w:rsidP="004C5CB1">
            <w:pPr>
              <w:pStyle w:val="ListParagraph"/>
              <w:numPr>
                <w:ilvl w:val="0"/>
                <w:numId w:val="221"/>
              </w:numPr>
              <w:spacing w:before="60" w:after="60" w:line="240" w:lineRule="auto"/>
              <w:ind w:left="318" w:right="-11" w:hanging="284"/>
              <w:rPr>
                <w:rFonts w:ascii="Arial" w:hAnsi="Arial" w:cs="Arial"/>
                <w:sz w:val="16"/>
                <w:szCs w:val="16"/>
              </w:rPr>
            </w:pPr>
            <w:r w:rsidRPr="00BB29BE">
              <w:rPr>
                <w:rFonts w:ascii="Arial" w:hAnsi="Arial" w:cs="Arial"/>
                <w:sz w:val="16"/>
                <w:szCs w:val="16"/>
              </w:rPr>
              <w:t>Data hub is established</w:t>
            </w:r>
          </w:p>
        </w:tc>
      </w:tr>
      <w:tr w:rsidR="004C5CB1" w14:paraId="4B8C5C50" w14:textId="77777777" w:rsidTr="004C5CB1">
        <w:trPr>
          <w:cantSplit/>
          <w:trHeight w:val="642"/>
        </w:trPr>
        <w:tc>
          <w:tcPr>
            <w:tcW w:w="1560" w:type="dxa"/>
            <w:tcBorders>
              <w:top w:val="nil"/>
              <w:bottom w:val="single" w:sz="4" w:space="0" w:color="auto"/>
              <w:right w:val="single" w:sz="4" w:space="0" w:color="auto"/>
            </w:tcBorders>
          </w:tcPr>
          <w:p w14:paraId="07C67768" w14:textId="77777777" w:rsidR="004C5CB1" w:rsidRPr="00BB29BE"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3DF94F7" w14:textId="77777777" w:rsidR="004C5CB1" w:rsidRPr="00BB29BE" w:rsidRDefault="004C5CB1" w:rsidP="004C5CB1">
            <w:pPr>
              <w:pStyle w:val="TableTextBase"/>
              <w:rPr>
                <w:sz w:val="16"/>
                <w:szCs w:val="16"/>
              </w:rPr>
            </w:pPr>
            <w:r w:rsidRPr="00BB29BE">
              <w:rPr>
                <w:rFonts w:eastAsia="Calibri" w:cs="Arial"/>
                <w:sz w:val="16"/>
                <w:szCs w:val="16"/>
                <w:lang w:eastAsia="en-US"/>
              </w:rPr>
              <w:t xml:space="preserve">Reduction in the number of road fatalities and fatality rate per 100,000 population: road </w:t>
            </w:r>
          </w:p>
        </w:tc>
        <w:tc>
          <w:tcPr>
            <w:tcW w:w="2977" w:type="dxa"/>
            <w:tcBorders>
              <w:top w:val="single" w:sz="4" w:space="0" w:color="auto"/>
              <w:left w:val="single" w:sz="4" w:space="0" w:color="auto"/>
              <w:bottom w:val="single" w:sz="4" w:space="0" w:color="auto"/>
            </w:tcBorders>
          </w:tcPr>
          <w:p w14:paraId="1362ACD0" w14:textId="77777777" w:rsidR="004C5CB1" w:rsidRPr="00BB29BE" w:rsidRDefault="004C5CB1" w:rsidP="004C5CB1">
            <w:pPr>
              <w:pStyle w:val="TableTextBase"/>
              <w:rPr>
                <w:rFonts w:eastAsia="Calibri" w:cs="Arial"/>
                <w:sz w:val="16"/>
                <w:szCs w:val="16"/>
                <w:lang w:eastAsia="en-US"/>
              </w:rPr>
            </w:pPr>
            <w:r w:rsidRPr="00BB29BE">
              <w:rPr>
                <w:rFonts w:eastAsia="Calibri" w:cs="Arial"/>
                <w:sz w:val="16"/>
                <w:szCs w:val="16"/>
                <w:lang w:eastAsia="en-US"/>
              </w:rPr>
              <w:t>Annual target setting not appropriate</w:t>
            </w:r>
            <w:r>
              <w:rPr>
                <w:rFonts w:eastAsia="Calibri" w:cs="Arial"/>
                <w:sz w:val="16"/>
                <w:szCs w:val="16"/>
                <w:lang w:eastAsia="en-US"/>
              </w:rPr>
              <w:t>, results sought are long-term</w:t>
            </w:r>
          </w:p>
        </w:tc>
      </w:tr>
      <w:tr w:rsidR="004C5CB1" w14:paraId="0712CEDA" w14:textId="77777777" w:rsidTr="004C5CB1">
        <w:trPr>
          <w:cantSplit/>
          <w:trHeight w:val="642"/>
        </w:trPr>
        <w:tc>
          <w:tcPr>
            <w:tcW w:w="1560" w:type="dxa"/>
            <w:tcBorders>
              <w:top w:val="single" w:sz="4" w:space="0" w:color="auto"/>
              <w:bottom w:val="nil"/>
              <w:right w:val="single" w:sz="4" w:space="0" w:color="auto"/>
            </w:tcBorders>
          </w:tcPr>
          <w:p w14:paraId="62BE3E1B" w14:textId="77777777" w:rsidR="004C5CB1" w:rsidRPr="00BB29BE" w:rsidRDefault="004C5CB1" w:rsidP="004C5CB1">
            <w:pPr>
              <w:pStyle w:val="TableTextBase"/>
              <w:rPr>
                <w:sz w:val="16"/>
                <w:szCs w:val="16"/>
              </w:rPr>
            </w:pPr>
            <w:r>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376171DE" w14:textId="77777777" w:rsidR="004C5CB1" w:rsidRPr="00D5175D" w:rsidRDefault="004C5CB1" w:rsidP="004C5CB1">
            <w:pPr>
              <w:spacing w:before="60" w:after="60" w:line="240" w:lineRule="auto"/>
              <w:jc w:val="left"/>
              <w:rPr>
                <w:rFonts w:ascii="Arial" w:eastAsia="Calibri" w:hAnsi="Arial" w:cs="Arial"/>
                <w:sz w:val="16"/>
                <w:szCs w:val="16"/>
                <w:lang w:eastAsia="en-US"/>
              </w:rPr>
            </w:pPr>
            <w:r w:rsidRPr="00D5175D">
              <w:rPr>
                <w:rFonts w:ascii="Arial" w:eastAsia="Calibri" w:hAnsi="Arial" w:cs="Arial"/>
                <w:sz w:val="16"/>
                <w:szCs w:val="16"/>
                <w:lang w:eastAsia="en-US"/>
              </w:rPr>
              <w:t>Progress of the implementation of:</w:t>
            </w:r>
          </w:p>
          <w:p w14:paraId="305A263E" w14:textId="77777777" w:rsidR="004C5CB1" w:rsidRPr="00D5175D" w:rsidRDefault="004C5CB1" w:rsidP="009E60A3">
            <w:pPr>
              <w:pStyle w:val="ListParagraph"/>
              <w:numPr>
                <w:ilvl w:val="0"/>
                <w:numId w:val="223"/>
              </w:numPr>
              <w:spacing w:before="60" w:after="60" w:line="240" w:lineRule="auto"/>
              <w:ind w:left="318" w:right="-11" w:hanging="284"/>
              <w:rPr>
                <w:rFonts w:ascii="Arial" w:hAnsi="Arial" w:cs="Arial"/>
                <w:sz w:val="16"/>
                <w:szCs w:val="16"/>
              </w:rPr>
            </w:pPr>
            <w:r w:rsidRPr="00D5175D">
              <w:rPr>
                <w:rFonts w:ascii="Arial" w:hAnsi="Arial" w:cs="Arial"/>
                <w:sz w:val="16"/>
                <w:szCs w:val="16"/>
              </w:rPr>
              <w:t>the National Road Safety Strategy for the decade 2021 to 2030; and</w:t>
            </w:r>
          </w:p>
          <w:p w14:paraId="0D79F523" w14:textId="77777777" w:rsidR="004C5CB1" w:rsidRPr="00D5175D" w:rsidRDefault="004C5CB1" w:rsidP="009E60A3">
            <w:pPr>
              <w:pStyle w:val="ListParagraph"/>
              <w:numPr>
                <w:ilvl w:val="0"/>
                <w:numId w:val="223"/>
              </w:numPr>
              <w:spacing w:before="60" w:after="60" w:line="240" w:lineRule="auto"/>
              <w:ind w:left="318" w:right="-11" w:hanging="284"/>
              <w:rPr>
                <w:rFonts w:ascii="Arial" w:hAnsi="Arial" w:cs="Arial"/>
                <w:sz w:val="16"/>
                <w:szCs w:val="16"/>
              </w:rPr>
            </w:pPr>
            <w:r w:rsidRPr="00D5175D">
              <w:rPr>
                <w:rFonts w:ascii="Arial" w:hAnsi="Arial" w:cs="Arial"/>
                <w:sz w:val="16"/>
                <w:szCs w:val="16"/>
              </w:rPr>
              <w:t>the National Road Safety Data Hub</w:t>
            </w:r>
          </w:p>
        </w:tc>
        <w:tc>
          <w:tcPr>
            <w:tcW w:w="2977" w:type="dxa"/>
            <w:tcBorders>
              <w:top w:val="single" w:sz="4" w:space="0" w:color="auto"/>
              <w:left w:val="single" w:sz="4" w:space="0" w:color="auto"/>
              <w:bottom w:val="single" w:sz="4" w:space="0" w:color="auto"/>
            </w:tcBorders>
          </w:tcPr>
          <w:p w14:paraId="1ABE06AD" w14:textId="77777777" w:rsidR="004C5CB1" w:rsidRPr="00BB29BE" w:rsidRDefault="004C5CB1" w:rsidP="004C5CB1">
            <w:pPr>
              <w:pStyle w:val="TableTextBase"/>
              <w:rPr>
                <w:rFonts w:eastAsia="Calibri" w:cs="Arial"/>
                <w:b/>
                <w:sz w:val="16"/>
                <w:szCs w:val="16"/>
                <w:lang w:eastAsia="en-US"/>
              </w:rPr>
            </w:pPr>
            <w:r w:rsidRPr="00BB29BE">
              <w:rPr>
                <w:rFonts w:eastAsia="Calibri" w:cs="Arial"/>
                <w:sz w:val="16"/>
                <w:szCs w:val="16"/>
                <w:lang w:eastAsia="en-US"/>
              </w:rPr>
              <w:t>Delivery milestones in the National Road Safety Strategy are met for the financial year</w:t>
            </w:r>
          </w:p>
        </w:tc>
      </w:tr>
      <w:tr w:rsidR="004C5CB1" w14:paraId="61F8090A" w14:textId="77777777" w:rsidTr="004C5CB1">
        <w:trPr>
          <w:cantSplit/>
          <w:trHeight w:val="642"/>
        </w:trPr>
        <w:tc>
          <w:tcPr>
            <w:tcW w:w="1560" w:type="dxa"/>
            <w:tcBorders>
              <w:top w:val="nil"/>
              <w:bottom w:val="single" w:sz="4" w:space="0" w:color="auto"/>
              <w:right w:val="single" w:sz="4" w:space="0" w:color="auto"/>
            </w:tcBorders>
          </w:tcPr>
          <w:p w14:paraId="779636EA" w14:textId="77777777" w:rsidR="004C5CB1" w:rsidRPr="00BB29BE"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8C5B846" w14:textId="77777777" w:rsidR="004C5CB1" w:rsidRPr="00BB29BE" w:rsidRDefault="004C5CB1" w:rsidP="004C5CB1">
            <w:pPr>
              <w:pStyle w:val="TableTextBase"/>
              <w:rPr>
                <w:rFonts w:eastAsia="Calibri" w:cs="Arial"/>
                <w:sz w:val="16"/>
                <w:szCs w:val="16"/>
                <w:lang w:eastAsia="en-US"/>
              </w:rPr>
            </w:pPr>
            <w:r w:rsidRPr="00BB29BE">
              <w:rPr>
                <w:rFonts w:eastAsia="Calibri" w:cs="Arial"/>
                <w:sz w:val="16"/>
                <w:szCs w:val="16"/>
                <w:lang w:eastAsia="en-US"/>
              </w:rPr>
              <w:t xml:space="preserve">Reduction in the number of road fatalities and fatality rate per 100,000 population: road </w:t>
            </w:r>
          </w:p>
        </w:tc>
        <w:tc>
          <w:tcPr>
            <w:tcW w:w="2977" w:type="dxa"/>
            <w:tcBorders>
              <w:top w:val="single" w:sz="4" w:space="0" w:color="auto"/>
              <w:left w:val="single" w:sz="4" w:space="0" w:color="auto"/>
              <w:bottom w:val="single" w:sz="4" w:space="0" w:color="auto"/>
            </w:tcBorders>
          </w:tcPr>
          <w:p w14:paraId="343B4CA4" w14:textId="77777777" w:rsidR="004C5CB1" w:rsidRPr="00BB29BE" w:rsidRDefault="004C5CB1" w:rsidP="004C5CB1">
            <w:pPr>
              <w:pStyle w:val="TableTextBase"/>
              <w:rPr>
                <w:rFonts w:eastAsia="Calibri" w:cs="Arial"/>
                <w:b/>
                <w:sz w:val="16"/>
                <w:szCs w:val="16"/>
                <w:lang w:eastAsia="en-US"/>
              </w:rPr>
            </w:pPr>
            <w:r w:rsidRPr="00BB29BE">
              <w:rPr>
                <w:rFonts w:eastAsia="Calibri" w:cs="Arial"/>
                <w:sz w:val="16"/>
                <w:szCs w:val="22"/>
                <w:lang w:eastAsia="en-US"/>
              </w:rPr>
              <w:t>As per the National Road Safety Strategy for the decade 2021 to 2030, a reduction in the annual number of fatalities by at least 50 per cent by 2030</w:t>
            </w:r>
          </w:p>
        </w:tc>
      </w:tr>
    </w:tbl>
    <w:p w14:paraId="1F7EB2F5" w14:textId="77777777" w:rsidR="00B91F3E" w:rsidRDefault="00B91F3E" w:rsidP="00B91F3E">
      <w:pPr>
        <w:spacing w:after="160" w:line="259" w:lineRule="auto"/>
        <w:jc w:val="left"/>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5134E8" w14:paraId="6B3C39B9" w14:textId="77777777" w:rsidTr="004C5CB1">
        <w:trPr>
          <w:trHeight w:val="522"/>
          <w:tblHeader/>
        </w:trPr>
        <w:tc>
          <w:tcPr>
            <w:tcW w:w="7655" w:type="dxa"/>
            <w:gridSpan w:val="3"/>
            <w:shd w:val="clear" w:color="auto" w:fill="F2F2F2"/>
          </w:tcPr>
          <w:p w14:paraId="050BC584" w14:textId="77777777" w:rsidR="004C5CB1" w:rsidRPr="00EC0B13" w:rsidRDefault="004C5CB1" w:rsidP="004C5CB1">
            <w:pPr>
              <w:spacing w:before="120" w:after="120" w:line="240" w:lineRule="auto"/>
              <w:jc w:val="left"/>
              <w:rPr>
                <w:rFonts w:ascii="Arial" w:eastAsia="Calibri" w:hAnsi="Arial" w:cs="Arial"/>
                <w:b/>
                <w:sz w:val="18"/>
                <w:szCs w:val="18"/>
                <w:lang w:eastAsia="en-US"/>
              </w:rPr>
            </w:pPr>
            <w:bookmarkStart w:id="34" w:name="AirTransport2_3"/>
            <w:r w:rsidRPr="00EC0B13">
              <w:rPr>
                <w:rFonts w:ascii="Arial" w:eastAsia="Calibri" w:hAnsi="Arial" w:cs="Arial"/>
                <w:b/>
                <w:sz w:val="18"/>
                <w:szCs w:val="18"/>
                <w:lang w:eastAsia="en-US"/>
              </w:rPr>
              <w:lastRenderedPageBreak/>
              <w:t>Program 2.3 – Air Transport</w:t>
            </w:r>
            <w:bookmarkEnd w:id="34"/>
          </w:p>
          <w:p w14:paraId="2FA515A5" w14:textId="77777777" w:rsidR="004C5CB1" w:rsidRPr="005134E8" w:rsidRDefault="004C5CB1" w:rsidP="004C5CB1">
            <w:pPr>
              <w:pStyle w:val="TableTextLeft"/>
              <w:rPr>
                <w:highlight w:val="yellow"/>
              </w:rPr>
            </w:pPr>
            <w:r w:rsidRPr="001B1C73">
              <w:rPr>
                <w:rFonts w:eastAsia="Calibri" w:cs="Arial"/>
                <w:szCs w:val="18"/>
                <w:lang w:eastAsia="en-US"/>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regional and remote areas.</w:t>
            </w:r>
          </w:p>
        </w:tc>
      </w:tr>
      <w:tr w:rsidR="004C5CB1" w:rsidRPr="00160C23" w14:paraId="582F6FD5" w14:textId="77777777" w:rsidTr="004C5CB1">
        <w:trPr>
          <w:trHeight w:val="174"/>
        </w:trPr>
        <w:tc>
          <w:tcPr>
            <w:tcW w:w="1560" w:type="dxa"/>
            <w:tcBorders>
              <w:bottom w:val="double" w:sz="4" w:space="0" w:color="auto"/>
            </w:tcBorders>
          </w:tcPr>
          <w:p w14:paraId="007F65CC" w14:textId="77777777" w:rsidR="004C5CB1" w:rsidRPr="00160C23" w:rsidRDefault="004C5CB1" w:rsidP="004C5CB1">
            <w:pPr>
              <w:tabs>
                <w:tab w:val="left" w:pos="709"/>
              </w:tabs>
              <w:spacing w:before="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r w:rsidRPr="00A83F42">
              <w:rPr>
                <w:rFonts w:ascii="Arial" w:eastAsia="Calibri" w:hAnsi="Arial" w:cs="Arial"/>
                <w:b/>
                <w:sz w:val="16"/>
                <w:szCs w:val="16"/>
                <w:vertAlign w:val="superscript"/>
                <w:lang w:eastAsia="en-US"/>
              </w:rPr>
              <w:t>(a)</w:t>
            </w:r>
          </w:p>
        </w:tc>
        <w:tc>
          <w:tcPr>
            <w:tcW w:w="6095" w:type="dxa"/>
            <w:gridSpan w:val="2"/>
            <w:tcBorders>
              <w:bottom w:val="double" w:sz="4" w:space="0" w:color="auto"/>
            </w:tcBorders>
          </w:tcPr>
          <w:p w14:paraId="3270F2B1" w14:textId="77777777" w:rsidR="004C5CB1" w:rsidRPr="001B1C73"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894BCA">
              <w:rPr>
                <w:rFonts w:ascii="Arial" w:eastAsia="Calibri" w:hAnsi="Arial" w:cs="Arial"/>
                <w:sz w:val="16"/>
                <w:szCs w:val="16"/>
                <w:lang w:eastAsia="en-US"/>
              </w:rPr>
              <w:t>Lead the design of the Western Sydney Airport flight path</w:t>
            </w:r>
            <w:r>
              <w:rPr>
                <w:rFonts w:ascii="Arial" w:eastAsia="Calibri" w:hAnsi="Arial" w:cs="Arial"/>
                <w:sz w:val="16"/>
                <w:szCs w:val="16"/>
                <w:lang w:eastAsia="en-US"/>
              </w:rPr>
              <w:t xml:space="preserve"> </w:t>
            </w:r>
            <w:r w:rsidRPr="00A83F42">
              <w:rPr>
                <w:rFonts w:ascii="Arial" w:eastAsia="Calibri" w:hAnsi="Arial" w:cs="Arial"/>
                <w:sz w:val="16"/>
                <w:szCs w:val="16"/>
                <w:vertAlign w:val="superscript"/>
                <w:lang w:eastAsia="en-US"/>
              </w:rPr>
              <w:t>(b)</w:t>
            </w:r>
          </w:p>
          <w:p w14:paraId="321B30E4" w14:textId="77777777" w:rsidR="004C5CB1" w:rsidRPr="001F7463" w:rsidRDefault="004C5CB1" w:rsidP="004C5CB1">
            <w:pPr>
              <w:numPr>
                <w:ilvl w:val="0"/>
                <w:numId w:val="39"/>
              </w:numPr>
              <w:spacing w:before="60" w:after="60" w:line="240" w:lineRule="auto"/>
              <w:ind w:left="179" w:hanging="218"/>
              <w:jc w:val="left"/>
              <w:rPr>
                <w:rFonts w:ascii="Arial" w:eastAsia="Calibri" w:hAnsi="Arial" w:cs="Arial"/>
                <w:sz w:val="16"/>
                <w:szCs w:val="16"/>
                <w:lang w:eastAsia="en-US"/>
              </w:rPr>
            </w:pPr>
            <w:r w:rsidRPr="00894BCA">
              <w:rPr>
                <w:rFonts w:ascii="Arial" w:eastAsia="Calibri" w:hAnsi="Arial" w:cs="Arial"/>
                <w:sz w:val="16"/>
                <w:szCs w:val="16"/>
                <w:lang w:eastAsia="en-US"/>
              </w:rPr>
              <w:t>Manage domestic aviation policy, program and regulation</w:t>
            </w:r>
            <w:r>
              <w:rPr>
                <w:rFonts w:ascii="Arial" w:eastAsia="Calibri" w:hAnsi="Arial" w:cs="Arial"/>
                <w:sz w:val="16"/>
                <w:szCs w:val="16"/>
                <w:lang w:eastAsia="en-US"/>
              </w:rPr>
              <w:t xml:space="preserve"> </w:t>
            </w:r>
            <w:r w:rsidRPr="00A83F42">
              <w:rPr>
                <w:rFonts w:ascii="Arial" w:eastAsia="Calibri" w:hAnsi="Arial" w:cs="Arial"/>
                <w:sz w:val="16"/>
                <w:szCs w:val="16"/>
                <w:vertAlign w:val="superscript"/>
                <w:lang w:eastAsia="en-US"/>
              </w:rPr>
              <w:t>(c)</w:t>
            </w:r>
          </w:p>
        </w:tc>
      </w:tr>
      <w:tr w:rsidR="004C5CB1" w:rsidRPr="00160C23" w14:paraId="4739E30F" w14:textId="77777777" w:rsidTr="004C5CB1">
        <w:trPr>
          <w:trHeight w:val="258"/>
        </w:trPr>
        <w:tc>
          <w:tcPr>
            <w:tcW w:w="1560" w:type="dxa"/>
            <w:tcBorders>
              <w:top w:val="double" w:sz="4" w:space="0" w:color="auto"/>
              <w:bottom w:val="single" w:sz="4" w:space="0" w:color="auto"/>
              <w:right w:val="single" w:sz="4" w:space="0" w:color="auto"/>
            </w:tcBorders>
          </w:tcPr>
          <w:p w14:paraId="2EE22E23" w14:textId="77777777" w:rsidR="004C5CB1" w:rsidRPr="00160C23" w:rsidRDefault="004C5CB1" w:rsidP="004C5CB1">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610B827"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3A7575ED"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5307EA" w14:paraId="29C2162E" w14:textId="77777777" w:rsidTr="004C5CB1">
        <w:trPr>
          <w:cantSplit/>
          <w:trHeight w:val="642"/>
        </w:trPr>
        <w:tc>
          <w:tcPr>
            <w:tcW w:w="1560" w:type="dxa"/>
            <w:tcBorders>
              <w:top w:val="single" w:sz="4" w:space="0" w:color="auto"/>
              <w:bottom w:val="nil"/>
              <w:right w:val="single" w:sz="4" w:space="0" w:color="auto"/>
            </w:tcBorders>
          </w:tcPr>
          <w:p w14:paraId="12C887C0" w14:textId="77777777" w:rsidR="004C5CB1" w:rsidRPr="00160C23" w:rsidRDefault="004C5CB1" w:rsidP="004C5CB1">
            <w:pPr>
              <w:pStyle w:val="TableTextBase"/>
              <w:rPr>
                <w:sz w:val="16"/>
                <w:szCs w:val="16"/>
              </w:rPr>
            </w:pPr>
            <w:r w:rsidRPr="00160C23">
              <w:rPr>
                <w:sz w:val="16"/>
                <w:szCs w:val="16"/>
              </w:rPr>
              <w:t xml:space="preserve">Current year </w:t>
            </w:r>
          </w:p>
          <w:p w14:paraId="320C874D" w14:textId="77777777" w:rsidR="004C5CB1" w:rsidRPr="00160C23" w:rsidRDefault="004C5CB1" w:rsidP="004C5CB1">
            <w:pPr>
              <w:pStyle w:val="TableTextBase"/>
              <w:rPr>
                <w:sz w:val="16"/>
                <w:szCs w:val="16"/>
              </w:rPr>
            </w:pPr>
            <w:r w:rsidRPr="00160C23">
              <w:rPr>
                <w:sz w:val="16"/>
                <w:szCs w:val="16"/>
              </w:rPr>
              <w:t>2021</w:t>
            </w:r>
            <w:r>
              <w:rPr>
                <w:rFonts w:ascii="Segoe UI Historic" w:hAnsi="Segoe UI Historic" w:cs="Segoe UI Historic"/>
                <w:sz w:val="16"/>
                <w:szCs w:val="16"/>
              </w:rPr>
              <w:t>–</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25AF5171" w14:textId="77777777" w:rsidR="004C5CB1" w:rsidRPr="00126BBF" w:rsidRDefault="004C5CB1" w:rsidP="004C5CB1">
            <w:pPr>
              <w:spacing w:before="60" w:after="60" w:line="240" w:lineRule="auto"/>
              <w:contextualSpacing/>
              <w:jc w:val="left"/>
              <w:rPr>
                <w:rFonts w:ascii="Arial" w:hAnsi="Arial" w:cs="Arial"/>
                <w:sz w:val="16"/>
                <w:szCs w:val="16"/>
              </w:rPr>
            </w:pPr>
            <w:r w:rsidRPr="00126BBF">
              <w:rPr>
                <w:rFonts w:ascii="Arial" w:eastAsia="Calibri" w:hAnsi="Arial" w:cs="Arial"/>
                <w:sz w:val="16"/>
                <w:szCs w:val="16"/>
                <w:lang w:eastAsia="en-US"/>
              </w:rPr>
              <w:t>Implementation of Western Sydney International (Nancy-Bird Walton) Airport</w:t>
            </w:r>
            <w:r>
              <w:rPr>
                <w:rFonts w:ascii="Arial" w:eastAsia="Calibri" w:hAnsi="Arial" w:cs="Arial"/>
                <w:sz w:val="16"/>
                <w:szCs w:val="16"/>
                <w:lang w:eastAsia="en-US"/>
              </w:rPr>
              <w:t> </w:t>
            </w:r>
            <w:r w:rsidRPr="00A83F42">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51D425EE"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Delivery milestones are met for</w:t>
            </w:r>
            <w:r>
              <w:rPr>
                <w:rFonts w:ascii="Arial" w:eastAsia="Calibri" w:hAnsi="Arial" w:cs="Arial"/>
                <w:sz w:val="16"/>
                <w:szCs w:val="16"/>
                <w:lang w:eastAsia="en-US"/>
              </w:rPr>
              <w:br/>
            </w:r>
            <w:r w:rsidRPr="00126BBF">
              <w:rPr>
                <w:rFonts w:ascii="Arial" w:eastAsia="Calibri" w:hAnsi="Arial" w:cs="Arial"/>
                <w:sz w:val="16"/>
                <w:szCs w:val="16"/>
                <w:lang w:eastAsia="en-US"/>
              </w:rPr>
              <w:t>2021–22</w:t>
            </w:r>
          </w:p>
          <w:p w14:paraId="52BFF90C"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Target expected to be met</w:t>
            </w:r>
          </w:p>
        </w:tc>
      </w:tr>
      <w:tr w:rsidR="004C5CB1" w:rsidRPr="005307EA" w14:paraId="0EEF147E" w14:textId="77777777" w:rsidTr="004C5CB1">
        <w:trPr>
          <w:cantSplit/>
          <w:trHeight w:val="642"/>
        </w:trPr>
        <w:tc>
          <w:tcPr>
            <w:tcW w:w="1560" w:type="dxa"/>
            <w:tcBorders>
              <w:top w:val="nil"/>
              <w:bottom w:val="nil"/>
              <w:right w:val="single" w:sz="4" w:space="0" w:color="auto"/>
            </w:tcBorders>
          </w:tcPr>
          <w:p w14:paraId="15D9ADDE"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AEFD83E" w14:textId="77777777" w:rsidR="004C5CB1" w:rsidRPr="00126BBF" w:rsidRDefault="004C5CB1" w:rsidP="004C5CB1">
            <w:pPr>
              <w:pStyle w:val="TableTextBase"/>
              <w:rPr>
                <w:sz w:val="16"/>
                <w:szCs w:val="16"/>
              </w:rPr>
            </w:pPr>
            <w:r>
              <w:rPr>
                <w:rFonts w:eastAsia="Calibri" w:cs="Arial"/>
                <w:sz w:val="16"/>
                <w:szCs w:val="16"/>
                <w:lang w:eastAsia="en-US"/>
              </w:rPr>
              <w:t>Percent</w:t>
            </w:r>
            <w:r w:rsidRPr="00126BBF">
              <w:rPr>
                <w:rFonts w:eastAsia="Calibri" w:cs="Arial"/>
                <w:sz w:val="16"/>
                <w:szCs w:val="16"/>
                <w:lang w:eastAsia="en-US"/>
              </w:rPr>
              <w:t>age of Master Plans and Major Development Plans processed for federally leased airports within statutory timeframes</w:t>
            </w:r>
          </w:p>
        </w:tc>
        <w:tc>
          <w:tcPr>
            <w:tcW w:w="2977" w:type="dxa"/>
            <w:tcBorders>
              <w:top w:val="single" w:sz="4" w:space="0" w:color="auto"/>
              <w:left w:val="single" w:sz="4" w:space="0" w:color="auto"/>
              <w:bottom w:val="single" w:sz="4" w:space="0" w:color="auto"/>
            </w:tcBorders>
          </w:tcPr>
          <w:p w14:paraId="3E479E03"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100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in each financial year</w:t>
            </w:r>
          </w:p>
          <w:p w14:paraId="5C85AA9C" w14:textId="77777777" w:rsidR="004C5CB1" w:rsidRPr="00126BBF" w:rsidRDefault="004C5CB1" w:rsidP="004C5CB1">
            <w:pPr>
              <w:pStyle w:val="TableTextBase"/>
              <w:rPr>
                <w:sz w:val="16"/>
                <w:szCs w:val="16"/>
              </w:rPr>
            </w:pPr>
            <w:r w:rsidRPr="00126BBF">
              <w:rPr>
                <w:rFonts w:eastAsia="Calibri" w:cs="Arial"/>
                <w:sz w:val="16"/>
                <w:szCs w:val="16"/>
                <w:lang w:eastAsia="en-US"/>
              </w:rPr>
              <w:t>Target expected to be met</w:t>
            </w:r>
          </w:p>
        </w:tc>
      </w:tr>
      <w:tr w:rsidR="004C5CB1" w:rsidRPr="005307EA" w14:paraId="12105A1F" w14:textId="77777777" w:rsidTr="004C5CB1">
        <w:trPr>
          <w:cantSplit/>
          <w:trHeight w:val="642"/>
        </w:trPr>
        <w:tc>
          <w:tcPr>
            <w:tcW w:w="1560" w:type="dxa"/>
            <w:tcBorders>
              <w:top w:val="nil"/>
              <w:bottom w:val="nil"/>
              <w:right w:val="single" w:sz="4" w:space="0" w:color="auto"/>
            </w:tcBorders>
          </w:tcPr>
          <w:p w14:paraId="04F1D5E2"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CA6E3BE"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Performance of the Domestic Aviation Network Support (DANS) and Regional Airline Network Support (RANS) programs, indicated through number of:</w:t>
            </w:r>
          </w:p>
          <w:p w14:paraId="397BC30B" w14:textId="77777777" w:rsidR="004C5CB1" w:rsidRDefault="004C5CB1" w:rsidP="004C5CB1">
            <w:pPr>
              <w:numPr>
                <w:ilvl w:val="0"/>
                <w:numId w:val="16"/>
              </w:numPr>
              <w:spacing w:before="60" w:after="60" w:line="240" w:lineRule="auto"/>
              <w:ind w:left="321"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domestic commercial airlines receiving DANS or RANS support</w:t>
            </w:r>
          </w:p>
          <w:p w14:paraId="5BF660B9" w14:textId="77777777" w:rsidR="004C5CB1" w:rsidRPr="00876131" w:rsidRDefault="004C5CB1" w:rsidP="004C5CB1">
            <w:pPr>
              <w:numPr>
                <w:ilvl w:val="0"/>
                <w:numId w:val="16"/>
              </w:numPr>
              <w:spacing w:before="60" w:after="60" w:line="240" w:lineRule="auto"/>
              <w:ind w:left="321" w:hanging="284"/>
              <w:contextualSpacing/>
              <w:jc w:val="left"/>
              <w:rPr>
                <w:rFonts w:ascii="Arial" w:eastAsia="Calibri" w:hAnsi="Arial" w:cs="Arial"/>
                <w:sz w:val="16"/>
                <w:szCs w:val="16"/>
                <w:lang w:eastAsia="en-US"/>
              </w:rPr>
            </w:pPr>
            <w:r w:rsidRPr="00876131">
              <w:rPr>
                <w:rFonts w:ascii="Arial" w:eastAsia="Calibri" w:hAnsi="Arial" w:cs="Arial"/>
                <w:sz w:val="16"/>
                <w:szCs w:val="16"/>
                <w:lang w:eastAsia="en-US"/>
              </w:rPr>
              <w:t xml:space="preserve">locations receiving DANS or RANS flights </w:t>
            </w:r>
            <w:r w:rsidRPr="00876131">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15E99059"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DANS and RANS operate as a safety net, with the number of flights supported dependent on how the aviation industry moves through the pandemic</w:t>
            </w:r>
          </w:p>
          <w:p w14:paraId="3C535277" w14:textId="77777777" w:rsidR="004C5CB1" w:rsidRPr="00126BBF" w:rsidRDefault="004C5CB1" w:rsidP="004C5CB1">
            <w:pPr>
              <w:numPr>
                <w:ilvl w:val="0"/>
                <w:numId w:val="17"/>
              </w:numPr>
              <w:spacing w:before="120" w:after="12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As at 31 December 2021, the DANS program supported four airlines</w:t>
            </w:r>
          </w:p>
          <w:p w14:paraId="638F788B" w14:textId="77777777" w:rsidR="004C5CB1" w:rsidRPr="00126BBF" w:rsidRDefault="004C5CB1" w:rsidP="0064083D">
            <w:pPr>
              <w:numPr>
                <w:ilvl w:val="0"/>
                <w:numId w:val="17"/>
              </w:numPr>
              <w:spacing w:before="120" w:after="60" w:line="240" w:lineRule="auto"/>
              <w:ind w:left="284" w:hanging="284"/>
              <w:jc w:val="left"/>
              <w:rPr>
                <w:rFonts w:ascii="Arial" w:eastAsia="Calibri" w:hAnsi="Arial" w:cs="Arial"/>
                <w:sz w:val="16"/>
                <w:szCs w:val="16"/>
                <w:lang w:eastAsia="en-US"/>
              </w:rPr>
            </w:pPr>
            <w:r w:rsidRPr="00126BBF">
              <w:rPr>
                <w:rFonts w:ascii="Arial" w:eastAsia="Calibri" w:hAnsi="Arial" w:cs="Arial"/>
                <w:sz w:val="16"/>
                <w:szCs w:val="16"/>
                <w:lang w:eastAsia="en-US"/>
              </w:rPr>
              <w:t>As at 31 December 2021, the RANS programs supported 14 airlines, with 121 locations serviced through eligible RANS flights</w:t>
            </w:r>
          </w:p>
        </w:tc>
      </w:tr>
      <w:tr w:rsidR="004C5CB1" w:rsidRPr="005307EA" w14:paraId="62178FBB" w14:textId="77777777" w:rsidTr="004C5CB1">
        <w:trPr>
          <w:cantSplit/>
          <w:trHeight w:val="642"/>
        </w:trPr>
        <w:tc>
          <w:tcPr>
            <w:tcW w:w="1560" w:type="dxa"/>
            <w:tcBorders>
              <w:top w:val="nil"/>
              <w:bottom w:val="single" w:sz="4" w:space="0" w:color="auto"/>
              <w:right w:val="single" w:sz="4" w:space="0" w:color="auto"/>
            </w:tcBorders>
          </w:tcPr>
          <w:p w14:paraId="185E00C6"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9507788"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Performance of the Regional Airports Program (RAP) and the Remote Airstrip Upgrade (RAU) program, indicated through number of completed projects:</w:t>
            </w:r>
          </w:p>
          <w:p w14:paraId="4F0680CF" w14:textId="77777777" w:rsidR="004C5CB1" w:rsidRPr="00126BBF" w:rsidRDefault="004C5CB1" w:rsidP="004C5CB1">
            <w:pPr>
              <w:numPr>
                <w:ilvl w:val="0"/>
                <w:numId w:val="18"/>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 xml:space="preserve">RAP funding to regional Australia </w:t>
            </w:r>
          </w:p>
          <w:p w14:paraId="47886E53" w14:textId="77777777" w:rsidR="004C5CB1" w:rsidRPr="00126BBF" w:rsidRDefault="004C5CB1" w:rsidP="004C5CB1">
            <w:pPr>
              <w:numPr>
                <w:ilvl w:val="0"/>
                <w:numId w:val="18"/>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RAU funding in remote Australia</w:t>
            </w:r>
          </w:p>
        </w:tc>
        <w:tc>
          <w:tcPr>
            <w:tcW w:w="2977" w:type="dxa"/>
            <w:tcBorders>
              <w:top w:val="single" w:sz="4" w:space="0" w:color="auto"/>
              <w:left w:val="single" w:sz="4" w:space="0" w:color="auto"/>
              <w:bottom w:val="single" w:sz="4" w:space="0" w:color="auto"/>
            </w:tcBorders>
          </w:tcPr>
          <w:p w14:paraId="57FD39EC" w14:textId="77777777" w:rsidR="004C5CB1" w:rsidRPr="00126BBF" w:rsidRDefault="004C5CB1" w:rsidP="004C5CB1">
            <w:pPr>
              <w:numPr>
                <w:ilvl w:val="0"/>
                <w:numId w:val="21"/>
              </w:numPr>
              <w:spacing w:before="60" w:after="60" w:line="240" w:lineRule="auto"/>
              <w:ind w:left="284" w:right="-11"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100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RAP projects with funding agreements in place are completed by 30 June 2025, with a third round of RAP grants to be offered on a competitive basis in 2022</w:t>
            </w:r>
          </w:p>
          <w:p w14:paraId="28A3EF6C" w14:textId="77777777" w:rsidR="004C5CB1" w:rsidRPr="00126BBF" w:rsidRDefault="004C5CB1" w:rsidP="004C5CB1">
            <w:pPr>
              <w:numPr>
                <w:ilvl w:val="0"/>
                <w:numId w:val="21"/>
              </w:numPr>
              <w:spacing w:before="60" w:after="60" w:line="240" w:lineRule="auto"/>
              <w:ind w:left="284" w:right="-11"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100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RAU projects with funding agreements in place are completed by 30 June 2024, with a ninth round of RAU grants to be offered on a competitive basis in 2022</w:t>
            </w:r>
          </w:p>
          <w:p w14:paraId="3424D029"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Results rely on data not yet published</w:t>
            </w:r>
          </w:p>
          <w:p w14:paraId="03528B24"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RAP completion rate can only be reported at 30 June 2025</w:t>
            </w:r>
          </w:p>
          <w:p w14:paraId="10B09A2E" w14:textId="77777777" w:rsidR="004C5CB1" w:rsidRPr="00126BBF" w:rsidRDefault="004C5CB1" w:rsidP="004C5CB1">
            <w:pPr>
              <w:pStyle w:val="TableTextBase"/>
              <w:rPr>
                <w:sz w:val="16"/>
                <w:szCs w:val="16"/>
              </w:rPr>
            </w:pPr>
            <w:r w:rsidRPr="00126BBF">
              <w:rPr>
                <w:rFonts w:eastAsia="Calibri" w:cs="Arial"/>
                <w:sz w:val="16"/>
                <w:szCs w:val="16"/>
                <w:lang w:eastAsia="en-US"/>
              </w:rPr>
              <w:t>RAU completion rate can only be reported at 30 June 2024</w:t>
            </w:r>
          </w:p>
        </w:tc>
      </w:tr>
    </w:tbl>
    <w:p w14:paraId="2130BF2A" w14:textId="77777777" w:rsidR="00B91F3E" w:rsidRPr="00A83F42" w:rsidRDefault="00B91F3E" w:rsidP="00B91F3E">
      <w:pPr>
        <w:ind w:left="426" w:hanging="426"/>
        <w:rPr>
          <w:rFonts w:ascii="Arial" w:hAnsi="Arial" w:cs="Arial"/>
          <w:sz w:val="16"/>
          <w:szCs w:val="16"/>
        </w:rPr>
      </w:pPr>
      <w:r w:rsidRPr="00A83F42">
        <w:rPr>
          <w:rFonts w:ascii="Arial" w:hAnsi="Arial" w:cs="Arial"/>
          <w:sz w:val="16"/>
          <w:szCs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4C5CB1" w:rsidRPr="00160C23" w14:paraId="4E4A88CB" w14:textId="77777777" w:rsidTr="004C5CB1">
        <w:trPr>
          <w:trHeight w:val="258"/>
        </w:trPr>
        <w:tc>
          <w:tcPr>
            <w:tcW w:w="1560" w:type="dxa"/>
            <w:tcBorders>
              <w:top w:val="double" w:sz="4" w:space="0" w:color="auto"/>
              <w:bottom w:val="single" w:sz="4" w:space="0" w:color="auto"/>
              <w:right w:val="single" w:sz="4" w:space="0" w:color="auto"/>
            </w:tcBorders>
          </w:tcPr>
          <w:p w14:paraId="328F5938" w14:textId="77777777" w:rsidR="004C5CB1" w:rsidRPr="00160C23" w:rsidRDefault="004C5CB1" w:rsidP="004C5CB1">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405E93DC" w14:textId="77777777" w:rsidR="004C5CB1" w:rsidRPr="00160C23" w:rsidRDefault="004C5CB1" w:rsidP="004C5CB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75B2296" w14:textId="77777777" w:rsidR="004C5CB1" w:rsidRPr="00160C23" w:rsidRDefault="004C5CB1" w:rsidP="004C5CB1">
            <w:pPr>
              <w:pStyle w:val="TableTextBase"/>
              <w:rPr>
                <w:rFonts w:cs="Arial"/>
                <w:b/>
                <w:sz w:val="16"/>
                <w:szCs w:val="16"/>
              </w:rPr>
            </w:pPr>
            <w:r w:rsidRPr="00160C23">
              <w:rPr>
                <w:rFonts w:cs="Arial"/>
                <w:b/>
                <w:sz w:val="16"/>
                <w:szCs w:val="16"/>
              </w:rPr>
              <w:t>Expected Performance Results</w:t>
            </w:r>
          </w:p>
        </w:tc>
      </w:tr>
      <w:tr w:rsidR="004C5CB1" w:rsidRPr="005307EA" w14:paraId="6D55D0E7" w14:textId="77777777" w:rsidTr="004C5CB1">
        <w:trPr>
          <w:cantSplit/>
          <w:trHeight w:val="642"/>
        </w:trPr>
        <w:tc>
          <w:tcPr>
            <w:tcW w:w="1560" w:type="dxa"/>
            <w:tcBorders>
              <w:top w:val="single" w:sz="4" w:space="0" w:color="auto"/>
              <w:bottom w:val="nil"/>
              <w:right w:val="single" w:sz="4" w:space="0" w:color="auto"/>
            </w:tcBorders>
          </w:tcPr>
          <w:p w14:paraId="1C6EA558" w14:textId="77777777" w:rsidR="004C5CB1" w:rsidRPr="00160C23" w:rsidRDefault="004C5CB1" w:rsidP="004C5CB1">
            <w:pPr>
              <w:pStyle w:val="TableTextBase"/>
              <w:rPr>
                <w:sz w:val="16"/>
                <w:szCs w:val="16"/>
              </w:rPr>
            </w:pPr>
            <w:r w:rsidRPr="00160C23">
              <w:rPr>
                <w:sz w:val="16"/>
                <w:szCs w:val="16"/>
              </w:rPr>
              <w:t xml:space="preserve">Current year </w:t>
            </w:r>
          </w:p>
          <w:p w14:paraId="5BC9F363" w14:textId="77777777" w:rsidR="004C5CB1" w:rsidRPr="00160C23" w:rsidRDefault="004C5CB1" w:rsidP="004C5CB1">
            <w:pPr>
              <w:pStyle w:val="TableTextBase"/>
              <w:rPr>
                <w:sz w:val="16"/>
                <w:szCs w:val="16"/>
              </w:rPr>
            </w:pPr>
            <w:r w:rsidRPr="00160C23">
              <w:rPr>
                <w:sz w:val="16"/>
                <w:szCs w:val="16"/>
              </w:rPr>
              <w:t>2021</w:t>
            </w:r>
            <w:r>
              <w:rPr>
                <w:sz w:val="16"/>
                <w:szCs w:val="16"/>
              </w:rPr>
              <w:t>–</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6D8B15AC"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Performance of the Remote Air Services Subsidy Scheme (RASS Scheme), indicated through the number of remote communities directly visited on the regular “mail plane” service</w:t>
            </w:r>
          </w:p>
        </w:tc>
        <w:tc>
          <w:tcPr>
            <w:tcW w:w="2977" w:type="dxa"/>
            <w:tcBorders>
              <w:top w:val="single" w:sz="4" w:space="0" w:color="auto"/>
              <w:left w:val="single" w:sz="4" w:space="0" w:color="auto"/>
              <w:bottom w:val="single" w:sz="4" w:space="0" w:color="auto"/>
            </w:tcBorders>
          </w:tcPr>
          <w:p w14:paraId="0BCB593B"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Communities can apply for admission to the RASS Scheme at any time</w:t>
            </w:r>
          </w:p>
          <w:p w14:paraId="132AD5B9" w14:textId="77777777" w:rsidR="004C5CB1" w:rsidRPr="00126BBF" w:rsidRDefault="004C5CB1" w:rsidP="004C5CB1">
            <w:pPr>
              <w:spacing w:before="60" w:after="60" w:line="240" w:lineRule="auto"/>
              <w:ind w:right="-12"/>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Target expected to be met</w:t>
            </w:r>
          </w:p>
        </w:tc>
      </w:tr>
      <w:tr w:rsidR="004C5CB1" w:rsidRPr="005307EA" w14:paraId="01437133" w14:textId="77777777" w:rsidTr="004C5CB1">
        <w:trPr>
          <w:cantSplit/>
          <w:trHeight w:val="642"/>
        </w:trPr>
        <w:tc>
          <w:tcPr>
            <w:tcW w:w="1560" w:type="dxa"/>
            <w:tcBorders>
              <w:top w:val="nil"/>
              <w:bottom w:val="nil"/>
              <w:right w:val="single" w:sz="4" w:space="0" w:color="auto"/>
            </w:tcBorders>
          </w:tcPr>
          <w:p w14:paraId="103C1EB0"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D7207A6"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Effectiveness of international engagement on aviation matters</w:t>
            </w:r>
            <w:r>
              <w:rPr>
                <w:rFonts w:ascii="Arial" w:eastAsia="Calibri" w:hAnsi="Arial" w:cs="Arial"/>
                <w:sz w:val="16"/>
                <w:szCs w:val="16"/>
                <w:vertAlign w:val="superscript"/>
                <w:lang w:eastAsia="en-US"/>
              </w:rPr>
              <w:t xml:space="preserve"> (d)</w:t>
            </w:r>
          </w:p>
        </w:tc>
        <w:tc>
          <w:tcPr>
            <w:tcW w:w="2977" w:type="dxa"/>
            <w:tcBorders>
              <w:top w:val="single" w:sz="4" w:space="0" w:color="auto"/>
              <w:left w:val="single" w:sz="4" w:space="0" w:color="auto"/>
              <w:bottom w:val="single" w:sz="4" w:space="0" w:color="auto"/>
            </w:tcBorders>
          </w:tcPr>
          <w:p w14:paraId="4A9C509B"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In financial year, outcomes achieved in line with prevailing aviation conditions</w:t>
            </w:r>
          </w:p>
          <w:p w14:paraId="69CD3A53" w14:textId="77777777" w:rsidR="004C5CB1" w:rsidRPr="00126BBF" w:rsidRDefault="004C5CB1" w:rsidP="004C5CB1">
            <w:pPr>
              <w:spacing w:before="60" w:after="60" w:line="240" w:lineRule="auto"/>
              <w:ind w:right="-12"/>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Target expected to be met</w:t>
            </w:r>
          </w:p>
        </w:tc>
      </w:tr>
      <w:tr w:rsidR="004C5CB1" w:rsidRPr="005307EA" w14:paraId="2D2F1BDB" w14:textId="77777777" w:rsidTr="004C5CB1">
        <w:trPr>
          <w:cantSplit/>
          <w:trHeight w:val="642"/>
        </w:trPr>
        <w:tc>
          <w:tcPr>
            <w:tcW w:w="1560" w:type="dxa"/>
            <w:tcBorders>
              <w:top w:val="nil"/>
              <w:bottom w:val="nil"/>
              <w:right w:val="single" w:sz="4" w:space="0" w:color="auto"/>
            </w:tcBorders>
          </w:tcPr>
          <w:p w14:paraId="135A6C59"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EFB5C5E"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Domestic CO</w:t>
            </w:r>
            <w:r w:rsidRPr="00E73F6C">
              <w:rPr>
                <w:rFonts w:ascii="Arial" w:eastAsia="Calibri" w:hAnsi="Arial" w:cs="Arial"/>
                <w:sz w:val="16"/>
                <w:szCs w:val="16"/>
                <w:vertAlign w:val="subscript"/>
                <w:lang w:eastAsia="en-US"/>
              </w:rPr>
              <w:t>2</w:t>
            </w:r>
            <w:r w:rsidRPr="00126BBF">
              <w:rPr>
                <w:rFonts w:ascii="Arial" w:eastAsia="Calibri" w:hAnsi="Arial" w:cs="Arial"/>
                <w:sz w:val="16"/>
                <w:szCs w:val="16"/>
                <w:lang w:eastAsia="en-US"/>
              </w:rPr>
              <w:t xml:space="preserve"> emissions and rate of emissions: aviation (per passenger kilometre)</w:t>
            </w:r>
            <w:r>
              <w:rPr>
                <w:rFonts w:ascii="Arial" w:eastAsia="Calibri" w:hAnsi="Arial" w:cs="Arial"/>
                <w:sz w:val="16"/>
                <w:szCs w:val="16"/>
                <w:lang w:eastAsia="en-US"/>
              </w:rPr>
              <w:t xml:space="preserve"> </w:t>
            </w:r>
            <w:r>
              <w:rPr>
                <w:rFonts w:ascii="Arial" w:eastAsia="Calibri" w:hAnsi="Arial" w:cs="Arial"/>
                <w:sz w:val="16"/>
                <w:szCs w:val="16"/>
                <w:vertAlign w:val="superscript"/>
                <w:lang w:eastAsia="en-US"/>
              </w:rPr>
              <w:t>(d</w:t>
            </w:r>
            <w:r w:rsidRPr="002A3E8D">
              <w:rPr>
                <w:rFonts w:ascii="Arial" w:eastAsia="Calibri" w:hAnsi="Arial"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5C132C72"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The Department does not set targets for emissions as it reports against an economy-wide framework (the National Greenhouse Gas Inventory)</w:t>
            </w:r>
          </w:p>
          <w:p w14:paraId="669CECA3" w14:textId="2C621152" w:rsidR="004C5CB1" w:rsidRPr="00126BBF" w:rsidRDefault="004C5CB1" w:rsidP="00B917D6">
            <w:pPr>
              <w:spacing w:before="60" w:after="60" w:line="240" w:lineRule="auto"/>
              <w:ind w:right="-12"/>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Domestic aviation emissions in 2020</w:t>
            </w:r>
            <w:r w:rsidR="00B917D6">
              <w:rPr>
                <w:rFonts w:ascii="Arial" w:eastAsia="Calibri" w:hAnsi="Arial" w:cs="Arial"/>
                <w:sz w:val="16"/>
                <w:szCs w:val="16"/>
                <w:lang w:eastAsia="en-US"/>
              </w:rPr>
              <w:noBreakHyphen/>
            </w:r>
            <w:r w:rsidRPr="00126BBF">
              <w:rPr>
                <w:rFonts w:ascii="Arial" w:eastAsia="Calibri" w:hAnsi="Arial" w:cs="Arial"/>
                <w:sz w:val="16"/>
                <w:szCs w:val="16"/>
                <w:lang w:eastAsia="en-US"/>
              </w:rPr>
              <w:t>21 totalled 5,538 gigagrams (CO</w:t>
            </w:r>
            <w:r w:rsidRPr="00E73F6C">
              <w:rPr>
                <w:rFonts w:ascii="Arial" w:eastAsia="Calibri" w:hAnsi="Arial" w:cs="Arial"/>
                <w:sz w:val="16"/>
                <w:szCs w:val="16"/>
                <w:vertAlign w:val="subscript"/>
                <w:lang w:eastAsia="en-US"/>
              </w:rPr>
              <w:t>2</w:t>
            </w:r>
            <w:r w:rsidRPr="00126BBF">
              <w:rPr>
                <w:rFonts w:ascii="Arial" w:eastAsia="Calibri" w:hAnsi="Arial" w:cs="Arial"/>
                <w:sz w:val="16"/>
                <w:szCs w:val="16"/>
                <w:lang w:eastAsia="en-US"/>
              </w:rPr>
              <w:t>-equivalent)</w:t>
            </w:r>
          </w:p>
        </w:tc>
      </w:tr>
      <w:tr w:rsidR="004C5CB1" w:rsidRPr="005307EA" w14:paraId="6871242B" w14:textId="77777777" w:rsidTr="004C5CB1">
        <w:trPr>
          <w:cantSplit/>
          <w:trHeight w:val="642"/>
        </w:trPr>
        <w:tc>
          <w:tcPr>
            <w:tcW w:w="1560" w:type="dxa"/>
            <w:tcBorders>
              <w:top w:val="nil"/>
              <w:bottom w:val="double" w:sz="4" w:space="0" w:color="auto"/>
              <w:right w:val="single" w:sz="4" w:space="0" w:color="auto"/>
            </w:tcBorders>
          </w:tcPr>
          <w:p w14:paraId="034C76F4"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double" w:sz="4" w:space="0" w:color="auto"/>
              <w:right w:val="single" w:sz="4" w:space="0" w:color="auto"/>
            </w:tcBorders>
          </w:tcPr>
          <w:p w14:paraId="277C32AD"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Number of fatalities and fatality rate per 100,000 population: aviation</w:t>
            </w:r>
          </w:p>
        </w:tc>
        <w:tc>
          <w:tcPr>
            <w:tcW w:w="2977" w:type="dxa"/>
            <w:tcBorders>
              <w:top w:val="single" w:sz="4" w:space="0" w:color="auto"/>
              <w:left w:val="single" w:sz="4" w:space="0" w:color="auto"/>
              <w:bottom w:val="double" w:sz="4" w:space="0" w:color="auto"/>
            </w:tcBorders>
          </w:tcPr>
          <w:p w14:paraId="62B0EDFD"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Annual target setting not appropriate, results sought are long term</w:t>
            </w:r>
          </w:p>
          <w:p w14:paraId="38A6FD45"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Data not yet available</w:t>
            </w:r>
          </w:p>
          <w:p w14:paraId="794F0B4B"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Data will be available from ATSB in July 2022</w:t>
            </w:r>
          </w:p>
        </w:tc>
      </w:tr>
      <w:tr w:rsidR="004C5CB1" w14:paraId="23B4AA3C" w14:textId="77777777" w:rsidTr="004C5CB1">
        <w:trPr>
          <w:cantSplit/>
          <w:trHeight w:val="291"/>
        </w:trPr>
        <w:tc>
          <w:tcPr>
            <w:tcW w:w="1560" w:type="dxa"/>
            <w:tcBorders>
              <w:top w:val="double" w:sz="4" w:space="0" w:color="auto"/>
              <w:bottom w:val="single" w:sz="4" w:space="0" w:color="auto"/>
              <w:right w:val="single" w:sz="4" w:space="0" w:color="auto"/>
            </w:tcBorders>
          </w:tcPr>
          <w:p w14:paraId="5785836D" w14:textId="77777777" w:rsidR="004C5CB1" w:rsidRPr="00E73F6C" w:rsidRDefault="004C5CB1" w:rsidP="004C5CB1">
            <w:pPr>
              <w:spacing w:before="60" w:after="60" w:line="240" w:lineRule="auto"/>
              <w:jc w:val="left"/>
              <w:rPr>
                <w:rFonts w:ascii="Arial" w:hAnsi="Arial"/>
                <w:b/>
                <w:sz w:val="16"/>
                <w:szCs w:val="16"/>
              </w:rPr>
            </w:pPr>
            <w:r w:rsidRPr="00E73F6C">
              <w:rPr>
                <w:rFonts w:ascii="Arial" w:hAnsi="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80FC577" w14:textId="77777777" w:rsidR="004C5CB1" w:rsidRPr="00E73F6C" w:rsidRDefault="004C5CB1" w:rsidP="004C5CB1">
            <w:pPr>
              <w:spacing w:before="60" w:after="60" w:line="240" w:lineRule="auto"/>
              <w:jc w:val="left"/>
              <w:rPr>
                <w:rFonts w:ascii="Arial" w:hAnsi="Arial"/>
                <w:b/>
                <w:sz w:val="16"/>
                <w:szCs w:val="16"/>
              </w:rPr>
            </w:pPr>
            <w:r w:rsidRPr="00E73F6C">
              <w:rPr>
                <w:rFonts w:ascii="Arial" w:hAnsi="Arial"/>
                <w:b/>
                <w:sz w:val="16"/>
                <w:szCs w:val="16"/>
              </w:rPr>
              <w:t>Performance measures</w:t>
            </w:r>
          </w:p>
        </w:tc>
        <w:tc>
          <w:tcPr>
            <w:tcW w:w="2977" w:type="dxa"/>
            <w:tcBorders>
              <w:top w:val="double" w:sz="4" w:space="0" w:color="auto"/>
              <w:left w:val="single" w:sz="4" w:space="0" w:color="auto"/>
              <w:bottom w:val="single" w:sz="4" w:space="0" w:color="auto"/>
            </w:tcBorders>
          </w:tcPr>
          <w:p w14:paraId="50172A0A" w14:textId="77777777" w:rsidR="004C5CB1" w:rsidRPr="00126BBF" w:rsidRDefault="004C5CB1" w:rsidP="004C5CB1">
            <w:pPr>
              <w:pStyle w:val="TableTextBase"/>
              <w:rPr>
                <w:rFonts w:eastAsia="Calibri" w:cs="Arial"/>
                <w:sz w:val="16"/>
                <w:szCs w:val="16"/>
                <w:lang w:eastAsia="en-US"/>
              </w:rPr>
            </w:pPr>
            <w:r>
              <w:rPr>
                <w:b/>
                <w:sz w:val="16"/>
                <w:szCs w:val="16"/>
              </w:rPr>
              <w:t xml:space="preserve">Planned </w:t>
            </w:r>
            <w:r w:rsidRPr="00E73F6C">
              <w:rPr>
                <w:b/>
                <w:sz w:val="16"/>
                <w:szCs w:val="16"/>
              </w:rPr>
              <w:t>Performance Results</w:t>
            </w:r>
          </w:p>
        </w:tc>
      </w:tr>
      <w:tr w:rsidR="004C5CB1" w14:paraId="29AF1C8A" w14:textId="77777777" w:rsidTr="004C5CB1">
        <w:trPr>
          <w:cantSplit/>
          <w:trHeight w:val="642"/>
        </w:trPr>
        <w:tc>
          <w:tcPr>
            <w:tcW w:w="1560" w:type="dxa"/>
            <w:tcBorders>
              <w:top w:val="single" w:sz="4" w:space="0" w:color="auto"/>
              <w:bottom w:val="nil"/>
              <w:right w:val="single" w:sz="4" w:space="0" w:color="auto"/>
            </w:tcBorders>
          </w:tcPr>
          <w:p w14:paraId="64F38926" w14:textId="77777777" w:rsidR="004C5CB1" w:rsidRPr="00160C23" w:rsidRDefault="004C5CB1" w:rsidP="004C5CB1">
            <w:pPr>
              <w:spacing w:before="60" w:after="60" w:line="240" w:lineRule="auto"/>
              <w:jc w:val="left"/>
              <w:rPr>
                <w:sz w:val="16"/>
                <w:szCs w:val="16"/>
              </w:rPr>
            </w:pPr>
            <w:r w:rsidRPr="00BE08C4">
              <w:rPr>
                <w:rFonts w:ascii="Arial" w:eastAsia="Calibri" w:hAnsi="Arial" w:cs="Arial"/>
                <w:sz w:val="16"/>
                <w:szCs w:val="16"/>
                <w:lang w:eastAsia="en-US"/>
              </w:rPr>
              <w:t xml:space="preserve">Budget </w:t>
            </w:r>
            <w:r w:rsidRPr="006B398F">
              <w:rPr>
                <w:rFonts w:ascii="Arial" w:eastAsia="Calibri" w:hAnsi="Arial" w:cs="Arial"/>
                <w:sz w:val="16"/>
                <w:szCs w:val="16"/>
                <w:lang w:eastAsia="en-US"/>
              </w:rPr>
              <w:t>year</w:t>
            </w:r>
            <w:r w:rsidRPr="006B398F">
              <w:rPr>
                <w:rFonts w:ascii="Arial" w:eastAsia="Calibri" w:hAnsi="Arial" w:cs="Arial"/>
                <w:sz w:val="16"/>
                <w:szCs w:val="16"/>
                <w:lang w:eastAsia="en-US"/>
              </w:rPr>
              <w:br/>
              <w:t xml:space="preserve">2022–23 </w:t>
            </w:r>
          </w:p>
        </w:tc>
        <w:tc>
          <w:tcPr>
            <w:tcW w:w="3118" w:type="dxa"/>
            <w:tcBorders>
              <w:top w:val="single" w:sz="4" w:space="0" w:color="auto"/>
              <w:left w:val="single" w:sz="4" w:space="0" w:color="auto"/>
              <w:bottom w:val="single" w:sz="4" w:space="0" w:color="auto"/>
              <w:right w:val="single" w:sz="4" w:space="0" w:color="auto"/>
            </w:tcBorders>
          </w:tcPr>
          <w:p w14:paraId="7C9F84E8" w14:textId="753B16BB" w:rsidR="004C5CB1" w:rsidRPr="00B917D6" w:rsidRDefault="004C5CB1" w:rsidP="004C5CB1">
            <w:pPr>
              <w:spacing w:before="60" w:after="60" w:line="240" w:lineRule="auto"/>
              <w:jc w:val="left"/>
              <w:rPr>
                <w:rFonts w:ascii="Arial" w:eastAsia="Calibri" w:hAnsi="Arial" w:cs="Arial"/>
                <w:i/>
                <w:sz w:val="16"/>
                <w:szCs w:val="16"/>
                <w:lang w:eastAsia="en-US"/>
              </w:rPr>
            </w:pPr>
            <w:r w:rsidRPr="00126BBF">
              <w:rPr>
                <w:rFonts w:ascii="Arial" w:eastAsia="Calibri" w:hAnsi="Arial" w:cs="Arial"/>
                <w:i/>
                <w:sz w:val="16"/>
                <w:szCs w:val="16"/>
                <w:lang w:eastAsia="en-US"/>
              </w:rPr>
              <w:t>Development and Environmental Assessment of Preliminary Flight Paths for Western Sydney Internatio</w:t>
            </w:r>
            <w:r w:rsidR="00B917D6">
              <w:rPr>
                <w:rFonts w:ascii="Arial" w:eastAsia="Calibri" w:hAnsi="Arial" w:cs="Arial"/>
                <w:i/>
                <w:sz w:val="16"/>
                <w:szCs w:val="16"/>
                <w:lang w:eastAsia="en-US"/>
              </w:rPr>
              <w:t>nal (Nancy-Bird Walton) Airport</w:t>
            </w:r>
          </w:p>
        </w:tc>
        <w:tc>
          <w:tcPr>
            <w:tcW w:w="2977" w:type="dxa"/>
            <w:tcBorders>
              <w:top w:val="single" w:sz="4" w:space="0" w:color="auto"/>
              <w:left w:val="single" w:sz="4" w:space="0" w:color="auto"/>
              <w:bottom w:val="single" w:sz="4" w:space="0" w:color="auto"/>
            </w:tcBorders>
          </w:tcPr>
          <w:p w14:paraId="0EBAA741" w14:textId="77777777" w:rsidR="004C5CB1" w:rsidRPr="00126BBF" w:rsidRDefault="004C5CB1" w:rsidP="004C5CB1">
            <w:pPr>
              <w:pStyle w:val="TableTextBase"/>
              <w:rPr>
                <w:rFonts w:eastAsia="Calibri" w:cs="Arial"/>
                <w:sz w:val="16"/>
                <w:szCs w:val="16"/>
                <w:lang w:eastAsia="en-US"/>
              </w:rPr>
            </w:pPr>
            <w:r w:rsidRPr="00126BBF">
              <w:rPr>
                <w:rFonts w:eastAsia="Calibri" w:cs="Arial"/>
                <w:sz w:val="16"/>
                <w:szCs w:val="16"/>
                <w:lang w:eastAsia="en-US"/>
              </w:rPr>
              <w:t>Delivery</w:t>
            </w:r>
            <w:r>
              <w:rPr>
                <w:rFonts w:eastAsia="Calibri" w:cs="Arial"/>
                <w:sz w:val="16"/>
                <w:szCs w:val="16"/>
                <w:lang w:eastAsia="en-US"/>
              </w:rPr>
              <w:t xml:space="preserve"> milestones are met for</w:t>
            </w:r>
            <w:r>
              <w:rPr>
                <w:rFonts w:eastAsia="Calibri" w:cs="Arial"/>
                <w:sz w:val="16"/>
                <w:szCs w:val="16"/>
                <w:lang w:eastAsia="en-US"/>
              </w:rPr>
              <w:br/>
              <w:t>2022–23</w:t>
            </w:r>
          </w:p>
        </w:tc>
      </w:tr>
      <w:tr w:rsidR="004C5CB1" w14:paraId="7ABC8AB0" w14:textId="77777777" w:rsidTr="004C5CB1">
        <w:trPr>
          <w:cantSplit/>
          <w:trHeight w:val="642"/>
        </w:trPr>
        <w:tc>
          <w:tcPr>
            <w:tcW w:w="1560" w:type="dxa"/>
            <w:tcBorders>
              <w:top w:val="nil"/>
              <w:bottom w:val="nil"/>
              <w:right w:val="single" w:sz="4" w:space="0" w:color="auto"/>
            </w:tcBorders>
          </w:tcPr>
          <w:p w14:paraId="3DE6AF40"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5DE1147" w14:textId="77777777" w:rsidR="004C5CB1" w:rsidRPr="00126BBF" w:rsidRDefault="004C5CB1" w:rsidP="004C5CB1">
            <w:pPr>
              <w:pStyle w:val="TableTextBase"/>
              <w:rPr>
                <w:sz w:val="16"/>
                <w:szCs w:val="16"/>
              </w:rPr>
            </w:pPr>
            <w:r>
              <w:rPr>
                <w:rFonts w:eastAsia="Calibri" w:cs="Arial"/>
                <w:sz w:val="16"/>
                <w:szCs w:val="16"/>
                <w:lang w:eastAsia="en-US"/>
              </w:rPr>
              <w:t>Percent</w:t>
            </w:r>
            <w:r w:rsidRPr="00126BBF">
              <w:rPr>
                <w:rFonts w:eastAsia="Calibri" w:cs="Arial"/>
                <w:sz w:val="16"/>
                <w:szCs w:val="16"/>
                <w:lang w:eastAsia="en-US"/>
              </w:rPr>
              <w:t>age of Master Plans and Major Development Plans processed for federally leased airports within statutory timeframes</w:t>
            </w:r>
          </w:p>
        </w:tc>
        <w:tc>
          <w:tcPr>
            <w:tcW w:w="2977" w:type="dxa"/>
            <w:tcBorders>
              <w:top w:val="single" w:sz="4" w:space="0" w:color="auto"/>
              <w:left w:val="single" w:sz="4" w:space="0" w:color="auto"/>
              <w:bottom w:val="single" w:sz="4" w:space="0" w:color="auto"/>
            </w:tcBorders>
          </w:tcPr>
          <w:p w14:paraId="4349A144" w14:textId="77777777" w:rsidR="004C5CB1" w:rsidRPr="00126BBF" w:rsidRDefault="004C5CB1" w:rsidP="004C5CB1">
            <w:pPr>
              <w:pStyle w:val="TableTextBase"/>
              <w:rPr>
                <w:rFonts w:eastAsia="Calibri" w:cs="Arial"/>
                <w:sz w:val="16"/>
                <w:szCs w:val="16"/>
                <w:lang w:eastAsia="en-US"/>
              </w:rPr>
            </w:pPr>
            <w:r w:rsidRPr="00126BBF">
              <w:rPr>
                <w:rFonts w:eastAsia="Calibri" w:cs="Arial"/>
                <w:sz w:val="16"/>
                <w:szCs w:val="16"/>
                <w:lang w:eastAsia="en-US"/>
              </w:rPr>
              <w:t>100</w:t>
            </w:r>
            <w:r>
              <w:rPr>
                <w:rFonts w:eastAsia="Calibri" w:cs="Arial"/>
                <w:sz w:val="16"/>
                <w:szCs w:val="16"/>
                <w:lang w:eastAsia="en-US"/>
              </w:rPr>
              <w:t>%</w:t>
            </w:r>
            <w:r w:rsidRPr="00126BBF">
              <w:rPr>
                <w:rFonts w:eastAsia="Calibri" w:cs="Arial"/>
                <w:sz w:val="16"/>
                <w:szCs w:val="16"/>
                <w:lang w:eastAsia="en-US"/>
              </w:rPr>
              <w:t xml:space="preserve"> in each financial year</w:t>
            </w:r>
          </w:p>
        </w:tc>
      </w:tr>
      <w:tr w:rsidR="004C5CB1" w14:paraId="2489FE5A" w14:textId="77777777" w:rsidTr="0064083D">
        <w:trPr>
          <w:cantSplit/>
          <w:trHeight w:val="545"/>
        </w:trPr>
        <w:tc>
          <w:tcPr>
            <w:tcW w:w="1560" w:type="dxa"/>
            <w:tcBorders>
              <w:top w:val="nil"/>
              <w:bottom w:val="single" w:sz="4" w:space="0" w:color="auto"/>
              <w:right w:val="single" w:sz="4" w:space="0" w:color="auto"/>
            </w:tcBorders>
          </w:tcPr>
          <w:p w14:paraId="2E216BBD" w14:textId="77777777" w:rsidR="004C5CB1" w:rsidRPr="00160C23" w:rsidRDefault="004C5CB1" w:rsidP="004C5CB1">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32EF76B" w14:textId="77777777" w:rsidR="004C5CB1" w:rsidRPr="00126BBF" w:rsidRDefault="004C5CB1" w:rsidP="004C5CB1">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 xml:space="preserve">Performance of the Regional Airports Program (RAP) and the Remote Airstrip Upgrade (RAU) program, indicated through number of completed projects: </w:t>
            </w:r>
          </w:p>
          <w:p w14:paraId="4BD6A1D5" w14:textId="71F646B5" w:rsidR="004C5CB1" w:rsidRPr="0064083D" w:rsidRDefault="004C5CB1" w:rsidP="0064083D">
            <w:pPr>
              <w:numPr>
                <w:ilvl w:val="0"/>
                <w:numId w:val="19"/>
              </w:numPr>
              <w:spacing w:before="60" w:after="0" w:line="240" w:lineRule="auto"/>
              <w:ind w:left="284" w:hanging="284"/>
              <w:jc w:val="left"/>
              <w:rPr>
                <w:rFonts w:ascii="Arial" w:eastAsia="Calibri" w:hAnsi="Arial" w:cs="Arial"/>
                <w:sz w:val="16"/>
                <w:szCs w:val="16"/>
                <w:lang w:eastAsia="en-US"/>
              </w:rPr>
            </w:pPr>
            <w:r w:rsidRPr="00126BBF">
              <w:rPr>
                <w:rFonts w:ascii="Arial" w:eastAsia="Calibri" w:hAnsi="Arial" w:cs="Arial"/>
                <w:sz w:val="16"/>
                <w:szCs w:val="16"/>
                <w:lang w:eastAsia="en-US"/>
              </w:rPr>
              <w:t>in r</w:t>
            </w:r>
            <w:r w:rsidRPr="0064083D">
              <w:rPr>
                <w:rFonts w:ascii="Arial" w:eastAsia="Calibri" w:hAnsi="Arial" w:cs="Arial"/>
                <w:sz w:val="16"/>
                <w:szCs w:val="16"/>
                <w:lang w:eastAsia="en-US"/>
              </w:rPr>
              <w:t>egional Australia (RAP)</w:t>
            </w:r>
          </w:p>
          <w:p w14:paraId="040B39AE" w14:textId="77777777" w:rsidR="004C5CB1" w:rsidRPr="00126BBF" w:rsidRDefault="004C5CB1" w:rsidP="0064083D">
            <w:pPr>
              <w:numPr>
                <w:ilvl w:val="0"/>
                <w:numId w:val="19"/>
              </w:numPr>
              <w:spacing w:after="60" w:line="240" w:lineRule="auto"/>
              <w:ind w:left="284" w:hanging="284"/>
              <w:jc w:val="left"/>
              <w:rPr>
                <w:rFonts w:ascii="Arial" w:eastAsia="Calibri" w:hAnsi="Arial" w:cs="Arial"/>
                <w:sz w:val="16"/>
                <w:szCs w:val="16"/>
                <w:lang w:eastAsia="en-US"/>
              </w:rPr>
            </w:pPr>
            <w:r w:rsidRPr="00126BBF">
              <w:rPr>
                <w:rFonts w:ascii="Arial" w:eastAsia="Calibri" w:hAnsi="Arial" w:cs="Arial"/>
                <w:sz w:val="16"/>
                <w:szCs w:val="16"/>
                <w:lang w:eastAsia="en-US"/>
              </w:rPr>
              <w:t>in remote Australia (RAU)</w:t>
            </w:r>
          </w:p>
        </w:tc>
        <w:tc>
          <w:tcPr>
            <w:tcW w:w="2977" w:type="dxa"/>
            <w:tcBorders>
              <w:top w:val="single" w:sz="4" w:space="0" w:color="auto"/>
              <w:left w:val="single" w:sz="4" w:space="0" w:color="auto"/>
              <w:bottom w:val="single" w:sz="4" w:space="0" w:color="auto"/>
            </w:tcBorders>
          </w:tcPr>
          <w:p w14:paraId="3DB07EC2" w14:textId="77777777"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 xml:space="preserve">In 2022–23, RAP and RAU projects are completed in line with their funding agreements </w:t>
            </w:r>
          </w:p>
          <w:p w14:paraId="724D8F93" w14:textId="36FCDEC3" w:rsidR="004C5CB1" w:rsidRPr="00126BBF" w:rsidRDefault="004C5CB1" w:rsidP="004C5CB1">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 xml:space="preserve">Both RAP and RAU continue for one round with RAP funding to </w:t>
            </w:r>
            <w:r w:rsidR="0064083D">
              <w:rPr>
                <w:rFonts w:ascii="Arial" w:eastAsia="Calibri" w:hAnsi="Arial" w:cs="Arial"/>
                <w:sz w:val="16"/>
                <w:szCs w:val="16"/>
                <w:lang w:eastAsia="en-US"/>
              </w:rPr>
              <w:t>2024–25; RAU funding to 2023–24</w:t>
            </w:r>
          </w:p>
        </w:tc>
      </w:tr>
    </w:tbl>
    <w:p w14:paraId="6BB174E4" w14:textId="12A714C3" w:rsidR="00B91F3E" w:rsidRPr="002A3E8D" w:rsidRDefault="00B91F3E" w:rsidP="00B91F3E">
      <w:pPr>
        <w:spacing w:before="60" w:after="0"/>
        <w:ind w:left="426" w:hanging="426"/>
        <w:rPr>
          <w:rFonts w:ascii="Arial" w:hAnsi="Arial" w:cs="Arial"/>
          <w:sz w:val="16"/>
          <w:szCs w:val="16"/>
        </w:rPr>
      </w:pPr>
      <w:r w:rsidRPr="002A3E8D">
        <w:rPr>
          <w:rFonts w:ascii="Arial" w:hAnsi="Arial" w:cs="Arial"/>
          <w:sz w:val="16"/>
          <w:szCs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160C23" w14:paraId="7BBB1275" w14:textId="77777777" w:rsidTr="00B208C2">
        <w:trPr>
          <w:trHeight w:val="258"/>
        </w:trPr>
        <w:tc>
          <w:tcPr>
            <w:tcW w:w="1560" w:type="dxa"/>
            <w:tcBorders>
              <w:top w:val="double" w:sz="4" w:space="0" w:color="auto"/>
              <w:bottom w:val="single" w:sz="4" w:space="0" w:color="auto"/>
              <w:right w:val="single" w:sz="4" w:space="0" w:color="auto"/>
            </w:tcBorders>
          </w:tcPr>
          <w:p w14:paraId="3961FD34" w14:textId="77777777" w:rsidR="00B208C2" w:rsidRPr="00160C23" w:rsidRDefault="00B208C2" w:rsidP="00B208C2">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7F3B78BF"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279434D2" w14:textId="77777777" w:rsidR="00B208C2" w:rsidRPr="00160C23" w:rsidRDefault="00B208C2" w:rsidP="00B208C2">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B208C2" w14:paraId="794F867E" w14:textId="77777777" w:rsidTr="00B208C2">
        <w:trPr>
          <w:cantSplit/>
          <w:trHeight w:val="642"/>
        </w:trPr>
        <w:tc>
          <w:tcPr>
            <w:tcW w:w="1560" w:type="dxa"/>
            <w:tcBorders>
              <w:top w:val="single" w:sz="4" w:space="0" w:color="auto"/>
              <w:bottom w:val="nil"/>
              <w:right w:val="single" w:sz="4" w:space="0" w:color="auto"/>
            </w:tcBorders>
          </w:tcPr>
          <w:p w14:paraId="52C01F38"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2F7A85FB" w14:textId="77777777" w:rsidR="00B208C2" w:rsidRPr="00160C23" w:rsidRDefault="00B208C2" w:rsidP="00B208C2">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0A72B179" w14:textId="0F9471ED" w:rsidR="00B208C2" w:rsidRPr="00126BBF" w:rsidRDefault="00B208C2" w:rsidP="00B208C2">
            <w:pPr>
              <w:pStyle w:val="TableTextBase"/>
              <w:rPr>
                <w:sz w:val="16"/>
                <w:szCs w:val="16"/>
              </w:rPr>
            </w:pPr>
            <w:r w:rsidRPr="00126BBF">
              <w:rPr>
                <w:rFonts w:eastAsia="Calibri" w:cs="Arial"/>
                <w:i/>
                <w:sz w:val="16"/>
                <w:szCs w:val="16"/>
                <w:lang w:eastAsia="en-US"/>
              </w:rPr>
              <w:t>Remote Air Services Subsidy (RASS) Scheme performance is indicated by eligible communities in remote and isolated areas of Australia having access to a regular air transport service for the carriage of passenge</w:t>
            </w:r>
            <w:r w:rsidR="00B917D6">
              <w:rPr>
                <w:rFonts w:eastAsia="Calibri" w:cs="Arial"/>
                <w:i/>
                <w:sz w:val="16"/>
                <w:szCs w:val="16"/>
                <w:lang w:eastAsia="en-US"/>
              </w:rPr>
              <w:t>rs and goods</w:t>
            </w:r>
          </w:p>
        </w:tc>
        <w:tc>
          <w:tcPr>
            <w:tcW w:w="2977" w:type="dxa"/>
            <w:tcBorders>
              <w:top w:val="single" w:sz="4" w:space="0" w:color="auto"/>
              <w:left w:val="single" w:sz="4" w:space="0" w:color="auto"/>
              <w:bottom w:val="single" w:sz="4" w:space="0" w:color="auto"/>
            </w:tcBorders>
          </w:tcPr>
          <w:p w14:paraId="6D0F26C7"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All eligible communities are admitted and maintained in the RASS Scheme</w:t>
            </w:r>
          </w:p>
        </w:tc>
      </w:tr>
      <w:tr w:rsidR="00B208C2" w14:paraId="5D8ECC1A" w14:textId="77777777" w:rsidTr="00B208C2">
        <w:trPr>
          <w:cantSplit/>
          <w:trHeight w:val="642"/>
        </w:trPr>
        <w:tc>
          <w:tcPr>
            <w:tcW w:w="1560" w:type="dxa"/>
            <w:tcBorders>
              <w:top w:val="nil"/>
              <w:bottom w:val="single" w:sz="4" w:space="0" w:color="auto"/>
              <w:right w:val="single" w:sz="4" w:space="0" w:color="auto"/>
            </w:tcBorders>
          </w:tcPr>
          <w:p w14:paraId="7AE786AE"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26CB9B" w14:textId="77777777" w:rsidR="00B208C2" w:rsidRPr="00126BBF" w:rsidRDefault="00B208C2" w:rsidP="00B208C2">
            <w:pPr>
              <w:pStyle w:val="TableTextBase"/>
              <w:rPr>
                <w:sz w:val="16"/>
                <w:szCs w:val="16"/>
              </w:rPr>
            </w:pPr>
            <w:r w:rsidRPr="00126BBF">
              <w:rPr>
                <w:rFonts w:eastAsia="Calibri" w:cs="Arial"/>
                <w:i/>
                <w:sz w:val="16"/>
                <w:szCs w:val="16"/>
                <w:lang w:eastAsia="en-US"/>
              </w:rPr>
              <w:t>Provide policy advice supporting safety: aviation</w:t>
            </w:r>
          </w:p>
        </w:tc>
        <w:tc>
          <w:tcPr>
            <w:tcW w:w="2977" w:type="dxa"/>
            <w:tcBorders>
              <w:top w:val="single" w:sz="4" w:space="0" w:color="auto"/>
              <w:left w:val="single" w:sz="4" w:space="0" w:color="auto"/>
              <w:bottom w:val="single" w:sz="4" w:space="0" w:color="auto"/>
            </w:tcBorders>
          </w:tcPr>
          <w:p w14:paraId="2E5DBFAB"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Policy advice is high-quality, timely and evidence-based</w:t>
            </w:r>
          </w:p>
        </w:tc>
      </w:tr>
      <w:tr w:rsidR="00B208C2" w14:paraId="683675CA" w14:textId="77777777" w:rsidTr="00B208C2">
        <w:trPr>
          <w:cantSplit/>
          <w:trHeight w:val="642"/>
        </w:trPr>
        <w:tc>
          <w:tcPr>
            <w:tcW w:w="1560" w:type="dxa"/>
            <w:tcBorders>
              <w:top w:val="single" w:sz="4" w:space="0" w:color="auto"/>
              <w:bottom w:val="nil"/>
              <w:right w:val="single" w:sz="4" w:space="0" w:color="auto"/>
            </w:tcBorders>
          </w:tcPr>
          <w:p w14:paraId="4A38D823" w14:textId="27DF34E7" w:rsidR="00B208C2" w:rsidRPr="00160C23" w:rsidRDefault="00B208C2" w:rsidP="00B208C2">
            <w:pPr>
              <w:pStyle w:val="TableTextBase"/>
              <w:rPr>
                <w:sz w:val="16"/>
                <w:szCs w:val="16"/>
              </w:rPr>
            </w:pPr>
            <w:r>
              <w:rPr>
                <w:sz w:val="16"/>
                <w:szCs w:val="16"/>
              </w:rPr>
              <w:t>Forward Estim</w:t>
            </w:r>
            <w:r w:rsidR="0056080A">
              <w:rPr>
                <w:sz w:val="16"/>
                <w:szCs w:val="16"/>
              </w:rPr>
              <w:t>a</w:t>
            </w:r>
            <w:r>
              <w:rPr>
                <w:sz w:val="16"/>
                <w:szCs w:val="16"/>
              </w:rPr>
              <w:t xml:space="preserve">tes 2023-26 </w:t>
            </w:r>
          </w:p>
        </w:tc>
        <w:tc>
          <w:tcPr>
            <w:tcW w:w="3118" w:type="dxa"/>
            <w:tcBorders>
              <w:top w:val="single" w:sz="4" w:space="0" w:color="auto"/>
              <w:left w:val="single" w:sz="4" w:space="0" w:color="auto"/>
              <w:bottom w:val="single" w:sz="4" w:space="0" w:color="auto"/>
              <w:right w:val="single" w:sz="4" w:space="0" w:color="auto"/>
            </w:tcBorders>
          </w:tcPr>
          <w:p w14:paraId="07473EC9" w14:textId="295A942D" w:rsidR="00B208C2" w:rsidRPr="0064083D" w:rsidRDefault="00B208C2" w:rsidP="0064083D">
            <w:pPr>
              <w:spacing w:before="60" w:after="60" w:line="240" w:lineRule="auto"/>
              <w:jc w:val="left"/>
              <w:rPr>
                <w:rFonts w:ascii="Arial" w:eastAsia="Calibri" w:hAnsi="Arial" w:cs="Arial"/>
                <w:i/>
                <w:sz w:val="16"/>
                <w:szCs w:val="16"/>
                <w:lang w:eastAsia="en-US"/>
              </w:rPr>
            </w:pPr>
            <w:r w:rsidRPr="00126BBF">
              <w:rPr>
                <w:rFonts w:ascii="Arial" w:eastAsia="Calibri" w:hAnsi="Arial" w:cs="Arial"/>
                <w:i/>
                <w:sz w:val="16"/>
                <w:szCs w:val="16"/>
                <w:lang w:eastAsia="en-US"/>
              </w:rPr>
              <w:t>Development and Environmental Assessment of Preliminary Flight Paths for Western Sydney Internatio</w:t>
            </w:r>
            <w:r w:rsidR="0064083D">
              <w:rPr>
                <w:rFonts w:ascii="Arial" w:eastAsia="Calibri" w:hAnsi="Arial" w:cs="Arial"/>
                <w:i/>
                <w:sz w:val="16"/>
                <w:szCs w:val="16"/>
                <w:lang w:eastAsia="en-US"/>
              </w:rPr>
              <w:t>nal (Nancy-Bird Walton) Airport</w:t>
            </w:r>
          </w:p>
        </w:tc>
        <w:tc>
          <w:tcPr>
            <w:tcW w:w="2977" w:type="dxa"/>
            <w:tcBorders>
              <w:top w:val="single" w:sz="4" w:space="0" w:color="auto"/>
              <w:left w:val="single" w:sz="4" w:space="0" w:color="auto"/>
              <w:bottom w:val="single" w:sz="4" w:space="0" w:color="auto"/>
            </w:tcBorders>
          </w:tcPr>
          <w:p w14:paraId="53406383"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Flight Paths finalised and approved following community consultation to enable Airport opening in 2026</w:t>
            </w:r>
          </w:p>
        </w:tc>
      </w:tr>
      <w:tr w:rsidR="00B208C2" w14:paraId="49C71F1C" w14:textId="77777777" w:rsidTr="00B208C2">
        <w:trPr>
          <w:cantSplit/>
          <w:trHeight w:val="642"/>
        </w:trPr>
        <w:tc>
          <w:tcPr>
            <w:tcW w:w="1560" w:type="dxa"/>
            <w:tcBorders>
              <w:top w:val="nil"/>
              <w:bottom w:val="nil"/>
              <w:right w:val="single" w:sz="4" w:space="0" w:color="auto"/>
            </w:tcBorders>
          </w:tcPr>
          <w:p w14:paraId="0C51B5CE"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5B85722" w14:textId="77777777" w:rsidR="00B208C2" w:rsidRPr="00126BBF" w:rsidRDefault="00B208C2" w:rsidP="00B208C2">
            <w:pPr>
              <w:pStyle w:val="TableTextBase"/>
              <w:rPr>
                <w:rFonts w:eastAsia="Calibri" w:cs="Arial"/>
                <w:i/>
                <w:sz w:val="16"/>
                <w:szCs w:val="16"/>
                <w:lang w:eastAsia="en-US"/>
              </w:rPr>
            </w:pPr>
            <w:r>
              <w:rPr>
                <w:rFonts w:eastAsia="Calibri" w:cs="Arial"/>
                <w:sz w:val="16"/>
                <w:szCs w:val="16"/>
                <w:lang w:eastAsia="en-US"/>
              </w:rPr>
              <w:t>Percent</w:t>
            </w:r>
            <w:r w:rsidRPr="00126BBF">
              <w:rPr>
                <w:rFonts w:eastAsia="Calibri" w:cs="Arial"/>
                <w:sz w:val="16"/>
                <w:szCs w:val="16"/>
                <w:lang w:eastAsia="en-US"/>
              </w:rPr>
              <w:t>age of Master Plans and Major Development Plans processed for federally leased airports within statutory timeframes</w:t>
            </w:r>
          </w:p>
        </w:tc>
        <w:tc>
          <w:tcPr>
            <w:tcW w:w="2977" w:type="dxa"/>
            <w:tcBorders>
              <w:top w:val="single" w:sz="4" w:space="0" w:color="auto"/>
              <w:left w:val="single" w:sz="4" w:space="0" w:color="auto"/>
              <w:bottom w:val="single" w:sz="4" w:space="0" w:color="auto"/>
            </w:tcBorders>
          </w:tcPr>
          <w:p w14:paraId="7BF38F23" w14:textId="77777777" w:rsidR="00B208C2" w:rsidRPr="00126BBF" w:rsidRDefault="00B208C2" w:rsidP="00B208C2">
            <w:pPr>
              <w:pStyle w:val="TableTextBase"/>
              <w:rPr>
                <w:rFonts w:eastAsia="Calibri" w:cs="Arial"/>
                <w:b/>
                <w:sz w:val="16"/>
                <w:szCs w:val="16"/>
                <w:lang w:eastAsia="en-US"/>
              </w:rPr>
            </w:pPr>
            <w:r>
              <w:rPr>
                <w:rFonts w:eastAsia="Calibri" w:cs="Arial"/>
                <w:sz w:val="16"/>
                <w:szCs w:val="16"/>
                <w:lang w:eastAsia="en-US"/>
              </w:rPr>
              <w:t>1</w:t>
            </w:r>
            <w:r w:rsidRPr="00126BBF">
              <w:rPr>
                <w:rFonts w:eastAsia="Calibri" w:cs="Arial"/>
                <w:sz w:val="16"/>
                <w:szCs w:val="16"/>
                <w:lang w:eastAsia="en-US"/>
              </w:rPr>
              <w:t>00</w:t>
            </w:r>
            <w:r>
              <w:rPr>
                <w:rFonts w:eastAsia="Calibri" w:cs="Arial"/>
                <w:sz w:val="16"/>
                <w:szCs w:val="16"/>
                <w:lang w:eastAsia="en-US"/>
              </w:rPr>
              <w:t>%</w:t>
            </w:r>
            <w:r w:rsidRPr="00126BBF">
              <w:rPr>
                <w:rFonts w:eastAsia="Calibri" w:cs="Arial"/>
                <w:sz w:val="16"/>
                <w:szCs w:val="16"/>
                <w:lang w:eastAsia="en-US"/>
              </w:rPr>
              <w:t xml:space="preserve"> in each financial year</w:t>
            </w:r>
          </w:p>
        </w:tc>
      </w:tr>
      <w:tr w:rsidR="00B208C2" w14:paraId="6D11EDB8" w14:textId="77777777" w:rsidTr="00B208C2">
        <w:trPr>
          <w:cantSplit/>
          <w:trHeight w:val="642"/>
        </w:trPr>
        <w:tc>
          <w:tcPr>
            <w:tcW w:w="1560" w:type="dxa"/>
            <w:tcBorders>
              <w:top w:val="nil"/>
              <w:bottom w:val="nil"/>
              <w:right w:val="single" w:sz="4" w:space="0" w:color="auto"/>
            </w:tcBorders>
          </w:tcPr>
          <w:p w14:paraId="77015680"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9606AD5" w14:textId="77777777" w:rsidR="00B208C2" w:rsidRPr="00910005" w:rsidRDefault="00B208C2" w:rsidP="00B208C2">
            <w:pPr>
              <w:spacing w:before="60" w:after="60" w:line="240" w:lineRule="auto"/>
              <w:jc w:val="left"/>
              <w:rPr>
                <w:rFonts w:ascii="Arial" w:eastAsia="Calibri" w:hAnsi="Arial" w:cs="Arial"/>
                <w:sz w:val="16"/>
                <w:szCs w:val="16"/>
                <w:lang w:eastAsia="en-US"/>
              </w:rPr>
            </w:pPr>
            <w:r w:rsidRPr="00910005">
              <w:rPr>
                <w:rFonts w:ascii="Arial" w:eastAsia="Calibri" w:hAnsi="Arial" w:cs="Arial"/>
                <w:sz w:val="16"/>
                <w:szCs w:val="16"/>
                <w:lang w:eastAsia="en-US"/>
              </w:rPr>
              <w:t xml:space="preserve">Performance of the Regional Airports Program (RAP) and the Remote Airstrip Upgrade (RAU) program, indicated through number of completed projects: </w:t>
            </w:r>
          </w:p>
          <w:p w14:paraId="52EF2A72" w14:textId="77777777" w:rsidR="00B208C2" w:rsidRPr="00910005" w:rsidRDefault="00B208C2" w:rsidP="009E60A3">
            <w:pPr>
              <w:pStyle w:val="ListParagraph"/>
              <w:numPr>
                <w:ilvl w:val="0"/>
                <w:numId w:val="225"/>
              </w:numPr>
              <w:spacing w:before="60" w:after="60" w:line="240" w:lineRule="auto"/>
              <w:ind w:left="324" w:hanging="284"/>
              <w:rPr>
                <w:rFonts w:ascii="Arial" w:hAnsi="Arial" w:cs="Arial"/>
                <w:sz w:val="16"/>
                <w:szCs w:val="16"/>
              </w:rPr>
            </w:pPr>
            <w:r w:rsidRPr="00910005">
              <w:rPr>
                <w:rFonts w:ascii="Arial" w:hAnsi="Arial" w:cs="Arial"/>
                <w:sz w:val="16"/>
                <w:szCs w:val="16"/>
              </w:rPr>
              <w:t>in regional Australia (RAP)</w:t>
            </w:r>
          </w:p>
          <w:p w14:paraId="3C3C32AD" w14:textId="77777777" w:rsidR="00B208C2" w:rsidRPr="00910005" w:rsidRDefault="00B208C2" w:rsidP="009E60A3">
            <w:pPr>
              <w:pStyle w:val="TableTextBase"/>
              <w:numPr>
                <w:ilvl w:val="0"/>
                <w:numId w:val="225"/>
              </w:numPr>
              <w:ind w:left="324" w:hanging="284"/>
              <w:rPr>
                <w:rFonts w:eastAsia="Calibri" w:cs="Arial"/>
                <w:i/>
                <w:sz w:val="16"/>
                <w:szCs w:val="16"/>
                <w:lang w:eastAsia="en-US"/>
              </w:rPr>
            </w:pPr>
            <w:r w:rsidRPr="00910005">
              <w:rPr>
                <w:rFonts w:eastAsia="Calibri" w:cs="Arial"/>
                <w:sz w:val="16"/>
                <w:szCs w:val="16"/>
                <w:lang w:eastAsia="en-US"/>
              </w:rPr>
              <w:t>in remote Australia (RAU)</w:t>
            </w:r>
          </w:p>
        </w:tc>
        <w:tc>
          <w:tcPr>
            <w:tcW w:w="2977" w:type="dxa"/>
            <w:tcBorders>
              <w:top w:val="single" w:sz="4" w:space="0" w:color="auto"/>
              <w:left w:val="single" w:sz="4" w:space="0" w:color="auto"/>
              <w:bottom w:val="single" w:sz="4" w:space="0" w:color="auto"/>
            </w:tcBorders>
          </w:tcPr>
          <w:p w14:paraId="6C70F9D3" w14:textId="77777777" w:rsidR="00B208C2" w:rsidRPr="00910005" w:rsidRDefault="00B208C2" w:rsidP="00B208C2">
            <w:pPr>
              <w:pStyle w:val="TableTextBase"/>
              <w:numPr>
                <w:ilvl w:val="0"/>
                <w:numId w:val="20"/>
              </w:numPr>
              <w:ind w:left="319" w:hanging="284"/>
              <w:rPr>
                <w:rFonts w:eastAsia="Calibri" w:cs="Arial"/>
                <w:sz w:val="16"/>
                <w:szCs w:val="16"/>
                <w:lang w:eastAsia="en-US"/>
              </w:rPr>
            </w:pPr>
            <w:r w:rsidRPr="00910005">
              <w:rPr>
                <w:rFonts w:eastAsia="Calibri" w:cs="Arial"/>
                <w:sz w:val="16"/>
                <w:szCs w:val="16"/>
                <w:lang w:eastAsia="en-US"/>
              </w:rPr>
              <w:t>100</w:t>
            </w:r>
            <w:r>
              <w:rPr>
                <w:rFonts w:eastAsia="Calibri" w:cs="Arial"/>
                <w:sz w:val="16"/>
                <w:szCs w:val="16"/>
                <w:lang w:eastAsia="en-US"/>
              </w:rPr>
              <w:t>%</w:t>
            </w:r>
            <w:r w:rsidRPr="00910005">
              <w:rPr>
                <w:rFonts w:eastAsia="Calibri" w:cs="Arial"/>
                <w:sz w:val="16"/>
                <w:szCs w:val="16"/>
                <w:lang w:eastAsia="en-US"/>
              </w:rPr>
              <w:t xml:space="preserve"> of RAP projects with funding agreements in place are completed by 30 June 2025, with a third round of RAP grants to be offered on a competitive basis in 2022</w:t>
            </w:r>
          </w:p>
          <w:p w14:paraId="452D11D5" w14:textId="77777777" w:rsidR="00B208C2" w:rsidRPr="00910005" w:rsidRDefault="00B208C2" w:rsidP="00B208C2">
            <w:pPr>
              <w:pStyle w:val="TableTextBase"/>
              <w:numPr>
                <w:ilvl w:val="0"/>
                <w:numId w:val="20"/>
              </w:numPr>
              <w:ind w:left="319" w:hanging="284"/>
              <w:rPr>
                <w:rFonts w:eastAsia="Calibri" w:cs="Arial"/>
                <w:sz w:val="16"/>
                <w:szCs w:val="16"/>
                <w:lang w:eastAsia="en-US"/>
              </w:rPr>
            </w:pPr>
            <w:r w:rsidRPr="00910005">
              <w:rPr>
                <w:rFonts w:eastAsia="Calibri" w:cs="Arial"/>
                <w:sz w:val="16"/>
                <w:szCs w:val="16"/>
                <w:lang w:eastAsia="en-US"/>
              </w:rPr>
              <w:t>100</w:t>
            </w:r>
            <w:r>
              <w:rPr>
                <w:rFonts w:eastAsia="Calibri" w:cs="Arial"/>
                <w:sz w:val="16"/>
                <w:szCs w:val="16"/>
                <w:lang w:eastAsia="en-US"/>
              </w:rPr>
              <w:t>%</w:t>
            </w:r>
            <w:r w:rsidRPr="00910005">
              <w:rPr>
                <w:rFonts w:eastAsia="Calibri" w:cs="Arial"/>
                <w:sz w:val="16"/>
                <w:szCs w:val="16"/>
                <w:lang w:eastAsia="en-US"/>
              </w:rPr>
              <w:t xml:space="preserve"> of RAU projects with funding agreements in place are completed by 30 June 2024, with a ninth round of RAU grants to be offered on a competitive basis in 2022</w:t>
            </w:r>
          </w:p>
        </w:tc>
      </w:tr>
      <w:tr w:rsidR="00B208C2" w14:paraId="5649F00F" w14:textId="77777777" w:rsidTr="00B208C2">
        <w:trPr>
          <w:cantSplit/>
          <w:trHeight w:val="642"/>
        </w:trPr>
        <w:tc>
          <w:tcPr>
            <w:tcW w:w="1560" w:type="dxa"/>
            <w:tcBorders>
              <w:top w:val="nil"/>
              <w:bottom w:val="nil"/>
              <w:right w:val="single" w:sz="4" w:space="0" w:color="auto"/>
            </w:tcBorders>
          </w:tcPr>
          <w:p w14:paraId="63D9A7C6"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006418E" w14:textId="77777777" w:rsidR="00B208C2" w:rsidRPr="00126BBF" w:rsidRDefault="00B208C2" w:rsidP="00B208C2">
            <w:pPr>
              <w:pStyle w:val="TableTextBase"/>
              <w:rPr>
                <w:rFonts w:eastAsia="Calibri" w:cs="Arial"/>
                <w:i/>
                <w:sz w:val="16"/>
                <w:szCs w:val="16"/>
                <w:lang w:eastAsia="en-US"/>
              </w:rPr>
            </w:pPr>
            <w:r w:rsidRPr="00126BBF">
              <w:rPr>
                <w:rFonts w:eastAsia="Calibri" w:cs="Arial"/>
                <w:i/>
                <w:sz w:val="16"/>
                <w:szCs w:val="16"/>
                <w:lang w:eastAsia="en-US"/>
              </w:rPr>
              <w:t>Remote Air Services Subsidy (RASS) Scheme performance is indicated by eligible communities in remote and isolated areas of Australia having access to a regular air transport service for the carriage of passengers and goods.</w:t>
            </w:r>
          </w:p>
        </w:tc>
        <w:tc>
          <w:tcPr>
            <w:tcW w:w="2977" w:type="dxa"/>
            <w:tcBorders>
              <w:top w:val="single" w:sz="4" w:space="0" w:color="auto"/>
              <w:left w:val="single" w:sz="4" w:space="0" w:color="auto"/>
              <w:bottom w:val="single" w:sz="4" w:space="0" w:color="auto"/>
            </w:tcBorders>
          </w:tcPr>
          <w:p w14:paraId="7B0DAA44"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All eligible communities are admitted and maintained in the RASS Scheme</w:t>
            </w:r>
          </w:p>
        </w:tc>
      </w:tr>
      <w:tr w:rsidR="00B208C2" w14:paraId="6BDB4E48" w14:textId="77777777" w:rsidTr="0064083D">
        <w:trPr>
          <w:cantSplit/>
          <w:trHeight w:val="245"/>
        </w:trPr>
        <w:tc>
          <w:tcPr>
            <w:tcW w:w="1560" w:type="dxa"/>
            <w:tcBorders>
              <w:top w:val="nil"/>
              <w:bottom w:val="single" w:sz="4" w:space="0" w:color="auto"/>
              <w:right w:val="single" w:sz="4" w:space="0" w:color="auto"/>
            </w:tcBorders>
          </w:tcPr>
          <w:p w14:paraId="6D8B44F1"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2E0B50F" w14:textId="77777777" w:rsidR="00B208C2" w:rsidRPr="00126BBF" w:rsidRDefault="00B208C2" w:rsidP="00B208C2">
            <w:pPr>
              <w:pStyle w:val="TableTextBase"/>
              <w:rPr>
                <w:rFonts w:eastAsia="Calibri" w:cs="Arial"/>
                <w:i/>
                <w:sz w:val="16"/>
                <w:szCs w:val="16"/>
                <w:lang w:eastAsia="en-US"/>
              </w:rPr>
            </w:pPr>
            <w:r w:rsidRPr="00126BBF">
              <w:rPr>
                <w:rFonts w:eastAsia="Calibri" w:cs="Arial"/>
                <w:i/>
                <w:sz w:val="16"/>
                <w:szCs w:val="16"/>
                <w:lang w:eastAsia="en-US"/>
              </w:rPr>
              <w:t>Provide policy advice supporting safety: aviation</w:t>
            </w:r>
          </w:p>
        </w:tc>
        <w:tc>
          <w:tcPr>
            <w:tcW w:w="2977" w:type="dxa"/>
            <w:tcBorders>
              <w:top w:val="single" w:sz="4" w:space="0" w:color="auto"/>
              <w:left w:val="single" w:sz="4" w:space="0" w:color="auto"/>
              <w:bottom w:val="single" w:sz="4" w:space="0" w:color="auto"/>
            </w:tcBorders>
          </w:tcPr>
          <w:p w14:paraId="518EBC51"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Policy advice is high-quality, timely and evidence-based</w:t>
            </w:r>
          </w:p>
        </w:tc>
      </w:tr>
    </w:tbl>
    <w:p w14:paraId="00435490" w14:textId="77777777" w:rsidR="00B208C2" w:rsidRPr="00456EFC" w:rsidRDefault="00B208C2" w:rsidP="004F6389">
      <w:pPr>
        <w:spacing w:before="60" w:after="60" w:line="240" w:lineRule="auto"/>
        <w:rPr>
          <w:rFonts w:ascii="Arial" w:hAnsi="Arial" w:cs="Arial"/>
          <w:sz w:val="16"/>
          <w:szCs w:val="16"/>
        </w:rPr>
      </w:pPr>
      <w:r w:rsidRPr="00456EFC">
        <w:rPr>
          <w:rFonts w:ascii="Arial" w:hAnsi="Arial" w:cs="Arial"/>
          <w:sz w:val="16"/>
          <w:szCs w:val="16"/>
        </w:rPr>
        <w:t xml:space="preserve">New or modified performance measures that reflect new or materially changed programs are shown in </w:t>
      </w:r>
      <w:r w:rsidRPr="00E824FB">
        <w:rPr>
          <w:rFonts w:ascii="Arial" w:hAnsi="Arial" w:cs="Arial"/>
          <w:i/>
          <w:sz w:val="16"/>
          <w:szCs w:val="16"/>
        </w:rPr>
        <w:t>italics</w:t>
      </w:r>
      <w:r w:rsidRPr="00456EFC">
        <w:rPr>
          <w:rFonts w:ascii="Arial" w:hAnsi="Arial" w:cs="Arial"/>
          <w:sz w:val="16"/>
          <w:szCs w:val="16"/>
        </w:rPr>
        <w:t>.</w:t>
      </w:r>
    </w:p>
    <w:p w14:paraId="320FC56C" w14:textId="0595A18A" w:rsidR="00B208C2" w:rsidRPr="00A83F42" w:rsidRDefault="00B208C2" w:rsidP="004F6389">
      <w:pPr>
        <w:pStyle w:val="ListParagraph"/>
        <w:numPr>
          <w:ilvl w:val="0"/>
          <w:numId w:val="55"/>
        </w:numPr>
        <w:spacing w:after="0" w:line="240" w:lineRule="auto"/>
        <w:ind w:left="284" w:hanging="278"/>
        <w:rPr>
          <w:rFonts w:ascii="Arial" w:hAnsi="Arial" w:cs="Arial"/>
          <w:sz w:val="16"/>
          <w:szCs w:val="16"/>
        </w:rPr>
      </w:pPr>
      <w:r w:rsidRPr="00A83F42">
        <w:rPr>
          <w:rFonts w:ascii="Arial" w:hAnsi="Arial" w:cs="Arial"/>
          <w:sz w:val="16"/>
          <w:szCs w:val="16"/>
        </w:rPr>
        <w:t>2021–22 key activity ‘</w:t>
      </w:r>
      <w:r w:rsidRPr="00456EFC">
        <w:rPr>
          <w:rFonts w:ascii="Arial" w:hAnsi="Arial" w:cs="Arial"/>
          <w:sz w:val="16"/>
          <w:szCs w:val="16"/>
        </w:rPr>
        <w:t>Advise on international aviation markets and regulation, aviation technology and aviation ser</w:t>
      </w:r>
      <w:r>
        <w:rPr>
          <w:rFonts w:ascii="Arial" w:hAnsi="Arial" w:cs="Arial"/>
          <w:sz w:val="16"/>
          <w:szCs w:val="16"/>
        </w:rPr>
        <w:t xml:space="preserve">vices provided by portfolio </w:t>
      </w:r>
      <w:r w:rsidRPr="00456EFC">
        <w:rPr>
          <w:rFonts w:ascii="Arial" w:hAnsi="Arial" w:cs="Arial"/>
          <w:sz w:val="16"/>
          <w:szCs w:val="16"/>
        </w:rPr>
        <w:t>bodies</w:t>
      </w:r>
      <w:r w:rsidRPr="00A83F42">
        <w:rPr>
          <w:rFonts w:ascii="Arial" w:hAnsi="Arial" w:cs="Arial"/>
          <w:sz w:val="16"/>
          <w:szCs w:val="16"/>
        </w:rPr>
        <w:t>’ referenced in the 2021–22 Corporate Plan, deleted.</w:t>
      </w:r>
    </w:p>
    <w:p w14:paraId="2215810D" w14:textId="77777777" w:rsidR="00B208C2" w:rsidRPr="00A83F42" w:rsidRDefault="00B208C2" w:rsidP="004F6389">
      <w:pPr>
        <w:pStyle w:val="ListParagraph"/>
        <w:numPr>
          <w:ilvl w:val="0"/>
          <w:numId w:val="55"/>
        </w:numPr>
        <w:spacing w:after="0" w:line="240" w:lineRule="auto"/>
        <w:ind w:left="284" w:hanging="278"/>
        <w:rPr>
          <w:rFonts w:ascii="Arial" w:hAnsi="Arial" w:cs="Arial"/>
          <w:sz w:val="16"/>
          <w:szCs w:val="16"/>
        </w:rPr>
      </w:pPr>
      <w:r w:rsidRPr="00A83F42">
        <w:rPr>
          <w:rFonts w:ascii="Arial" w:hAnsi="Arial" w:cs="Arial"/>
          <w:sz w:val="16"/>
          <w:szCs w:val="16"/>
        </w:rPr>
        <w:t>New key activity to be reflected in the 2022–23 Corporate Plan.</w:t>
      </w:r>
    </w:p>
    <w:p w14:paraId="2E049628" w14:textId="77777777" w:rsidR="00B208C2" w:rsidRPr="00A83F42" w:rsidRDefault="00B208C2" w:rsidP="004F6389">
      <w:pPr>
        <w:pStyle w:val="ListParagraph"/>
        <w:numPr>
          <w:ilvl w:val="0"/>
          <w:numId w:val="55"/>
        </w:numPr>
        <w:spacing w:after="0" w:line="240" w:lineRule="auto"/>
        <w:ind w:left="284" w:hanging="278"/>
        <w:rPr>
          <w:rFonts w:ascii="Arial" w:hAnsi="Arial" w:cs="Arial"/>
          <w:sz w:val="16"/>
          <w:szCs w:val="16"/>
        </w:rPr>
      </w:pPr>
      <w:r w:rsidRPr="00A83F42">
        <w:rPr>
          <w:rFonts w:ascii="Arial" w:hAnsi="Arial" w:cs="Arial"/>
          <w:sz w:val="16"/>
          <w:szCs w:val="16"/>
        </w:rPr>
        <w:t>Refers to updated key activity that will be reflected in the 2022–23 Corporate Plan.</w:t>
      </w:r>
    </w:p>
    <w:p w14:paraId="01014C7C" w14:textId="77777777" w:rsidR="00B208C2" w:rsidRPr="00A83F42" w:rsidRDefault="00B208C2" w:rsidP="004F6389">
      <w:pPr>
        <w:pStyle w:val="FootnoteText"/>
        <w:numPr>
          <w:ilvl w:val="0"/>
          <w:numId w:val="55"/>
        </w:numPr>
        <w:tabs>
          <w:tab w:val="clear" w:pos="284"/>
        </w:tabs>
        <w:ind w:left="284" w:hanging="278"/>
        <w:jc w:val="left"/>
        <w:rPr>
          <w:sz w:val="16"/>
          <w:szCs w:val="16"/>
          <w:lang w:val="en-US"/>
        </w:rPr>
      </w:pPr>
      <w:r w:rsidRPr="00A83F42">
        <w:rPr>
          <w:rFonts w:ascii="Arial" w:hAnsi="Arial" w:cs="Arial"/>
          <w:sz w:val="16"/>
          <w:szCs w:val="16"/>
        </w:rPr>
        <w:t>Final reporting period for this measure. Further details will be included in the 2022–23 Corporate Plan.</w:t>
      </w:r>
    </w:p>
    <w:p w14:paraId="579A912E" w14:textId="69070203" w:rsidR="00F60753" w:rsidRPr="00F95013" w:rsidRDefault="00F60753" w:rsidP="00F60753">
      <w:pPr>
        <w:pStyle w:val="ChartandTableFootnoteAlpha"/>
        <w:numPr>
          <w:ilvl w:val="0"/>
          <w:numId w:val="0"/>
        </w:numPr>
        <w:spacing w:before="60"/>
        <w:ind w:left="284" w:hanging="284"/>
      </w:pPr>
      <w:r w:rsidRPr="00F95013">
        <w:br w:type="page"/>
      </w:r>
    </w:p>
    <w:p w14:paraId="5481243C" w14:textId="77777777" w:rsidR="00B91F3E" w:rsidRPr="00C000B8" w:rsidRDefault="00B91F3E" w:rsidP="00C000B8">
      <w:pPr>
        <w:pStyle w:val="Heading3-DITRDC"/>
      </w:pPr>
      <w:bookmarkStart w:id="35" w:name="_Toc99295950"/>
      <w:r w:rsidRPr="00C000B8">
        <w:lastRenderedPageBreak/>
        <w:t xml:space="preserve">2.3 </w:t>
      </w:r>
      <w:r w:rsidRPr="00C000B8">
        <w:tab/>
        <w:t>Budgeted expenses and performance for Outcome 3</w:t>
      </w:r>
      <w:bookmarkEnd w:id="35"/>
    </w:p>
    <w:tbl>
      <w:tblPr>
        <w:tblW w:w="75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44"/>
      </w:tblGrid>
      <w:tr w:rsidR="00B91F3E" w:rsidRPr="001A337A" w14:paraId="3C5F44BE" w14:textId="77777777" w:rsidTr="00F96D8A">
        <w:tc>
          <w:tcPr>
            <w:tcW w:w="7544" w:type="dxa"/>
            <w:shd w:val="clear" w:color="auto" w:fill="E6E6E6"/>
          </w:tcPr>
          <w:p w14:paraId="7957E7A9" w14:textId="77777777" w:rsidR="00B91F3E" w:rsidRPr="00870EB8" w:rsidRDefault="00B91F3E" w:rsidP="00F96D8A">
            <w:pPr>
              <w:spacing w:before="60" w:after="60" w:line="240" w:lineRule="auto"/>
              <w:ind w:right="180"/>
              <w:jc w:val="left"/>
              <w:rPr>
                <w:rFonts w:ascii="Arial" w:hAnsi="Arial" w:cs="Arial"/>
                <w:b/>
              </w:rPr>
            </w:pPr>
            <w:r w:rsidRPr="00870EB8">
              <w:rPr>
                <w:rFonts w:ascii="Arial" w:hAnsi="Arial" w:cs="Arial"/>
                <w:b/>
              </w:rPr>
              <w:t>Outcome 3: 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r>
    </w:tbl>
    <w:p w14:paraId="2DDCFABA" w14:textId="77777777" w:rsidR="00B91F3E" w:rsidRPr="005E6F2B" w:rsidRDefault="00B91F3E" w:rsidP="00B91F3E">
      <w:pPr>
        <w:pStyle w:val="NoSpacing"/>
      </w:pPr>
    </w:p>
    <w:p w14:paraId="118B72E9" w14:textId="77777777" w:rsidR="00B91F3E" w:rsidRPr="00870EB8" w:rsidRDefault="00B91F3E" w:rsidP="00B91F3E">
      <w:pPr>
        <w:pStyle w:val="Heading4"/>
        <w:rPr>
          <w:rStyle w:val="ExampletextCharChar"/>
          <w:b w:val="0"/>
          <w:bCs/>
          <w:iCs/>
          <w:color w:val="000000" w:themeColor="text1"/>
        </w:rPr>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5"/>
      </w:tblGrid>
      <w:tr w:rsidR="00B91F3E" w:rsidRPr="00870EB8" w14:paraId="25C482FE" w14:textId="77777777" w:rsidTr="00F96D8A">
        <w:trPr>
          <w:trHeight w:val="2156"/>
        </w:trPr>
        <w:tc>
          <w:tcPr>
            <w:tcW w:w="8818" w:type="dxa"/>
            <w:tcBorders>
              <w:bottom w:val="single" w:sz="4" w:space="0" w:color="auto"/>
            </w:tcBorders>
          </w:tcPr>
          <w:p w14:paraId="2DC4171B" w14:textId="41723A3B" w:rsidR="00B91F3E" w:rsidRPr="00870EB8" w:rsidRDefault="003C4CC6" w:rsidP="00F96D8A">
            <w:pPr>
              <w:spacing w:before="60" w:after="60" w:line="240" w:lineRule="auto"/>
              <w:jc w:val="left"/>
              <w:rPr>
                <w:b/>
              </w:rPr>
            </w:pPr>
            <w:r>
              <w:rPr>
                <w:b/>
              </w:rPr>
              <w:t>Department</w:t>
            </w:r>
            <w:r w:rsidR="00B91F3E" w:rsidRPr="00870EB8">
              <w:rPr>
                <w:b/>
              </w:rPr>
              <w:t xml:space="preserve"> of Agriculture, Water and the Environment</w:t>
            </w:r>
          </w:p>
          <w:p w14:paraId="56B74511" w14:textId="77777777" w:rsidR="00B91F3E" w:rsidRPr="00870EB8" w:rsidRDefault="00B91F3E" w:rsidP="00F96D8A">
            <w:pPr>
              <w:spacing w:before="60" w:after="60" w:line="240" w:lineRule="auto"/>
              <w:jc w:val="left"/>
              <w:rPr>
                <w:b/>
              </w:rPr>
            </w:pPr>
            <w:r w:rsidRPr="00870EB8">
              <w:rPr>
                <w:b/>
              </w:rPr>
              <w:t>Programs</w:t>
            </w:r>
          </w:p>
          <w:p w14:paraId="4FE18A58" w14:textId="77777777" w:rsidR="00B91F3E" w:rsidRPr="00870EB8" w:rsidRDefault="00B91F3E" w:rsidP="003926A3">
            <w:pPr>
              <w:numPr>
                <w:ilvl w:val="0"/>
                <w:numId w:val="8"/>
              </w:numPr>
              <w:spacing w:before="60" w:after="60" w:line="240" w:lineRule="auto"/>
              <w:ind w:left="714" w:hanging="357"/>
              <w:jc w:val="left"/>
              <w:rPr>
                <w:i/>
              </w:rPr>
            </w:pPr>
            <w:r w:rsidRPr="00870EB8">
              <w:rPr>
                <w:lang w:val="en-US"/>
              </w:rPr>
              <w:t>Program 3.11: Drought programs</w:t>
            </w:r>
          </w:p>
          <w:p w14:paraId="1A8544C3" w14:textId="77777777" w:rsidR="00B91F3E" w:rsidRPr="00870EB8" w:rsidRDefault="00B91F3E" w:rsidP="00F96D8A">
            <w:pPr>
              <w:spacing w:before="60" w:after="60" w:line="240" w:lineRule="auto"/>
              <w:jc w:val="left"/>
              <w:rPr>
                <w:b/>
                <w:i/>
              </w:rPr>
            </w:pPr>
            <w:r w:rsidRPr="00870EB8">
              <w:rPr>
                <w:b/>
                <w:lang w:val="en-US"/>
              </w:rPr>
              <w:t>Contribution to Outcome 3 made by linked programs</w:t>
            </w:r>
          </w:p>
          <w:p w14:paraId="05ABAACF" w14:textId="77777777" w:rsidR="00B91F3E" w:rsidRPr="00870EB8" w:rsidRDefault="00B91F3E" w:rsidP="00F96D8A">
            <w:pPr>
              <w:spacing w:before="60" w:after="60" w:line="240" w:lineRule="auto"/>
              <w:jc w:val="left"/>
            </w:pPr>
            <w:r w:rsidRPr="00870EB8">
              <w:t>The above linkage relates to work undertaken by the Regional Investment Corporation to support state and territory investment in water infrastructure that will provide secure and affordable water to support the growth of regional economies.</w:t>
            </w:r>
          </w:p>
        </w:tc>
      </w:tr>
      <w:tr w:rsidR="00B91F3E" w:rsidRPr="00870EB8" w14:paraId="758FE448" w14:textId="77777777" w:rsidTr="00F96D8A">
        <w:trPr>
          <w:trHeight w:val="1457"/>
        </w:trPr>
        <w:tc>
          <w:tcPr>
            <w:tcW w:w="8818" w:type="dxa"/>
            <w:tcBorders>
              <w:bottom w:val="single" w:sz="4" w:space="0" w:color="auto"/>
            </w:tcBorders>
          </w:tcPr>
          <w:p w14:paraId="7EE22229" w14:textId="29FF0C3D" w:rsidR="00B91F3E" w:rsidRPr="00870EB8" w:rsidRDefault="003C4CC6" w:rsidP="00F96D8A">
            <w:pPr>
              <w:spacing w:before="60" w:after="60" w:line="240" w:lineRule="auto"/>
              <w:jc w:val="left"/>
              <w:rPr>
                <w:b/>
              </w:rPr>
            </w:pPr>
            <w:r>
              <w:rPr>
                <w:b/>
              </w:rPr>
              <w:t>Department</w:t>
            </w:r>
            <w:r w:rsidR="00B91F3E" w:rsidRPr="00870EB8">
              <w:rPr>
                <w:b/>
              </w:rPr>
              <w:t xml:space="preserve"> of Education, Skills and Employment</w:t>
            </w:r>
          </w:p>
          <w:p w14:paraId="44458192" w14:textId="77777777" w:rsidR="00B91F3E" w:rsidRPr="00870EB8" w:rsidRDefault="00B91F3E" w:rsidP="00F96D8A">
            <w:pPr>
              <w:spacing w:before="60" w:after="60" w:line="240" w:lineRule="auto"/>
              <w:jc w:val="left"/>
              <w:rPr>
                <w:b/>
              </w:rPr>
            </w:pPr>
            <w:r w:rsidRPr="00870EB8">
              <w:rPr>
                <w:b/>
              </w:rPr>
              <w:t>Programs</w:t>
            </w:r>
          </w:p>
          <w:p w14:paraId="39888F7D" w14:textId="77777777" w:rsidR="00B91F3E" w:rsidRPr="00870EB8" w:rsidRDefault="00B91F3E" w:rsidP="003926A3">
            <w:pPr>
              <w:numPr>
                <w:ilvl w:val="0"/>
                <w:numId w:val="8"/>
              </w:numPr>
              <w:spacing w:before="60" w:after="60" w:line="240" w:lineRule="auto"/>
              <w:jc w:val="left"/>
            </w:pPr>
            <w:r w:rsidRPr="00870EB8">
              <w:rPr>
                <w:lang w:val="en-US"/>
              </w:rPr>
              <w:t>Program 2.3: Higher Education Support</w:t>
            </w:r>
          </w:p>
          <w:p w14:paraId="46F572E5" w14:textId="77777777" w:rsidR="00B91F3E" w:rsidRPr="00870EB8" w:rsidRDefault="00B91F3E" w:rsidP="00F96D8A">
            <w:pPr>
              <w:spacing w:before="60" w:after="60" w:line="240" w:lineRule="auto"/>
              <w:jc w:val="left"/>
              <w:rPr>
                <w:b/>
              </w:rPr>
            </w:pPr>
            <w:r w:rsidRPr="00870EB8">
              <w:rPr>
                <w:b/>
                <w:lang w:val="en-US"/>
              </w:rPr>
              <w:t>Contribution to Outcome 3 made by linked programs</w:t>
            </w:r>
          </w:p>
          <w:p w14:paraId="514595C7" w14:textId="6C006485" w:rsidR="00B91F3E" w:rsidRPr="00870EB8" w:rsidRDefault="00B91F3E" w:rsidP="00F96D8A">
            <w:pPr>
              <w:spacing w:before="60" w:after="60" w:line="240" w:lineRule="auto"/>
              <w:jc w:val="left"/>
            </w:pPr>
            <w:r w:rsidRPr="00870EB8">
              <w:t xml:space="preserve">The </w:t>
            </w:r>
            <w:r w:rsidR="003C4CC6">
              <w:t>Department</w:t>
            </w:r>
            <w:r w:rsidRPr="00870EB8">
              <w:t xml:space="preserve"> of Education, Skills and Employment is funding the construction of a new university campus in Launceston, the centrepiece of the Launceston City Deal.</w:t>
            </w:r>
          </w:p>
        </w:tc>
      </w:tr>
      <w:tr w:rsidR="00B91F3E" w:rsidRPr="00870EB8" w14:paraId="3EE077AA" w14:textId="77777777" w:rsidTr="00F96D8A">
        <w:trPr>
          <w:trHeight w:val="557"/>
        </w:trPr>
        <w:tc>
          <w:tcPr>
            <w:tcW w:w="8818" w:type="dxa"/>
            <w:tcBorders>
              <w:bottom w:val="single" w:sz="4" w:space="0" w:color="auto"/>
            </w:tcBorders>
          </w:tcPr>
          <w:p w14:paraId="2C359B10" w14:textId="77777777" w:rsidR="00B91F3E" w:rsidRPr="00870EB8" w:rsidRDefault="00B91F3E" w:rsidP="00F96D8A">
            <w:pPr>
              <w:spacing w:before="60" w:after="60" w:line="240" w:lineRule="auto"/>
              <w:jc w:val="left"/>
              <w:rPr>
                <w:b/>
                <w:bCs/>
              </w:rPr>
            </w:pPr>
            <w:r w:rsidRPr="00870EB8">
              <w:rPr>
                <w:b/>
                <w:bCs/>
              </w:rPr>
              <w:t>National Drought and North Queensland Flood Response and Recovery Agency</w:t>
            </w:r>
          </w:p>
          <w:p w14:paraId="1F8A86DC" w14:textId="77777777" w:rsidR="00B91F3E" w:rsidRPr="00870EB8" w:rsidRDefault="00B91F3E" w:rsidP="00F96D8A">
            <w:pPr>
              <w:spacing w:before="60" w:after="60" w:line="240" w:lineRule="auto"/>
              <w:jc w:val="left"/>
              <w:rPr>
                <w:b/>
              </w:rPr>
            </w:pPr>
            <w:r w:rsidRPr="00870EB8">
              <w:rPr>
                <w:b/>
              </w:rPr>
              <w:t>Programs</w:t>
            </w:r>
          </w:p>
          <w:p w14:paraId="20647BCB" w14:textId="77777777" w:rsidR="00B91F3E" w:rsidRPr="00870EB8" w:rsidRDefault="00B91F3E" w:rsidP="003926A3">
            <w:pPr>
              <w:numPr>
                <w:ilvl w:val="0"/>
                <w:numId w:val="8"/>
              </w:numPr>
              <w:spacing w:before="60" w:after="60" w:line="240" w:lineRule="auto"/>
              <w:jc w:val="left"/>
              <w:rPr>
                <w:bCs/>
              </w:rPr>
            </w:pPr>
            <w:r w:rsidRPr="00870EB8">
              <w:rPr>
                <w:lang w:val="en-US"/>
              </w:rPr>
              <w:t xml:space="preserve">Program 1.1: </w:t>
            </w:r>
            <w:r w:rsidRPr="00870EB8">
              <w:rPr>
                <w:bCs/>
              </w:rPr>
              <w:t>National Drought and North Queensland Flood Response and Recovery Agency</w:t>
            </w:r>
          </w:p>
          <w:p w14:paraId="49EDD45E" w14:textId="77777777" w:rsidR="00B91F3E" w:rsidRPr="00870EB8" w:rsidRDefault="00B91F3E" w:rsidP="00F96D8A">
            <w:pPr>
              <w:spacing w:before="60" w:after="60" w:line="240" w:lineRule="auto"/>
              <w:jc w:val="left"/>
              <w:rPr>
                <w:b/>
                <w:lang w:val="en-US"/>
              </w:rPr>
            </w:pPr>
            <w:r w:rsidRPr="00870EB8">
              <w:rPr>
                <w:b/>
                <w:lang w:val="en-US"/>
              </w:rPr>
              <w:t>Contribution to Outcome 3 made by linked programs</w:t>
            </w:r>
          </w:p>
          <w:p w14:paraId="43F8E7C6" w14:textId="07606A2D" w:rsidR="00B91F3E" w:rsidRPr="00870EB8" w:rsidRDefault="00B91F3E" w:rsidP="00F96D8A">
            <w:pPr>
              <w:spacing w:before="60" w:after="60" w:line="240" w:lineRule="auto"/>
              <w:jc w:val="left"/>
              <w:rPr>
                <w:b/>
              </w:rPr>
            </w:pPr>
            <w:r w:rsidRPr="00870EB8">
              <w:t xml:space="preserve">The above linkage relates to work undertaken by the National Drought and North Queensland Flood Response and Recovery Agency, in collaboration with the </w:t>
            </w:r>
            <w:r w:rsidR="003C4CC6">
              <w:t>Department</w:t>
            </w:r>
            <w:r w:rsidRPr="00870EB8">
              <w:t>, to deliver initiatives to support economies and communities in regional and rural Australia impacted by drought.</w:t>
            </w:r>
          </w:p>
        </w:tc>
      </w:tr>
      <w:tr w:rsidR="00B91F3E" w:rsidRPr="00870EB8" w14:paraId="792C29B1" w14:textId="77777777" w:rsidTr="00F96D8A">
        <w:trPr>
          <w:trHeight w:val="2030"/>
        </w:trPr>
        <w:tc>
          <w:tcPr>
            <w:tcW w:w="8818" w:type="dxa"/>
            <w:tcBorders>
              <w:bottom w:val="single" w:sz="4" w:space="0" w:color="auto"/>
            </w:tcBorders>
          </w:tcPr>
          <w:p w14:paraId="445B7B57" w14:textId="77777777" w:rsidR="00B91F3E" w:rsidRPr="00870EB8" w:rsidRDefault="00B91F3E" w:rsidP="00F96D8A">
            <w:pPr>
              <w:spacing w:before="60" w:after="60" w:line="240" w:lineRule="auto"/>
              <w:jc w:val="left"/>
              <w:rPr>
                <w:b/>
              </w:rPr>
            </w:pPr>
            <w:r w:rsidRPr="00870EB8">
              <w:rPr>
                <w:b/>
              </w:rPr>
              <w:t>The Treasury</w:t>
            </w:r>
          </w:p>
          <w:p w14:paraId="0497967F" w14:textId="77777777" w:rsidR="00B91F3E" w:rsidRPr="00870EB8" w:rsidRDefault="00B91F3E" w:rsidP="00F96D8A">
            <w:pPr>
              <w:spacing w:before="60" w:after="60" w:line="240" w:lineRule="auto"/>
              <w:jc w:val="left"/>
              <w:rPr>
                <w:b/>
              </w:rPr>
            </w:pPr>
            <w:r w:rsidRPr="00870EB8">
              <w:rPr>
                <w:b/>
              </w:rPr>
              <w:t>Programs</w:t>
            </w:r>
          </w:p>
          <w:p w14:paraId="46752A1A" w14:textId="77777777" w:rsidR="00B91F3E" w:rsidRPr="00870EB8" w:rsidRDefault="00B91F3E" w:rsidP="003926A3">
            <w:pPr>
              <w:numPr>
                <w:ilvl w:val="0"/>
                <w:numId w:val="8"/>
              </w:numPr>
              <w:spacing w:before="60" w:after="60" w:line="240" w:lineRule="auto"/>
              <w:ind w:left="714" w:hanging="357"/>
              <w:jc w:val="left"/>
              <w:rPr>
                <w:lang w:val="en-US"/>
              </w:rPr>
            </w:pPr>
            <w:r w:rsidRPr="00870EB8">
              <w:rPr>
                <w:lang w:val="en-US"/>
              </w:rPr>
              <w:t>Program 1.9: National Partnership Payments to the states</w:t>
            </w:r>
          </w:p>
          <w:p w14:paraId="17DD087B" w14:textId="77777777" w:rsidR="00B91F3E" w:rsidRPr="00870EB8" w:rsidRDefault="00B91F3E" w:rsidP="00F96D8A">
            <w:pPr>
              <w:spacing w:before="60" w:after="60" w:line="240" w:lineRule="auto"/>
              <w:jc w:val="left"/>
              <w:rPr>
                <w:b/>
              </w:rPr>
            </w:pPr>
            <w:r w:rsidRPr="00870EB8">
              <w:rPr>
                <w:b/>
              </w:rPr>
              <w:t>Contribution to Outcome 3 made by linked programs</w:t>
            </w:r>
          </w:p>
          <w:p w14:paraId="159B12C7" w14:textId="63B84EA8" w:rsidR="00B91F3E" w:rsidRPr="00870EB8" w:rsidRDefault="00B91F3E" w:rsidP="00F96D8A">
            <w:pPr>
              <w:spacing w:before="60" w:after="60" w:line="240" w:lineRule="auto"/>
              <w:jc w:val="left"/>
            </w:pPr>
            <w:r w:rsidRPr="00870EB8">
              <w:t xml:space="preserve">The above linkage relates to National Partnership Payments which are paid through the </w:t>
            </w:r>
            <w:r w:rsidR="003C4CC6">
              <w:t>Department</w:t>
            </w:r>
            <w:r w:rsidRPr="00870EB8">
              <w:t xml:space="preserve"> of the Treasury as part of the Federation Funding Agreements Framework.</w:t>
            </w:r>
          </w:p>
        </w:tc>
      </w:tr>
    </w:tbl>
    <w:p w14:paraId="29377DB9" w14:textId="77777777" w:rsidR="00B91F3E" w:rsidRPr="00302493" w:rsidRDefault="00B91F3E" w:rsidP="00B91F3E">
      <w:pPr>
        <w:pStyle w:val="Heading5"/>
        <w:rPr>
          <w:b/>
        </w:rPr>
      </w:pPr>
      <w:r w:rsidRPr="00302493">
        <w:rPr>
          <w:b/>
        </w:rPr>
        <w:lastRenderedPageBreak/>
        <w:t>Budgeted expenses for Outcome 3</w:t>
      </w:r>
    </w:p>
    <w:p w14:paraId="50DED89B" w14:textId="0B649E75" w:rsidR="00B91F3E" w:rsidRDefault="00B91F3E" w:rsidP="00B91F3E">
      <w:pPr>
        <w:jc w:val="left"/>
      </w:pPr>
      <w:r w:rsidRPr="00950281">
        <w:t xml:space="preserve">This table shows how much the </w:t>
      </w:r>
      <w:r w:rsidR="003C4CC6">
        <w:t>Department</w:t>
      </w:r>
      <w:r w:rsidRPr="00950281">
        <w:t xml:space="preserve"> intends to spend (on an accrual basis) on achieving the outcome, broken </w:t>
      </w:r>
      <w:r w:rsidR="0064083D">
        <w:t>down by program, as well as by ad</w:t>
      </w:r>
      <w:r w:rsidRPr="00950281">
        <w:t>ministered an</w:t>
      </w:r>
      <w:r>
        <w:t xml:space="preserve">d </w:t>
      </w:r>
      <w:r w:rsidR="0064083D">
        <w:t>d</w:t>
      </w:r>
      <w:r w:rsidR="003C4CC6">
        <w:t>epartment</w:t>
      </w:r>
      <w:r>
        <w:t>al funding sources.</w:t>
      </w:r>
    </w:p>
    <w:p w14:paraId="10288735" w14:textId="77777777" w:rsidR="00B91F3E" w:rsidRPr="00302493" w:rsidRDefault="00B91F3E" w:rsidP="00B91F3E">
      <w:pPr>
        <w:spacing w:after="0"/>
        <w:rPr>
          <w:rFonts w:ascii="Arial" w:hAnsi="Arial" w:cs="Arial"/>
          <w:b/>
        </w:rPr>
      </w:pPr>
      <w:r w:rsidRPr="00302493">
        <w:rPr>
          <w:rFonts w:ascii="Arial" w:hAnsi="Arial" w:cs="Arial"/>
          <w:b/>
        </w:rPr>
        <w:t>Table 2.</w:t>
      </w:r>
      <w:r>
        <w:rPr>
          <w:rFonts w:ascii="Arial" w:hAnsi="Arial" w:cs="Arial"/>
          <w:b/>
        </w:rPr>
        <w:t>3</w:t>
      </w:r>
      <w:r w:rsidRPr="00302493">
        <w:rPr>
          <w:rFonts w:ascii="Arial" w:hAnsi="Arial" w:cs="Arial"/>
          <w:b/>
        </w:rPr>
        <w:t xml:space="preserve">.1: Budgeted expenses for Outcome </w:t>
      </w:r>
      <w:r>
        <w:rPr>
          <w:rFonts w:ascii="Arial" w:hAnsi="Arial" w:cs="Arial"/>
          <w:b/>
        </w:rPr>
        <w:t>3</w:t>
      </w:r>
    </w:p>
    <w:tbl>
      <w:tblPr>
        <w:tblW w:w="7637" w:type="dxa"/>
        <w:tblLook w:val="04A0" w:firstRow="1" w:lastRow="0" w:firstColumn="1" w:lastColumn="0" w:noHBand="0" w:noVBand="1"/>
      </w:tblPr>
      <w:tblGrid>
        <w:gridCol w:w="2835"/>
        <w:gridCol w:w="992"/>
        <w:gridCol w:w="928"/>
        <w:gridCol w:w="928"/>
        <w:gridCol w:w="977"/>
        <w:gridCol w:w="977"/>
      </w:tblGrid>
      <w:tr w:rsidR="00B91F3E" w:rsidRPr="004C7D4D" w14:paraId="0619A8F9" w14:textId="77777777" w:rsidTr="00F96D8A">
        <w:trPr>
          <w:trHeight w:val="204"/>
        </w:trPr>
        <w:tc>
          <w:tcPr>
            <w:tcW w:w="2835" w:type="dxa"/>
            <w:tcBorders>
              <w:top w:val="single" w:sz="4" w:space="0" w:color="auto"/>
              <w:left w:val="nil"/>
              <w:bottom w:val="single" w:sz="4" w:space="0" w:color="auto"/>
              <w:right w:val="nil"/>
            </w:tcBorders>
            <w:shd w:val="clear" w:color="auto" w:fill="auto"/>
            <w:noWrap/>
            <w:vAlign w:val="bottom"/>
            <w:hideMark/>
          </w:tcPr>
          <w:p w14:paraId="7DD7A802" w14:textId="77777777" w:rsidR="00B91F3E" w:rsidRPr="004C7D4D" w:rsidRDefault="00B91F3E" w:rsidP="00F96D8A">
            <w:pPr>
              <w:spacing w:after="0" w:line="240" w:lineRule="auto"/>
              <w:jc w:val="left"/>
              <w:rPr>
                <w:rFonts w:ascii="Arial" w:hAnsi="Arial" w:cs="Arial"/>
                <w:sz w:val="16"/>
                <w:szCs w:val="16"/>
              </w:rPr>
            </w:pPr>
            <w:r w:rsidRPr="004C7D4D">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555557ED" w14:textId="77777777" w:rsidR="00B91F3E" w:rsidRPr="004C7D4D" w:rsidRDefault="00B91F3E" w:rsidP="00F96D8A">
            <w:pPr>
              <w:spacing w:after="0" w:line="240" w:lineRule="auto"/>
              <w:jc w:val="right"/>
              <w:rPr>
                <w:rFonts w:ascii="Arial" w:hAnsi="Arial" w:cs="Arial"/>
                <w:sz w:val="16"/>
                <w:szCs w:val="16"/>
              </w:rPr>
            </w:pPr>
            <w:r w:rsidRPr="004C7D4D">
              <w:rPr>
                <w:rFonts w:ascii="Arial" w:hAnsi="Arial" w:cs="Arial"/>
                <w:sz w:val="16"/>
                <w:szCs w:val="16"/>
              </w:rPr>
              <w:t>2021-22</w:t>
            </w:r>
            <w:r w:rsidRPr="004C7D4D">
              <w:rPr>
                <w:rFonts w:ascii="Arial" w:hAnsi="Arial" w:cs="Arial"/>
                <w:sz w:val="16"/>
                <w:szCs w:val="16"/>
              </w:rPr>
              <w:br/>
              <w:t>Estimated  actual</w:t>
            </w:r>
            <w:r w:rsidRPr="004C7D4D">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14:paraId="461AFB09" w14:textId="77777777" w:rsidR="00B91F3E" w:rsidRPr="004C7D4D" w:rsidRDefault="00B91F3E" w:rsidP="00F96D8A">
            <w:pPr>
              <w:spacing w:after="0" w:line="240" w:lineRule="auto"/>
              <w:jc w:val="right"/>
              <w:rPr>
                <w:rFonts w:ascii="Arial" w:hAnsi="Arial" w:cs="Arial"/>
                <w:sz w:val="16"/>
                <w:szCs w:val="16"/>
              </w:rPr>
            </w:pPr>
            <w:r w:rsidRPr="004C7D4D">
              <w:rPr>
                <w:rFonts w:ascii="Arial" w:hAnsi="Arial" w:cs="Arial"/>
                <w:sz w:val="16"/>
                <w:szCs w:val="16"/>
              </w:rPr>
              <w:t>2022-23</w:t>
            </w:r>
            <w:r w:rsidRPr="004C7D4D">
              <w:rPr>
                <w:rFonts w:ascii="Arial" w:hAnsi="Arial" w:cs="Arial"/>
                <w:sz w:val="16"/>
                <w:szCs w:val="16"/>
              </w:rPr>
              <w:br/>
              <w:t xml:space="preserve"> Budget</w:t>
            </w:r>
            <w:r w:rsidRPr="004C7D4D">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141D5D3E" w14:textId="77777777" w:rsidR="00B91F3E" w:rsidRPr="004C7D4D" w:rsidRDefault="00B91F3E" w:rsidP="00F96D8A">
            <w:pPr>
              <w:spacing w:after="0" w:line="240" w:lineRule="auto"/>
              <w:jc w:val="right"/>
              <w:rPr>
                <w:rFonts w:ascii="Arial" w:hAnsi="Arial" w:cs="Arial"/>
                <w:sz w:val="16"/>
                <w:szCs w:val="16"/>
              </w:rPr>
            </w:pPr>
            <w:r w:rsidRPr="004C7D4D">
              <w:rPr>
                <w:rFonts w:ascii="Arial" w:hAnsi="Arial" w:cs="Arial"/>
                <w:sz w:val="16"/>
                <w:szCs w:val="16"/>
              </w:rPr>
              <w:t>2023-24</w:t>
            </w:r>
            <w:r w:rsidRPr="004C7D4D">
              <w:rPr>
                <w:rFonts w:ascii="Arial" w:hAnsi="Arial" w:cs="Arial"/>
                <w:sz w:val="16"/>
                <w:szCs w:val="16"/>
              </w:rPr>
              <w:br/>
              <w:t>Forward estimate</w:t>
            </w:r>
            <w:r w:rsidRPr="004C7D4D">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458EC640" w14:textId="77777777" w:rsidR="00B91F3E" w:rsidRPr="004C7D4D" w:rsidRDefault="00B91F3E" w:rsidP="00F96D8A">
            <w:pPr>
              <w:spacing w:after="0" w:line="240" w:lineRule="auto"/>
              <w:jc w:val="right"/>
              <w:rPr>
                <w:rFonts w:ascii="Arial" w:hAnsi="Arial" w:cs="Arial"/>
                <w:sz w:val="16"/>
                <w:szCs w:val="16"/>
              </w:rPr>
            </w:pPr>
            <w:r w:rsidRPr="004C7D4D">
              <w:rPr>
                <w:rFonts w:ascii="Arial" w:hAnsi="Arial" w:cs="Arial"/>
                <w:sz w:val="16"/>
                <w:szCs w:val="16"/>
              </w:rPr>
              <w:t>2024-25</w:t>
            </w:r>
            <w:r w:rsidRPr="004C7D4D">
              <w:rPr>
                <w:rFonts w:ascii="Arial" w:hAnsi="Arial" w:cs="Arial"/>
                <w:sz w:val="16"/>
                <w:szCs w:val="16"/>
              </w:rPr>
              <w:br/>
              <w:t>Forward estimate</w:t>
            </w:r>
            <w:r w:rsidRPr="004C7D4D">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11585DF8" w14:textId="77777777" w:rsidR="00B91F3E" w:rsidRPr="004C7D4D" w:rsidRDefault="00B91F3E" w:rsidP="00F96D8A">
            <w:pPr>
              <w:spacing w:after="0" w:line="240" w:lineRule="auto"/>
              <w:jc w:val="right"/>
              <w:rPr>
                <w:rFonts w:ascii="Arial" w:hAnsi="Arial" w:cs="Arial"/>
                <w:sz w:val="16"/>
                <w:szCs w:val="16"/>
              </w:rPr>
            </w:pPr>
            <w:r w:rsidRPr="004C7D4D">
              <w:rPr>
                <w:rFonts w:ascii="Arial" w:hAnsi="Arial" w:cs="Arial"/>
                <w:sz w:val="16"/>
                <w:szCs w:val="16"/>
              </w:rPr>
              <w:t>2025-26</w:t>
            </w:r>
            <w:r w:rsidRPr="004C7D4D">
              <w:rPr>
                <w:rFonts w:ascii="Arial" w:hAnsi="Arial" w:cs="Arial"/>
                <w:sz w:val="16"/>
                <w:szCs w:val="16"/>
              </w:rPr>
              <w:br/>
              <w:t>Forward estimate</w:t>
            </w:r>
            <w:r w:rsidRPr="004C7D4D">
              <w:rPr>
                <w:rFonts w:ascii="Arial" w:hAnsi="Arial" w:cs="Arial"/>
                <w:sz w:val="16"/>
                <w:szCs w:val="16"/>
              </w:rPr>
              <w:br/>
              <w:t>$'000</w:t>
            </w:r>
          </w:p>
        </w:tc>
      </w:tr>
      <w:tr w:rsidR="00B91F3E" w:rsidRPr="004C7D4D" w14:paraId="79AD5C01" w14:textId="77777777" w:rsidTr="00F96D8A">
        <w:trPr>
          <w:trHeight w:val="204"/>
        </w:trPr>
        <w:tc>
          <w:tcPr>
            <w:tcW w:w="7637" w:type="dxa"/>
            <w:gridSpan w:val="6"/>
            <w:tcBorders>
              <w:top w:val="nil"/>
              <w:left w:val="nil"/>
              <w:bottom w:val="single" w:sz="4" w:space="0" w:color="auto"/>
              <w:right w:val="nil"/>
            </w:tcBorders>
            <w:shd w:val="clear" w:color="000000" w:fill="E6E6E6"/>
            <w:noWrap/>
            <w:vAlign w:val="bottom"/>
            <w:hideMark/>
          </w:tcPr>
          <w:p w14:paraId="2173FC93" w14:textId="77777777" w:rsidR="00B91F3E" w:rsidRPr="004C7D4D" w:rsidRDefault="00B91F3E" w:rsidP="00F96D8A">
            <w:pPr>
              <w:spacing w:after="0" w:line="240" w:lineRule="auto"/>
              <w:jc w:val="left"/>
              <w:rPr>
                <w:rFonts w:ascii="Arial" w:hAnsi="Arial" w:cs="Arial"/>
                <w:sz w:val="16"/>
                <w:szCs w:val="16"/>
              </w:rPr>
            </w:pPr>
            <w:r w:rsidRPr="004C7D4D">
              <w:rPr>
                <w:rFonts w:ascii="Arial" w:hAnsi="Arial" w:cs="Arial"/>
                <w:b/>
                <w:bCs/>
                <w:sz w:val="16"/>
                <w:szCs w:val="16"/>
              </w:rPr>
              <w:t>Program 3.1: Regional development</w:t>
            </w:r>
          </w:p>
        </w:tc>
      </w:tr>
      <w:tr w:rsidR="00B91F3E" w:rsidRPr="004C7D4D" w14:paraId="76CAE92D" w14:textId="77777777" w:rsidTr="00F96D8A">
        <w:trPr>
          <w:trHeight w:val="204"/>
        </w:trPr>
        <w:tc>
          <w:tcPr>
            <w:tcW w:w="2835" w:type="dxa"/>
            <w:tcBorders>
              <w:top w:val="nil"/>
              <w:left w:val="nil"/>
              <w:bottom w:val="nil"/>
              <w:right w:val="nil"/>
            </w:tcBorders>
            <w:shd w:val="clear" w:color="auto" w:fill="auto"/>
            <w:noWrap/>
            <w:vAlign w:val="bottom"/>
            <w:hideMark/>
          </w:tcPr>
          <w:p w14:paraId="0AAF92F2" w14:textId="77777777" w:rsidR="00B91F3E" w:rsidRPr="004C7D4D" w:rsidRDefault="00B91F3E" w:rsidP="00F96D8A">
            <w:pPr>
              <w:spacing w:after="0" w:line="240" w:lineRule="auto"/>
              <w:jc w:val="left"/>
              <w:rPr>
                <w:rFonts w:ascii="Arial" w:hAnsi="Arial" w:cs="Arial"/>
                <w:sz w:val="16"/>
                <w:szCs w:val="16"/>
              </w:rPr>
            </w:pPr>
            <w:r w:rsidRPr="004C7D4D">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0CA4F5B4"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2F72BF2D"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01CF172"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16782EC" w14:textId="77777777" w:rsidR="00B91F3E" w:rsidRPr="004C7D4D"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0B166FC7" w14:textId="77777777" w:rsidR="00B91F3E" w:rsidRPr="004C7D4D" w:rsidRDefault="00B91F3E" w:rsidP="00F96D8A">
            <w:pPr>
              <w:spacing w:after="0" w:line="240" w:lineRule="auto"/>
              <w:jc w:val="right"/>
              <w:rPr>
                <w:rFonts w:ascii="Times New Roman" w:hAnsi="Times New Roman"/>
                <w:sz w:val="16"/>
                <w:szCs w:val="16"/>
              </w:rPr>
            </w:pPr>
          </w:p>
        </w:tc>
      </w:tr>
      <w:tr w:rsidR="002E58CB" w:rsidRPr="004C7D4D" w14:paraId="1FC7F1A2" w14:textId="77777777" w:rsidTr="00F96D8A">
        <w:trPr>
          <w:trHeight w:val="204"/>
        </w:trPr>
        <w:tc>
          <w:tcPr>
            <w:tcW w:w="2835" w:type="dxa"/>
            <w:tcBorders>
              <w:top w:val="nil"/>
              <w:left w:val="nil"/>
              <w:bottom w:val="nil"/>
              <w:right w:val="nil"/>
            </w:tcBorders>
            <w:shd w:val="clear" w:color="auto" w:fill="auto"/>
            <w:vAlign w:val="bottom"/>
            <w:hideMark/>
          </w:tcPr>
          <w:p w14:paraId="616052EA"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Ordinary Annual Services (Appropriation Act No. 1 and Bill No. 3)</w:t>
            </w:r>
          </w:p>
        </w:tc>
        <w:tc>
          <w:tcPr>
            <w:tcW w:w="992" w:type="dxa"/>
            <w:tcBorders>
              <w:top w:val="nil"/>
              <w:left w:val="nil"/>
              <w:bottom w:val="nil"/>
              <w:right w:val="nil"/>
            </w:tcBorders>
            <w:shd w:val="clear" w:color="auto" w:fill="auto"/>
            <w:noWrap/>
            <w:vAlign w:val="bottom"/>
            <w:hideMark/>
          </w:tcPr>
          <w:p w14:paraId="4759C6AE" w14:textId="673F570C"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606,074 </w:t>
            </w:r>
          </w:p>
        </w:tc>
        <w:tc>
          <w:tcPr>
            <w:tcW w:w="928" w:type="dxa"/>
            <w:tcBorders>
              <w:top w:val="nil"/>
              <w:left w:val="nil"/>
              <w:bottom w:val="nil"/>
              <w:right w:val="nil"/>
            </w:tcBorders>
            <w:shd w:val="clear" w:color="000000" w:fill="E6E6E6"/>
            <w:noWrap/>
            <w:vAlign w:val="bottom"/>
            <w:hideMark/>
          </w:tcPr>
          <w:p w14:paraId="5A27DBB9" w14:textId="5EBB113E"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1,602,368 </w:t>
            </w:r>
          </w:p>
        </w:tc>
        <w:tc>
          <w:tcPr>
            <w:tcW w:w="928" w:type="dxa"/>
            <w:tcBorders>
              <w:top w:val="nil"/>
              <w:left w:val="nil"/>
              <w:bottom w:val="nil"/>
              <w:right w:val="nil"/>
            </w:tcBorders>
            <w:shd w:val="clear" w:color="auto" w:fill="auto"/>
            <w:noWrap/>
            <w:vAlign w:val="bottom"/>
            <w:hideMark/>
          </w:tcPr>
          <w:p w14:paraId="4625323B" w14:textId="68162101"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1,633,565 </w:t>
            </w:r>
          </w:p>
        </w:tc>
        <w:tc>
          <w:tcPr>
            <w:tcW w:w="977" w:type="dxa"/>
            <w:tcBorders>
              <w:top w:val="nil"/>
              <w:left w:val="nil"/>
              <w:bottom w:val="nil"/>
              <w:right w:val="nil"/>
            </w:tcBorders>
            <w:shd w:val="clear" w:color="auto" w:fill="auto"/>
            <w:noWrap/>
            <w:vAlign w:val="bottom"/>
            <w:hideMark/>
          </w:tcPr>
          <w:p w14:paraId="1C04DC19" w14:textId="103C0F8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1,446,787 </w:t>
            </w:r>
          </w:p>
        </w:tc>
        <w:tc>
          <w:tcPr>
            <w:tcW w:w="977" w:type="dxa"/>
            <w:tcBorders>
              <w:top w:val="nil"/>
              <w:left w:val="nil"/>
              <w:bottom w:val="nil"/>
              <w:right w:val="nil"/>
            </w:tcBorders>
            <w:shd w:val="clear" w:color="auto" w:fill="auto"/>
            <w:noWrap/>
            <w:vAlign w:val="bottom"/>
            <w:hideMark/>
          </w:tcPr>
          <w:p w14:paraId="017C7CAF" w14:textId="0465C260"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1,090,534 </w:t>
            </w:r>
          </w:p>
        </w:tc>
      </w:tr>
      <w:tr w:rsidR="002E58CB" w:rsidRPr="004C7D4D" w14:paraId="25A93148" w14:textId="77777777" w:rsidTr="00F96D8A">
        <w:trPr>
          <w:trHeight w:val="204"/>
        </w:trPr>
        <w:tc>
          <w:tcPr>
            <w:tcW w:w="2835" w:type="dxa"/>
            <w:tcBorders>
              <w:top w:val="nil"/>
              <w:left w:val="nil"/>
              <w:right w:val="nil"/>
            </w:tcBorders>
            <w:shd w:val="clear" w:color="auto" w:fill="auto"/>
            <w:vAlign w:val="bottom"/>
            <w:hideMark/>
          </w:tcPr>
          <w:p w14:paraId="548DA633"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Expenses not requiring appropriation in the Budget year</w:t>
            </w:r>
            <w:r>
              <w:rPr>
                <w:rFonts w:ascii="Arial" w:hAnsi="Arial" w:cs="Arial"/>
                <w:sz w:val="16"/>
                <w:szCs w:val="16"/>
              </w:rPr>
              <w:t> </w:t>
            </w:r>
            <w:r w:rsidRPr="0027744D">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592DC968" w14:textId="4CDB8CC7"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124,166 </w:t>
            </w:r>
          </w:p>
        </w:tc>
        <w:tc>
          <w:tcPr>
            <w:tcW w:w="928" w:type="dxa"/>
            <w:tcBorders>
              <w:top w:val="nil"/>
              <w:left w:val="nil"/>
              <w:bottom w:val="nil"/>
              <w:right w:val="nil"/>
            </w:tcBorders>
            <w:shd w:val="clear" w:color="000000" w:fill="E6E6E6"/>
            <w:noWrap/>
            <w:vAlign w:val="bottom"/>
            <w:hideMark/>
          </w:tcPr>
          <w:p w14:paraId="4C9478E4" w14:textId="3404F8EF"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169,695 </w:t>
            </w:r>
          </w:p>
        </w:tc>
        <w:tc>
          <w:tcPr>
            <w:tcW w:w="928" w:type="dxa"/>
            <w:tcBorders>
              <w:top w:val="nil"/>
              <w:left w:val="nil"/>
              <w:bottom w:val="nil"/>
              <w:right w:val="nil"/>
            </w:tcBorders>
            <w:shd w:val="clear" w:color="auto" w:fill="auto"/>
            <w:noWrap/>
            <w:vAlign w:val="bottom"/>
            <w:hideMark/>
          </w:tcPr>
          <w:p w14:paraId="76EEA20F" w14:textId="40E93B9A"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10,434 </w:t>
            </w:r>
          </w:p>
        </w:tc>
        <w:tc>
          <w:tcPr>
            <w:tcW w:w="977" w:type="dxa"/>
            <w:tcBorders>
              <w:top w:val="nil"/>
              <w:left w:val="nil"/>
              <w:bottom w:val="nil"/>
              <w:right w:val="nil"/>
            </w:tcBorders>
            <w:shd w:val="clear" w:color="auto" w:fill="auto"/>
            <w:noWrap/>
            <w:vAlign w:val="bottom"/>
            <w:hideMark/>
          </w:tcPr>
          <w:p w14:paraId="3BCC147B" w14:textId="7811A854"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10,150 </w:t>
            </w:r>
          </w:p>
        </w:tc>
        <w:tc>
          <w:tcPr>
            <w:tcW w:w="977" w:type="dxa"/>
            <w:tcBorders>
              <w:top w:val="nil"/>
              <w:left w:val="nil"/>
              <w:bottom w:val="nil"/>
              <w:right w:val="nil"/>
            </w:tcBorders>
            <w:shd w:val="clear" w:color="auto" w:fill="auto"/>
            <w:noWrap/>
            <w:vAlign w:val="bottom"/>
            <w:hideMark/>
          </w:tcPr>
          <w:p w14:paraId="1F3A966A" w14:textId="64A2E15A"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4C7D4D" w14:paraId="0E7D6C1C"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66D469A6" w14:textId="77777777" w:rsidR="002E58CB" w:rsidRPr="004C7D4D" w:rsidRDefault="002E58CB" w:rsidP="002E58CB">
            <w:pPr>
              <w:spacing w:after="0" w:line="240" w:lineRule="auto"/>
              <w:jc w:val="left"/>
              <w:rPr>
                <w:rFonts w:ascii="Arial" w:hAnsi="Arial" w:cs="Arial"/>
                <w:b/>
                <w:bCs/>
                <w:sz w:val="16"/>
                <w:szCs w:val="16"/>
              </w:rPr>
            </w:pPr>
            <w:r w:rsidRPr="004C7D4D">
              <w:rPr>
                <w:rFonts w:ascii="Arial" w:hAnsi="Arial" w:cs="Arial"/>
                <w:b/>
                <w:bCs/>
                <w:sz w:val="16"/>
                <w:szCs w:val="16"/>
              </w:rPr>
              <w:t>Total expenses for Program 3.1</w:t>
            </w:r>
          </w:p>
        </w:tc>
        <w:tc>
          <w:tcPr>
            <w:tcW w:w="992" w:type="dxa"/>
            <w:tcBorders>
              <w:top w:val="single" w:sz="4" w:space="0" w:color="auto"/>
              <w:left w:val="nil"/>
              <w:bottom w:val="single" w:sz="4" w:space="0" w:color="auto"/>
              <w:right w:val="nil"/>
            </w:tcBorders>
            <w:shd w:val="clear" w:color="auto" w:fill="auto"/>
            <w:noWrap/>
            <w:vAlign w:val="bottom"/>
            <w:hideMark/>
          </w:tcPr>
          <w:p w14:paraId="7DE604FB" w14:textId="7FE65B65"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730,240 </w:t>
            </w:r>
          </w:p>
        </w:tc>
        <w:tc>
          <w:tcPr>
            <w:tcW w:w="928" w:type="dxa"/>
            <w:tcBorders>
              <w:top w:val="single" w:sz="4" w:space="0" w:color="auto"/>
              <w:left w:val="nil"/>
              <w:bottom w:val="single" w:sz="4" w:space="0" w:color="auto"/>
              <w:right w:val="nil"/>
            </w:tcBorders>
            <w:shd w:val="clear" w:color="000000" w:fill="E6E6E6"/>
            <w:noWrap/>
            <w:vAlign w:val="bottom"/>
            <w:hideMark/>
          </w:tcPr>
          <w:p w14:paraId="7C59FECD" w14:textId="0257DD30"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1,772,063 </w:t>
            </w:r>
          </w:p>
        </w:tc>
        <w:tc>
          <w:tcPr>
            <w:tcW w:w="928" w:type="dxa"/>
            <w:tcBorders>
              <w:top w:val="single" w:sz="4" w:space="0" w:color="auto"/>
              <w:left w:val="nil"/>
              <w:bottom w:val="single" w:sz="4" w:space="0" w:color="auto"/>
              <w:right w:val="nil"/>
            </w:tcBorders>
            <w:shd w:val="clear" w:color="auto" w:fill="auto"/>
            <w:noWrap/>
            <w:vAlign w:val="bottom"/>
            <w:hideMark/>
          </w:tcPr>
          <w:p w14:paraId="2390F4C9" w14:textId="7DB4D830"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1,643,999 </w:t>
            </w:r>
          </w:p>
        </w:tc>
        <w:tc>
          <w:tcPr>
            <w:tcW w:w="977" w:type="dxa"/>
            <w:tcBorders>
              <w:top w:val="single" w:sz="4" w:space="0" w:color="auto"/>
              <w:left w:val="nil"/>
              <w:bottom w:val="single" w:sz="4" w:space="0" w:color="auto"/>
              <w:right w:val="nil"/>
            </w:tcBorders>
            <w:shd w:val="clear" w:color="auto" w:fill="auto"/>
            <w:noWrap/>
            <w:vAlign w:val="bottom"/>
            <w:hideMark/>
          </w:tcPr>
          <w:p w14:paraId="0B0B95AB" w14:textId="4D6ADF04"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1,456,937 </w:t>
            </w:r>
          </w:p>
        </w:tc>
        <w:tc>
          <w:tcPr>
            <w:tcW w:w="977" w:type="dxa"/>
            <w:tcBorders>
              <w:top w:val="single" w:sz="4" w:space="0" w:color="auto"/>
              <w:left w:val="nil"/>
              <w:bottom w:val="single" w:sz="4" w:space="0" w:color="auto"/>
              <w:right w:val="nil"/>
            </w:tcBorders>
            <w:shd w:val="clear" w:color="auto" w:fill="auto"/>
            <w:noWrap/>
            <w:vAlign w:val="bottom"/>
            <w:hideMark/>
          </w:tcPr>
          <w:p w14:paraId="56798202" w14:textId="00A6F541"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1,090,534 </w:t>
            </w:r>
          </w:p>
        </w:tc>
      </w:tr>
      <w:tr w:rsidR="00B91F3E" w:rsidRPr="004C7D4D" w14:paraId="5C276FEB" w14:textId="77777777" w:rsidTr="00F96D8A">
        <w:trPr>
          <w:trHeight w:val="204"/>
        </w:trPr>
        <w:tc>
          <w:tcPr>
            <w:tcW w:w="2835" w:type="dxa"/>
            <w:tcBorders>
              <w:top w:val="single" w:sz="4" w:space="0" w:color="auto"/>
              <w:left w:val="nil"/>
              <w:bottom w:val="single" w:sz="4" w:space="0" w:color="auto"/>
              <w:right w:val="nil"/>
            </w:tcBorders>
            <w:shd w:val="clear" w:color="000000" w:fill="E6E6E6"/>
            <w:noWrap/>
            <w:vAlign w:val="bottom"/>
            <w:hideMark/>
          </w:tcPr>
          <w:p w14:paraId="7CA9186E" w14:textId="77777777" w:rsidR="00B91F3E" w:rsidRPr="004C7D4D" w:rsidRDefault="00B91F3E" w:rsidP="00F96D8A">
            <w:pPr>
              <w:spacing w:after="0" w:line="240" w:lineRule="auto"/>
              <w:jc w:val="left"/>
              <w:rPr>
                <w:rFonts w:ascii="Arial" w:hAnsi="Arial" w:cs="Arial"/>
                <w:b/>
                <w:bCs/>
                <w:sz w:val="16"/>
                <w:szCs w:val="16"/>
              </w:rPr>
            </w:pPr>
            <w:r w:rsidRPr="004C7D4D">
              <w:rPr>
                <w:rFonts w:ascii="Arial" w:hAnsi="Arial" w:cs="Arial"/>
                <w:b/>
                <w:bCs/>
                <w:sz w:val="16"/>
                <w:szCs w:val="16"/>
              </w:rPr>
              <w:t>Program 3.2: Local government</w:t>
            </w:r>
          </w:p>
        </w:tc>
        <w:tc>
          <w:tcPr>
            <w:tcW w:w="992" w:type="dxa"/>
            <w:tcBorders>
              <w:top w:val="nil"/>
              <w:left w:val="nil"/>
              <w:bottom w:val="single" w:sz="4" w:space="0" w:color="auto"/>
              <w:right w:val="nil"/>
            </w:tcBorders>
            <w:shd w:val="clear" w:color="000000" w:fill="E6E6E6"/>
            <w:noWrap/>
            <w:vAlign w:val="bottom"/>
            <w:hideMark/>
          </w:tcPr>
          <w:p w14:paraId="7E1B1EE1"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single" w:sz="4" w:space="0" w:color="auto"/>
              <w:right w:val="nil"/>
            </w:tcBorders>
            <w:shd w:val="clear" w:color="000000" w:fill="E6E6E6"/>
            <w:noWrap/>
            <w:vAlign w:val="bottom"/>
            <w:hideMark/>
          </w:tcPr>
          <w:p w14:paraId="717CA5BB"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single" w:sz="4" w:space="0" w:color="auto"/>
              <w:right w:val="nil"/>
            </w:tcBorders>
            <w:shd w:val="clear" w:color="000000" w:fill="E6E6E6"/>
            <w:noWrap/>
            <w:vAlign w:val="bottom"/>
            <w:hideMark/>
          </w:tcPr>
          <w:p w14:paraId="55EEEAD9"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single" w:sz="4" w:space="0" w:color="auto"/>
              <w:right w:val="nil"/>
            </w:tcBorders>
            <w:shd w:val="clear" w:color="000000" w:fill="E6E6E6"/>
            <w:noWrap/>
            <w:vAlign w:val="bottom"/>
            <w:hideMark/>
          </w:tcPr>
          <w:p w14:paraId="49B460AC"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single" w:sz="4" w:space="0" w:color="auto"/>
              <w:right w:val="nil"/>
            </w:tcBorders>
            <w:shd w:val="clear" w:color="000000" w:fill="E6E6E6"/>
            <w:noWrap/>
            <w:vAlign w:val="bottom"/>
            <w:hideMark/>
          </w:tcPr>
          <w:p w14:paraId="27ED7828" w14:textId="77777777" w:rsidR="00B91F3E" w:rsidRPr="004C7D4D" w:rsidRDefault="00B91F3E" w:rsidP="00F96D8A">
            <w:pPr>
              <w:spacing w:after="0" w:line="240" w:lineRule="auto"/>
              <w:jc w:val="right"/>
              <w:rPr>
                <w:rFonts w:ascii="Arial" w:hAnsi="Arial" w:cs="Arial"/>
                <w:sz w:val="16"/>
                <w:szCs w:val="16"/>
              </w:rPr>
            </w:pPr>
          </w:p>
        </w:tc>
      </w:tr>
      <w:tr w:rsidR="00B91F3E" w:rsidRPr="004C7D4D" w14:paraId="312F3A20" w14:textId="77777777" w:rsidTr="00F96D8A">
        <w:trPr>
          <w:trHeight w:val="204"/>
        </w:trPr>
        <w:tc>
          <w:tcPr>
            <w:tcW w:w="2835" w:type="dxa"/>
            <w:tcBorders>
              <w:top w:val="nil"/>
              <w:left w:val="nil"/>
              <w:bottom w:val="nil"/>
              <w:right w:val="nil"/>
            </w:tcBorders>
            <w:shd w:val="clear" w:color="auto" w:fill="auto"/>
            <w:noWrap/>
            <w:vAlign w:val="bottom"/>
            <w:hideMark/>
          </w:tcPr>
          <w:p w14:paraId="6FFD7EF5" w14:textId="77777777" w:rsidR="00B91F3E" w:rsidRPr="004C7D4D" w:rsidRDefault="00B91F3E" w:rsidP="00F96D8A">
            <w:pPr>
              <w:spacing w:after="0" w:line="240" w:lineRule="auto"/>
              <w:jc w:val="left"/>
              <w:rPr>
                <w:rFonts w:ascii="Arial" w:hAnsi="Arial" w:cs="Arial"/>
                <w:sz w:val="16"/>
                <w:szCs w:val="16"/>
              </w:rPr>
            </w:pPr>
            <w:r w:rsidRPr="004C7D4D">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6AFC6F1E"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13FC450"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65B18FD"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FDA795A" w14:textId="77777777" w:rsidR="00B91F3E" w:rsidRPr="004C7D4D"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5B6E4A8F" w14:textId="77777777" w:rsidR="00B91F3E" w:rsidRPr="004C7D4D" w:rsidRDefault="00B91F3E" w:rsidP="00F96D8A">
            <w:pPr>
              <w:spacing w:after="0" w:line="240" w:lineRule="auto"/>
              <w:jc w:val="right"/>
              <w:rPr>
                <w:rFonts w:ascii="Times New Roman" w:hAnsi="Times New Roman"/>
                <w:sz w:val="16"/>
                <w:szCs w:val="16"/>
              </w:rPr>
            </w:pPr>
          </w:p>
        </w:tc>
      </w:tr>
      <w:tr w:rsidR="002E58CB" w:rsidRPr="004C7D4D" w14:paraId="21B0E974" w14:textId="77777777" w:rsidTr="00F96D8A">
        <w:trPr>
          <w:trHeight w:val="204"/>
        </w:trPr>
        <w:tc>
          <w:tcPr>
            <w:tcW w:w="2835" w:type="dxa"/>
            <w:tcBorders>
              <w:top w:val="nil"/>
              <w:left w:val="nil"/>
              <w:bottom w:val="nil"/>
              <w:right w:val="nil"/>
            </w:tcBorders>
            <w:shd w:val="clear" w:color="auto" w:fill="auto"/>
            <w:vAlign w:val="bottom"/>
            <w:hideMark/>
          </w:tcPr>
          <w:p w14:paraId="7BD59FDC"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Ordinary Annual Services (Appropriation Act No. 1 and Bill No. 3)</w:t>
            </w:r>
          </w:p>
        </w:tc>
        <w:tc>
          <w:tcPr>
            <w:tcW w:w="992" w:type="dxa"/>
            <w:tcBorders>
              <w:top w:val="nil"/>
              <w:left w:val="nil"/>
              <w:bottom w:val="nil"/>
              <w:right w:val="nil"/>
            </w:tcBorders>
            <w:shd w:val="clear" w:color="auto" w:fill="auto"/>
            <w:noWrap/>
            <w:vAlign w:val="bottom"/>
            <w:hideMark/>
          </w:tcPr>
          <w:p w14:paraId="4D62AAA4" w14:textId="65E14079"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818 </w:t>
            </w:r>
          </w:p>
        </w:tc>
        <w:tc>
          <w:tcPr>
            <w:tcW w:w="928" w:type="dxa"/>
            <w:tcBorders>
              <w:top w:val="nil"/>
              <w:left w:val="nil"/>
              <w:bottom w:val="nil"/>
              <w:right w:val="nil"/>
            </w:tcBorders>
            <w:shd w:val="clear" w:color="000000" w:fill="E6E6E6"/>
            <w:noWrap/>
            <w:vAlign w:val="bottom"/>
            <w:hideMark/>
          </w:tcPr>
          <w:p w14:paraId="5D3928D2" w14:textId="1B85C355"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670 </w:t>
            </w:r>
          </w:p>
        </w:tc>
        <w:tc>
          <w:tcPr>
            <w:tcW w:w="928" w:type="dxa"/>
            <w:tcBorders>
              <w:top w:val="nil"/>
              <w:left w:val="nil"/>
              <w:bottom w:val="nil"/>
              <w:right w:val="nil"/>
            </w:tcBorders>
            <w:shd w:val="clear" w:color="auto" w:fill="auto"/>
            <w:noWrap/>
            <w:vAlign w:val="bottom"/>
            <w:hideMark/>
          </w:tcPr>
          <w:p w14:paraId="74DFF8EC" w14:textId="138244E8"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390 </w:t>
            </w:r>
          </w:p>
        </w:tc>
        <w:tc>
          <w:tcPr>
            <w:tcW w:w="977" w:type="dxa"/>
            <w:tcBorders>
              <w:top w:val="nil"/>
              <w:left w:val="nil"/>
              <w:bottom w:val="nil"/>
              <w:right w:val="nil"/>
            </w:tcBorders>
            <w:shd w:val="clear" w:color="auto" w:fill="auto"/>
            <w:noWrap/>
            <w:vAlign w:val="bottom"/>
            <w:hideMark/>
          </w:tcPr>
          <w:p w14:paraId="4F5D6082" w14:textId="4236F00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279 </w:t>
            </w:r>
          </w:p>
        </w:tc>
        <w:tc>
          <w:tcPr>
            <w:tcW w:w="977" w:type="dxa"/>
            <w:tcBorders>
              <w:top w:val="nil"/>
              <w:left w:val="nil"/>
              <w:bottom w:val="nil"/>
              <w:right w:val="nil"/>
            </w:tcBorders>
            <w:shd w:val="clear" w:color="auto" w:fill="auto"/>
            <w:noWrap/>
            <w:vAlign w:val="bottom"/>
            <w:hideMark/>
          </w:tcPr>
          <w:p w14:paraId="4C4C2EEC" w14:textId="7F640465"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4C7D4D" w14:paraId="6AE5E0B1" w14:textId="77777777" w:rsidTr="00F96D8A">
        <w:trPr>
          <w:trHeight w:val="204"/>
        </w:trPr>
        <w:tc>
          <w:tcPr>
            <w:tcW w:w="2835" w:type="dxa"/>
            <w:tcBorders>
              <w:top w:val="nil"/>
              <w:left w:val="nil"/>
              <w:bottom w:val="nil"/>
              <w:right w:val="nil"/>
            </w:tcBorders>
            <w:shd w:val="clear" w:color="auto" w:fill="auto"/>
            <w:vAlign w:val="bottom"/>
            <w:hideMark/>
          </w:tcPr>
          <w:p w14:paraId="1AF8D931"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Other Services (Appropriation Act No. 2 and Bill No. 4)</w:t>
            </w:r>
          </w:p>
        </w:tc>
        <w:tc>
          <w:tcPr>
            <w:tcW w:w="992" w:type="dxa"/>
            <w:tcBorders>
              <w:top w:val="nil"/>
              <w:left w:val="nil"/>
              <w:bottom w:val="nil"/>
              <w:right w:val="nil"/>
            </w:tcBorders>
            <w:shd w:val="clear" w:color="auto" w:fill="auto"/>
            <w:noWrap/>
            <w:vAlign w:val="bottom"/>
            <w:hideMark/>
          </w:tcPr>
          <w:p w14:paraId="57B0DC4E" w14:textId="7A339DD5"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933,979 </w:t>
            </w:r>
          </w:p>
        </w:tc>
        <w:tc>
          <w:tcPr>
            <w:tcW w:w="928" w:type="dxa"/>
            <w:tcBorders>
              <w:top w:val="nil"/>
              <w:left w:val="nil"/>
              <w:bottom w:val="nil"/>
              <w:right w:val="nil"/>
            </w:tcBorders>
            <w:shd w:val="clear" w:color="000000" w:fill="E6E6E6"/>
            <w:noWrap/>
            <w:vAlign w:val="bottom"/>
            <w:hideMark/>
          </w:tcPr>
          <w:p w14:paraId="37007C52" w14:textId="536D04FB"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669,330 </w:t>
            </w:r>
          </w:p>
        </w:tc>
        <w:tc>
          <w:tcPr>
            <w:tcW w:w="928" w:type="dxa"/>
            <w:tcBorders>
              <w:top w:val="nil"/>
              <w:left w:val="nil"/>
              <w:bottom w:val="nil"/>
              <w:right w:val="nil"/>
            </w:tcBorders>
            <w:shd w:val="clear" w:color="auto" w:fill="auto"/>
            <w:noWrap/>
            <w:vAlign w:val="bottom"/>
            <w:hideMark/>
          </w:tcPr>
          <w:p w14:paraId="28AE236B" w14:textId="7176C3E9"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349,610 </w:t>
            </w:r>
          </w:p>
        </w:tc>
        <w:tc>
          <w:tcPr>
            <w:tcW w:w="977" w:type="dxa"/>
            <w:tcBorders>
              <w:top w:val="nil"/>
              <w:left w:val="nil"/>
              <w:bottom w:val="nil"/>
              <w:right w:val="nil"/>
            </w:tcBorders>
            <w:shd w:val="clear" w:color="auto" w:fill="auto"/>
            <w:noWrap/>
            <w:vAlign w:val="bottom"/>
            <w:hideMark/>
          </w:tcPr>
          <w:p w14:paraId="3B917A3E" w14:textId="5898DE3D"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249,721 </w:t>
            </w:r>
          </w:p>
        </w:tc>
        <w:tc>
          <w:tcPr>
            <w:tcW w:w="977" w:type="dxa"/>
            <w:tcBorders>
              <w:top w:val="nil"/>
              <w:left w:val="nil"/>
              <w:bottom w:val="nil"/>
              <w:right w:val="nil"/>
            </w:tcBorders>
            <w:shd w:val="clear" w:color="auto" w:fill="auto"/>
            <w:noWrap/>
            <w:vAlign w:val="bottom"/>
            <w:hideMark/>
          </w:tcPr>
          <w:p w14:paraId="570B631B" w14:textId="43206BE1"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4C7D4D" w14:paraId="4C30FADF" w14:textId="77777777" w:rsidTr="00F96D8A">
        <w:trPr>
          <w:trHeight w:val="204"/>
        </w:trPr>
        <w:tc>
          <w:tcPr>
            <w:tcW w:w="2835" w:type="dxa"/>
            <w:tcBorders>
              <w:top w:val="nil"/>
              <w:left w:val="nil"/>
              <w:bottom w:val="nil"/>
              <w:right w:val="nil"/>
            </w:tcBorders>
            <w:shd w:val="clear" w:color="auto" w:fill="auto"/>
            <w:vAlign w:val="bottom"/>
            <w:hideMark/>
          </w:tcPr>
          <w:p w14:paraId="0FE9D6FF"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18E9AF4F" w14:textId="77777777" w:rsidR="002E58CB" w:rsidRPr="004C7D4D" w:rsidRDefault="002E58CB" w:rsidP="002E58CB">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57F725CA" w14:textId="4DD77645"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3F71AA26" w14:textId="77777777" w:rsidR="002E58CB" w:rsidRPr="004C7D4D"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6993FA3" w14:textId="77777777" w:rsidR="002E58CB" w:rsidRPr="004C7D4D" w:rsidRDefault="002E58CB" w:rsidP="002E58CB">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402AFCCC" w14:textId="77777777" w:rsidR="002E58CB" w:rsidRPr="004C7D4D" w:rsidRDefault="002E58CB" w:rsidP="002E58CB">
            <w:pPr>
              <w:spacing w:after="0" w:line="240" w:lineRule="auto"/>
              <w:jc w:val="right"/>
              <w:rPr>
                <w:rFonts w:ascii="Times New Roman" w:hAnsi="Times New Roman"/>
                <w:sz w:val="16"/>
                <w:szCs w:val="16"/>
              </w:rPr>
            </w:pPr>
          </w:p>
        </w:tc>
      </w:tr>
      <w:tr w:rsidR="002E58CB" w:rsidRPr="004C7D4D" w14:paraId="0A5BD958" w14:textId="77777777" w:rsidTr="00F96D8A">
        <w:trPr>
          <w:trHeight w:val="204"/>
        </w:trPr>
        <w:tc>
          <w:tcPr>
            <w:tcW w:w="2835" w:type="dxa"/>
            <w:tcBorders>
              <w:top w:val="nil"/>
              <w:left w:val="nil"/>
              <w:bottom w:val="nil"/>
              <w:right w:val="nil"/>
            </w:tcBorders>
            <w:shd w:val="clear" w:color="auto" w:fill="auto"/>
            <w:vAlign w:val="bottom"/>
            <w:hideMark/>
          </w:tcPr>
          <w:p w14:paraId="0E1511E9" w14:textId="77777777" w:rsidR="002E58CB" w:rsidRPr="004C7D4D" w:rsidRDefault="002E58CB" w:rsidP="002E58CB">
            <w:pPr>
              <w:spacing w:after="0" w:line="240" w:lineRule="auto"/>
              <w:ind w:left="227"/>
              <w:jc w:val="left"/>
              <w:rPr>
                <w:rFonts w:ascii="Arial" w:hAnsi="Arial" w:cs="Arial"/>
                <w:i/>
                <w:iCs/>
                <w:sz w:val="16"/>
                <w:szCs w:val="16"/>
              </w:rPr>
            </w:pPr>
            <w:r w:rsidRPr="004C7D4D">
              <w:rPr>
                <w:rFonts w:ascii="Arial" w:hAnsi="Arial" w:cs="Arial"/>
                <w:i/>
                <w:iCs/>
                <w:sz w:val="16"/>
                <w:szCs w:val="16"/>
              </w:rPr>
              <w:t>Local Government (Financial Assistance) Act 1995</w:t>
            </w:r>
          </w:p>
        </w:tc>
        <w:tc>
          <w:tcPr>
            <w:tcW w:w="992" w:type="dxa"/>
            <w:tcBorders>
              <w:top w:val="nil"/>
              <w:left w:val="nil"/>
              <w:bottom w:val="nil"/>
              <w:right w:val="nil"/>
            </w:tcBorders>
            <w:shd w:val="clear" w:color="auto" w:fill="auto"/>
            <w:noWrap/>
            <w:vAlign w:val="bottom"/>
            <w:hideMark/>
          </w:tcPr>
          <w:p w14:paraId="595CC367" w14:textId="216CA4C5"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3,505,008 </w:t>
            </w:r>
          </w:p>
        </w:tc>
        <w:tc>
          <w:tcPr>
            <w:tcW w:w="928" w:type="dxa"/>
            <w:tcBorders>
              <w:top w:val="nil"/>
              <w:left w:val="nil"/>
              <w:bottom w:val="nil"/>
              <w:right w:val="nil"/>
            </w:tcBorders>
            <w:shd w:val="clear" w:color="000000" w:fill="E6E6E6"/>
            <w:noWrap/>
            <w:vAlign w:val="bottom"/>
            <w:hideMark/>
          </w:tcPr>
          <w:p w14:paraId="56C12341" w14:textId="0FC2B393"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704,427 </w:t>
            </w:r>
          </w:p>
        </w:tc>
        <w:tc>
          <w:tcPr>
            <w:tcW w:w="928" w:type="dxa"/>
            <w:tcBorders>
              <w:top w:val="nil"/>
              <w:left w:val="nil"/>
              <w:bottom w:val="nil"/>
              <w:right w:val="nil"/>
            </w:tcBorders>
            <w:shd w:val="clear" w:color="auto" w:fill="auto"/>
            <w:noWrap/>
            <w:vAlign w:val="bottom"/>
            <w:hideMark/>
          </w:tcPr>
          <w:p w14:paraId="4A72507A" w14:textId="48625270"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2,927,311 </w:t>
            </w:r>
          </w:p>
        </w:tc>
        <w:tc>
          <w:tcPr>
            <w:tcW w:w="977" w:type="dxa"/>
            <w:tcBorders>
              <w:top w:val="nil"/>
              <w:left w:val="nil"/>
              <w:bottom w:val="nil"/>
              <w:right w:val="nil"/>
            </w:tcBorders>
            <w:shd w:val="clear" w:color="auto" w:fill="auto"/>
            <w:noWrap/>
            <w:vAlign w:val="bottom"/>
            <w:hideMark/>
          </w:tcPr>
          <w:p w14:paraId="1E862653" w14:textId="748DAA2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3,048,208 </w:t>
            </w:r>
          </w:p>
        </w:tc>
        <w:tc>
          <w:tcPr>
            <w:tcW w:w="977" w:type="dxa"/>
            <w:tcBorders>
              <w:top w:val="nil"/>
              <w:left w:val="nil"/>
              <w:bottom w:val="nil"/>
              <w:right w:val="nil"/>
            </w:tcBorders>
            <w:shd w:val="clear" w:color="auto" w:fill="auto"/>
            <w:noWrap/>
            <w:vAlign w:val="bottom"/>
            <w:hideMark/>
          </w:tcPr>
          <w:p w14:paraId="1B78F501" w14:textId="10FE3FF5"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3,169,527 </w:t>
            </w:r>
          </w:p>
        </w:tc>
      </w:tr>
      <w:tr w:rsidR="002E58CB" w:rsidRPr="004C7D4D" w14:paraId="68F68D69" w14:textId="77777777" w:rsidTr="00F96D8A">
        <w:trPr>
          <w:trHeight w:val="204"/>
        </w:trPr>
        <w:tc>
          <w:tcPr>
            <w:tcW w:w="2835" w:type="dxa"/>
            <w:tcBorders>
              <w:top w:val="nil"/>
              <w:left w:val="nil"/>
              <w:bottom w:val="nil"/>
              <w:right w:val="nil"/>
            </w:tcBorders>
            <w:shd w:val="clear" w:color="auto" w:fill="auto"/>
            <w:noWrap/>
            <w:vAlign w:val="bottom"/>
            <w:hideMark/>
          </w:tcPr>
          <w:p w14:paraId="00ADBE5E" w14:textId="77777777" w:rsidR="002E58CB" w:rsidRPr="004C7D4D" w:rsidRDefault="002E58CB" w:rsidP="002E58CB">
            <w:pPr>
              <w:spacing w:after="0" w:line="240" w:lineRule="auto"/>
              <w:jc w:val="left"/>
              <w:rPr>
                <w:rFonts w:ascii="Arial" w:hAnsi="Arial" w:cs="Arial"/>
                <w:b/>
                <w:bCs/>
                <w:sz w:val="16"/>
                <w:szCs w:val="16"/>
              </w:rPr>
            </w:pPr>
            <w:r w:rsidRPr="004C7D4D">
              <w:rPr>
                <w:rFonts w:ascii="Arial" w:hAnsi="Arial" w:cs="Arial"/>
                <w:b/>
                <w:bCs/>
                <w:sz w:val="16"/>
                <w:szCs w:val="16"/>
              </w:rPr>
              <w:t>Total expenses for Program 3.2</w:t>
            </w:r>
          </w:p>
        </w:tc>
        <w:tc>
          <w:tcPr>
            <w:tcW w:w="992" w:type="dxa"/>
            <w:tcBorders>
              <w:top w:val="single" w:sz="4" w:space="0" w:color="auto"/>
              <w:left w:val="nil"/>
              <w:bottom w:val="single" w:sz="4" w:space="0" w:color="auto"/>
              <w:right w:val="nil"/>
            </w:tcBorders>
            <w:shd w:val="clear" w:color="auto" w:fill="auto"/>
            <w:noWrap/>
            <w:vAlign w:val="bottom"/>
            <w:hideMark/>
          </w:tcPr>
          <w:p w14:paraId="246CD4DF" w14:textId="5D534BFA"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4,439,805 </w:t>
            </w:r>
          </w:p>
        </w:tc>
        <w:tc>
          <w:tcPr>
            <w:tcW w:w="928" w:type="dxa"/>
            <w:tcBorders>
              <w:top w:val="single" w:sz="4" w:space="0" w:color="auto"/>
              <w:left w:val="nil"/>
              <w:bottom w:val="single" w:sz="4" w:space="0" w:color="auto"/>
              <w:right w:val="nil"/>
            </w:tcBorders>
            <w:shd w:val="clear" w:color="000000" w:fill="E6E6E6"/>
            <w:noWrap/>
            <w:vAlign w:val="bottom"/>
            <w:hideMark/>
          </w:tcPr>
          <w:p w14:paraId="7E2F35BE" w14:textId="30B2B9CE"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1,374,427 </w:t>
            </w:r>
          </w:p>
        </w:tc>
        <w:tc>
          <w:tcPr>
            <w:tcW w:w="928" w:type="dxa"/>
            <w:tcBorders>
              <w:top w:val="single" w:sz="4" w:space="0" w:color="auto"/>
              <w:left w:val="nil"/>
              <w:bottom w:val="single" w:sz="4" w:space="0" w:color="auto"/>
              <w:right w:val="nil"/>
            </w:tcBorders>
            <w:shd w:val="clear" w:color="auto" w:fill="auto"/>
            <w:noWrap/>
            <w:vAlign w:val="bottom"/>
            <w:hideMark/>
          </w:tcPr>
          <w:p w14:paraId="742DB158" w14:textId="2C66615A"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3,277,311 </w:t>
            </w:r>
          </w:p>
        </w:tc>
        <w:tc>
          <w:tcPr>
            <w:tcW w:w="977" w:type="dxa"/>
            <w:tcBorders>
              <w:top w:val="single" w:sz="4" w:space="0" w:color="auto"/>
              <w:left w:val="nil"/>
              <w:bottom w:val="single" w:sz="4" w:space="0" w:color="auto"/>
              <w:right w:val="nil"/>
            </w:tcBorders>
            <w:shd w:val="clear" w:color="auto" w:fill="auto"/>
            <w:noWrap/>
            <w:vAlign w:val="bottom"/>
            <w:hideMark/>
          </w:tcPr>
          <w:p w14:paraId="17F9742F" w14:textId="28963892"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3,298,208 </w:t>
            </w:r>
          </w:p>
        </w:tc>
        <w:tc>
          <w:tcPr>
            <w:tcW w:w="977" w:type="dxa"/>
            <w:tcBorders>
              <w:top w:val="single" w:sz="4" w:space="0" w:color="auto"/>
              <w:left w:val="nil"/>
              <w:bottom w:val="single" w:sz="4" w:space="0" w:color="auto"/>
              <w:right w:val="nil"/>
            </w:tcBorders>
            <w:shd w:val="clear" w:color="auto" w:fill="auto"/>
            <w:noWrap/>
            <w:vAlign w:val="bottom"/>
            <w:hideMark/>
          </w:tcPr>
          <w:p w14:paraId="57EAE240" w14:textId="29732D47"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3,169,527 </w:t>
            </w:r>
          </w:p>
        </w:tc>
      </w:tr>
      <w:tr w:rsidR="00B91F3E" w:rsidRPr="004C7D4D" w14:paraId="5C7B9FE8" w14:textId="77777777" w:rsidTr="00F96D8A">
        <w:trPr>
          <w:trHeight w:val="204"/>
        </w:trPr>
        <w:tc>
          <w:tcPr>
            <w:tcW w:w="2835" w:type="dxa"/>
            <w:tcBorders>
              <w:top w:val="single" w:sz="4" w:space="0" w:color="auto"/>
              <w:left w:val="nil"/>
              <w:bottom w:val="single" w:sz="4" w:space="0" w:color="auto"/>
              <w:right w:val="nil"/>
            </w:tcBorders>
            <w:shd w:val="clear" w:color="000000" w:fill="E6E6E6"/>
            <w:noWrap/>
            <w:vAlign w:val="bottom"/>
            <w:hideMark/>
          </w:tcPr>
          <w:p w14:paraId="559BDF04" w14:textId="77777777" w:rsidR="00B91F3E" w:rsidRPr="004C7D4D" w:rsidRDefault="00B91F3E" w:rsidP="00F96D8A">
            <w:pPr>
              <w:spacing w:after="0" w:line="240" w:lineRule="auto"/>
              <w:jc w:val="left"/>
              <w:rPr>
                <w:rFonts w:ascii="Arial" w:hAnsi="Arial" w:cs="Arial"/>
                <w:b/>
                <w:bCs/>
                <w:sz w:val="16"/>
                <w:szCs w:val="16"/>
              </w:rPr>
            </w:pPr>
            <w:r w:rsidRPr="004C7D4D">
              <w:rPr>
                <w:rFonts w:ascii="Arial" w:hAnsi="Arial" w:cs="Arial"/>
                <w:b/>
                <w:bCs/>
                <w:sz w:val="16"/>
                <w:szCs w:val="16"/>
              </w:rPr>
              <w:t>Program 3.3: Cities</w:t>
            </w:r>
          </w:p>
        </w:tc>
        <w:tc>
          <w:tcPr>
            <w:tcW w:w="992" w:type="dxa"/>
            <w:tcBorders>
              <w:top w:val="nil"/>
              <w:left w:val="nil"/>
              <w:bottom w:val="single" w:sz="4" w:space="0" w:color="auto"/>
              <w:right w:val="nil"/>
            </w:tcBorders>
            <w:shd w:val="clear" w:color="000000" w:fill="E6E6E6"/>
            <w:noWrap/>
            <w:vAlign w:val="bottom"/>
            <w:hideMark/>
          </w:tcPr>
          <w:p w14:paraId="57C78F8B"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single" w:sz="4" w:space="0" w:color="auto"/>
              <w:right w:val="nil"/>
            </w:tcBorders>
            <w:shd w:val="clear" w:color="000000" w:fill="E6E6E6"/>
            <w:noWrap/>
            <w:vAlign w:val="bottom"/>
            <w:hideMark/>
          </w:tcPr>
          <w:p w14:paraId="1DDAA156"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single" w:sz="4" w:space="0" w:color="auto"/>
              <w:right w:val="nil"/>
            </w:tcBorders>
            <w:shd w:val="clear" w:color="000000" w:fill="E6E6E6"/>
            <w:noWrap/>
            <w:vAlign w:val="bottom"/>
            <w:hideMark/>
          </w:tcPr>
          <w:p w14:paraId="676C31E9"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single" w:sz="4" w:space="0" w:color="auto"/>
              <w:right w:val="nil"/>
            </w:tcBorders>
            <w:shd w:val="clear" w:color="000000" w:fill="E6E6E6"/>
            <w:noWrap/>
            <w:vAlign w:val="bottom"/>
            <w:hideMark/>
          </w:tcPr>
          <w:p w14:paraId="3CC3B766"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single" w:sz="4" w:space="0" w:color="auto"/>
              <w:right w:val="nil"/>
            </w:tcBorders>
            <w:shd w:val="clear" w:color="000000" w:fill="E6E6E6"/>
            <w:noWrap/>
            <w:vAlign w:val="bottom"/>
            <w:hideMark/>
          </w:tcPr>
          <w:p w14:paraId="3B5F9248" w14:textId="77777777" w:rsidR="00B91F3E" w:rsidRPr="004C7D4D" w:rsidRDefault="00B91F3E" w:rsidP="00F96D8A">
            <w:pPr>
              <w:spacing w:after="0" w:line="240" w:lineRule="auto"/>
              <w:jc w:val="right"/>
              <w:rPr>
                <w:rFonts w:ascii="Arial" w:hAnsi="Arial" w:cs="Arial"/>
                <w:sz w:val="16"/>
                <w:szCs w:val="16"/>
              </w:rPr>
            </w:pPr>
          </w:p>
        </w:tc>
      </w:tr>
      <w:tr w:rsidR="00B91F3E" w:rsidRPr="004C7D4D" w14:paraId="51C426C8" w14:textId="77777777" w:rsidTr="00F96D8A">
        <w:trPr>
          <w:trHeight w:val="204"/>
        </w:trPr>
        <w:tc>
          <w:tcPr>
            <w:tcW w:w="2835" w:type="dxa"/>
            <w:tcBorders>
              <w:top w:val="nil"/>
              <w:left w:val="nil"/>
              <w:bottom w:val="nil"/>
              <w:right w:val="nil"/>
            </w:tcBorders>
            <w:shd w:val="clear" w:color="auto" w:fill="auto"/>
            <w:noWrap/>
            <w:vAlign w:val="bottom"/>
            <w:hideMark/>
          </w:tcPr>
          <w:p w14:paraId="0DB279A0" w14:textId="77777777" w:rsidR="00B91F3E" w:rsidRPr="004C7D4D" w:rsidRDefault="00B91F3E" w:rsidP="00F96D8A">
            <w:pPr>
              <w:spacing w:after="0" w:line="240" w:lineRule="auto"/>
              <w:jc w:val="left"/>
              <w:rPr>
                <w:rFonts w:ascii="Arial" w:hAnsi="Arial" w:cs="Arial"/>
                <w:sz w:val="16"/>
                <w:szCs w:val="16"/>
              </w:rPr>
            </w:pPr>
            <w:r w:rsidRPr="004C7D4D">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2F0A9A6"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5A8F376"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D90CB83"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6DC2BAB" w14:textId="77777777" w:rsidR="00B91F3E" w:rsidRPr="004C7D4D"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6784191C" w14:textId="77777777" w:rsidR="00B91F3E" w:rsidRPr="004C7D4D" w:rsidRDefault="00B91F3E" w:rsidP="00F96D8A">
            <w:pPr>
              <w:spacing w:after="0" w:line="240" w:lineRule="auto"/>
              <w:jc w:val="right"/>
              <w:rPr>
                <w:rFonts w:ascii="Times New Roman" w:hAnsi="Times New Roman"/>
                <w:sz w:val="16"/>
                <w:szCs w:val="16"/>
              </w:rPr>
            </w:pPr>
          </w:p>
        </w:tc>
      </w:tr>
      <w:tr w:rsidR="002E58CB" w:rsidRPr="004C7D4D" w14:paraId="34D768A4" w14:textId="77777777" w:rsidTr="00F96D8A">
        <w:trPr>
          <w:trHeight w:val="204"/>
        </w:trPr>
        <w:tc>
          <w:tcPr>
            <w:tcW w:w="2835" w:type="dxa"/>
            <w:tcBorders>
              <w:top w:val="nil"/>
              <w:left w:val="nil"/>
              <w:bottom w:val="nil"/>
              <w:right w:val="nil"/>
            </w:tcBorders>
            <w:shd w:val="clear" w:color="auto" w:fill="auto"/>
            <w:vAlign w:val="bottom"/>
            <w:hideMark/>
          </w:tcPr>
          <w:p w14:paraId="6D1097CD"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Ordinary Annual Services (Appropriation Act No. 1 and Bill No. 3)</w:t>
            </w:r>
          </w:p>
        </w:tc>
        <w:tc>
          <w:tcPr>
            <w:tcW w:w="992" w:type="dxa"/>
            <w:tcBorders>
              <w:top w:val="nil"/>
              <w:left w:val="nil"/>
              <w:bottom w:val="nil"/>
              <w:right w:val="nil"/>
            </w:tcBorders>
            <w:shd w:val="clear" w:color="auto" w:fill="auto"/>
            <w:noWrap/>
            <w:vAlign w:val="bottom"/>
            <w:hideMark/>
          </w:tcPr>
          <w:p w14:paraId="309C88D0" w14:textId="701D017D"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300 </w:t>
            </w:r>
          </w:p>
        </w:tc>
        <w:tc>
          <w:tcPr>
            <w:tcW w:w="928" w:type="dxa"/>
            <w:tcBorders>
              <w:top w:val="nil"/>
              <w:left w:val="nil"/>
              <w:bottom w:val="nil"/>
              <w:right w:val="nil"/>
            </w:tcBorders>
            <w:shd w:val="clear" w:color="000000" w:fill="E6E6E6"/>
            <w:noWrap/>
            <w:vAlign w:val="bottom"/>
            <w:hideMark/>
          </w:tcPr>
          <w:p w14:paraId="0039586D" w14:textId="56B74168"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2,633 </w:t>
            </w:r>
          </w:p>
        </w:tc>
        <w:tc>
          <w:tcPr>
            <w:tcW w:w="928" w:type="dxa"/>
            <w:tcBorders>
              <w:top w:val="nil"/>
              <w:left w:val="nil"/>
              <w:bottom w:val="nil"/>
              <w:right w:val="nil"/>
            </w:tcBorders>
            <w:shd w:val="clear" w:color="auto" w:fill="auto"/>
            <w:noWrap/>
            <w:vAlign w:val="bottom"/>
            <w:hideMark/>
          </w:tcPr>
          <w:p w14:paraId="3301FE4D" w14:textId="100AFC5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100 </w:t>
            </w:r>
          </w:p>
        </w:tc>
        <w:tc>
          <w:tcPr>
            <w:tcW w:w="977" w:type="dxa"/>
            <w:tcBorders>
              <w:top w:val="nil"/>
              <w:left w:val="nil"/>
              <w:bottom w:val="nil"/>
              <w:right w:val="nil"/>
            </w:tcBorders>
            <w:shd w:val="clear" w:color="auto" w:fill="auto"/>
            <w:noWrap/>
            <w:vAlign w:val="bottom"/>
            <w:hideMark/>
          </w:tcPr>
          <w:p w14:paraId="6E85AC5C" w14:textId="624D9CE6"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9322C3A" w14:textId="62146A5A"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4C7D4D" w14:paraId="03034097" w14:textId="77777777" w:rsidTr="00F96D8A">
        <w:trPr>
          <w:trHeight w:val="204"/>
        </w:trPr>
        <w:tc>
          <w:tcPr>
            <w:tcW w:w="2835" w:type="dxa"/>
            <w:tcBorders>
              <w:top w:val="nil"/>
              <w:left w:val="nil"/>
              <w:bottom w:val="nil"/>
              <w:right w:val="nil"/>
            </w:tcBorders>
            <w:shd w:val="clear" w:color="auto" w:fill="auto"/>
            <w:vAlign w:val="bottom"/>
            <w:hideMark/>
          </w:tcPr>
          <w:p w14:paraId="46D61E90"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Expenses not requiring appropriation in the Budget year</w:t>
            </w:r>
            <w:r>
              <w:rPr>
                <w:rFonts w:ascii="Arial" w:hAnsi="Arial" w:cs="Arial"/>
                <w:sz w:val="16"/>
                <w:szCs w:val="16"/>
              </w:rPr>
              <w:t> </w:t>
            </w:r>
            <w:r w:rsidRPr="00583D06">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1F5F62FD" w14:textId="07E2246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679 </w:t>
            </w:r>
          </w:p>
        </w:tc>
        <w:tc>
          <w:tcPr>
            <w:tcW w:w="928" w:type="dxa"/>
            <w:tcBorders>
              <w:top w:val="nil"/>
              <w:left w:val="nil"/>
              <w:bottom w:val="nil"/>
              <w:right w:val="nil"/>
            </w:tcBorders>
            <w:shd w:val="clear" w:color="000000" w:fill="E6E6E6"/>
            <w:noWrap/>
            <w:vAlign w:val="bottom"/>
            <w:hideMark/>
          </w:tcPr>
          <w:p w14:paraId="2965543C" w14:textId="06A322C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1,854 </w:t>
            </w:r>
          </w:p>
        </w:tc>
        <w:tc>
          <w:tcPr>
            <w:tcW w:w="928" w:type="dxa"/>
            <w:tcBorders>
              <w:top w:val="nil"/>
              <w:left w:val="nil"/>
              <w:bottom w:val="nil"/>
              <w:right w:val="nil"/>
            </w:tcBorders>
            <w:shd w:val="clear" w:color="auto" w:fill="auto"/>
            <w:noWrap/>
            <w:vAlign w:val="bottom"/>
            <w:hideMark/>
          </w:tcPr>
          <w:p w14:paraId="2F5D50D9" w14:textId="32DF6D63"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9F36083" w14:textId="48C370E1"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8CA4698" w14:textId="5DB41396"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4C7D4D" w14:paraId="3BB1CF17" w14:textId="77777777" w:rsidTr="00F96D8A">
        <w:trPr>
          <w:trHeight w:val="204"/>
        </w:trPr>
        <w:tc>
          <w:tcPr>
            <w:tcW w:w="2835" w:type="dxa"/>
            <w:tcBorders>
              <w:top w:val="nil"/>
              <w:left w:val="nil"/>
              <w:bottom w:val="nil"/>
              <w:right w:val="nil"/>
            </w:tcBorders>
            <w:shd w:val="clear" w:color="auto" w:fill="auto"/>
            <w:noWrap/>
            <w:vAlign w:val="bottom"/>
            <w:hideMark/>
          </w:tcPr>
          <w:p w14:paraId="2ED18EA3" w14:textId="77777777" w:rsidR="002E58CB" w:rsidRPr="004C7D4D" w:rsidRDefault="002E58CB" w:rsidP="002E58CB">
            <w:pPr>
              <w:spacing w:after="0" w:line="240" w:lineRule="auto"/>
              <w:jc w:val="left"/>
              <w:rPr>
                <w:rFonts w:ascii="Arial" w:hAnsi="Arial" w:cs="Arial"/>
                <w:b/>
                <w:bCs/>
                <w:sz w:val="16"/>
                <w:szCs w:val="16"/>
              </w:rPr>
            </w:pPr>
            <w:r w:rsidRPr="004C7D4D">
              <w:rPr>
                <w:rFonts w:ascii="Arial" w:hAnsi="Arial" w:cs="Arial"/>
                <w:b/>
                <w:bCs/>
                <w:sz w:val="16"/>
                <w:szCs w:val="16"/>
              </w:rPr>
              <w:t>Total expenses for Program 3.3</w:t>
            </w:r>
          </w:p>
        </w:tc>
        <w:tc>
          <w:tcPr>
            <w:tcW w:w="992" w:type="dxa"/>
            <w:tcBorders>
              <w:top w:val="single" w:sz="4" w:space="0" w:color="auto"/>
              <w:left w:val="nil"/>
              <w:bottom w:val="single" w:sz="4" w:space="0" w:color="auto"/>
              <w:right w:val="nil"/>
            </w:tcBorders>
            <w:shd w:val="clear" w:color="auto" w:fill="auto"/>
            <w:noWrap/>
            <w:vAlign w:val="bottom"/>
            <w:hideMark/>
          </w:tcPr>
          <w:p w14:paraId="3859DC62" w14:textId="68100F32"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979 </w:t>
            </w:r>
          </w:p>
        </w:tc>
        <w:tc>
          <w:tcPr>
            <w:tcW w:w="928" w:type="dxa"/>
            <w:tcBorders>
              <w:top w:val="single" w:sz="4" w:space="0" w:color="auto"/>
              <w:left w:val="nil"/>
              <w:bottom w:val="single" w:sz="4" w:space="0" w:color="auto"/>
              <w:right w:val="nil"/>
            </w:tcBorders>
            <w:shd w:val="clear" w:color="000000" w:fill="E6E6E6"/>
            <w:noWrap/>
            <w:vAlign w:val="bottom"/>
            <w:hideMark/>
          </w:tcPr>
          <w:p w14:paraId="6A686BEC" w14:textId="378E92C5"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4,487 </w:t>
            </w:r>
          </w:p>
        </w:tc>
        <w:tc>
          <w:tcPr>
            <w:tcW w:w="928" w:type="dxa"/>
            <w:tcBorders>
              <w:top w:val="single" w:sz="4" w:space="0" w:color="auto"/>
              <w:left w:val="nil"/>
              <w:bottom w:val="single" w:sz="4" w:space="0" w:color="auto"/>
              <w:right w:val="nil"/>
            </w:tcBorders>
            <w:shd w:val="clear" w:color="auto" w:fill="auto"/>
            <w:noWrap/>
            <w:vAlign w:val="bottom"/>
            <w:hideMark/>
          </w:tcPr>
          <w:p w14:paraId="43013226" w14:textId="0F225150"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77" w:type="dxa"/>
            <w:tcBorders>
              <w:top w:val="single" w:sz="4" w:space="0" w:color="auto"/>
              <w:left w:val="nil"/>
              <w:bottom w:val="single" w:sz="4" w:space="0" w:color="auto"/>
              <w:right w:val="nil"/>
            </w:tcBorders>
            <w:shd w:val="clear" w:color="auto" w:fill="auto"/>
            <w:noWrap/>
            <w:vAlign w:val="bottom"/>
            <w:hideMark/>
          </w:tcPr>
          <w:p w14:paraId="1FEDA77C" w14:textId="477320B7"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77" w:type="dxa"/>
            <w:tcBorders>
              <w:top w:val="single" w:sz="4" w:space="0" w:color="auto"/>
              <w:left w:val="nil"/>
              <w:bottom w:val="single" w:sz="4" w:space="0" w:color="auto"/>
              <w:right w:val="nil"/>
            </w:tcBorders>
            <w:shd w:val="clear" w:color="auto" w:fill="auto"/>
            <w:noWrap/>
            <w:vAlign w:val="bottom"/>
            <w:hideMark/>
          </w:tcPr>
          <w:p w14:paraId="7B3F050D" w14:textId="6956BE27"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B91F3E" w:rsidRPr="004C7D4D" w14:paraId="6FDBFCA9" w14:textId="77777777" w:rsidTr="00F96D8A">
        <w:trPr>
          <w:trHeight w:val="204"/>
        </w:trPr>
        <w:tc>
          <w:tcPr>
            <w:tcW w:w="7637" w:type="dxa"/>
            <w:gridSpan w:val="6"/>
            <w:tcBorders>
              <w:top w:val="single" w:sz="4" w:space="0" w:color="auto"/>
              <w:left w:val="nil"/>
              <w:bottom w:val="single" w:sz="4" w:space="0" w:color="auto"/>
              <w:right w:val="nil"/>
            </w:tcBorders>
            <w:shd w:val="clear" w:color="000000" w:fill="E6E6E6"/>
            <w:noWrap/>
            <w:vAlign w:val="bottom"/>
            <w:hideMark/>
          </w:tcPr>
          <w:p w14:paraId="2F627980" w14:textId="77777777" w:rsidR="00B91F3E" w:rsidRPr="00827DF5" w:rsidRDefault="00B91F3E" w:rsidP="00F96D8A">
            <w:pPr>
              <w:spacing w:after="0" w:line="240" w:lineRule="auto"/>
              <w:jc w:val="left"/>
              <w:rPr>
                <w:rFonts w:ascii="Arial" w:hAnsi="Arial" w:cs="Arial"/>
                <w:b/>
                <w:bCs/>
                <w:sz w:val="16"/>
                <w:szCs w:val="16"/>
              </w:rPr>
            </w:pPr>
            <w:r w:rsidRPr="004C7D4D">
              <w:rPr>
                <w:rFonts w:ascii="Arial" w:hAnsi="Arial" w:cs="Arial"/>
                <w:b/>
                <w:bCs/>
                <w:sz w:val="16"/>
                <w:szCs w:val="16"/>
              </w:rPr>
              <w:t xml:space="preserve">Program 3.4: Growing a Stronger Northern Australian Economy </w:t>
            </w:r>
            <w:r w:rsidRPr="00827DF5">
              <w:rPr>
                <w:rFonts w:ascii="Arial" w:hAnsi="Arial" w:cs="Arial"/>
                <w:b/>
                <w:bCs/>
                <w:sz w:val="16"/>
                <w:szCs w:val="16"/>
                <w:vertAlign w:val="superscript"/>
              </w:rPr>
              <w:t>(b)</w:t>
            </w:r>
          </w:p>
        </w:tc>
      </w:tr>
      <w:tr w:rsidR="00B91F3E" w:rsidRPr="004C7D4D" w14:paraId="2982FD25" w14:textId="77777777" w:rsidTr="00F96D8A">
        <w:trPr>
          <w:trHeight w:val="204"/>
        </w:trPr>
        <w:tc>
          <w:tcPr>
            <w:tcW w:w="2835" w:type="dxa"/>
            <w:tcBorders>
              <w:top w:val="nil"/>
              <w:left w:val="nil"/>
              <w:bottom w:val="nil"/>
              <w:right w:val="nil"/>
            </w:tcBorders>
            <w:shd w:val="clear" w:color="auto" w:fill="auto"/>
            <w:noWrap/>
            <w:vAlign w:val="bottom"/>
            <w:hideMark/>
          </w:tcPr>
          <w:p w14:paraId="6578E570" w14:textId="77777777" w:rsidR="00B91F3E" w:rsidRPr="004C7D4D" w:rsidRDefault="00B91F3E" w:rsidP="00F96D8A">
            <w:pPr>
              <w:spacing w:after="0" w:line="240" w:lineRule="auto"/>
              <w:jc w:val="left"/>
              <w:rPr>
                <w:rFonts w:ascii="Arial" w:hAnsi="Arial" w:cs="Arial"/>
                <w:sz w:val="16"/>
                <w:szCs w:val="16"/>
              </w:rPr>
            </w:pPr>
            <w:r w:rsidRPr="004C7D4D">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6A06F83D"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286E3459" w14:textId="77777777" w:rsidR="00B91F3E" w:rsidRPr="004C7D4D" w:rsidRDefault="00B91F3E" w:rsidP="00F96D8A">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6DAFB4C" w14:textId="77777777" w:rsidR="00B91F3E" w:rsidRPr="004C7D4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9E75898" w14:textId="77777777" w:rsidR="00B91F3E" w:rsidRPr="004C7D4D"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7B3E8BB8" w14:textId="77777777" w:rsidR="00B91F3E" w:rsidRPr="004C7D4D" w:rsidRDefault="00B91F3E" w:rsidP="00F96D8A">
            <w:pPr>
              <w:spacing w:after="0" w:line="240" w:lineRule="auto"/>
              <w:jc w:val="right"/>
              <w:rPr>
                <w:rFonts w:ascii="Times New Roman" w:hAnsi="Times New Roman"/>
                <w:sz w:val="16"/>
                <w:szCs w:val="16"/>
              </w:rPr>
            </w:pPr>
          </w:p>
        </w:tc>
      </w:tr>
      <w:tr w:rsidR="002E58CB" w:rsidRPr="004C7D4D" w14:paraId="582FC6CA" w14:textId="77777777" w:rsidTr="00F96D8A">
        <w:trPr>
          <w:trHeight w:val="204"/>
        </w:trPr>
        <w:tc>
          <w:tcPr>
            <w:tcW w:w="2835" w:type="dxa"/>
            <w:tcBorders>
              <w:top w:val="nil"/>
              <w:left w:val="nil"/>
              <w:bottom w:val="nil"/>
              <w:right w:val="nil"/>
            </w:tcBorders>
            <w:shd w:val="clear" w:color="auto" w:fill="auto"/>
            <w:vAlign w:val="bottom"/>
            <w:hideMark/>
          </w:tcPr>
          <w:p w14:paraId="21362C1E"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Ordinary Annual Services (Appropriation Act No. 1 and Bill No. 3)</w:t>
            </w:r>
          </w:p>
        </w:tc>
        <w:tc>
          <w:tcPr>
            <w:tcW w:w="992" w:type="dxa"/>
            <w:tcBorders>
              <w:top w:val="nil"/>
              <w:left w:val="nil"/>
              <w:bottom w:val="nil"/>
              <w:right w:val="nil"/>
            </w:tcBorders>
            <w:shd w:val="clear" w:color="auto" w:fill="auto"/>
            <w:noWrap/>
            <w:vAlign w:val="bottom"/>
            <w:hideMark/>
          </w:tcPr>
          <w:p w14:paraId="36472CCD" w14:textId="00688816"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30,777 </w:t>
            </w:r>
          </w:p>
        </w:tc>
        <w:tc>
          <w:tcPr>
            <w:tcW w:w="928" w:type="dxa"/>
            <w:tcBorders>
              <w:top w:val="nil"/>
              <w:left w:val="nil"/>
              <w:bottom w:val="nil"/>
              <w:right w:val="nil"/>
            </w:tcBorders>
            <w:shd w:val="clear" w:color="000000" w:fill="E6E6E6"/>
            <w:noWrap/>
            <w:vAlign w:val="bottom"/>
            <w:hideMark/>
          </w:tcPr>
          <w:p w14:paraId="638E8D43" w14:textId="45FE3B5F"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30,777 </w:t>
            </w:r>
          </w:p>
        </w:tc>
        <w:tc>
          <w:tcPr>
            <w:tcW w:w="928" w:type="dxa"/>
            <w:tcBorders>
              <w:top w:val="nil"/>
              <w:left w:val="nil"/>
              <w:bottom w:val="nil"/>
              <w:right w:val="nil"/>
            </w:tcBorders>
            <w:shd w:val="clear" w:color="auto" w:fill="auto"/>
            <w:noWrap/>
            <w:vAlign w:val="bottom"/>
            <w:hideMark/>
          </w:tcPr>
          <w:p w14:paraId="6ECE268B" w14:textId="240A6340"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75A98F37" w14:textId="16B2C047"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4,110 </w:t>
            </w:r>
          </w:p>
        </w:tc>
        <w:tc>
          <w:tcPr>
            <w:tcW w:w="977" w:type="dxa"/>
            <w:tcBorders>
              <w:top w:val="nil"/>
              <w:left w:val="nil"/>
              <w:bottom w:val="nil"/>
              <w:right w:val="nil"/>
            </w:tcBorders>
            <w:shd w:val="clear" w:color="auto" w:fill="auto"/>
            <w:noWrap/>
            <w:vAlign w:val="bottom"/>
            <w:hideMark/>
          </w:tcPr>
          <w:p w14:paraId="04E82067" w14:textId="75CDAA21"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4,110 </w:t>
            </w:r>
          </w:p>
        </w:tc>
      </w:tr>
      <w:tr w:rsidR="002E58CB" w:rsidRPr="004C7D4D" w14:paraId="31B4B4EF" w14:textId="77777777" w:rsidTr="00F96D8A">
        <w:trPr>
          <w:trHeight w:val="204"/>
        </w:trPr>
        <w:tc>
          <w:tcPr>
            <w:tcW w:w="2835" w:type="dxa"/>
            <w:tcBorders>
              <w:top w:val="nil"/>
              <w:left w:val="nil"/>
              <w:bottom w:val="nil"/>
              <w:right w:val="nil"/>
            </w:tcBorders>
            <w:shd w:val="clear" w:color="auto" w:fill="auto"/>
            <w:vAlign w:val="bottom"/>
            <w:hideMark/>
          </w:tcPr>
          <w:p w14:paraId="3BEA1624"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 xml:space="preserve">Payments to corporate entities </w:t>
            </w:r>
            <w:r w:rsidRPr="00583D06">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1E6025FE" w14:textId="43E3A02C"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14,227 </w:t>
            </w:r>
          </w:p>
        </w:tc>
        <w:tc>
          <w:tcPr>
            <w:tcW w:w="928" w:type="dxa"/>
            <w:tcBorders>
              <w:top w:val="nil"/>
              <w:left w:val="nil"/>
              <w:bottom w:val="nil"/>
              <w:right w:val="nil"/>
            </w:tcBorders>
            <w:shd w:val="clear" w:color="000000" w:fill="E6E6E6"/>
            <w:noWrap/>
            <w:vAlign w:val="bottom"/>
            <w:hideMark/>
          </w:tcPr>
          <w:p w14:paraId="699E3C9D" w14:textId="0CCA3520"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20,939 </w:t>
            </w:r>
          </w:p>
        </w:tc>
        <w:tc>
          <w:tcPr>
            <w:tcW w:w="928" w:type="dxa"/>
            <w:tcBorders>
              <w:top w:val="nil"/>
              <w:left w:val="nil"/>
              <w:bottom w:val="nil"/>
              <w:right w:val="nil"/>
            </w:tcBorders>
            <w:shd w:val="clear" w:color="auto" w:fill="auto"/>
            <w:noWrap/>
            <w:vAlign w:val="bottom"/>
            <w:hideMark/>
          </w:tcPr>
          <w:p w14:paraId="76884DD7" w14:textId="66C04769"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21,090 </w:t>
            </w:r>
          </w:p>
        </w:tc>
        <w:tc>
          <w:tcPr>
            <w:tcW w:w="977" w:type="dxa"/>
            <w:tcBorders>
              <w:top w:val="nil"/>
              <w:left w:val="nil"/>
              <w:bottom w:val="nil"/>
              <w:right w:val="nil"/>
            </w:tcBorders>
            <w:shd w:val="clear" w:color="auto" w:fill="auto"/>
            <w:noWrap/>
            <w:vAlign w:val="bottom"/>
            <w:hideMark/>
          </w:tcPr>
          <w:p w14:paraId="661F2624" w14:textId="5017D28F"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21,254 </w:t>
            </w:r>
          </w:p>
        </w:tc>
        <w:tc>
          <w:tcPr>
            <w:tcW w:w="977" w:type="dxa"/>
            <w:tcBorders>
              <w:top w:val="nil"/>
              <w:left w:val="nil"/>
              <w:bottom w:val="nil"/>
              <w:right w:val="nil"/>
            </w:tcBorders>
            <w:shd w:val="clear" w:color="auto" w:fill="auto"/>
            <w:noWrap/>
            <w:vAlign w:val="bottom"/>
            <w:hideMark/>
          </w:tcPr>
          <w:p w14:paraId="540728CA" w14:textId="3511B69B"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21,615 </w:t>
            </w:r>
          </w:p>
        </w:tc>
      </w:tr>
      <w:tr w:rsidR="002E58CB" w:rsidRPr="004C7D4D" w14:paraId="16632908" w14:textId="77777777" w:rsidTr="00F96D8A">
        <w:trPr>
          <w:trHeight w:val="204"/>
        </w:trPr>
        <w:tc>
          <w:tcPr>
            <w:tcW w:w="2835" w:type="dxa"/>
            <w:tcBorders>
              <w:top w:val="nil"/>
              <w:left w:val="nil"/>
              <w:right w:val="nil"/>
            </w:tcBorders>
            <w:shd w:val="clear" w:color="auto" w:fill="auto"/>
            <w:vAlign w:val="bottom"/>
            <w:hideMark/>
          </w:tcPr>
          <w:p w14:paraId="7C8E0FB5" w14:textId="77777777" w:rsidR="002E58CB" w:rsidRPr="004C7D4D" w:rsidRDefault="002E58CB" w:rsidP="002E58CB">
            <w:pPr>
              <w:spacing w:after="0" w:line="240" w:lineRule="auto"/>
              <w:ind w:left="113"/>
              <w:jc w:val="left"/>
              <w:rPr>
                <w:rFonts w:ascii="Arial" w:hAnsi="Arial" w:cs="Arial"/>
                <w:sz w:val="16"/>
                <w:szCs w:val="16"/>
              </w:rPr>
            </w:pPr>
            <w:r w:rsidRPr="004C7D4D">
              <w:rPr>
                <w:rFonts w:ascii="Arial" w:hAnsi="Arial" w:cs="Arial"/>
                <w:sz w:val="16"/>
                <w:szCs w:val="16"/>
              </w:rPr>
              <w:t xml:space="preserve">Expenses not requiring appropriation in the Budget year </w:t>
            </w:r>
            <w:r w:rsidRPr="00583D06">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70FD9F9E" w14:textId="595D79A2"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362,208 </w:t>
            </w:r>
          </w:p>
        </w:tc>
        <w:tc>
          <w:tcPr>
            <w:tcW w:w="928" w:type="dxa"/>
            <w:tcBorders>
              <w:top w:val="nil"/>
              <w:left w:val="nil"/>
              <w:bottom w:val="nil"/>
              <w:right w:val="nil"/>
            </w:tcBorders>
            <w:shd w:val="clear" w:color="000000" w:fill="E6E6E6"/>
            <w:noWrap/>
            <w:vAlign w:val="bottom"/>
            <w:hideMark/>
          </w:tcPr>
          <w:p w14:paraId="4CE15CD2" w14:textId="6E9B7348"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523,294 </w:t>
            </w:r>
          </w:p>
        </w:tc>
        <w:tc>
          <w:tcPr>
            <w:tcW w:w="928" w:type="dxa"/>
            <w:tcBorders>
              <w:top w:val="nil"/>
              <w:left w:val="nil"/>
              <w:bottom w:val="nil"/>
              <w:right w:val="nil"/>
            </w:tcBorders>
            <w:shd w:val="clear" w:color="auto" w:fill="auto"/>
            <w:noWrap/>
            <w:vAlign w:val="bottom"/>
            <w:hideMark/>
          </w:tcPr>
          <w:p w14:paraId="7CB2B7D5" w14:textId="5F7678CB"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467,209 </w:t>
            </w:r>
          </w:p>
        </w:tc>
        <w:tc>
          <w:tcPr>
            <w:tcW w:w="977" w:type="dxa"/>
            <w:tcBorders>
              <w:top w:val="nil"/>
              <w:left w:val="nil"/>
              <w:bottom w:val="nil"/>
              <w:right w:val="nil"/>
            </w:tcBorders>
            <w:shd w:val="clear" w:color="auto" w:fill="auto"/>
            <w:noWrap/>
            <w:vAlign w:val="bottom"/>
            <w:hideMark/>
          </w:tcPr>
          <w:p w14:paraId="6F435485" w14:textId="5BEE900C"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348,648 </w:t>
            </w:r>
          </w:p>
        </w:tc>
        <w:tc>
          <w:tcPr>
            <w:tcW w:w="977" w:type="dxa"/>
            <w:tcBorders>
              <w:top w:val="nil"/>
              <w:left w:val="nil"/>
              <w:bottom w:val="nil"/>
              <w:right w:val="nil"/>
            </w:tcBorders>
            <w:shd w:val="clear" w:color="auto" w:fill="auto"/>
            <w:noWrap/>
            <w:vAlign w:val="bottom"/>
            <w:hideMark/>
          </w:tcPr>
          <w:p w14:paraId="050E731F" w14:textId="5B92A9B9" w:rsidR="002E58CB" w:rsidRPr="004C7D4D" w:rsidRDefault="002E58CB" w:rsidP="002E58CB">
            <w:pPr>
              <w:spacing w:after="0" w:line="240" w:lineRule="auto"/>
              <w:jc w:val="right"/>
              <w:rPr>
                <w:rFonts w:ascii="Arial" w:hAnsi="Arial" w:cs="Arial"/>
                <w:sz w:val="16"/>
                <w:szCs w:val="16"/>
              </w:rPr>
            </w:pPr>
            <w:r>
              <w:rPr>
                <w:rFonts w:ascii="Arial" w:hAnsi="Arial" w:cs="Arial"/>
                <w:sz w:val="16"/>
                <w:szCs w:val="16"/>
              </w:rPr>
              <w:t xml:space="preserve">301,803 </w:t>
            </w:r>
          </w:p>
        </w:tc>
      </w:tr>
      <w:tr w:rsidR="002E58CB" w:rsidRPr="004C7D4D" w14:paraId="4C95B4E5"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7529D74B" w14:textId="77777777" w:rsidR="002E58CB" w:rsidRPr="004C7D4D" w:rsidRDefault="002E58CB" w:rsidP="002E58CB">
            <w:pPr>
              <w:spacing w:after="0" w:line="240" w:lineRule="auto"/>
              <w:jc w:val="left"/>
              <w:rPr>
                <w:rFonts w:ascii="Arial" w:hAnsi="Arial" w:cs="Arial"/>
                <w:b/>
                <w:bCs/>
                <w:sz w:val="16"/>
                <w:szCs w:val="16"/>
              </w:rPr>
            </w:pPr>
            <w:r w:rsidRPr="004C7D4D">
              <w:rPr>
                <w:rFonts w:ascii="Arial" w:hAnsi="Arial" w:cs="Arial"/>
                <w:b/>
                <w:bCs/>
                <w:sz w:val="16"/>
                <w:szCs w:val="16"/>
              </w:rPr>
              <w:t>Total expenses for Program 3.4</w:t>
            </w:r>
          </w:p>
        </w:tc>
        <w:tc>
          <w:tcPr>
            <w:tcW w:w="992" w:type="dxa"/>
            <w:tcBorders>
              <w:top w:val="single" w:sz="4" w:space="0" w:color="auto"/>
              <w:left w:val="nil"/>
              <w:bottom w:val="single" w:sz="4" w:space="0" w:color="auto"/>
              <w:right w:val="nil"/>
            </w:tcBorders>
            <w:shd w:val="clear" w:color="auto" w:fill="auto"/>
            <w:noWrap/>
            <w:vAlign w:val="bottom"/>
            <w:hideMark/>
          </w:tcPr>
          <w:p w14:paraId="61354BB5" w14:textId="44304305"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407,212 </w:t>
            </w:r>
          </w:p>
        </w:tc>
        <w:tc>
          <w:tcPr>
            <w:tcW w:w="928" w:type="dxa"/>
            <w:tcBorders>
              <w:top w:val="single" w:sz="4" w:space="0" w:color="auto"/>
              <w:left w:val="nil"/>
              <w:bottom w:val="single" w:sz="4" w:space="0" w:color="auto"/>
              <w:right w:val="nil"/>
            </w:tcBorders>
            <w:shd w:val="clear" w:color="000000" w:fill="E6E6E6"/>
            <w:noWrap/>
            <w:vAlign w:val="bottom"/>
            <w:hideMark/>
          </w:tcPr>
          <w:p w14:paraId="54A65B82" w14:textId="1D4A81A5"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575,010 </w:t>
            </w:r>
          </w:p>
        </w:tc>
        <w:tc>
          <w:tcPr>
            <w:tcW w:w="928" w:type="dxa"/>
            <w:tcBorders>
              <w:top w:val="single" w:sz="4" w:space="0" w:color="auto"/>
              <w:left w:val="nil"/>
              <w:bottom w:val="single" w:sz="4" w:space="0" w:color="auto"/>
              <w:right w:val="nil"/>
            </w:tcBorders>
            <w:shd w:val="clear" w:color="auto" w:fill="auto"/>
            <w:noWrap/>
            <w:vAlign w:val="bottom"/>
            <w:hideMark/>
          </w:tcPr>
          <w:p w14:paraId="0D1174A1" w14:textId="466BD35C"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519,076 </w:t>
            </w:r>
          </w:p>
        </w:tc>
        <w:tc>
          <w:tcPr>
            <w:tcW w:w="977" w:type="dxa"/>
            <w:tcBorders>
              <w:top w:val="single" w:sz="4" w:space="0" w:color="auto"/>
              <w:left w:val="nil"/>
              <w:bottom w:val="single" w:sz="4" w:space="0" w:color="auto"/>
              <w:right w:val="nil"/>
            </w:tcBorders>
            <w:shd w:val="clear" w:color="auto" w:fill="auto"/>
            <w:noWrap/>
            <w:vAlign w:val="bottom"/>
            <w:hideMark/>
          </w:tcPr>
          <w:p w14:paraId="71B3F544" w14:textId="3C798616"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374,012 </w:t>
            </w:r>
          </w:p>
        </w:tc>
        <w:tc>
          <w:tcPr>
            <w:tcW w:w="977" w:type="dxa"/>
            <w:tcBorders>
              <w:top w:val="single" w:sz="4" w:space="0" w:color="auto"/>
              <w:left w:val="nil"/>
              <w:bottom w:val="single" w:sz="4" w:space="0" w:color="auto"/>
              <w:right w:val="nil"/>
            </w:tcBorders>
            <w:shd w:val="clear" w:color="auto" w:fill="auto"/>
            <w:noWrap/>
            <w:vAlign w:val="bottom"/>
            <w:hideMark/>
          </w:tcPr>
          <w:p w14:paraId="1FD5150F" w14:textId="0389FC6D" w:rsidR="002E58CB" w:rsidRPr="004C7D4D"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327,528 </w:t>
            </w:r>
          </w:p>
        </w:tc>
      </w:tr>
      <w:tr w:rsidR="00B91F3E" w:rsidRPr="00B6111F" w14:paraId="706A4E59" w14:textId="77777777" w:rsidTr="00F96D8A">
        <w:trPr>
          <w:trHeight w:val="204"/>
        </w:trPr>
        <w:tc>
          <w:tcPr>
            <w:tcW w:w="3827" w:type="dxa"/>
            <w:gridSpan w:val="2"/>
            <w:tcBorders>
              <w:top w:val="nil"/>
              <w:left w:val="nil"/>
              <w:bottom w:val="single" w:sz="4" w:space="0" w:color="auto"/>
              <w:right w:val="nil"/>
            </w:tcBorders>
            <w:shd w:val="clear" w:color="auto" w:fill="E6E6E6"/>
            <w:noWrap/>
            <w:vAlign w:val="bottom"/>
            <w:hideMark/>
          </w:tcPr>
          <w:p w14:paraId="264983DE" w14:textId="77777777" w:rsidR="00B91F3E" w:rsidRPr="00B6111F" w:rsidRDefault="00B91F3E" w:rsidP="00F96D8A">
            <w:pPr>
              <w:spacing w:after="0" w:line="240" w:lineRule="auto"/>
              <w:jc w:val="left"/>
              <w:rPr>
                <w:rFonts w:ascii="Arial" w:hAnsi="Arial" w:cs="Arial"/>
                <w:b/>
                <w:bCs/>
                <w:sz w:val="16"/>
                <w:szCs w:val="16"/>
              </w:rPr>
            </w:pPr>
            <w:r w:rsidRPr="00B6111F">
              <w:rPr>
                <w:rFonts w:ascii="Arial" w:hAnsi="Arial" w:cs="Arial"/>
                <w:b/>
                <w:bCs/>
                <w:sz w:val="16"/>
                <w:szCs w:val="16"/>
              </w:rPr>
              <w:t>Program 3.5 Program Support for Outcome 3 </w:t>
            </w:r>
          </w:p>
        </w:tc>
        <w:tc>
          <w:tcPr>
            <w:tcW w:w="928" w:type="dxa"/>
            <w:tcBorders>
              <w:top w:val="single" w:sz="4" w:space="0" w:color="auto"/>
              <w:left w:val="nil"/>
              <w:bottom w:val="single" w:sz="4" w:space="0" w:color="auto"/>
              <w:right w:val="nil"/>
            </w:tcBorders>
            <w:shd w:val="clear" w:color="auto" w:fill="E6E6E6"/>
            <w:noWrap/>
            <w:vAlign w:val="bottom"/>
            <w:hideMark/>
          </w:tcPr>
          <w:p w14:paraId="6D54AAD8" w14:textId="77777777" w:rsidR="00B91F3E" w:rsidRPr="00B6111F" w:rsidRDefault="00B91F3E" w:rsidP="00F96D8A">
            <w:pPr>
              <w:spacing w:after="0" w:line="240" w:lineRule="auto"/>
              <w:jc w:val="right"/>
              <w:rPr>
                <w:rFonts w:ascii="Arial" w:hAnsi="Arial" w:cs="Arial"/>
                <w:b/>
                <w:bCs/>
                <w:sz w:val="16"/>
                <w:szCs w:val="16"/>
              </w:rPr>
            </w:pPr>
            <w:r w:rsidRPr="00B6111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E6E6E6"/>
            <w:noWrap/>
            <w:vAlign w:val="bottom"/>
            <w:hideMark/>
          </w:tcPr>
          <w:p w14:paraId="642B2072" w14:textId="77777777" w:rsidR="00B91F3E" w:rsidRPr="00B6111F" w:rsidRDefault="00B91F3E" w:rsidP="00F96D8A">
            <w:pPr>
              <w:spacing w:after="0" w:line="240" w:lineRule="auto"/>
              <w:jc w:val="right"/>
              <w:rPr>
                <w:rFonts w:ascii="Arial" w:hAnsi="Arial" w:cs="Arial"/>
                <w:b/>
                <w:bCs/>
                <w:sz w:val="16"/>
                <w:szCs w:val="16"/>
              </w:rPr>
            </w:pPr>
            <w:r w:rsidRPr="00B6111F">
              <w:rPr>
                <w:rFonts w:ascii="Arial" w:hAnsi="Arial" w:cs="Arial"/>
                <w:b/>
                <w:bCs/>
                <w:sz w:val="16"/>
                <w:szCs w:val="16"/>
              </w:rPr>
              <w:t> </w:t>
            </w:r>
          </w:p>
        </w:tc>
        <w:tc>
          <w:tcPr>
            <w:tcW w:w="977" w:type="dxa"/>
            <w:tcBorders>
              <w:top w:val="single" w:sz="4" w:space="0" w:color="auto"/>
              <w:left w:val="nil"/>
              <w:bottom w:val="single" w:sz="4" w:space="0" w:color="auto"/>
              <w:right w:val="nil"/>
            </w:tcBorders>
            <w:shd w:val="clear" w:color="auto" w:fill="E6E6E6"/>
            <w:noWrap/>
            <w:vAlign w:val="bottom"/>
            <w:hideMark/>
          </w:tcPr>
          <w:p w14:paraId="6588988B" w14:textId="77777777" w:rsidR="00B91F3E" w:rsidRPr="00B6111F" w:rsidRDefault="00B91F3E" w:rsidP="00F96D8A">
            <w:pPr>
              <w:spacing w:after="0" w:line="240" w:lineRule="auto"/>
              <w:jc w:val="right"/>
              <w:rPr>
                <w:rFonts w:ascii="Arial" w:hAnsi="Arial" w:cs="Arial"/>
                <w:b/>
                <w:bCs/>
                <w:sz w:val="16"/>
                <w:szCs w:val="16"/>
              </w:rPr>
            </w:pPr>
            <w:r w:rsidRPr="00B6111F">
              <w:rPr>
                <w:rFonts w:ascii="Arial" w:hAnsi="Arial" w:cs="Arial"/>
                <w:b/>
                <w:bCs/>
                <w:sz w:val="16"/>
                <w:szCs w:val="16"/>
              </w:rPr>
              <w:t> </w:t>
            </w:r>
          </w:p>
        </w:tc>
        <w:tc>
          <w:tcPr>
            <w:tcW w:w="977" w:type="dxa"/>
            <w:tcBorders>
              <w:top w:val="single" w:sz="4" w:space="0" w:color="auto"/>
              <w:left w:val="nil"/>
              <w:bottom w:val="single" w:sz="4" w:space="0" w:color="auto"/>
              <w:right w:val="nil"/>
            </w:tcBorders>
            <w:shd w:val="clear" w:color="auto" w:fill="E6E6E6"/>
            <w:noWrap/>
            <w:vAlign w:val="bottom"/>
            <w:hideMark/>
          </w:tcPr>
          <w:p w14:paraId="4450F240" w14:textId="77777777" w:rsidR="00B91F3E" w:rsidRPr="00B6111F" w:rsidRDefault="00B91F3E" w:rsidP="00F96D8A">
            <w:pPr>
              <w:spacing w:after="0" w:line="240" w:lineRule="auto"/>
              <w:jc w:val="right"/>
              <w:rPr>
                <w:rFonts w:ascii="Arial" w:hAnsi="Arial" w:cs="Arial"/>
                <w:b/>
                <w:bCs/>
                <w:sz w:val="16"/>
                <w:szCs w:val="16"/>
              </w:rPr>
            </w:pPr>
            <w:r w:rsidRPr="00B6111F">
              <w:rPr>
                <w:rFonts w:ascii="Arial" w:hAnsi="Arial" w:cs="Arial"/>
                <w:b/>
                <w:bCs/>
                <w:sz w:val="16"/>
                <w:szCs w:val="16"/>
              </w:rPr>
              <w:t> </w:t>
            </w:r>
          </w:p>
        </w:tc>
      </w:tr>
      <w:tr w:rsidR="00B91F3E" w:rsidRPr="00B6111F" w14:paraId="46DCEA5D" w14:textId="77777777" w:rsidTr="00F96D8A">
        <w:trPr>
          <w:trHeight w:val="204"/>
        </w:trPr>
        <w:tc>
          <w:tcPr>
            <w:tcW w:w="2835" w:type="dxa"/>
            <w:tcBorders>
              <w:top w:val="nil"/>
              <w:left w:val="nil"/>
              <w:right w:val="nil"/>
            </w:tcBorders>
            <w:shd w:val="clear" w:color="auto" w:fill="auto"/>
            <w:noWrap/>
            <w:vAlign w:val="bottom"/>
            <w:hideMark/>
          </w:tcPr>
          <w:p w14:paraId="394CA903" w14:textId="43558C90" w:rsidR="00B91F3E" w:rsidRPr="00B6111F" w:rsidRDefault="003C4CC6" w:rsidP="00F96D8A">
            <w:pPr>
              <w:spacing w:after="0" w:line="240" w:lineRule="auto"/>
              <w:jc w:val="left"/>
              <w:rPr>
                <w:rFonts w:ascii="Arial" w:hAnsi="Arial" w:cs="Arial"/>
                <w:sz w:val="16"/>
                <w:szCs w:val="16"/>
              </w:rPr>
            </w:pPr>
            <w:r>
              <w:rPr>
                <w:rFonts w:ascii="Arial" w:hAnsi="Arial" w:cs="Arial"/>
                <w:sz w:val="16"/>
                <w:szCs w:val="16"/>
              </w:rPr>
              <w:t>Department</w:t>
            </w:r>
            <w:r w:rsidR="00B91F3E" w:rsidRPr="00B6111F">
              <w:rPr>
                <w:rFonts w:ascii="Arial" w:hAnsi="Arial" w:cs="Arial"/>
                <w:sz w:val="16"/>
                <w:szCs w:val="16"/>
              </w:rPr>
              <w:t>al expenses</w:t>
            </w:r>
          </w:p>
        </w:tc>
        <w:tc>
          <w:tcPr>
            <w:tcW w:w="992" w:type="dxa"/>
            <w:tcBorders>
              <w:top w:val="single" w:sz="4" w:space="0" w:color="auto"/>
              <w:left w:val="nil"/>
              <w:right w:val="nil"/>
            </w:tcBorders>
            <w:shd w:val="clear" w:color="auto" w:fill="auto"/>
            <w:noWrap/>
            <w:vAlign w:val="bottom"/>
            <w:hideMark/>
          </w:tcPr>
          <w:p w14:paraId="4CFCBB85" w14:textId="77777777" w:rsidR="00B91F3E" w:rsidRPr="00B6111F" w:rsidRDefault="00B91F3E" w:rsidP="00872667">
            <w:pPr>
              <w:spacing w:after="0" w:line="240" w:lineRule="auto"/>
              <w:jc w:val="right"/>
              <w:rPr>
                <w:rFonts w:ascii="Arial" w:hAnsi="Arial" w:cs="Arial"/>
                <w:sz w:val="16"/>
                <w:szCs w:val="16"/>
              </w:rPr>
            </w:pPr>
          </w:p>
        </w:tc>
        <w:tc>
          <w:tcPr>
            <w:tcW w:w="928" w:type="dxa"/>
            <w:tcBorders>
              <w:top w:val="single" w:sz="4" w:space="0" w:color="auto"/>
              <w:left w:val="nil"/>
              <w:right w:val="nil"/>
            </w:tcBorders>
            <w:shd w:val="clear" w:color="000000" w:fill="E6E6E6"/>
            <w:noWrap/>
            <w:vAlign w:val="bottom"/>
            <w:hideMark/>
          </w:tcPr>
          <w:p w14:paraId="16B2B895" w14:textId="77777777" w:rsidR="00B91F3E" w:rsidRPr="00B6111F" w:rsidRDefault="00B91F3E" w:rsidP="00872667">
            <w:pPr>
              <w:spacing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noWrap/>
            <w:vAlign w:val="bottom"/>
            <w:hideMark/>
          </w:tcPr>
          <w:p w14:paraId="615FE8BF" w14:textId="77777777" w:rsidR="00B91F3E" w:rsidRPr="00B6111F" w:rsidRDefault="00B91F3E" w:rsidP="00872667">
            <w:pPr>
              <w:spacing w:after="0" w:line="240" w:lineRule="auto"/>
              <w:jc w:val="right"/>
              <w:rPr>
                <w:rFonts w:ascii="Arial" w:hAnsi="Arial" w:cs="Arial"/>
                <w:sz w:val="16"/>
                <w:szCs w:val="16"/>
              </w:rPr>
            </w:pPr>
          </w:p>
        </w:tc>
        <w:tc>
          <w:tcPr>
            <w:tcW w:w="977" w:type="dxa"/>
            <w:tcBorders>
              <w:top w:val="single" w:sz="4" w:space="0" w:color="auto"/>
              <w:left w:val="nil"/>
              <w:right w:val="nil"/>
            </w:tcBorders>
            <w:shd w:val="clear" w:color="auto" w:fill="auto"/>
            <w:noWrap/>
            <w:vAlign w:val="bottom"/>
            <w:hideMark/>
          </w:tcPr>
          <w:p w14:paraId="3770BF34" w14:textId="77777777" w:rsidR="00B91F3E" w:rsidRPr="00B6111F" w:rsidRDefault="00B91F3E" w:rsidP="00872667">
            <w:pPr>
              <w:spacing w:after="0" w:line="240" w:lineRule="auto"/>
              <w:jc w:val="right"/>
              <w:rPr>
                <w:rFonts w:ascii="Arial" w:hAnsi="Arial" w:cs="Arial"/>
                <w:sz w:val="16"/>
                <w:szCs w:val="16"/>
              </w:rPr>
            </w:pPr>
          </w:p>
        </w:tc>
        <w:tc>
          <w:tcPr>
            <w:tcW w:w="977" w:type="dxa"/>
            <w:tcBorders>
              <w:top w:val="single" w:sz="4" w:space="0" w:color="auto"/>
              <w:left w:val="nil"/>
              <w:right w:val="nil"/>
            </w:tcBorders>
            <w:shd w:val="clear" w:color="auto" w:fill="auto"/>
            <w:noWrap/>
            <w:vAlign w:val="bottom"/>
            <w:hideMark/>
          </w:tcPr>
          <w:p w14:paraId="7B64033B" w14:textId="77777777" w:rsidR="00B91F3E" w:rsidRPr="00B6111F" w:rsidRDefault="00B91F3E" w:rsidP="00872667">
            <w:pPr>
              <w:spacing w:after="0" w:line="240" w:lineRule="auto"/>
              <w:jc w:val="right"/>
              <w:rPr>
                <w:rFonts w:ascii="Arial" w:hAnsi="Arial" w:cs="Arial"/>
                <w:sz w:val="16"/>
                <w:szCs w:val="16"/>
              </w:rPr>
            </w:pPr>
          </w:p>
        </w:tc>
      </w:tr>
      <w:tr w:rsidR="002E58CB" w:rsidRPr="00B6111F" w14:paraId="03E00D79" w14:textId="77777777" w:rsidTr="00F96D8A">
        <w:trPr>
          <w:trHeight w:val="204"/>
        </w:trPr>
        <w:tc>
          <w:tcPr>
            <w:tcW w:w="2835" w:type="dxa"/>
            <w:tcBorders>
              <w:left w:val="nil"/>
              <w:right w:val="nil"/>
            </w:tcBorders>
            <w:shd w:val="clear" w:color="auto" w:fill="auto"/>
            <w:noWrap/>
            <w:vAlign w:val="bottom"/>
            <w:hideMark/>
          </w:tcPr>
          <w:p w14:paraId="2417DC69" w14:textId="0D360E6E" w:rsidR="002E58CB" w:rsidRPr="00B6111F" w:rsidRDefault="002E58CB" w:rsidP="002E58CB">
            <w:pPr>
              <w:spacing w:after="0" w:line="240" w:lineRule="auto"/>
              <w:ind w:left="113"/>
              <w:jc w:val="left"/>
              <w:rPr>
                <w:rFonts w:ascii="Arial" w:hAnsi="Arial" w:cs="Arial"/>
                <w:sz w:val="16"/>
                <w:szCs w:val="16"/>
              </w:rPr>
            </w:pPr>
            <w:r>
              <w:rPr>
                <w:rFonts w:ascii="Arial" w:hAnsi="Arial" w:cs="Arial"/>
                <w:sz w:val="16"/>
                <w:szCs w:val="16"/>
              </w:rPr>
              <w:t>Department</w:t>
            </w:r>
            <w:r w:rsidRPr="00B6111F">
              <w:rPr>
                <w:rFonts w:ascii="Arial" w:hAnsi="Arial" w:cs="Arial"/>
                <w:sz w:val="16"/>
                <w:szCs w:val="16"/>
              </w:rPr>
              <w:t>al appropriation</w:t>
            </w:r>
          </w:p>
        </w:tc>
        <w:tc>
          <w:tcPr>
            <w:tcW w:w="992" w:type="dxa"/>
            <w:tcBorders>
              <w:left w:val="nil"/>
              <w:right w:val="nil"/>
            </w:tcBorders>
            <w:shd w:val="clear" w:color="auto" w:fill="auto"/>
            <w:noWrap/>
            <w:vAlign w:val="bottom"/>
            <w:hideMark/>
          </w:tcPr>
          <w:p w14:paraId="426F6DD4" w14:textId="66F14555"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66,342 </w:t>
            </w:r>
          </w:p>
        </w:tc>
        <w:tc>
          <w:tcPr>
            <w:tcW w:w="928" w:type="dxa"/>
            <w:tcBorders>
              <w:left w:val="nil"/>
              <w:right w:val="nil"/>
            </w:tcBorders>
            <w:shd w:val="clear" w:color="000000" w:fill="E6E6E6"/>
            <w:noWrap/>
            <w:vAlign w:val="bottom"/>
            <w:hideMark/>
          </w:tcPr>
          <w:p w14:paraId="47D53502" w14:textId="337611B3"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87,864 </w:t>
            </w:r>
          </w:p>
        </w:tc>
        <w:tc>
          <w:tcPr>
            <w:tcW w:w="928" w:type="dxa"/>
            <w:tcBorders>
              <w:left w:val="nil"/>
              <w:right w:val="nil"/>
            </w:tcBorders>
            <w:shd w:val="clear" w:color="auto" w:fill="auto"/>
            <w:noWrap/>
            <w:vAlign w:val="bottom"/>
            <w:hideMark/>
          </w:tcPr>
          <w:p w14:paraId="595F6325" w14:textId="1B4F031E"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61,969 </w:t>
            </w:r>
          </w:p>
        </w:tc>
        <w:tc>
          <w:tcPr>
            <w:tcW w:w="977" w:type="dxa"/>
            <w:tcBorders>
              <w:left w:val="nil"/>
              <w:right w:val="nil"/>
            </w:tcBorders>
            <w:shd w:val="clear" w:color="auto" w:fill="auto"/>
            <w:noWrap/>
            <w:vAlign w:val="bottom"/>
            <w:hideMark/>
          </w:tcPr>
          <w:p w14:paraId="3B6B5EFA" w14:textId="055C47A2"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51,943 </w:t>
            </w:r>
          </w:p>
        </w:tc>
        <w:tc>
          <w:tcPr>
            <w:tcW w:w="977" w:type="dxa"/>
            <w:tcBorders>
              <w:left w:val="nil"/>
              <w:right w:val="nil"/>
            </w:tcBorders>
            <w:shd w:val="clear" w:color="auto" w:fill="auto"/>
            <w:noWrap/>
            <w:vAlign w:val="bottom"/>
            <w:hideMark/>
          </w:tcPr>
          <w:p w14:paraId="2127832D" w14:textId="40C598BE"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50,363 </w:t>
            </w:r>
          </w:p>
        </w:tc>
      </w:tr>
      <w:tr w:rsidR="002E58CB" w:rsidRPr="00B6111F" w14:paraId="3055E4F3" w14:textId="77777777" w:rsidTr="00F96D8A">
        <w:trPr>
          <w:trHeight w:val="204"/>
        </w:trPr>
        <w:tc>
          <w:tcPr>
            <w:tcW w:w="2835" w:type="dxa"/>
            <w:tcBorders>
              <w:left w:val="nil"/>
              <w:right w:val="nil"/>
            </w:tcBorders>
            <w:shd w:val="clear" w:color="auto" w:fill="auto"/>
            <w:noWrap/>
            <w:vAlign w:val="bottom"/>
            <w:hideMark/>
          </w:tcPr>
          <w:p w14:paraId="4571904E"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 xml:space="preserve">s74 external revenues </w:t>
            </w:r>
            <w:r w:rsidRPr="00583D06">
              <w:rPr>
                <w:rFonts w:ascii="Arial" w:hAnsi="Arial" w:cs="Arial"/>
                <w:sz w:val="16"/>
                <w:szCs w:val="16"/>
                <w:vertAlign w:val="superscript"/>
              </w:rPr>
              <w:t>(d)</w:t>
            </w:r>
          </w:p>
        </w:tc>
        <w:tc>
          <w:tcPr>
            <w:tcW w:w="992" w:type="dxa"/>
            <w:tcBorders>
              <w:left w:val="nil"/>
              <w:right w:val="nil"/>
            </w:tcBorders>
            <w:shd w:val="clear" w:color="auto" w:fill="auto"/>
            <w:noWrap/>
            <w:vAlign w:val="bottom"/>
            <w:hideMark/>
          </w:tcPr>
          <w:p w14:paraId="30B9E6C4" w14:textId="40DE44C4"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1,893 </w:t>
            </w:r>
          </w:p>
        </w:tc>
        <w:tc>
          <w:tcPr>
            <w:tcW w:w="928" w:type="dxa"/>
            <w:tcBorders>
              <w:left w:val="nil"/>
              <w:right w:val="nil"/>
            </w:tcBorders>
            <w:shd w:val="clear" w:color="000000" w:fill="E6E6E6"/>
            <w:noWrap/>
            <w:vAlign w:val="bottom"/>
            <w:hideMark/>
          </w:tcPr>
          <w:p w14:paraId="66D6AC4A" w14:textId="00C08E9A"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2,076 </w:t>
            </w:r>
          </w:p>
        </w:tc>
        <w:tc>
          <w:tcPr>
            <w:tcW w:w="928" w:type="dxa"/>
            <w:tcBorders>
              <w:left w:val="nil"/>
              <w:right w:val="nil"/>
            </w:tcBorders>
            <w:shd w:val="clear" w:color="auto" w:fill="auto"/>
            <w:noWrap/>
            <w:vAlign w:val="bottom"/>
            <w:hideMark/>
          </w:tcPr>
          <w:p w14:paraId="549C90D6" w14:textId="7A38780F"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1,912 </w:t>
            </w:r>
          </w:p>
        </w:tc>
        <w:tc>
          <w:tcPr>
            <w:tcW w:w="977" w:type="dxa"/>
            <w:tcBorders>
              <w:left w:val="nil"/>
              <w:right w:val="nil"/>
            </w:tcBorders>
            <w:shd w:val="clear" w:color="auto" w:fill="auto"/>
            <w:noWrap/>
            <w:vAlign w:val="bottom"/>
            <w:hideMark/>
          </w:tcPr>
          <w:p w14:paraId="156D488C" w14:textId="5EE456D9"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1,839 </w:t>
            </w:r>
          </w:p>
        </w:tc>
        <w:tc>
          <w:tcPr>
            <w:tcW w:w="977" w:type="dxa"/>
            <w:tcBorders>
              <w:left w:val="nil"/>
              <w:right w:val="nil"/>
            </w:tcBorders>
            <w:shd w:val="clear" w:color="auto" w:fill="auto"/>
            <w:noWrap/>
            <w:vAlign w:val="bottom"/>
            <w:hideMark/>
          </w:tcPr>
          <w:p w14:paraId="1C84DE6E" w14:textId="78D37C31"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1,822 </w:t>
            </w:r>
          </w:p>
        </w:tc>
      </w:tr>
      <w:tr w:rsidR="002E58CB" w:rsidRPr="00B6111F" w14:paraId="278512AD" w14:textId="77777777" w:rsidTr="00F96D8A">
        <w:trPr>
          <w:trHeight w:val="204"/>
        </w:trPr>
        <w:tc>
          <w:tcPr>
            <w:tcW w:w="2835" w:type="dxa"/>
            <w:tcBorders>
              <w:left w:val="nil"/>
              <w:right w:val="nil"/>
            </w:tcBorders>
            <w:shd w:val="clear" w:color="auto" w:fill="auto"/>
            <w:noWrap/>
            <w:vAlign w:val="bottom"/>
            <w:hideMark/>
          </w:tcPr>
          <w:p w14:paraId="6A3D0096"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 xml:space="preserve">Expenses not requiring appropriation in the Budget year </w:t>
            </w:r>
            <w:r w:rsidRPr="00583D06">
              <w:rPr>
                <w:rFonts w:ascii="Arial" w:hAnsi="Arial" w:cs="Arial"/>
                <w:sz w:val="16"/>
                <w:szCs w:val="16"/>
                <w:vertAlign w:val="superscript"/>
              </w:rPr>
              <w:t>(e)</w:t>
            </w:r>
          </w:p>
        </w:tc>
        <w:tc>
          <w:tcPr>
            <w:tcW w:w="992" w:type="dxa"/>
            <w:tcBorders>
              <w:left w:val="nil"/>
              <w:bottom w:val="single" w:sz="4" w:space="0" w:color="auto"/>
              <w:right w:val="nil"/>
            </w:tcBorders>
            <w:shd w:val="clear" w:color="auto" w:fill="auto"/>
            <w:noWrap/>
            <w:vAlign w:val="bottom"/>
            <w:hideMark/>
          </w:tcPr>
          <w:p w14:paraId="414C712E" w14:textId="79EE598F"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1,276 </w:t>
            </w:r>
          </w:p>
        </w:tc>
        <w:tc>
          <w:tcPr>
            <w:tcW w:w="928" w:type="dxa"/>
            <w:tcBorders>
              <w:left w:val="nil"/>
              <w:bottom w:val="single" w:sz="4" w:space="0" w:color="auto"/>
              <w:right w:val="nil"/>
            </w:tcBorders>
            <w:shd w:val="clear" w:color="000000" w:fill="E6E6E6"/>
            <w:noWrap/>
            <w:vAlign w:val="bottom"/>
            <w:hideMark/>
          </w:tcPr>
          <w:p w14:paraId="2C9EC0C3" w14:textId="29F8CC93"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1,494 </w:t>
            </w:r>
          </w:p>
        </w:tc>
        <w:tc>
          <w:tcPr>
            <w:tcW w:w="928" w:type="dxa"/>
            <w:tcBorders>
              <w:left w:val="nil"/>
              <w:bottom w:val="single" w:sz="4" w:space="0" w:color="auto"/>
              <w:right w:val="nil"/>
            </w:tcBorders>
            <w:shd w:val="clear" w:color="auto" w:fill="auto"/>
            <w:noWrap/>
            <w:vAlign w:val="bottom"/>
            <w:hideMark/>
          </w:tcPr>
          <w:p w14:paraId="6155C484" w14:textId="7889C2CF"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1,235 </w:t>
            </w:r>
          </w:p>
        </w:tc>
        <w:tc>
          <w:tcPr>
            <w:tcW w:w="977" w:type="dxa"/>
            <w:tcBorders>
              <w:left w:val="nil"/>
              <w:bottom w:val="single" w:sz="4" w:space="0" w:color="auto"/>
              <w:right w:val="nil"/>
            </w:tcBorders>
            <w:shd w:val="clear" w:color="auto" w:fill="auto"/>
            <w:noWrap/>
            <w:vAlign w:val="bottom"/>
            <w:hideMark/>
          </w:tcPr>
          <w:p w14:paraId="3260E754" w14:textId="16DCDF61"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593 </w:t>
            </w:r>
          </w:p>
        </w:tc>
        <w:tc>
          <w:tcPr>
            <w:tcW w:w="977" w:type="dxa"/>
            <w:tcBorders>
              <w:left w:val="nil"/>
              <w:bottom w:val="single" w:sz="4" w:space="0" w:color="auto"/>
              <w:right w:val="nil"/>
            </w:tcBorders>
            <w:shd w:val="clear" w:color="auto" w:fill="auto"/>
            <w:noWrap/>
            <w:vAlign w:val="bottom"/>
            <w:hideMark/>
          </w:tcPr>
          <w:p w14:paraId="4A974028" w14:textId="67C615D3"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588 </w:t>
            </w:r>
          </w:p>
        </w:tc>
      </w:tr>
      <w:tr w:rsidR="002E58CB" w:rsidRPr="00B6111F" w14:paraId="4839280B"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372A5003" w14:textId="77777777" w:rsidR="002E58CB" w:rsidRPr="00B6111F" w:rsidRDefault="002E58CB" w:rsidP="002E58CB">
            <w:pPr>
              <w:spacing w:after="0" w:line="240" w:lineRule="auto"/>
              <w:jc w:val="left"/>
              <w:rPr>
                <w:rFonts w:ascii="Arial" w:hAnsi="Arial" w:cs="Arial"/>
                <w:b/>
                <w:bCs/>
                <w:sz w:val="16"/>
                <w:szCs w:val="16"/>
              </w:rPr>
            </w:pPr>
            <w:r w:rsidRPr="00B6111F">
              <w:rPr>
                <w:rFonts w:ascii="Arial" w:hAnsi="Arial" w:cs="Arial"/>
                <w:b/>
                <w:bCs/>
                <w:sz w:val="16"/>
                <w:szCs w:val="16"/>
              </w:rPr>
              <w:t>Total expenses for Program 3.5</w:t>
            </w:r>
          </w:p>
        </w:tc>
        <w:tc>
          <w:tcPr>
            <w:tcW w:w="992" w:type="dxa"/>
            <w:tcBorders>
              <w:top w:val="single" w:sz="4" w:space="0" w:color="auto"/>
              <w:left w:val="nil"/>
              <w:bottom w:val="single" w:sz="4" w:space="0" w:color="auto"/>
              <w:right w:val="nil"/>
            </w:tcBorders>
            <w:shd w:val="clear" w:color="auto" w:fill="auto"/>
            <w:noWrap/>
            <w:vAlign w:val="bottom"/>
            <w:hideMark/>
          </w:tcPr>
          <w:p w14:paraId="6D4C62C5" w14:textId="7CE16619"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69,511 </w:t>
            </w:r>
          </w:p>
        </w:tc>
        <w:tc>
          <w:tcPr>
            <w:tcW w:w="928" w:type="dxa"/>
            <w:tcBorders>
              <w:top w:val="single" w:sz="4" w:space="0" w:color="auto"/>
              <w:left w:val="nil"/>
              <w:bottom w:val="single" w:sz="4" w:space="0" w:color="auto"/>
              <w:right w:val="nil"/>
            </w:tcBorders>
            <w:shd w:val="clear" w:color="000000" w:fill="E6E6E6"/>
            <w:noWrap/>
            <w:vAlign w:val="bottom"/>
            <w:hideMark/>
          </w:tcPr>
          <w:p w14:paraId="26761E0C" w14:textId="7B1EE33A"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91,434 </w:t>
            </w:r>
          </w:p>
        </w:tc>
        <w:tc>
          <w:tcPr>
            <w:tcW w:w="928" w:type="dxa"/>
            <w:tcBorders>
              <w:top w:val="single" w:sz="4" w:space="0" w:color="auto"/>
              <w:left w:val="nil"/>
              <w:bottom w:val="single" w:sz="4" w:space="0" w:color="auto"/>
              <w:right w:val="nil"/>
            </w:tcBorders>
            <w:shd w:val="clear" w:color="auto" w:fill="auto"/>
            <w:noWrap/>
            <w:vAlign w:val="bottom"/>
            <w:hideMark/>
          </w:tcPr>
          <w:p w14:paraId="1C6B7D37" w14:textId="7F8BDD61"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65,116 </w:t>
            </w:r>
          </w:p>
        </w:tc>
        <w:tc>
          <w:tcPr>
            <w:tcW w:w="977" w:type="dxa"/>
            <w:tcBorders>
              <w:top w:val="single" w:sz="4" w:space="0" w:color="auto"/>
              <w:left w:val="nil"/>
              <w:bottom w:val="single" w:sz="4" w:space="0" w:color="auto"/>
              <w:right w:val="nil"/>
            </w:tcBorders>
            <w:shd w:val="clear" w:color="auto" w:fill="auto"/>
            <w:noWrap/>
            <w:vAlign w:val="bottom"/>
            <w:hideMark/>
          </w:tcPr>
          <w:p w14:paraId="62AF6C10" w14:textId="5650F512"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54,375 </w:t>
            </w:r>
          </w:p>
        </w:tc>
        <w:tc>
          <w:tcPr>
            <w:tcW w:w="977" w:type="dxa"/>
            <w:tcBorders>
              <w:top w:val="single" w:sz="4" w:space="0" w:color="auto"/>
              <w:left w:val="nil"/>
              <w:bottom w:val="single" w:sz="4" w:space="0" w:color="auto"/>
              <w:right w:val="nil"/>
            </w:tcBorders>
            <w:shd w:val="clear" w:color="auto" w:fill="auto"/>
            <w:noWrap/>
            <w:vAlign w:val="bottom"/>
            <w:hideMark/>
          </w:tcPr>
          <w:p w14:paraId="7ED18DC8" w14:textId="14AFABC4"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52,773 </w:t>
            </w:r>
          </w:p>
        </w:tc>
      </w:tr>
    </w:tbl>
    <w:p w14:paraId="187A7297" w14:textId="77777777" w:rsidR="002E58CB" w:rsidRDefault="002E58CB" w:rsidP="00B91F3E">
      <w:pPr>
        <w:pStyle w:val="TableHeading"/>
      </w:pPr>
    </w:p>
    <w:p w14:paraId="61333A5E" w14:textId="77777777" w:rsidR="002E58CB" w:rsidRDefault="002E58CB">
      <w:pPr>
        <w:spacing w:after="0" w:line="240" w:lineRule="auto"/>
        <w:jc w:val="left"/>
        <w:rPr>
          <w:rFonts w:ascii="Arial" w:hAnsi="Arial"/>
          <w:b/>
          <w:color w:val="000000"/>
          <w:lang w:val="x-none" w:eastAsia="x-none"/>
        </w:rPr>
      </w:pPr>
      <w:r>
        <w:br w:type="page"/>
      </w:r>
    </w:p>
    <w:p w14:paraId="53C20789" w14:textId="2C8ABAF6" w:rsidR="00B91F3E" w:rsidRDefault="00B91F3E" w:rsidP="00B91F3E">
      <w:pPr>
        <w:pStyle w:val="TableHeading"/>
      </w:pPr>
      <w:r>
        <w:lastRenderedPageBreak/>
        <w:t>Table 2.</w:t>
      </w:r>
      <w:r>
        <w:rPr>
          <w:lang w:val="en-GB"/>
        </w:rPr>
        <w:t>3</w:t>
      </w:r>
      <w:r>
        <w:t xml:space="preserve">.1: Budgeted expenses for Outcome </w:t>
      </w:r>
      <w:r>
        <w:rPr>
          <w:lang w:val="en-GB"/>
        </w:rPr>
        <w:t>3</w:t>
      </w:r>
      <w:r>
        <w:rPr>
          <w:lang w:val="en-AU"/>
        </w:rPr>
        <w:t xml:space="preserve"> (continued)</w:t>
      </w:r>
    </w:p>
    <w:tbl>
      <w:tblPr>
        <w:tblW w:w="7736" w:type="dxa"/>
        <w:tblLook w:val="04A0" w:firstRow="1" w:lastRow="0" w:firstColumn="1" w:lastColumn="0" w:noHBand="0" w:noVBand="1"/>
      </w:tblPr>
      <w:tblGrid>
        <w:gridCol w:w="2835"/>
        <w:gridCol w:w="993"/>
        <w:gridCol w:w="977"/>
        <w:gridCol w:w="977"/>
        <w:gridCol w:w="977"/>
        <w:gridCol w:w="977"/>
      </w:tblGrid>
      <w:tr w:rsidR="00B91F3E" w:rsidRPr="00B6111F" w14:paraId="0C50721C" w14:textId="77777777" w:rsidTr="00F96D8A">
        <w:trPr>
          <w:trHeight w:val="204"/>
        </w:trPr>
        <w:tc>
          <w:tcPr>
            <w:tcW w:w="2835" w:type="dxa"/>
            <w:tcBorders>
              <w:top w:val="single" w:sz="4" w:space="0" w:color="auto"/>
              <w:left w:val="nil"/>
              <w:bottom w:val="single" w:sz="4" w:space="0" w:color="auto"/>
              <w:right w:val="nil"/>
            </w:tcBorders>
            <w:shd w:val="clear" w:color="auto" w:fill="auto"/>
            <w:noWrap/>
            <w:vAlign w:val="bottom"/>
            <w:hideMark/>
          </w:tcPr>
          <w:p w14:paraId="55A7EEEE" w14:textId="77777777" w:rsidR="00B91F3E" w:rsidRPr="00B6111F" w:rsidRDefault="00B91F3E" w:rsidP="00F96D8A">
            <w:pPr>
              <w:spacing w:after="0" w:line="240" w:lineRule="auto"/>
              <w:jc w:val="left"/>
              <w:rPr>
                <w:rFonts w:ascii="Arial" w:hAnsi="Arial" w:cs="Arial"/>
                <w:b/>
                <w:bCs/>
                <w:sz w:val="16"/>
                <w:szCs w:val="16"/>
              </w:rPr>
            </w:pPr>
            <w:r w:rsidRPr="00B6111F">
              <w:rPr>
                <w:rFonts w:ascii="Arial" w:hAnsi="Arial" w:cs="Arial"/>
                <w:b/>
                <w:bCs/>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26860A56"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2021-22</w:t>
            </w:r>
            <w:r w:rsidRPr="00B6111F">
              <w:rPr>
                <w:rFonts w:ascii="Arial" w:hAnsi="Arial" w:cs="Arial"/>
                <w:sz w:val="16"/>
                <w:szCs w:val="16"/>
              </w:rPr>
              <w:br/>
              <w:t>Estimated  actual</w:t>
            </w:r>
            <w:r w:rsidRPr="00B6111F">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bottom"/>
            <w:hideMark/>
          </w:tcPr>
          <w:p w14:paraId="7F4751F7"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2022-23</w:t>
            </w:r>
            <w:r w:rsidRPr="00B6111F">
              <w:rPr>
                <w:rFonts w:ascii="Arial" w:hAnsi="Arial" w:cs="Arial"/>
                <w:sz w:val="16"/>
                <w:szCs w:val="16"/>
              </w:rPr>
              <w:br/>
              <w:t xml:space="preserve"> Budget</w:t>
            </w:r>
            <w:r w:rsidRPr="00B6111F">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6E2070EE"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2023-24</w:t>
            </w:r>
            <w:r w:rsidRPr="00B6111F">
              <w:rPr>
                <w:rFonts w:ascii="Arial" w:hAnsi="Arial" w:cs="Arial"/>
                <w:sz w:val="16"/>
                <w:szCs w:val="16"/>
              </w:rPr>
              <w:br/>
              <w:t>Forward estimate</w:t>
            </w:r>
            <w:r w:rsidRPr="00B6111F">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6D995292"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2024-25</w:t>
            </w:r>
            <w:r w:rsidRPr="00B6111F">
              <w:rPr>
                <w:rFonts w:ascii="Arial" w:hAnsi="Arial" w:cs="Arial"/>
                <w:sz w:val="16"/>
                <w:szCs w:val="16"/>
              </w:rPr>
              <w:br/>
              <w:t>Forward estimate</w:t>
            </w:r>
            <w:r w:rsidRPr="00B6111F">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2E018B79"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2025-26</w:t>
            </w:r>
            <w:r w:rsidRPr="00B6111F">
              <w:rPr>
                <w:rFonts w:ascii="Arial" w:hAnsi="Arial" w:cs="Arial"/>
                <w:sz w:val="16"/>
                <w:szCs w:val="16"/>
              </w:rPr>
              <w:br/>
              <w:t>Forward estimate</w:t>
            </w:r>
            <w:r w:rsidRPr="00B6111F">
              <w:rPr>
                <w:rFonts w:ascii="Arial" w:hAnsi="Arial" w:cs="Arial"/>
                <w:sz w:val="16"/>
                <w:szCs w:val="16"/>
              </w:rPr>
              <w:br/>
              <w:t>$'000</w:t>
            </w:r>
          </w:p>
        </w:tc>
      </w:tr>
      <w:tr w:rsidR="00020C9D" w:rsidRPr="00B6111F" w14:paraId="415A98CD" w14:textId="77777777" w:rsidTr="005F5D68">
        <w:trPr>
          <w:trHeight w:val="204"/>
        </w:trPr>
        <w:tc>
          <w:tcPr>
            <w:tcW w:w="7736" w:type="dxa"/>
            <w:gridSpan w:val="6"/>
            <w:tcBorders>
              <w:top w:val="nil"/>
              <w:left w:val="nil"/>
              <w:bottom w:val="single" w:sz="4" w:space="0" w:color="auto"/>
              <w:right w:val="nil"/>
            </w:tcBorders>
            <w:shd w:val="clear" w:color="000000" w:fill="E6E6E6"/>
            <w:noWrap/>
            <w:vAlign w:val="bottom"/>
            <w:hideMark/>
          </w:tcPr>
          <w:p w14:paraId="5A09B466" w14:textId="572B7949" w:rsidR="00020C9D" w:rsidRPr="00020C9D" w:rsidRDefault="00020C9D" w:rsidP="00020C9D">
            <w:pPr>
              <w:spacing w:after="0" w:line="240" w:lineRule="auto"/>
              <w:jc w:val="left"/>
              <w:rPr>
                <w:rFonts w:ascii="Arial" w:hAnsi="Arial" w:cs="Arial"/>
                <w:b/>
                <w:bCs/>
                <w:sz w:val="16"/>
                <w:szCs w:val="16"/>
              </w:rPr>
            </w:pPr>
            <w:r w:rsidRPr="00B6111F">
              <w:rPr>
                <w:rFonts w:ascii="Arial" w:hAnsi="Arial" w:cs="Arial"/>
                <w:b/>
                <w:bCs/>
                <w:sz w:val="16"/>
                <w:szCs w:val="16"/>
              </w:rPr>
              <w:t>Outcome 3 Totals by appropriation type</w:t>
            </w:r>
            <w:r w:rsidRPr="00B6111F">
              <w:rPr>
                <w:rFonts w:ascii="Arial" w:hAnsi="Arial" w:cs="Arial"/>
                <w:sz w:val="16"/>
                <w:szCs w:val="16"/>
              </w:rPr>
              <w:t> </w:t>
            </w:r>
          </w:p>
        </w:tc>
      </w:tr>
      <w:tr w:rsidR="00B91F3E" w:rsidRPr="00B6111F" w14:paraId="592059D0" w14:textId="77777777" w:rsidTr="00F96D8A">
        <w:trPr>
          <w:trHeight w:val="204"/>
        </w:trPr>
        <w:tc>
          <w:tcPr>
            <w:tcW w:w="2835" w:type="dxa"/>
            <w:tcBorders>
              <w:top w:val="nil"/>
              <w:left w:val="nil"/>
              <w:bottom w:val="nil"/>
              <w:right w:val="nil"/>
            </w:tcBorders>
            <w:shd w:val="clear" w:color="auto" w:fill="auto"/>
            <w:noWrap/>
            <w:vAlign w:val="bottom"/>
            <w:hideMark/>
          </w:tcPr>
          <w:p w14:paraId="4BA4D1F4" w14:textId="77777777" w:rsidR="00B91F3E" w:rsidRPr="00B6111F" w:rsidRDefault="00B91F3E" w:rsidP="00F96D8A">
            <w:pPr>
              <w:spacing w:after="0" w:line="240" w:lineRule="auto"/>
              <w:jc w:val="left"/>
              <w:rPr>
                <w:rFonts w:ascii="Arial" w:hAnsi="Arial" w:cs="Arial"/>
                <w:sz w:val="16"/>
                <w:szCs w:val="16"/>
              </w:rPr>
            </w:pPr>
            <w:r w:rsidRPr="00B6111F">
              <w:rPr>
                <w:rFonts w:ascii="Arial" w:hAnsi="Arial" w:cs="Arial"/>
                <w:sz w:val="16"/>
                <w:szCs w:val="16"/>
              </w:rPr>
              <w:t>Administered expenses</w:t>
            </w:r>
          </w:p>
        </w:tc>
        <w:tc>
          <w:tcPr>
            <w:tcW w:w="993" w:type="dxa"/>
            <w:tcBorders>
              <w:top w:val="nil"/>
              <w:left w:val="nil"/>
              <w:bottom w:val="nil"/>
              <w:right w:val="nil"/>
            </w:tcBorders>
            <w:shd w:val="clear" w:color="auto" w:fill="auto"/>
            <w:noWrap/>
            <w:vAlign w:val="bottom"/>
            <w:hideMark/>
          </w:tcPr>
          <w:p w14:paraId="0D17638C" w14:textId="77777777" w:rsidR="00B91F3E" w:rsidRPr="00B6111F"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5552A688"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ECBA3D8" w14:textId="77777777" w:rsidR="00B91F3E" w:rsidRPr="00B6111F"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55979A6" w14:textId="77777777" w:rsidR="00B91F3E" w:rsidRPr="00B6111F"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149CA987" w14:textId="77777777" w:rsidR="00B91F3E" w:rsidRPr="00B6111F" w:rsidRDefault="00B91F3E" w:rsidP="00F96D8A">
            <w:pPr>
              <w:spacing w:after="0" w:line="240" w:lineRule="auto"/>
              <w:jc w:val="right"/>
              <w:rPr>
                <w:rFonts w:ascii="Times New Roman" w:hAnsi="Times New Roman"/>
                <w:sz w:val="16"/>
                <w:szCs w:val="16"/>
              </w:rPr>
            </w:pPr>
          </w:p>
        </w:tc>
      </w:tr>
      <w:tr w:rsidR="002E58CB" w:rsidRPr="00B6111F" w14:paraId="424839BF" w14:textId="77777777" w:rsidTr="00F96D8A">
        <w:trPr>
          <w:trHeight w:val="204"/>
        </w:trPr>
        <w:tc>
          <w:tcPr>
            <w:tcW w:w="2835" w:type="dxa"/>
            <w:tcBorders>
              <w:top w:val="nil"/>
              <w:left w:val="nil"/>
              <w:bottom w:val="nil"/>
              <w:right w:val="nil"/>
            </w:tcBorders>
            <w:shd w:val="clear" w:color="auto" w:fill="auto"/>
            <w:vAlign w:val="bottom"/>
            <w:hideMark/>
          </w:tcPr>
          <w:p w14:paraId="49225C20"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Ordinary Annual Services (Appropriation Act No.</w:t>
            </w:r>
            <w:r>
              <w:rPr>
                <w:rFonts w:ascii="Arial" w:hAnsi="Arial" w:cs="Arial"/>
                <w:sz w:val="16"/>
                <w:szCs w:val="16"/>
              </w:rPr>
              <w:t> </w:t>
            </w:r>
            <w:r w:rsidRPr="00B6111F">
              <w:rPr>
                <w:rFonts w:ascii="Arial" w:hAnsi="Arial" w:cs="Arial"/>
                <w:sz w:val="16"/>
                <w:szCs w:val="16"/>
              </w:rPr>
              <w:t>1 and Bill No. 3)</w:t>
            </w:r>
          </w:p>
        </w:tc>
        <w:tc>
          <w:tcPr>
            <w:tcW w:w="993" w:type="dxa"/>
            <w:tcBorders>
              <w:top w:val="nil"/>
              <w:left w:val="nil"/>
              <w:bottom w:val="nil"/>
              <w:right w:val="nil"/>
            </w:tcBorders>
            <w:shd w:val="clear" w:color="auto" w:fill="auto"/>
            <w:noWrap/>
            <w:vAlign w:val="bottom"/>
            <w:hideMark/>
          </w:tcPr>
          <w:p w14:paraId="4635101E" w14:textId="12435A98"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637,969 </w:t>
            </w:r>
          </w:p>
        </w:tc>
        <w:tc>
          <w:tcPr>
            <w:tcW w:w="977" w:type="dxa"/>
            <w:tcBorders>
              <w:top w:val="nil"/>
              <w:left w:val="nil"/>
              <w:bottom w:val="nil"/>
              <w:right w:val="nil"/>
            </w:tcBorders>
            <w:shd w:val="clear" w:color="000000" w:fill="E6E6E6"/>
            <w:noWrap/>
            <w:vAlign w:val="bottom"/>
            <w:hideMark/>
          </w:tcPr>
          <w:p w14:paraId="7CB8163A" w14:textId="704F87C8"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1,636,448 </w:t>
            </w:r>
          </w:p>
        </w:tc>
        <w:tc>
          <w:tcPr>
            <w:tcW w:w="977" w:type="dxa"/>
            <w:tcBorders>
              <w:top w:val="nil"/>
              <w:left w:val="nil"/>
              <w:bottom w:val="nil"/>
              <w:right w:val="nil"/>
            </w:tcBorders>
            <w:shd w:val="clear" w:color="auto" w:fill="auto"/>
            <w:noWrap/>
            <w:vAlign w:val="bottom"/>
            <w:hideMark/>
          </w:tcPr>
          <w:p w14:paraId="3D39AC47" w14:textId="79A19610"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1,664,832 </w:t>
            </w:r>
          </w:p>
        </w:tc>
        <w:tc>
          <w:tcPr>
            <w:tcW w:w="977" w:type="dxa"/>
            <w:tcBorders>
              <w:top w:val="nil"/>
              <w:left w:val="nil"/>
              <w:bottom w:val="nil"/>
              <w:right w:val="nil"/>
            </w:tcBorders>
            <w:shd w:val="clear" w:color="auto" w:fill="auto"/>
            <w:noWrap/>
            <w:vAlign w:val="bottom"/>
            <w:hideMark/>
          </w:tcPr>
          <w:p w14:paraId="6892E759" w14:textId="6ABA496A"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1,451,176 </w:t>
            </w:r>
          </w:p>
        </w:tc>
        <w:tc>
          <w:tcPr>
            <w:tcW w:w="977" w:type="dxa"/>
            <w:tcBorders>
              <w:top w:val="nil"/>
              <w:left w:val="nil"/>
              <w:bottom w:val="nil"/>
              <w:right w:val="nil"/>
            </w:tcBorders>
            <w:shd w:val="clear" w:color="auto" w:fill="auto"/>
            <w:noWrap/>
            <w:vAlign w:val="bottom"/>
            <w:hideMark/>
          </w:tcPr>
          <w:p w14:paraId="66C22D14" w14:textId="04445D61"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1,094,644 </w:t>
            </w:r>
          </w:p>
        </w:tc>
      </w:tr>
      <w:tr w:rsidR="002E58CB" w:rsidRPr="00B6111F" w14:paraId="5A1184C7" w14:textId="77777777" w:rsidTr="00F96D8A">
        <w:trPr>
          <w:trHeight w:val="204"/>
        </w:trPr>
        <w:tc>
          <w:tcPr>
            <w:tcW w:w="2835" w:type="dxa"/>
            <w:tcBorders>
              <w:top w:val="nil"/>
              <w:left w:val="nil"/>
              <w:bottom w:val="nil"/>
              <w:right w:val="nil"/>
            </w:tcBorders>
            <w:shd w:val="clear" w:color="auto" w:fill="auto"/>
            <w:vAlign w:val="bottom"/>
            <w:hideMark/>
          </w:tcPr>
          <w:p w14:paraId="67DC3A49"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Other Services (Appropriation Act No. 2 and Bill No. 4)</w:t>
            </w:r>
          </w:p>
        </w:tc>
        <w:tc>
          <w:tcPr>
            <w:tcW w:w="993" w:type="dxa"/>
            <w:tcBorders>
              <w:top w:val="nil"/>
              <w:left w:val="nil"/>
              <w:bottom w:val="nil"/>
              <w:right w:val="nil"/>
            </w:tcBorders>
            <w:shd w:val="clear" w:color="auto" w:fill="auto"/>
            <w:noWrap/>
            <w:vAlign w:val="bottom"/>
            <w:hideMark/>
          </w:tcPr>
          <w:p w14:paraId="06B503ED" w14:textId="3248864E"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933,979 </w:t>
            </w:r>
          </w:p>
        </w:tc>
        <w:tc>
          <w:tcPr>
            <w:tcW w:w="977" w:type="dxa"/>
            <w:tcBorders>
              <w:top w:val="nil"/>
              <w:left w:val="nil"/>
              <w:bottom w:val="nil"/>
              <w:right w:val="nil"/>
            </w:tcBorders>
            <w:shd w:val="clear" w:color="000000" w:fill="E6E6E6"/>
            <w:noWrap/>
            <w:vAlign w:val="bottom"/>
            <w:hideMark/>
          </w:tcPr>
          <w:p w14:paraId="696442CF" w14:textId="12D83BE2"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669,330 </w:t>
            </w:r>
          </w:p>
        </w:tc>
        <w:tc>
          <w:tcPr>
            <w:tcW w:w="977" w:type="dxa"/>
            <w:tcBorders>
              <w:top w:val="nil"/>
              <w:left w:val="nil"/>
              <w:bottom w:val="nil"/>
              <w:right w:val="nil"/>
            </w:tcBorders>
            <w:shd w:val="clear" w:color="auto" w:fill="auto"/>
            <w:noWrap/>
            <w:vAlign w:val="bottom"/>
            <w:hideMark/>
          </w:tcPr>
          <w:p w14:paraId="4663E361" w14:textId="5947DB2B"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349,610 </w:t>
            </w:r>
          </w:p>
        </w:tc>
        <w:tc>
          <w:tcPr>
            <w:tcW w:w="977" w:type="dxa"/>
            <w:tcBorders>
              <w:top w:val="nil"/>
              <w:left w:val="nil"/>
              <w:bottom w:val="nil"/>
              <w:right w:val="nil"/>
            </w:tcBorders>
            <w:shd w:val="clear" w:color="auto" w:fill="auto"/>
            <w:noWrap/>
            <w:vAlign w:val="bottom"/>
            <w:hideMark/>
          </w:tcPr>
          <w:p w14:paraId="0116D476" w14:textId="5BE9352E"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249,721 </w:t>
            </w:r>
          </w:p>
        </w:tc>
        <w:tc>
          <w:tcPr>
            <w:tcW w:w="977" w:type="dxa"/>
            <w:tcBorders>
              <w:top w:val="nil"/>
              <w:left w:val="nil"/>
              <w:bottom w:val="nil"/>
              <w:right w:val="nil"/>
            </w:tcBorders>
            <w:shd w:val="clear" w:color="auto" w:fill="auto"/>
            <w:noWrap/>
            <w:vAlign w:val="bottom"/>
            <w:hideMark/>
          </w:tcPr>
          <w:p w14:paraId="63E16CA3" w14:textId="4435CDEF"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 </w:t>
            </w:r>
          </w:p>
        </w:tc>
      </w:tr>
      <w:tr w:rsidR="002E58CB" w:rsidRPr="00B6111F" w14:paraId="418DC7FD" w14:textId="77777777" w:rsidTr="00F96D8A">
        <w:trPr>
          <w:trHeight w:val="204"/>
        </w:trPr>
        <w:tc>
          <w:tcPr>
            <w:tcW w:w="2835" w:type="dxa"/>
            <w:tcBorders>
              <w:top w:val="nil"/>
              <w:left w:val="nil"/>
              <w:bottom w:val="nil"/>
              <w:right w:val="nil"/>
            </w:tcBorders>
            <w:shd w:val="clear" w:color="auto" w:fill="auto"/>
            <w:vAlign w:val="bottom"/>
            <w:hideMark/>
          </w:tcPr>
          <w:p w14:paraId="6D1FAA3F"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Special Appropriations</w:t>
            </w:r>
          </w:p>
        </w:tc>
        <w:tc>
          <w:tcPr>
            <w:tcW w:w="993" w:type="dxa"/>
            <w:tcBorders>
              <w:top w:val="nil"/>
              <w:left w:val="nil"/>
              <w:bottom w:val="nil"/>
              <w:right w:val="nil"/>
            </w:tcBorders>
            <w:shd w:val="clear" w:color="auto" w:fill="auto"/>
            <w:noWrap/>
            <w:vAlign w:val="bottom"/>
            <w:hideMark/>
          </w:tcPr>
          <w:p w14:paraId="72D31890" w14:textId="6D793002"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3,505,008 </w:t>
            </w:r>
          </w:p>
        </w:tc>
        <w:tc>
          <w:tcPr>
            <w:tcW w:w="977" w:type="dxa"/>
            <w:tcBorders>
              <w:top w:val="nil"/>
              <w:left w:val="nil"/>
              <w:bottom w:val="nil"/>
              <w:right w:val="nil"/>
            </w:tcBorders>
            <w:shd w:val="clear" w:color="000000" w:fill="E6E6E6"/>
            <w:noWrap/>
            <w:vAlign w:val="bottom"/>
            <w:hideMark/>
          </w:tcPr>
          <w:p w14:paraId="276238E3" w14:textId="20ADD8A2"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704,427 </w:t>
            </w:r>
          </w:p>
        </w:tc>
        <w:tc>
          <w:tcPr>
            <w:tcW w:w="977" w:type="dxa"/>
            <w:tcBorders>
              <w:top w:val="nil"/>
              <w:left w:val="nil"/>
              <w:bottom w:val="nil"/>
              <w:right w:val="nil"/>
            </w:tcBorders>
            <w:shd w:val="clear" w:color="auto" w:fill="auto"/>
            <w:noWrap/>
            <w:vAlign w:val="bottom"/>
            <w:hideMark/>
          </w:tcPr>
          <w:p w14:paraId="7E2D1794" w14:textId="1F2A6037"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2,927,311 </w:t>
            </w:r>
          </w:p>
        </w:tc>
        <w:tc>
          <w:tcPr>
            <w:tcW w:w="977" w:type="dxa"/>
            <w:tcBorders>
              <w:top w:val="nil"/>
              <w:left w:val="nil"/>
              <w:bottom w:val="nil"/>
              <w:right w:val="nil"/>
            </w:tcBorders>
            <w:shd w:val="clear" w:color="auto" w:fill="auto"/>
            <w:noWrap/>
            <w:vAlign w:val="bottom"/>
            <w:hideMark/>
          </w:tcPr>
          <w:p w14:paraId="22EE9509" w14:textId="6EF8A36C"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3,048,208 </w:t>
            </w:r>
          </w:p>
        </w:tc>
        <w:tc>
          <w:tcPr>
            <w:tcW w:w="977" w:type="dxa"/>
            <w:tcBorders>
              <w:top w:val="nil"/>
              <w:left w:val="nil"/>
              <w:bottom w:val="nil"/>
              <w:right w:val="nil"/>
            </w:tcBorders>
            <w:shd w:val="clear" w:color="auto" w:fill="auto"/>
            <w:noWrap/>
            <w:vAlign w:val="bottom"/>
            <w:hideMark/>
          </w:tcPr>
          <w:p w14:paraId="35D82EF2" w14:textId="1785D0EB"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3,169,527 </w:t>
            </w:r>
          </w:p>
        </w:tc>
      </w:tr>
      <w:tr w:rsidR="002E58CB" w:rsidRPr="00B6111F" w14:paraId="1C5AE218" w14:textId="77777777" w:rsidTr="00F96D8A">
        <w:trPr>
          <w:trHeight w:val="204"/>
        </w:trPr>
        <w:tc>
          <w:tcPr>
            <w:tcW w:w="2835" w:type="dxa"/>
            <w:tcBorders>
              <w:top w:val="nil"/>
              <w:left w:val="nil"/>
              <w:bottom w:val="nil"/>
              <w:right w:val="nil"/>
            </w:tcBorders>
            <w:shd w:val="clear" w:color="auto" w:fill="auto"/>
            <w:vAlign w:val="bottom"/>
            <w:hideMark/>
          </w:tcPr>
          <w:p w14:paraId="773E1916"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 xml:space="preserve">Payments to Corporate Entities </w:t>
            </w:r>
            <w:r w:rsidRPr="00583D06">
              <w:rPr>
                <w:rFonts w:ascii="Arial" w:hAnsi="Arial" w:cs="Arial"/>
                <w:sz w:val="16"/>
                <w:szCs w:val="16"/>
                <w:vertAlign w:val="superscript"/>
              </w:rPr>
              <w:t>(c)</w:t>
            </w:r>
            <w:r w:rsidRPr="00B6111F">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24555B94" w14:textId="0CDD3265"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14,227 </w:t>
            </w:r>
          </w:p>
        </w:tc>
        <w:tc>
          <w:tcPr>
            <w:tcW w:w="977" w:type="dxa"/>
            <w:tcBorders>
              <w:top w:val="nil"/>
              <w:left w:val="nil"/>
              <w:bottom w:val="nil"/>
              <w:right w:val="nil"/>
            </w:tcBorders>
            <w:shd w:val="clear" w:color="000000" w:fill="E6E6E6"/>
            <w:noWrap/>
            <w:vAlign w:val="bottom"/>
            <w:hideMark/>
          </w:tcPr>
          <w:p w14:paraId="79A6F688" w14:textId="4959BC83"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20,939 </w:t>
            </w:r>
          </w:p>
        </w:tc>
        <w:tc>
          <w:tcPr>
            <w:tcW w:w="977" w:type="dxa"/>
            <w:tcBorders>
              <w:top w:val="nil"/>
              <w:left w:val="nil"/>
              <w:bottom w:val="nil"/>
              <w:right w:val="nil"/>
            </w:tcBorders>
            <w:shd w:val="clear" w:color="auto" w:fill="auto"/>
            <w:noWrap/>
            <w:vAlign w:val="bottom"/>
            <w:hideMark/>
          </w:tcPr>
          <w:p w14:paraId="154CC156" w14:textId="630DBCE6"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21,090 </w:t>
            </w:r>
          </w:p>
        </w:tc>
        <w:tc>
          <w:tcPr>
            <w:tcW w:w="977" w:type="dxa"/>
            <w:tcBorders>
              <w:top w:val="nil"/>
              <w:left w:val="nil"/>
              <w:bottom w:val="nil"/>
              <w:right w:val="nil"/>
            </w:tcBorders>
            <w:shd w:val="clear" w:color="auto" w:fill="auto"/>
            <w:noWrap/>
            <w:vAlign w:val="bottom"/>
            <w:hideMark/>
          </w:tcPr>
          <w:p w14:paraId="3CA1B285" w14:textId="31F7BA0F"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21,254 </w:t>
            </w:r>
          </w:p>
        </w:tc>
        <w:tc>
          <w:tcPr>
            <w:tcW w:w="977" w:type="dxa"/>
            <w:tcBorders>
              <w:top w:val="nil"/>
              <w:left w:val="nil"/>
              <w:bottom w:val="nil"/>
              <w:right w:val="nil"/>
            </w:tcBorders>
            <w:shd w:val="clear" w:color="auto" w:fill="auto"/>
            <w:noWrap/>
            <w:vAlign w:val="bottom"/>
            <w:hideMark/>
          </w:tcPr>
          <w:p w14:paraId="224A6D96" w14:textId="112BBDEE"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21,615 </w:t>
            </w:r>
          </w:p>
        </w:tc>
      </w:tr>
      <w:tr w:rsidR="002E58CB" w:rsidRPr="00B6111F" w14:paraId="08F38DEB" w14:textId="77777777" w:rsidTr="00F96D8A">
        <w:trPr>
          <w:trHeight w:val="204"/>
        </w:trPr>
        <w:tc>
          <w:tcPr>
            <w:tcW w:w="2835" w:type="dxa"/>
            <w:tcBorders>
              <w:top w:val="nil"/>
              <w:left w:val="nil"/>
              <w:bottom w:val="nil"/>
              <w:right w:val="nil"/>
            </w:tcBorders>
            <w:shd w:val="clear" w:color="auto" w:fill="auto"/>
            <w:vAlign w:val="bottom"/>
            <w:hideMark/>
          </w:tcPr>
          <w:p w14:paraId="65A07AF3"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 xml:space="preserve">Expenses not requiring appropriation in the Budget year </w:t>
            </w:r>
            <w:r w:rsidRPr="00583D06">
              <w:rPr>
                <w:rFonts w:ascii="Arial" w:hAnsi="Arial" w:cs="Arial"/>
                <w:sz w:val="16"/>
                <w:szCs w:val="16"/>
                <w:vertAlign w:val="superscript"/>
              </w:rPr>
              <w:t>(a)</w:t>
            </w:r>
          </w:p>
        </w:tc>
        <w:tc>
          <w:tcPr>
            <w:tcW w:w="993" w:type="dxa"/>
            <w:tcBorders>
              <w:top w:val="nil"/>
              <w:left w:val="nil"/>
              <w:bottom w:val="nil"/>
              <w:right w:val="nil"/>
            </w:tcBorders>
            <w:shd w:val="clear" w:color="auto" w:fill="auto"/>
            <w:noWrap/>
            <w:vAlign w:val="bottom"/>
            <w:hideMark/>
          </w:tcPr>
          <w:p w14:paraId="58999A03" w14:textId="75BB30F7"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487,053 </w:t>
            </w:r>
          </w:p>
        </w:tc>
        <w:tc>
          <w:tcPr>
            <w:tcW w:w="977" w:type="dxa"/>
            <w:tcBorders>
              <w:top w:val="nil"/>
              <w:left w:val="nil"/>
              <w:bottom w:val="nil"/>
              <w:right w:val="nil"/>
            </w:tcBorders>
            <w:shd w:val="clear" w:color="000000" w:fill="E6E6E6"/>
            <w:noWrap/>
            <w:vAlign w:val="bottom"/>
            <w:hideMark/>
          </w:tcPr>
          <w:p w14:paraId="17B647D9" w14:textId="586AA9D9"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694,843 </w:t>
            </w:r>
          </w:p>
        </w:tc>
        <w:tc>
          <w:tcPr>
            <w:tcW w:w="977" w:type="dxa"/>
            <w:tcBorders>
              <w:top w:val="nil"/>
              <w:left w:val="nil"/>
              <w:bottom w:val="nil"/>
              <w:right w:val="nil"/>
            </w:tcBorders>
            <w:shd w:val="clear" w:color="auto" w:fill="auto"/>
            <w:noWrap/>
            <w:vAlign w:val="bottom"/>
            <w:hideMark/>
          </w:tcPr>
          <w:p w14:paraId="46EF12BE" w14:textId="78AC088F"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477,643 </w:t>
            </w:r>
          </w:p>
        </w:tc>
        <w:tc>
          <w:tcPr>
            <w:tcW w:w="977" w:type="dxa"/>
            <w:tcBorders>
              <w:top w:val="nil"/>
              <w:left w:val="nil"/>
              <w:bottom w:val="nil"/>
              <w:right w:val="nil"/>
            </w:tcBorders>
            <w:shd w:val="clear" w:color="auto" w:fill="auto"/>
            <w:noWrap/>
            <w:vAlign w:val="bottom"/>
            <w:hideMark/>
          </w:tcPr>
          <w:p w14:paraId="5CAEE4BA" w14:textId="4911684D"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358,798 </w:t>
            </w:r>
          </w:p>
        </w:tc>
        <w:tc>
          <w:tcPr>
            <w:tcW w:w="977" w:type="dxa"/>
            <w:tcBorders>
              <w:top w:val="nil"/>
              <w:left w:val="nil"/>
              <w:bottom w:val="nil"/>
              <w:right w:val="nil"/>
            </w:tcBorders>
            <w:shd w:val="clear" w:color="auto" w:fill="auto"/>
            <w:noWrap/>
            <w:vAlign w:val="bottom"/>
            <w:hideMark/>
          </w:tcPr>
          <w:p w14:paraId="3C89AE61" w14:textId="61E79F56"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301,803 </w:t>
            </w:r>
          </w:p>
        </w:tc>
      </w:tr>
      <w:tr w:rsidR="002E58CB" w:rsidRPr="00B6111F" w14:paraId="47FFE90D" w14:textId="77777777" w:rsidTr="00F96D8A">
        <w:trPr>
          <w:trHeight w:val="204"/>
        </w:trPr>
        <w:tc>
          <w:tcPr>
            <w:tcW w:w="2835" w:type="dxa"/>
            <w:tcBorders>
              <w:top w:val="nil"/>
              <w:left w:val="nil"/>
              <w:bottom w:val="nil"/>
              <w:right w:val="nil"/>
            </w:tcBorders>
            <w:shd w:val="clear" w:color="auto" w:fill="auto"/>
            <w:vAlign w:val="bottom"/>
            <w:hideMark/>
          </w:tcPr>
          <w:p w14:paraId="02981936" w14:textId="77777777" w:rsidR="002E58CB" w:rsidRPr="00B6111F" w:rsidRDefault="002E58CB" w:rsidP="00F35F54">
            <w:pPr>
              <w:spacing w:after="0" w:line="240" w:lineRule="auto"/>
              <w:jc w:val="left"/>
              <w:rPr>
                <w:rFonts w:ascii="Arial" w:hAnsi="Arial" w:cs="Arial"/>
                <w:b/>
                <w:bCs/>
                <w:sz w:val="16"/>
                <w:szCs w:val="16"/>
              </w:rPr>
            </w:pPr>
            <w:r w:rsidRPr="00B6111F">
              <w:rPr>
                <w:rFonts w:ascii="Arial" w:hAnsi="Arial" w:cs="Arial"/>
                <w:b/>
                <w:bCs/>
                <w:sz w:val="16"/>
                <w:szCs w:val="16"/>
              </w:rPr>
              <w:t>Total administered expenses</w:t>
            </w:r>
          </w:p>
        </w:tc>
        <w:tc>
          <w:tcPr>
            <w:tcW w:w="993" w:type="dxa"/>
            <w:tcBorders>
              <w:top w:val="single" w:sz="4" w:space="0" w:color="auto"/>
              <w:left w:val="nil"/>
              <w:bottom w:val="single" w:sz="4" w:space="0" w:color="auto"/>
              <w:right w:val="nil"/>
            </w:tcBorders>
            <w:shd w:val="clear" w:color="auto" w:fill="auto"/>
            <w:noWrap/>
            <w:vAlign w:val="bottom"/>
            <w:hideMark/>
          </w:tcPr>
          <w:p w14:paraId="200BDFDF" w14:textId="48F811CC"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5,578,236 </w:t>
            </w:r>
          </w:p>
        </w:tc>
        <w:tc>
          <w:tcPr>
            <w:tcW w:w="977" w:type="dxa"/>
            <w:tcBorders>
              <w:top w:val="single" w:sz="4" w:space="0" w:color="auto"/>
              <w:left w:val="nil"/>
              <w:bottom w:val="single" w:sz="4" w:space="0" w:color="auto"/>
              <w:right w:val="nil"/>
            </w:tcBorders>
            <w:shd w:val="clear" w:color="000000" w:fill="E6E6E6"/>
            <w:noWrap/>
            <w:vAlign w:val="bottom"/>
            <w:hideMark/>
          </w:tcPr>
          <w:p w14:paraId="02982AC9" w14:textId="0939FED1"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3,725,987 </w:t>
            </w:r>
          </w:p>
        </w:tc>
        <w:tc>
          <w:tcPr>
            <w:tcW w:w="977" w:type="dxa"/>
            <w:tcBorders>
              <w:top w:val="single" w:sz="4" w:space="0" w:color="auto"/>
              <w:left w:val="nil"/>
              <w:bottom w:val="single" w:sz="4" w:space="0" w:color="auto"/>
              <w:right w:val="nil"/>
            </w:tcBorders>
            <w:shd w:val="clear" w:color="auto" w:fill="auto"/>
            <w:noWrap/>
            <w:vAlign w:val="bottom"/>
            <w:hideMark/>
          </w:tcPr>
          <w:p w14:paraId="22AE110D" w14:textId="13FD7F0F"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5,440,486 </w:t>
            </w:r>
          </w:p>
        </w:tc>
        <w:tc>
          <w:tcPr>
            <w:tcW w:w="977" w:type="dxa"/>
            <w:tcBorders>
              <w:top w:val="single" w:sz="4" w:space="0" w:color="auto"/>
              <w:left w:val="nil"/>
              <w:bottom w:val="single" w:sz="4" w:space="0" w:color="auto"/>
              <w:right w:val="nil"/>
            </w:tcBorders>
            <w:shd w:val="clear" w:color="auto" w:fill="auto"/>
            <w:noWrap/>
            <w:vAlign w:val="bottom"/>
            <w:hideMark/>
          </w:tcPr>
          <w:p w14:paraId="0AD0E3C3" w14:textId="4213AE3C"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5,129,157 </w:t>
            </w:r>
          </w:p>
        </w:tc>
        <w:tc>
          <w:tcPr>
            <w:tcW w:w="977" w:type="dxa"/>
            <w:tcBorders>
              <w:top w:val="single" w:sz="4" w:space="0" w:color="auto"/>
              <w:left w:val="nil"/>
              <w:bottom w:val="single" w:sz="4" w:space="0" w:color="auto"/>
              <w:right w:val="nil"/>
            </w:tcBorders>
            <w:shd w:val="clear" w:color="auto" w:fill="auto"/>
            <w:noWrap/>
            <w:vAlign w:val="bottom"/>
            <w:hideMark/>
          </w:tcPr>
          <w:p w14:paraId="0ABE77A0" w14:textId="6A527E9C"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4,587,589 </w:t>
            </w:r>
          </w:p>
        </w:tc>
      </w:tr>
      <w:tr w:rsidR="002E58CB" w:rsidRPr="00B6111F" w14:paraId="7AAC75FB" w14:textId="77777777" w:rsidTr="00F96D8A">
        <w:trPr>
          <w:trHeight w:val="204"/>
        </w:trPr>
        <w:tc>
          <w:tcPr>
            <w:tcW w:w="2835" w:type="dxa"/>
            <w:tcBorders>
              <w:top w:val="nil"/>
              <w:left w:val="nil"/>
              <w:bottom w:val="nil"/>
              <w:right w:val="nil"/>
            </w:tcBorders>
            <w:shd w:val="clear" w:color="auto" w:fill="auto"/>
            <w:noWrap/>
            <w:vAlign w:val="bottom"/>
            <w:hideMark/>
          </w:tcPr>
          <w:p w14:paraId="3F9C6CD7" w14:textId="0441E24F" w:rsidR="002E58CB" w:rsidRPr="00B6111F" w:rsidRDefault="002E58CB" w:rsidP="002E58CB">
            <w:pPr>
              <w:spacing w:after="0" w:line="240" w:lineRule="auto"/>
              <w:jc w:val="left"/>
              <w:rPr>
                <w:rFonts w:ascii="Arial" w:hAnsi="Arial" w:cs="Arial"/>
                <w:sz w:val="16"/>
                <w:szCs w:val="16"/>
              </w:rPr>
            </w:pPr>
            <w:r>
              <w:rPr>
                <w:rFonts w:ascii="Arial" w:hAnsi="Arial" w:cs="Arial"/>
                <w:sz w:val="16"/>
                <w:szCs w:val="16"/>
              </w:rPr>
              <w:t>Department</w:t>
            </w:r>
            <w:r w:rsidRPr="00B6111F">
              <w:rPr>
                <w:rFonts w:ascii="Arial" w:hAnsi="Arial" w:cs="Arial"/>
                <w:sz w:val="16"/>
                <w:szCs w:val="16"/>
              </w:rPr>
              <w:t>al expenses</w:t>
            </w:r>
          </w:p>
        </w:tc>
        <w:tc>
          <w:tcPr>
            <w:tcW w:w="993" w:type="dxa"/>
            <w:tcBorders>
              <w:top w:val="nil"/>
              <w:left w:val="nil"/>
              <w:bottom w:val="nil"/>
              <w:right w:val="nil"/>
            </w:tcBorders>
            <w:shd w:val="clear" w:color="auto" w:fill="auto"/>
            <w:noWrap/>
            <w:vAlign w:val="bottom"/>
            <w:hideMark/>
          </w:tcPr>
          <w:p w14:paraId="6F085B21" w14:textId="77777777" w:rsidR="002E58CB" w:rsidRPr="00B6111F"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E9CF7D3" w14:textId="79D01689"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6DC36CA" w14:textId="77777777" w:rsidR="002E58CB" w:rsidRPr="00B6111F" w:rsidRDefault="002E58CB" w:rsidP="002E58CB">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92EB4C1" w14:textId="77777777" w:rsidR="002E58CB" w:rsidRPr="00B6111F" w:rsidRDefault="002E58CB" w:rsidP="002E58CB">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6FD933FD" w14:textId="77777777" w:rsidR="002E58CB" w:rsidRPr="00B6111F" w:rsidRDefault="002E58CB" w:rsidP="002E58CB">
            <w:pPr>
              <w:spacing w:after="0" w:line="240" w:lineRule="auto"/>
              <w:jc w:val="right"/>
              <w:rPr>
                <w:rFonts w:ascii="Times New Roman" w:hAnsi="Times New Roman"/>
                <w:sz w:val="16"/>
                <w:szCs w:val="16"/>
              </w:rPr>
            </w:pPr>
          </w:p>
        </w:tc>
      </w:tr>
      <w:tr w:rsidR="002E58CB" w:rsidRPr="00B6111F" w14:paraId="32773319" w14:textId="77777777" w:rsidTr="00F96D8A">
        <w:trPr>
          <w:trHeight w:val="204"/>
        </w:trPr>
        <w:tc>
          <w:tcPr>
            <w:tcW w:w="2835" w:type="dxa"/>
            <w:tcBorders>
              <w:top w:val="nil"/>
              <w:left w:val="nil"/>
              <w:bottom w:val="nil"/>
              <w:right w:val="nil"/>
            </w:tcBorders>
            <w:shd w:val="clear" w:color="auto" w:fill="auto"/>
            <w:vAlign w:val="bottom"/>
            <w:hideMark/>
          </w:tcPr>
          <w:p w14:paraId="45370ECD" w14:textId="33C004FB" w:rsidR="002E58CB" w:rsidRPr="00B6111F" w:rsidRDefault="002E58CB" w:rsidP="002E58CB">
            <w:pPr>
              <w:spacing w:after="0" w:line="240" w:lineRule="auto"/>
              <w:ind w:left="113"/>
              <w:jc w:val="left"/>
              <w:rPr>
                <w:rFonts w:ascii="Arial" w:hAnsi="Arial" w:cs="Arial"/>
                <w:sz w:val="16"/>
                <w:szCs w:val="16"/>
              </w:rPr>
            </w:pPr>
            <w:r>
              <w:rPr>
                <w:rFonts w:ascii="Arial" w:hAnsi="Arial" w:cs="Arial"/>
                <w:sz w:val="16"/>
                <w:szCs w:val="16"/>
              </w:rPr>
              <w:t>Department</w:t>
            </w:r>
            <w:r w:rsidRPr="00B6111F">
              <w:rPr>
                <w:rFonts w:ascii="Arial" w:hAnsi="Arial" w:cs="Arial"/>
                <w:sz w:val="16"/>
                <w:szCs w:val="16"/>
              </w:rPr>
              <w:t>al appropriation</w:t>
            </w:r>
          </w:p>
        </w:tc>
        <w:tc>
          <w:tcPr>
            <w:tcW w:w="993" w:type="dxa"/>
            <w:tcBorders>
              <w:top w:val="nil"/>
              <w:left w:val="nil"/>
              <w:bottom w:val="nil"/>
              <w:right w:val="nil"/>
            </w:tcBorders>
            <w:shd w:val="clear" w:color="auto" w:fill="auto"/>
            <w:noWrap/>
            <w:vAlign w:val="bottom"/>
            <w:hideMark/>
          </w:tcPr>
          <w:p w14:paraId="6C3FA89C" w14:textId="20204696"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66,342 </w:t>
            </w:r>
          </w:p>
        </w:tc>
        <w:tc>
          <w:tcPr>
            <w:tcW w:w="977" w:type="dxa"/>
            <w:tcBorders>
              <w:top w:val="nil"/>
              <w:left w:val="nil"/>
              <w:bottom w:val="nil"/>
              <w:right w:val="nil"/>
            </w:tcBorders>
            <w:shd w:val="clear" w:color="000000" w:fill="E6E6E6"/>
            <w:noWrap/>
            <w:vAlign w:val="bottom"/>
            <w:hideMark/>
          </w:tcPr>
          <w:p w14:paraId="61345637" w14:textId="79F0C521"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87,864 </w:t>
            </w:r>
          </w:p>
        </w:tc>
        <w:tc>
          <w:tcPr>
            <w:tcW w:w="977" w:type="dxa"/>
            <w:tcBorders>
              <w:top w:val="nil"/>
              <w:left w:val="nil"/>
              <w:bottom w:val="nil"/>
              <w:right w:val="nil"/>
            </w:tcBorders>
            <w:shd w:val="clear" w:color="auto" w:fill="auto"/>
            <w:noWrap/>
            <w:vAlign w:val="bottom"/>
            <w:hideMark/>
          </w:tcPr>
          <w:p w14:paraId="2FDC6B66" w14:textId="13713274"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61,969 </w:t>
            </w:r>
          </w:p>
        </w:tc>
        <w:tc>
          <w:tcPr>
            <w:tcW w:w="977" w:type="dxa"/>
            <w:tcBorders>
              <w:top w:val="nil"/>
              <w:left w:val="nil"/>
              <w:bottom w:val="nil"/>
              <w:right w:val="nil"/>
            </w:tcBorders>
            <w:shd w:val="clear" w:color="auto" w:fill="auto"/>
            <w:noWrap/>
            <w:vAlign w:val="bottom"/>
            <w:hideMark/>
          </w:tcPr>
          <w:p w14:paraId="361105B7" w14:textId="0F848760"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51,943 </w:t>
            </w:r>
          </w:p>
        </w:tc>
        <w:tc>
          <w:tcPr>
            <w:tcW w:w="977" w:type="dxa"/>
            <w:tcBorders>
              <w:top w:val="nil"/>
              <w:left w:val="nil"/>
              <w:bottom w:val="nil"/>
              <w:right w:val="nil"/>
            </w:tcBorders>
            <w:shd w:val="clear" w:color="auto" w:fill="auto"/>
            <w:noWrap/>
            <w:vAlign w:val="bottom"/>
            <w:hideMark/>
          </w:tcPr>
          <w:p w14:paraId="46151945" w14:textId="3B32F13E"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50,363 </w:t>
            </w:r>
          </w:p>
        </w:tc>
      </w:tr>
      <w:tr w:rsidR="002E58CB" w:rsidRPr="00B6111F" w14:paraId="4FECF5BD" w14:textId="77777777" w:rsidTr="00F96D8A">
        <w:trPr>
          <w:trHeight w:val="204"/>
        </w:trPr>
        <w:tc>
          <w:tcPr>
            <w:tcW w:w="2835" w:type="dxa"/>
            <w:tcBorders>
              <w:top w:val="nil"/>
              <w:left w:val="nil"/>
              <w:bottom w:val="nil"/>
              <w:right w:val="nil"/>
            </w:tcBorders>
            <w:shd w:val="clear" w:color="auto" w:fill="auto"/>
            <w:vAlign w:val="bottom"/>
            <w:hideMark/>
          </w:tcPr>
          <w:p w14:paraId="21F0276B" w14:textId="08A25F60" w:rsidR="002E58CB" w:rsidRPr="00B6111F" w:rsidRDefault="002E58CB" w:rsidP="00AC4BC5">
            <w:pPr>
              <w:spacing w:after="0" w:line="240" w:lineRule="auto"/>
              <w:ind w:left="113"/>
              <w:jc w:val="left"/>
              <w:rPr>
                <w:rFonts w:ascii="Arial" w:hAnsi="Arial" w:cs="Arial"/>
                <w:sz w:val="16"/>
                <w:szCs w:val="16"/>
              </w:rPr>
            </w:pPr>
            <w:r w:rsidRPr="00B6111F">
              <w:rPr>
                <w:rFonts w:ascii="Arial" w:hAnsi="Arial" w:cs="Arial"/>
                <w:sz w:val="16"/>
                <w:szCs w:val="16"/>
              </w:rPr>
              <w:t xml:space="preserve">s74 </w:t>
            </w:r>
            <w:r w:rsidR="00AC4BC5">
              <w:rPr>
                <w:rFonts w:ascii="Arial" w:hAnsi="Arial" w:cs="Arial"/>
                <w:sz w:val="16"/>
                <w:szCs w:val="16"/>
              </w:rPr>
              <w:t>external revenues</w:t>
            </w:r>
            <w:r w:rsidRPr="00B6111F">
              <w:rPr>
                <w:rFonts w:ascii="Arial" w:hAnsi="Arial" w:cs="Arial"/>
                <w:sz w:val="16"/>
                <w:szCs w:val="16"/>
              </w:rPr>
              <w:t xml:space="preserve"> </w:t>
            </w:r>
            <w:r w:rsidRPr="00583D06">
              <w:rPr>
                <w:rFonts w:ascii="Arial" w:hAnsi="Arial" w:cs="Arial"/>
                <w:sz w:val="16"/>
                <w:szCs w:val="16"/>
                <w:vertAlign w:val="superscript"/>
              </w:rPr>
              <w:t>(</w:t>
            </w:r>
            <w:r w:rsidR="00BD6527">
              <w:rPr>
                <w:rFonts w:ascii="Arial" w:hAnsi="Arial" w:cs="Arial"/>
                <w:sz w:val="16"/>
                <w:szCs w:val="16"/>
                <w:vertAlign w:val="superscript"/>
              </w:rPr>
              <w:t>d</w:t>
            </w:r>
            <w:r w:rsidRPr="00583D06">
              <w:rPr>
                <w:rFonts w:ascii="Arial" w:hAnsi="Arial" w:cs="Arial"/>
                <w:sz w:val="16"/>
                <w:szCs w:val="16"/>
                <w:vertAlign w:val="superscript"/>
              </w:rPr>
              <w:t>)</w:t>
            </w:r>
          </w:p>
        </w:tc>
        <w:tc>
          <w:tcPr>
            <w:tcW w:w="993" w:type="dxa"/>
            <w:tcBorders>
              <w:top w:val="nil"/>
              <w:left w:val="nil"/>
              <w:bottom w:val="nil"/>
              <w:right w:val="nil"/>
            </w:tcBorders>
            <w:shd w:val="clear" w:color="auto" w:fill="auto"/>
            <w:noWrap/>
            <w:vAlign w:val="bottom"/>
            <w:hideMark/>
          </w:tcPr>
          <w:p w14:paraId="1524E57A" w14:textId="23137B52"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1,893 </w:t>
            </w:r>
          </w:p>
        </w:tc>
        <w:tc>
          <w:tcPr>
            <w:tcW w:w="977" w:type="dxa"/>
            <w:tcBorders>
              <w:top w:val="nil"/>
              <w:left w:val="nil"/>
              <w:bottom w:val="nil"/>
              <w:right w:val="nil"/>
            </w:tcBorders>
            <w:shd w:val="clear" w:color="000000" w:fill="E6E6E6"/>
            <w:noWrap/>
            <w:vAlign w:val="bottom"/>
            <w:hideMark/>
          </w:tcPr>
          <w:p w14:paraId="4384363D" w14:textId="5A57B86D"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2,076 </w:t>
            </w:r>
          </w:p>
        </w:tc>
        <w:tc>
          <w:tcPr>
            <w:tcW w:w="977" w:type="dxa"/>
            <w:tcBorders>
              <w:top w:val="nil"/>
              <w:left w:val="nil"/>
              <w:bottom w:val="nil"/>
              <w:right w:val="nil"/>
            </w:tcBorders>
            <w:shd w:val="clear" w:color="auto" w:fill="auto"/>
            <w:noWrap/>
            <w:vAlign w:val="bottom"/>
            <w:hideMark/>
          </w:tcPr>
          <w:p w14:paraId="42218F7D" w14:textId="43AE2241"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1,912 </w:t>
            </w:r>
          </w:p>
        </w:tc>
        <w:tc>
          <w:tcPr>
            <w:tcW w:w="977" w:type="dxa"/>
            <w:tcBorders>
              <w:top w:val="nil"/>
              <w:left w:val="nil"/>
              <w:bottom w:val="nil"/>
              <w:right w:val="nil"/>
            </w:tcBorders>
            <w:shd w:val="clear" w:color="auto" w:fill="auto"/>
            <w:noWrap/>
            <w:vAlign w:val="bottom"/>
            <w:hideMark/>
          </w:tcPr>
          <w:p w14:paraId="1C8A7346" w14:textId="5FF12565"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1,839 </w:t>
            </w:r>
          </w:p>
        </w:tc>
        <w:tc>
          <w:tcPr>
            <w:tcW w:w="977" w:type="dxa"/>
            <w:tcBorders>
              <w:top w:val="nil"/>
              <w:left w:val="nil"/>
              <w:bottom w:val="nil"/>
              <w:right w:val="nil"/>
            </w:tcBorders>
            <w:shd w:val="clear" w:color="auto" w:fill="auto"/>
            <w:noWrap/>
            <w:vAlign w:val="bottom"/>
            <w:hideMark/>
          </w:tcPr>
          <w:p w14:paraId="0674F523" w14:textId="1496FDDB"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1,822 </w:t>
            </w:r>
          </w:p>
        </w:tc>
      </w:tr>
      <w:tr w:rsidR="002E58CB" w:rsidRPr="00B6111F" w14:paraId="710136CF" w14:textId="77777777" w:rsidTr="00F96D8A">
        <w:trPr>
          <w:trHeight w:val="204"/>
        </w:trPr>
        <w:tc>
          <w:tcPr>
            <w:tcW w:w="2835" w:type="dxa"/>
            <w:tcBorders>
              <w:top w:val="nil"/>
              <w:left w:val="nil"/>
              <w:bottom w:val="nil"/>
              <w:right w:val="nil"/>
            </w:tcBorders>
            <w:shd w:val="clear" w:color="auto" w:fill="auto"/>
            <w:vAlign w:val="bottom"/>
            <w:hideMark/>
          </w:tcPr>
          <w:p w14:paraId="509C2C13" w14:textId="77777777" w:rsidR="002E58CB" w:rsidRPr="00B6111F" w:rsidRDefault="002E58CB" w:rsidP="002E58CB">
            <w:pPr>
              <w:spacing w:after="0" w:line="240" w:lineRule="auto"/>
              <w:ind w:left="113"/>
              <w:jc w:val="left"/>
              <w:rPr>
                <w:rFonts w:ascii="Arial" w:hAnsi="Arial" w:cs="Arial"/>
                <w:sz w:val="16"/>
                <w:szCs w:val="16"/>
              </w:rPr>
            </w:pPr>
            <w:r w:rsidRPr="00B6111F">
              <w:rPr>
                <w:rFonts w:ascii="Arial" w:hAnsi="Arial" w:cs="Arial"/>
                <w:sz w:val="16"/>
                <w:szCs w:val="16"/>
              </w:rPr>
              <w:t>Expenses not</w:t>
            </w:r>
            <w:r>
              <w:rPr>
                <w:rFonts w:ascii="Arial" w:hAnsi="Arial" w:cs="Arial"/>
                <w:sz w:val="16"/>
                <w:szCs w:val="16"/>
              </w:rPr>
              <w:t xml:space="preserve"> requiring appropriation in the B</w:t>
            </w:r>
            <w:r w:rsidRPr="00B6111F">
              <w:rPr>
                <w:rFonts w:ascii="Arial" w:hAnsi="Arial" w:cs="Arial"/>
                <w:sz w:val="16"/>
                <w:szCs w:val="16"/>
              </w:rPr>
              <w:t xml:space="preserve">udget year </w:t>
            </w:r>
            <w:r w:rsidRPr="00583D06">
              <w:rPr>
                <w:rFonts w:ascii="Arial" w:hAnsi="Arial" w:cs="Arial"/>
                <w:sz w:val="16"/>
                <w:szCs w:val="16"/>
                <w:vertAlign w:val="superscript"/>
              </w:rPr>
              <w:t>(e)</w:t>
            </w:r>
          </w:p>
        </w:tc>
        <w:tc>
          <w:tcPr>
            <w:tcW w:w="993" w:type="dxa"/>
            <w:tcBorders>
              <w:top w:val="nil"/>
              <w:left w:val="nil"/>
              <w:bottom w:val="nil"/>
              <w:right w:val="nil"/>
            </w:tcBorders>
            <w:shd w:val="clear" w:color="auto" w:fill="auto"/>
            <w:noWrap/>
            <w:vAlign w:val="bottom"/>
            <w:hideMark/>
          </w:tcPr>
          <w:p w14:paraId="1253BBA2" w14:textId="23A81590"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1,276 </w:t>
            </w:r>
          </w:p>
        </w:tc>
        <w:tc>
          <w:tcPr>
            <w:tcW w:w="977" w:type="dxa"/>
            <w:tcBorders>
              <w:top w:val="nil"/>
              <w:left w:val="nil"/>
              <w:bottom w:val="nil"/>
              <w:right w:val="nil"/>
            </w:tcBorders>
            <w:shd w:val="clear" w:color="000000" w:fill="E6E6E6"/>
            <w:noWrap/>
            <w:vAlign w:val="bottom"/>
            <w:hideMark/>
          </w:tcPr>
          <w:p w14:paraId="3151EA74" w14:textId="51BBBB5C"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1,494 </w:t>
            </w:r>
          </w:p>
        </w:tc>
        <w:tc>
          <w:tcPr>
            <w:tcW w:w="977" w:type="dxa"/>
            <w:tcBorders>
              <w:top w:val="nil"/>
              <w:left w:val="nil"/>
              <w:bottom w:val="nil"/>
              <w:right w:val="nil"/>
            </w:tcBorders>
            <w:shd w:val="clear" w:color="auto" w:fill="auto"/>
            <w:noWrap/>
            <w:vAlign w:val="bottom"/>
            <w:hideMark/>
          </w:tcPr>
          <w:p w14:paraId="2E9C2B40" w14:textId="345F2683"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1,235 </w:t>
            </w:r>
          </w:p>
        </w:tc>
        <w:tc>
          <w:tcPr>
            <w:tcW w:w="977" w:type="dxa"/>
            <w:tcBorders>
              <w:top w:val="nil"/>
              <w:left w:val="nil"/>
              <w:bottom w:val="nil"/>
              <w:right w:val="nil"/>
            </w:tcBorders>
            <w:shd w:val="clear" w:color="auto" w:fill="auto"/>
            <w:noWrap/>
            <w:vAlign w:val="bottom"/>
            <w:hideMark/>
          </w:tcPr>
          <w:p w14:paraId="3833F830" w14:textId="0047EEA1"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593 </w:t>
            </w:r>
          </w:p>
        </w:tc>
        <w:tc>
          <w:tcPr>
            <w:tcW w:w="977" w:type="dxa"/>
            <w:tcBorders>
              <w:top w:val="nil"/>
              <w:left w:val="nil"/>
              <w:bottom w:val="nil"/>
              <w:right w:val="nil"/>
            </w:tcBorders>
            <w:shd w:val="clear" w:color="auto" w:fill="auto"/>
            <w:noWrap/>
            <w:vAlign w:val="bottom"/>
            <w:hideMark/>
          </w:tcPr>
          <w:p w14:paraId="3CC51D48" w14:textId="521D5109" w:rsidR="002E58CB" w:rsidRPr="00B6111F" w:rsidRDefault="002E58CB" w:rsidP="002E58CB">
            <w:pPr>
              <w:spacing w:after="0" w:line="240" w:lineRule="auto"/>
              <w:jc w:val="right"/>
              <w:rPr>
                <w:rFonts w:ascii="Arial" w:hAnsi="Arial" w:cs="Arial"/>
                <w:sz w:val="16"/>
                <w:szCs w:val="16"/>
              </w:rPr>
            </w:pPr>
            <w:r>
              <w:rPr>
                <w:rFonts w:ascii="Arial" w:hAnsi="Arial" w:cs="Arial"/>
                <w:sz w:val="16"/>
                <w:szCs w:val="16"/>
              </w:rPr>
              <w:t xml:space="preserve">588 </w:t>
            </w:r>
          </w:p>
        </w:tc>
      </w:tr>
      <w:tr w:rsidR="002E58CB" w:rsidRPr="00B6111F" w14:paraId="03D74F29" w14:textId="77777777" w:rsidTr="00F96D8A">
        <w:trPr>
          <w:trHeight w:val="204"/>
        </w:trPr>
        <w:tc>
          <w:tcPr>
            <w:tcW w:w="2835" w:type="dxa"/>
            <w:tcBorders>
              <w:top w:val="nil"/>
              <w:left w:val="nil"/>
              <w:bottom w:val="nil"/>
              <w:right w:val="nil"/>
            </w:tcBorders>
            <w:shd w:val="clear" w:color="auto" w:fill="auto"/>
            <w:vAlign w:val="bottom"/>
            <w:hideMark/>
          </w:tcPr>
          <w:p w14:paraId="56A0935E" w14:textId="5BFA88E2" w:rsidR="002E58CB" w:rsidRPr="00B6111F" w:rsidRDefault="002E58CB" w:rsidP="00F35F54">
            <w:pPr>
              <w:spacing w:after="0" w:line="240" w:lineRule="auto"/>
              <w:jc w:val="left"/>
              <w:rPr>
                <w:rFonts w:ascii="Arial" w:hAnsi="Arial" w:cs="Arial"/>
                <w:b/>
                <w:bCs/>
                <w:sz w:val="16"/>
                <w:szCs w:val="16"/>
              </w:rPr>
            </w:pPr>
            <w:r w:rsidRPr="00B6111F">
              <w:rPr>
                <w:rFonts w:ascii="Arial" w:hAnsi="Arial" w:cs="Arial"/>
                <w:b/>
                <w:bCs/>
                <w:sz w:val="16"/>
                <w:szCs w:val="16"/>
              </w:rPr>
              <w:t xml:space="preserve">Total </w:t>
            </w:r>
            <w:r>
              <w:rPr>
                <w:rFonts w:ascii="Arial" w:hAnsi="Arial" w:cs="Arial"/>
                <w:b/>
                <w:bCs/>
                <w:sz w:val="16"/>
                <w:szCs w:val="16"/>
              </w:rPr>
              <w:t>Department</w:t>
            </w:r>
            <w:r w:rsidRPr="00B6111F">
              <w:rPr>
                <w:rFonts w:ascii="Arial" w:hAnsi="Arial" w:cs="Arial"/>
                <w:b/>
                <w:bCs/>
                <w:sz w:val="16"/>
                <w:szCs w:val="16"/>
              </w:rPr>
              <w:t>al expenses</w:t>
            </w:r>
          </w:p>
        </w:tc>
        <w:tc>
          <w:tcPr>
            <w:tcW w:w="993" w:type="dxa"/>
            <w:tcBorders>
              <w:top w:val="single" w:sz="4" w:space="0" w:color="auto"/>
              <w:left w:val="nil"/>
              <w:bottom w:val="single" w:sz="4" w:space="0" w:color="auto"/>
              <w:right w:val="nil"/>
            </w:tcBorders>
            <w:shd w:val="clear" w:color="auto" w:fill="auto"/>
            <w:noWrap/>
            <w:vAlign w:val="bottom"/>
            <w:hideMark/>
          </w:tcPr>
          <w:p w14:paraId="694253D7" w14:textId="188BB91D"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69,511 </w:t>
            </w:r>
          </w:p>
        </w:tc>
        <w:tc>
          <w:tcPr>
            <w:tcW w:w="977" w:type="dxa"/>
            <w:tcBorders>
              <w:top w:val="single" w:sz="4" w:space="0" w:color="auto"/>
              <w:left w:val="nil"/>
              <w:bottom w:val="single" w:sz="4" w:space="0" w:color="auto"/>
              <w:right w:val="nil"/>
            </w:tcBorders>
            <w:shd w:val="clear" w:color="000000" w:fill="E6E6E6"/>
            <w:noWrap/>
            <w:vAlign w:val="bottom"/>
            <w:hideMark/>
          </w:tcPr>
          <w:p w14:paraId="30973F04" w14:textId="6CBA3CF9"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91,434 </w:t>
            </w:r>
          </w:p>
        </w:tc>
        <w:tc>
          <w:tcPr>
            <w:tcW w:w="977" w:type="dxa"/>
            <w:tcBorders>
              <w:top w:val="single" w:sz="4" w:space="0" w:color="auto"/>
              <w:left w:val="nil"/>
              <w:bottom w:val="single" w:sz="4" w:space="0" w:color="auto"/>
              <w:right w:val="nil"/>
            </w:tcBorders>
            <w:shd w:val="clear" w:color="auto" w:fill="auto"/>
            <w:noWrap/>
            <w:vAlign w:val="bottom"/>
            <w:hideMark/>
          </w:tcPr>
          <w:p w14:paraId="3559431D" w14:textId="14E67050"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65,116 </w:t>
            </w:r>
          </w:p>
        </w:tc>
        <w:tc>
          <w:tcPr>
            <w:tcW w:w="977" w:type="dxa"/>
            <w:tcBorders>
              <w:top w:val="single" w:sz="4" w:space="0" w:color="auto"/>
              <w:left w:val="nil"/>
              <w:bottom w:val="single" w:sz="4" w:space="0" w:color="auto"/>
              <w:right w:val="nil"/>
            </w:tcBorders>
            <w:shd w:val="clear" w:color="auto" w:fill="auto"/>
            <w:noWrap/>
            <w:vAlign w:val="bottom"/>
            <w:hideMark/>
          </w:tcPr>
          <w:p w14:paraId="3C706E07" w14:textId="3A49D81A"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54,375 </w:t>
            </w:r>
          </w:p>
        </w:tc>
        <w:tc>
          <w:tcPr>
            <w:tcW w:w="977" w:type="dxa"/>
            <w:tcBorders>
              <w:top w:val="single" w:sz="4" w:space="0" w:color="auto"/>
              <w:left w:val="nil"/>
              <w:bottom w:val="single" w:sz="4" w:space="0" w:color="auto"/>
              <w:right w:val="nil"/>
            </w:tcBorders>
            <w:shd w:val="clear" w:color="auto" w:fill="auto"/>
            <w:noWrap/>
            <w:vAlign w:val="bottom"/>
            <w:hideMark/>
          </w:tcPr>
          <w:p w14:paraId="4039C8C0" w14:textId="5D081C8B"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52,773 </w:t>
            </w:r>
          </w:p>
        </w:tc>
      </w:tr>
      <w:tr w:rsidR="002E58CB" w:rsidRPr="00B6111F" w14:paraId="1B2E61B3"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76049076" w14:textId="77777777" w:rsidR="002E58CB" w:rsidRPr="00B6111F" w:rsidRDefault="002E58CB" w:rsidP="002E58CB">
            <w:pPr>
              <w:spacing w:after="0" w:line="240" w:lineRule="auto"/>
              <w:jc w:val="left"/>
              <w:rPr>
                <w:rFonts w:ascii="Arial" w:hAnsi="Arial" w:cs="Arial"/>
                <w:b/>
                <w:bCs/>
                <w:sz w:val="16"/>
                <w:szCs w:val="16"/>
              </w:rPr>
            </w:pPr>
            <w:r w:rsidRPr="00B6111F">
              <w:rPr>
                <w:rFonts w:ascii="Arial" w:hAnsi="Arial" w:cs="Arial"/>
                <w:b/>
                <w:bCs/>
                <w:sz w:val="16"/>
                <w:szCs w:val="16"/>
              </w:rPr>
              <w:t>Total expenses for Outcome 3</w:t>
            </w:r>
          </w:p>
        </w:tc>
        <w:tc>
          <w:tcPr>
            <w:tcW w:w="993" w:type="dxa"/>
            <w:tcBorders>
              <w:top w:val="nil"/>
              <w:left w:val="nil"/>
              <w:bottom w:val="single" w:sz="4" w:space="0" w:color="auto"/>
              <w:right w:val="nil"/>
            </w:tcBorders>
            <w:shd w:val="clear" w:color="auto" w:fill="auto"/>
            <w:noWrap/>
            <w:vAlign w:val="bottom"/>
            <w:hideMark/>
          </w:tcPr>
          <w:p w14:paraId="28270464" w14:textId="64CBE90A"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5,647,747 </w:t>
            </w:r>
          </w:p>
        </w:tc>
        <w:tc>
          <w:tcPr>
            <w:tcW w:w="977" w:type="dxa"/>
            <w:tcBorders>
              <w:top w:val="nil"/>
              <w:left w:val="nil"/>
              <w:bottom w:val="single" w:sz="4" w:space="0" w:color="auto"/>
              <w:right w:val="nil"/>
            </w:tcBorders>
            <w:shd w:val="clear" w:color="000000" w:fill="E6E6E6"/>
            <w:noWrap/>
            <w:vAlign w:val="bottom"/>
            <w:hideMark/>
          </w:tcPr>
          <w:p w14:paraId="7BE03E2D" w14:textId="17AA0E1F"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3,817,421 </w:t>
            </w:r>
          </w:p>
        </w:tc>
        <w:tc>
          <w:tcPr>
            <w:tcW w:w="977" w:type="dxa"/>
            <w:tcBorders>
              <w:top w:val="nil"/>
              <w:left w:val="nil"/>
              <w:bottom w:val="single" w:sz="4" w:space="0" w:color="auto"/>
              <w:right w:val="nil"/>
            </w:tcBorders>
            <w:shd w:val="clear" w:color="auto" w:fill="auto"/>
            <w:noWrap/>
            <w:vAlign w:val="bottom"/>
            <w:hideMark/>
          </w:tcPr>
          <w:p w14:paraId="64BE39FC" w14:textId="18D97DE2"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5,505,602 </w:t>
            </w:r>
          </w:p>
        </w:tc>
        <w:tc>
          <w:tcPr>
            <w:tcW w:w="977" w:type="dxa"/>
            <w:tcBorders>
              <w:top w:val="nil"/>
              <w:left w:val="nil"/>
              <w:bottom w:val="single" w:sz="4" w:space="0" w:color="auto"/>
              <w:right w:val="nil"/>
            </w:tcBorders>
            <w:shd w:val="clear" w:color="auto" w:fill="auto"/>
            <w:noWrap/>
            <w:vAlign w:val="bottom"/>
            <w:hideMark/>
          </w:tcPr>
          <w:p w14:paraId="70C35947" w14:textId="3DB0B9A4"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5,183,532 </w:t>
            </w:r>
          </w:p>
        </w:tc>
        <w:tc>
          <w:tcPr>
            <w:tcW w:w="977" w:type="dxa"/>
            <w:tcBorders>
              <w:top w:val="nil"/>
              <w:left w:val="nil"/>
              <w:bottom w:val="single" w:sz="4" w:space="0" w:color="auto"/>
              <w:right w:val="nil"/>
            </w:tcBorders>
            <w:shd w:val="clear" w:color="auto" w:fill="auto"/>
            <w:noWrap/>
            <w:vAlign w:val="bottom"/>
            <w:hideMark/>
          </w:tcPr>
          <w:p w14:paraId="1144E5BE" w14:textId="768165CC" w:rsidR="002E58CB" w:rsidRPr="00B6111F" w:rsidRDefault="002E58CB" w:rsidP="002E58CB">
            <w:pPr>
              <w:spacing w:after="0" w:line="240" w:lineRule="auto"/>
              <w:jc w:val="right"/>
              <w:rPr>
                <w:rFonts w:ascii="Arial" w:hAnsi="Arial" w:cs="Arial"/>
                <w:b/>
                <w:bCs/>
                <w:sz w:val="16"/>
                <w:szCs w:val="16"/>
              </w:rPr>
            </w:pPr>
            <w:r>
              <w:rPr>
                <w:rFonts w:ascii="Arial" w:hAnsi="Arial" w:cs="Arial"/>
                <w:b/>
                <w:bCs/>
                <w:sz w:val="16"/>
                <w:szCs w:val="16"/>
              </w:rPr>
              <w:t xml:space="preserve">4,640,362 </w:t>
            </w:r>
          </w:p>
        </w:tc>
      </w:tr>
    </w:tbl>
    <w:p w14:paraId="5D66C1EE" w14:textId="77777777" w:rsidR="00B91F3E" w:rsidRPr="00583D06" w:rsidRDefault="00B91F3E" w:rsidP="00B91F3E">
      <w:pPr>
        <w:pStyle w:val="TableHeadingcontinued"/>
        <w:rPr>
          <w:rFonts w:ascii="Arial" w:hAnsi="Arial" w:cs="Arial"/>
          <w:sz w:val="12"/>
        </w:rPr>
      </w:pPr>
    </w:p>
    <w:tbl>
      <w:tblPr>
        <w:tblW w:w="7736" w:type="dxa"/>
        <w:tblLook w:val="04A0" w:firstRow="1" w:lastRow="0" w:firstColumn="1" w:lastColumn="0" w:noHBand="0" w:noVBand="1"/>
      </w:tblPr>
      <w:tblGrid>
        <w:gridCol w:w="2835"/>
        <w:gridCol w:w="993"/>
        <w:gridCol w:w="977"/>
        <w:gridCol w:w="977"/>
        <w:gridCol w:w="977"/>
        <w:gridCol w:w="977"/>
      </w:tblGrid>
      <w:tr w:rsidR="00B91F3E" w:rsidRPr="00B6111F" w14:paraId="0E3656C7" w14:textId="77777777" w:rsidTr="00872667">
        <w:trPr>
          <w:trHeight w:val="204"/>
        </w:trPr>
        <w:tc>
          <w:tcPr>
            <w:tcW w:w="2835" w:type="dxa"/>
            <w:tcBorders>
              <w:top w:val="single" w:sz="4" w:space="0" w:color="auto"/>
              <w:left w:val="nil"/>
              <w:bottom w:val="nil"/>
              <w:right w:val="nil"/>
            </w:tcBorders>
            <w:shd w:val="clear" w:color="auto" w:fill="auto"/>
            <w:noWrap/>
            <w:vAlign w:val="bottom"/>
            <w:hideMark/>
          </w:tcPr>
          <w:p w14:paraId="4A2AA040" w14:textId="77777777" w:rsidR="00B91F3E" w:rsidRPr="00B6111F" w:rsidRDefault="00B91F3E" w:rsidP="00F96D8A">
            <w:pPr>
              <w:spacing w:after="0" w:line="240" w:lineRule="auto"/>
              <w:jc w:val="left"/>
              <w:rPr>
                <w:rFonts w:ascii="Times New Roman" w:hAnsi="Times New Roman"/>
                <w:sz w:val="24"/>
                <w:szCs w:val="24"/>
              </w:rPr>
            </w:pPr>
          </w:p>
        </w:tc>
        <w:tc>
          <w:tcPr>
            <w:tcW w:w="993" w:type="dxa"/>
            <w:tcBorders>
              <w:top w:val="single" w:sz="4" w:space="0" w:color="auto"/>
              <w:left w:val="nil"/>
              <w:bottom w:val="single" w:sz="4" w:space="0" w:color="auto"/>
              <w:right w:val="nil"/>
            </w:tcBorders>
            <w:shd w:val="clear" w:color="auto" w:fill="auto"/>
            <w:vAlign w:val="bottom"/>
            <w:hideMark/>
          </w:tcPr>
          <w:p w14:paraId="60529A74"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2021-22 Actual expenses $'000</w:t>
            </w:r>
          </w:p>
        </w:tc>
        <w:tc>
          <w:tcPr>
            <w:tcW w:w="977" w:type="dxa"/>
            <w:tcBorders>
              <w:top w:val="single" w:sz="4" w:space="0" w:color="auto"/>
              <w:left w:val="nil"/>
              <w:bottom w:val="single" w:sz="4" w:space="0" w:color="auto"/>
              <w:right w:val="nil"/>
            </w:tcBorders>
            <w:shd w:val="clear" w:color="000000" w:fill="E6E6E6"/>
            <w:vAlign w:val="bottom"/>
            <w:hideMark/>
          </w:tcPr>
          <w:p w14:paraId="5BFC40DC" w14:textId="77777777" w:rsidR="00B91F3E" w:rsidRDefault="00B91F3E" w:rsidP="00F96D8A">
            <w:pPr>
              <w:spacing w:after="0" w:line="240" w:lineRule="auto"/>
              <w:jc w:val="right"/>
              <w:rPr>
                <w:rFonts w:ascii="Arial" w:hAnsi="Arial" w:cs="Arial"/>
                <w:sz w:val="16"/>
                <w:szCs w:val="16"/>
              </w:rPr>
            </w:pPr>
            <w:r w:rsidRPr="00B6111F">
              <w:rPr>
                <w:rFonts w:ascii="Arial" w:hAnsi="Arial" w:cs="Arial"/>
                <w:sz w:val="16"/>
                <w:szCs w:val="16"/>
              </w:rPr>
              <w:t xml:space="preserve">2022-23 </w:t>
            </w:r>
            <w:r>
              <w:rPr>
                <w:rFonts w:ascii="Arial" w:hAnsi="Arial" w:cs="Arial"/>
                <w:sz w:val="16"/>
                <w:szCs w:val="16"/>
              </w:rPr>
              <w:t>Budget</w:t>
            </w:r>
          </w:p>
          <w:p w14:paraId="77512743" w14:textId="77777777" w:rsidR="00B91F3E" w:rsidRDefault="00B91F3E" w:rsidP="00F96D8A">
            <w:pPr>
              <w:spacing w:after="0" w:line="240" w:lineRule="auto"/>
              <w:jc w:val="right"/>
              <w:rPr>
                <w:rFonts w:ascii="Arial" w:hAnsi="Arial" w:cs="Arial"/>
                <w:sz w:val="16"/>
                <w:szCs w:val="16"/>
              </w:rPr>
            </w:pPr>
          </w:p>
          <w:p w14:paraId="7F5C3264"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0F062CAE"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2023-24 Forward estimate $'000</w:t>
            </w:r>
          </w:p>
        </w:tc>
        <w:tc>
          <w:tcPr>
            <w:tcW w:w="977" w:type="dxa"/>
            <w:tcBorders>
              <w:top w:val="single" w:sz="4" w:space="0" w:color="auto"/>
              <w:left w:val="nil"/>
              <w:bottom w:val="single" w:sz="4" w:space="0" w:color="auto"/>
              <w:right w:val="nil"/>
            </w:tcBorders>
            <w:shd w:val="clear" w:color="auto" w:fill="auto"/>
            <w:vAlign w:val="bottom"/>
            <w:hideMark/>
          </w:tcPr>
          <w:p w14:paraId="7AECB68C"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2024-25 Forward estimate $'000</w:t>
            </w:r>
          </w:p>
        </w:tc>
        <w:tc>
          <w:tcPr>
            <w:tcW w:w="977" w:type="dxa"/>
            <w:tcBorders>
              <w:top w:val="single" w:sz="4" w:space="0" w:color="auto"/>
              <w:left w:val="nil"/>
              <w:bottom w:val="single" w:sz="4" w:space="0" w:color="auto"/>
              <w:right w:val="nil"/>
            </w:tcBorders>
            <w:shd w:val="clear" w:color="auto" w:fill="auto"/>
            <w:vAlign w:val="bottom"/>
            <w:hideMark/>
          </w:tcPr>
          <w:p w14:paraId="6624008F"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2025-26 Forward estimate $'000</w:t>
            </w:r>
          </w:p>
        </w:tc>
      </w:tr>
      <w:tr w:rsidR="00B91F3E" w:rsidRPr="00B6111F" w14:paraId="27CA7F99" w14:textId="77777777" w:rsidTr="00872667">
        <w:trPr>
          <w:trHeight w:val="204"/>
        </w:trPr>
        <w:tc>
          <w:tcPr>
            <w:tcW w:w="2835" w:type="dxa"/>
            <w:tcBorders>
              <w:top w:val="nil"/>
              <w:left w:val="nil"/>
              <w:bottom w:val="nil"/>
              <w:right w:val="nil"/>
            </w:tcBorders>
            <w:shd w:val="clear" w:color="auto" w:fill="auto"/>
            <w:vAlign w:val="bottom"/>
            <w:hideMark/>
          </w:tcPr>
          <w:p w14:paraId="55ABC830" w14:textId="387937E3" w:rsidR="00B91F3E" w:rsidRPr="00B6111F" w:rsidRDefault="00B91F3E" w:rsidP="00F96D8A">
            <w:pPr>
              <w:spacing w:after="0" w:line="240" w:lineRule="auto"/>
              <w:jc w:val="left"/>
              <w:rPr>
                <w:rFonts w:ascii="Arial" w:hAnsi="Arial" w:cs="Arial"/>
                <w:b/>
                <w:bCs/>
                <w:sz w:val="16"/>
                <w:szCs w:val="16"/>
              </w:rPr>
            </w:pPr>
            <w:r w:rsidRPr="00B6111F">
              <w:rPr>
                <w:rFonts w:ascii="Arial" w:hAnsi="Arial" w:cs="Arial"/>
                <w:b/>
                <w:bCs/>
                <w:sz w:val="16"/>
                <w:szCs w:val="16"/>
              </w:rPr>
              <w:t xml:space="preserve">Movement of administered funds between years </w:t>
            </w:r>
            <w:r w:rsidRPr="00827DF5">
              <w:rPr>
                <w:rFonts w:ascii="Arial" w:hAnsi="Arial" w:cs="Arial"/>
                <w:b/>
                <w:bCs/>
                <w:sz w:val="16"/>
                <w:szCs w:val="16"/>
                <w:vertAlign w:val="superscript"/>
              </w:rPr>
              <w:t>(f)</w:t>
            </w:r>
            <w:r w:rsidR="00B82F59">
              <w:rPr>
                <w:rFonts w:ascii="Arial" w:hAnsi="Arial" w:cs="Arial"/>
                <w:b/>
                <w:bCs/>
                <w:sz w:val="16"/>
                <w:szCs w:val="16"/>
                <w:vertAlign w:val="superscript"/>
              </w:rPr>
              <w:t xml:space="preserve"> </w:t>
            </w:r>
            <w:r w:rsidRPr="00827DF5">
              <w:rPr>
                <w:rFonts w:ascii="Arial" w:hAnsi="Arial" w:cs="Arial"/>
                <w:b/>
                <w:bCs/>
                <w:sz w:val="16"/>
                <w:szCs w:val="16"/>
                <w:vertAlign w:val="superscript"/>
              </w:rPr>
              <w:t>(g)</w:t>
            </w:r>
          </w:p>
        </w:tc>
        <w:tc>
          <w:tcPr>
            <w:tcW w:w="993" w:type="dxa"/>
            <w:tcBorders>
              <w:top w:val="nil"/>
              <w:left w:val="nil"/>
              <w:bottom w:val="nil"/>
              <w:right w:val="nil"/>
            </w:tcBorders>
            <w:shd w:val="clear" w:color="auto" w:fill="auto"/>
            <w:vAlign w:val="bottom"/>
            <w:hideMark/>
          </w:tcPr>
          <w:p w14:paraId="3A2BC69C" w14:textId="77777777" w:rsidR="00B91F3E" w:rsidRPr="00B6111F" w:rsidRDefault="00B91F3E" w:rsidP="00F96D8A">
            <w:pPr>
              <w:spacing w:after="0" w:line="240" w:lineRule="auto"/>
              <w:jc w:val="right"/>
              <w:rPr>
                <w:rFonts w:ascii="Arial" w:hAnsi="Arial" w:cs="Arial"/>
                <w:b/>
                <w:bCs/>
                <w:sz w:val="16"/>
                <w:szCs w:val="16"/>
              </w:rPr>
            </w:pPr>
          </w:p>
        </w:tc>
        <w:tc>
          <w:tcPr>
            <w:tcW w:w="977" w:type="dxa"/>
            <w:tcBorders>
              <w:top w:val="nil"/>
              <w:left w:val="nil"/>
              <w:bottom w:val="nil"/>
              <w:right w:val="nil"/>
            </w:tcBorders>
            <w:shd w:val="clear" w:color="000000" w:fill="E6E6E6"/>
            <w:vAlign w:val="bottom"/>
            <w:hideMark/>
          </w:tcPr>
          <w:p w14:paraId="3C6F1B19" w14:textId="4FE1C154" w:rsidR="00B91F3E" w:rsidRPr="00B6111F"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0D6F726A" w14:textId="77777777" w:rsidR="00B91F3E" w:rsidRPr="00B6111F"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0785084E" w14:textId="77777777" w:rsidR="00B91F3E" w:rsidRPr="00B6111F" w:rsidRDefault="00B91F3E" w:rsidP="00F96D8A">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vAlign w:val="bottom"/>
            <w:hideMark/>
          </w:tcPr>
          <w:p w14:paraId="159C49DE" w14:textId="77777777" w:rsidR="00B91F3E" w:rsidRPr="00B6111F" w:rsidRDefault="00B91F3E" w:rsidP="00F96D8A">
            <w:pPr>
              <w:spacing w:after="0" w:line="240" w:lineRule="auto"/>
              <w:jc w:val="right"/>
              <w:rPr>
                <w:rFonts w:ascii="Times New Roman" w:hAnsi="Times New Roman"/>
              </w:rPr>
            </w:pPr>
          </w:p>
        </w:tc>
      </w:tr>
      <w:tr w:rsidR="00872667" w:rsidRPr="00B6111F" w14:paraId="772E9B7D" w14:textId="77777777" w:rsidTr="00872667">
        <w:trPr>
          <w:trHeight w:val="204"/>
        </w:trPr>
        <w:tc>
          <w:tcPr>
            <w:tcW w:w="2835" w:type="dxa"/>
            <w:tcBorders>
              <w:top w:val="nil"/>
              <w:left w:val="nil"/>
              <w:bottom w:val="nil"/>
              <w:right w:val="nil"/>
            </w:tcBorders>
            <w:shd w:val="clear" w:color="auto" w:fill="auto"/>
            <w:noWrap/>
            <w:vAlign w:val="bottom"/>
            <w:hideMark/>
          </w:tcPr>
          <w:p w14:paraId="1E8DE208" w14:textId="77777777" w:rsidR="00872667" w:rsidRPr="00B6111F" w:rsidRDefault="00872667" w:rsidP="00B917D6">
            <w:pPr>
              <w:spacing w:after="0" w:line="240" w:lineRule="auto"/>
              <w:ind w:left="113"/>
              <w:jc w:val="left"/>
              <w:rPr>
                <w:rFonts w:ascii="Arial" w:hAnsi="Arial" w:cs="Arial"/>
                <w:sz w:val="16"/>
                <w:szCs w:val="16"/>
              </w:rPr>
            </w:pPr>
            <w:r w:rsidRPr="00B6111F">
              <w:rPr>
                <w:rFonts w:ascii="Arial" w:hAnsi="Arial" w:cs="Arial"/>
                <w:sz w:val="16"/>
                <w:szCs w:val="16"/>
              </w:rPr>
              <w:t>Program 3.1: Regional Development</w:t>
            </w:r>
          </w:p>
        </w:tc>
        <w:tc>
          <w:tcPr>
            <w:tcW w:w="993" w:type="dxa"/>
            <w:tcBorders>
              <w:top w:val="nil"/>
              <w:left w:val="nil"/>
              <w:bottom w:val="nil"/>
              <w:right w:val="nil"/>
            </w:tcBorders>
            <w:shd w:val="clear" w:color="auto" w:fill="auto"/>
            <w:noWrap/>
            <w:vAlign w:val="bottom"/>
            <w:hideMark/>
          </w:tcPr>
          <w:p w14:paraId="44251164" w14:textId="21461B52" w:rsidR="00872667" w:rsidRPr="00B6111F" w:rsidRDefault="00872667" w:rsidP="00872667">
            <w:pPr>
              <w:spacing w:after="0" w:line="240" w:lineRule="auto"/>
              <w:jc w:val="right"/>
              <w:rPr>
                <w:rFonts w:ascii="Arial" w:hAnsi="Arial" w:cs="Arial"/>
                <w:sz w:val="16"/>
                <w:szCs w:val="16"/>
              </w:rPr>
            </w:pPr>
            <w:r>
              <w:rPr>
                <w:rFonts w:ascii="Arial" w:hAnsi="Arial" w:cs="Arial"/>
                <w:sz w:val="16"/>
                <w:szCs w:val="16"/>
              </w:rPr>
              <w:t>(10,000)</w:t>
            </w:r>
          </w:p>
        </w:tc>
        <w:tc>
          <w:tcPr>
            <w:tcW w:w="977" w:type="dxa"/>
            <w:tcBorders>
              <w:top w:val="nil"/>
              <w:left w:val="nil"/>
              <w:bottom w:val="nil"/>
              <w:right w:val="nil"/>
            </w:tcBorders>
            <w:shd w:val="clear" w:color="auto" w:fill="EBEBEB"/>
            <w:noWrap/>
            <w:vAlign w:val="bottom"/>
            <w:hideMark/>
          </w:tcPr>
          <w:p w14:paraId="5D1903EA" w14:textId="47AC3A9E" w:rsidR="00872667" w:rsidRPr="00B6111F" w:rsidRDefault="00872667" w:rsidP="00872667">
            <w:pPr>
              <w:spacing w:after="0" w:line="240" w:lineRule="auto"/>
              <w:jc w:val="right"/>
              <w:rPr>
                <w:rFonts w:ascii="Arial" w:hAnsi="Arial" w:cs="Arial"/>
                <w:sz w:val="16"/>
                <w:szCs w:val="16"/>
              </w:rPr>
            </w:pPr>
            <w:r>
              <w:rPr>
                <w:rFonts w:ascii="Arial" w:hAnsi="Arial" w:cs="Arial"/>
                <w:sz w:val="16"/>
                <w:szCs w:val="16"/>
              </w:rPr>
              <w:t>10</w:t>
            </w:r>
            <w:r w:rsidR="00AD751E">
              <w:rPr>
                <w:rFonts w:ascii="Arial" w:hAnsi="Arial" w:cs="Arial"/>
                <w:sz w:val="16"/>
                <w:szCs w:val="16"/>
              </w:rPr>
              <w:t>,</w:t>
            </w:r>
            <w:r>
              <w:rPr>
                <w:rFonts w:ascii="Arial" w:hAnsi="Arial" w:cs="Arial"/>
                <w:sz w:val="16"/>
                <w:szCs w:val="16"/>
              </w:rPr>
              <w:t>000</w:t>
            </w:r>
          </w:p>
        </w:tc>
        <w:tc>
          <w:tcPr>
            <w:tcW w:w="977" w:type="dxa"/>
            <w:tcBorders>
              <w:top w:val="nil"/>
              <w:left w:val="nil"/>
              <w:bottom w:val="nil"/>
              <w:right w:val="nil"/>
            </w:tcBorders>
            <w:shd w:val="clear" w:color="auto" w:fill="auto"/>
            <w:noWrap/>
            <w:vAlign w:val="bottom"/>
            <w:hideMark/>
          </w:tcPr>
          <w:p w14:paraId="23B81900" w14:textId="278EA23A" w:rsidR="00872667" w:rsidRPr="00B6111F" w:rsidRDefault="00872667" w:rsidP="00872667">
            <w:pPr>
              <w:spacing w:after="0" w:line="240" w:lineRule="auto"/>
              <w:jc w:val="right"/>
              <w:rPr>
                <w:rFonts w:ascii="Arial" w:hAnsi="Arial" w:cs="Arial"/>
                <w:sz w:val="16"/>
                <w:szCs w:val="16"/>
              </w:rPr>
            </w:pPr>
            <w:r>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68A3EB8A" w14:textId="25F25B05" w:rsidR="00872667" w:rsidRPr="00B6111F" w:rsidRDefault="00872667" w:rsidP="00872667">
            <w:pPr>
              <w:spacing w:after="0" w:line="240" w:lineRule="auto"/>
              <w:jc w:val="right"/>
              <w:rPr>
                <w:rFonts w:ascii="Arial" w:hAnsi="Arial" w:cs="Arial"/>
                <w:sz w:val="16"/>
                <w:szCs w:val="16"/>
              </w:rPr>
            </w:pPr>
            <w:r>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73900577" w14:textId="5D9AA163" w:rsidR="00872667" w:rsidRPr="00B6111F" w:rsidRDefault="00872667" w:rsidP="00872667">
            <w:pPr>
              <w:spacing w:after="0" w:line="240" w:lineRule="auto"/>
              <w:jc w:val="right"/>
              <w:rPr>
                <w:rFonts w:ascii="Arial" w:hAnsi="Arial" w:cs="Arial"/>
                <w:sz w:val="16"/>
                <w:szCs w:val="16"/>
              </w:rPr>
            </w:pPr>
            <w:r>
              <w:rPr>
                <w:rFonts w:ascii="Arial" w:hAnsi="Arial" w:cs="Arial"/>
                <w:sz w:val="16"/>
                <w:szCs w:val="16"/>
              </w:rPr>
              <w:t>-</w:t>
            </w:r>
          </w:p>
        </w:tc>
      </w:tr>
      <w:tr w:rsidR="00872667" w:rsidRPr="00B6111F" w14:paraId="792A79CC" w14:textId="77777777" w:rsidTr="00872667">
        <w:trPr>
          <w:trHeight w:val="204"/>
        </w:trPr>
        <w:tc>
          <w:tcPr>
            <w:tcW w:w="2835" w:type="dxa"/>
            <w:tcBorders>
              <w:top w:val="nil"/>
              <w:left w:val="nil"/>
              <w:right w:val="nil"/>
            </w:tcBorders>
            <w:shd w:val="clear" w:color="auto" w:fill="auto"/>
            <w:noWrap/>
            <w:vAlign w:val="bottom"/>
            <w:hideMark/>
          </w:tcPr>
          <w:p w14:paraId="521014F4" w14:textId="31EF6C53" w:rsidR="00872667" w:rsidRPr="00205C0A" w:rsidRDefault="00872667" w:rsidP="00B917D6">
            <w:pPr>
              <w:spacing w:after="0" w:line="240" w:lineRule="auto"/>
              <w:ind w:left="113"/>
              <w:jc w:val="left"/>
              <w:rPr>
                <w:rFonts w:ascii="Arial" w:hAnsi="Arial" w:cs="Arial"/>
                <w:sz w:val="16"/>
                <w:szCs w:val="16"/>
              </w:rPr>
            </w:pPr>
            <w:r>
              <w:rPr>
                <w:rFonts w:ascii="Arial" w:hAnsi="Arial" w:cs="Arial"/>
                <w:sz w:val="16"/>
                <w:szCs w:val="16"/>
              </w:rPr>
              <w:t>Program 3.3: Cities</w:t>
            </w:r>
          </w:p>
        </w:tc>
        <w:tc>
          <w:tcPr>
            <w:tcW w:w="993" w:type="dxa"/>
            <w:tcBorders>
              <w:top w:val="nil"/>
              <w:left w:val="nil"/>
              <w:bottom w:val="single" w:sz="4" w:space="0" w:color="auto"/>
              <w:right w:val="nil"/>
            </w:tcBorders>
            <w:shd w:val="clear" w:color="auto" w:fill="auto"/>
            <w:noWrap/>
            <w:vAlign w:val="bottom"/>
            <w:hideMark/>
          </w:tcPr>
          <w:p w14:paraId="4E00A8EF" w14:textId="3FC58136" w:rsidR="00872667" w:rsidRPr="00205C0A" w:rsidRDefault="00872667" w:rsidP="00872667">
            <w:pPr>
              <w:spacing w:after="0" w:line="240" w:lineRule="auto"/>
              <w:jc w:val="right"/>
              <w:rPr>
                <w:rFonts w:ascii="Arial" w:hAnsi="Arial" w:cs="Arial"/>
                <w:sz w:val="16"/>
                <w:szCs w:val="16"/>
              </w:rPr>
            </w:pPr>
            <w:r>
              <w:rPr>
                <w:rFonts w:ascii="Arial" w:hAnsi="Arial" w:cs="Arial"/>
                <w:sz w:val="16"/>
                <w:szCs w:val="16"/>
              </w:rPr>
              <w:t>(1,854)</w:t>
            </w:r>
          </w:p>
        </w:tc>
        <w:tc>
          <w:tcPr>
            <w:tcW w:w="977" w:type="dxa"/>
            <w:tcBorders>
              <w:top w:val="nil"/>
              <w:left w:val="nil"/>
              <w:bottom w:val="nil"/>
              <w:right w:val="nil"/>
            </w:tcBorders>
            <w:shd w:val="clear" w:color="auto" w:fill="EBEBEB"/>
            <w:noWrap/>
            <w:vAlign w:val="bottom"/>
            <w:hideMark/>
          </w:tcPr>
          <w:p w14:paraId="0A5DBFEE" w14:textId="76080CFC" w:rsidR="00872667" w:rsidRPr="00205C0A" w:rsidRDefault="00872667" w:rsidP="00872667">
            <w:pPr>
              <w:spacing w:after="0" w:line="240" w:lineRule="auto"/>
              <w:jc w:val="right"/>
              <w:rPr>
                <w:rFonts w:ascii="Arial" w:hAnsi="Arial" w:cs="Arial"/>
                <w:sz w:val="16"/>
                <w:szCs w:val="16"/>
              </w:rPr>
            </w:pPr>
            <w:r>
              <w:rPr>
                <w:rFonts w:ascii="Arial" w:hAnsi="Arial" w:cs="Arial"/>
                <w:sz w:val="16"/>
                <w:szCs w:val="16"/>
              </w:rPr>
              <w:t>1</w:t>
            </w:r>
            <w:r w:rsidR="00AD751E">
              <w:rPr>
                <w:rFonts w:ascii="Arial" w:hAnsi="Arial" w:cs="Arial"/>
                <w:sz w:val="16"/>
                <w:szCs w:val="16"/>
              </w:rPr>
              <w:t>,</w:t>
            </w:r>
            <w:r>
              <w:rPr>
                <w:rFonts w:ascii="Arial" w:hAnsi="Arial" w:cs="Arial"/>
                <w:sz w:val="16"/>
                <w:szCs w:val="16"/>
              </w:rPr>
              <w:t>854</w:t>
            </w:r>
          </w:p>
        </w:tc>
        <w:tc>
          <w:tcPr>
            <w:tcW w:w="977" w:type="dxa"/>
            <w:tcBorders>
              <w:top w:val="nil"/>
              <w:left w:val="nil"/>
              <w:bottom w:val="nil"/>
              <w:right w:val="nil"/>
            </w:tcBorders>
            <w:shd w:val="clear" w:color="auto" w:fill="auto"/>
            <w:noWrap/>
            <w:vAlign w:val="bottom"/>
            <w:hideMark/>
          </w:tcPr>
          <w:p w14:paraId="4998BE8A" w14:textId="5770E162" w:rsidR="00872667" w:rsidRPr="00205C0A" w:rsidRDefault="00872667" w:rsidP="00872667">
            <w:pPr>
              <w:spacing w:after="0" w:line="240" w:lineRule="auto"/>
              <w:jc w:val="right"/>
              <w:rPr>
                <w:rFonts w:ascii="Arial" w:hAnsi="Arial" w:cs="Arial"/>
                <w:sz w:val="16"/>
                <w:szCs w:val="16"/>
              </w:rPr>
            </w:pPr>
            <w:r>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03D28D00" w14:textId="20836337" w:rsidR="00872667" w:rsidRPr="00205C0A" w:rsidRDefault="00872667" w:rsidP="00872667">
            <w:pPr>
              <w:spacing w:after="0" w:line="240" w:lineRule="auto"/>
              <w:jc w:val="right"/>
              <w:rPr>
                <w:rFonts w:ascii="Arial" w:hAnsi="Arial" w:cs="Arial"/>
                <w:sz w:val="16"/>
                <w:szCs w:val="16"/>
              </w:rPr>
            </w:pPr>
            <w:r>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3F77FCCF" w14:textId="6B81FD0F" w:rsidR="00872667" w:rsidRPr="00B6111F" w:rsidRDefault="00872667" w:rsidP="00872667">
            <w:pPr>
              <w:spacing w:after="0" w:line="240" w:lineRule="auto"/>
              <w:jc w:val="right"/>
              <w:rPr>
                <w:rFonts w:ascii="Arial" w:hAnsi="Arial" w:cs="Arial"/>
                <w:sz w:val="16"/>
                <w:szCs w:val="16"/>
              </w:rPr>
            </w:pPr>
            <w:r>
              <w:rPr>
                <w:rFonts w:ascii="Arial" w:hAnsi="Arial" w:cs="Arial"/>
                <w:sz w:val="16"/>
                <w:szCs w:val="16"/>
              </w:rPr>
              <w:t>-</w:t>
            </w:r>
          </w:p>
        </w:tc>
      </w:tr>
      <w:tr w:rsidR="00872667" w:rsidRPr="00B6111F" w14:paraId="128D173A" w14:textId="77777777" w:rsidTr="00872667">
        <w:trPr>
          <w:trHeight w:val="204"/>
        </w:trPr>
        <w:tc>
          <w:tcPr>
            <w:tcW w:w="2835" w:type="dxa"/>
            <w:tcBorders>
              <w:top w:val="nil"/>
              <w:left w:val="nil"/>
              <w:bottom w:val="single" w:sz="4" w:space="0" w:color="auto"/>
              <w:right w:val="nil"/>
            </w:tcBorders>
            <w:shd w:val="clear" w:color="auto" w:fill="auto"/>
            <w:vAlign w:val="bottom"/>
            <w:hideMark/>
          </w:tcPr>
          <w:p w14:paraId="6D8F76D3" w14:textId="77777777" w:rsidR="00872667" w:rsidRPr="00B6111F" w:rsidRDefault="00872667" w:rsidP="00872667">
            <w:pPr>
              <w:spacing w:after="0" w:line="240" w:lineRule="auto"/>
              <w:jc w:val="left"/>
              <w:rPr>
                <w:rFonts w:ascii="Arial" w:hAnsi="Arial" w:cs="Arial"/>
                <w:b/>
                <w:bCs/>
                <w:sz w:val="16"/>
                <w:szCs w:val="16"/>
              </w:rPr>
            </w:pPr>
            <w:r w:rsidRPr="00B6111F">
              <w:rPr>
                <w:rFonts w:ascii="Arial" w:hAnsi="Arial" w:cs="Arial"/>
                <w:b/>
                <w:bCs/>
                <w:sz w:val="16"/>
                <w:szCs w:val="16"/>
              </w:rPr>
              <w:t>Total movement of administered funds between years</w:t>
            </w:r>
          </w:p>
        </w:tc>
        <w:tc>
          <w:tcPr>
            <w:tcW w:w="993" w:type="dxa"/>
            <w:tcBorders>
              <w:top w:val="single" w:sz="4" w:space="0" w:color="auto"/>
              <w:left w:val="nil"/>
              <w:bottom w:val="single" w:sz="4" w:space="0" w:color="auto"/>
              <w:right w:val="nil"/>
            </w:tcBorders>
            <w:shd w:val="clear" w:color="auto" w:fill="auto"/>
            <w:noWrap/>
            <w:vAlign w:val="bottom"/>
            <w:hideMark/>
          </w:tcPr>
          <w:p w14:paraId="33CE7643" w14:textId="24418FA5" w:rsidR="00872667" w:rsidRPr="00B6111F" w:rsidRDefault="00872667" w:rsidP="00872667">
            <w:pPr>
              <w:spacing w:after="0" w:line="240" w:lineRule="auto"/>
              <w:jc w:val="right"/>
              <w:rPr>
                <w:rFonts w:ascii="Arial" w:hAnsi="Arial" w:cs="Arial"/>
                <w:b/>
                <w:bCs/>
                <w:sz w:val="16"/>
                <w:szCs w:val="16"/>
              </w:rPr>
            </w:pPr>
            <w:r>
              <w:rPr>
                <w:rFonts w:ascii="Arial" w:hAnsi="Arial" w:cs="Arial"/>
                <w:b/>
                <w:bCs/>
                <w:sz w:val="16"/>
                <w:szCs w:val="16"/>
              </w:rPr>
              <w:t>(11,854)</w:t>
            </w:r>
          </w:p>
        </w:tc>
        <w:tc>
          <w:tcPr>
            <w:tcW w:w="977" w:type="dxa"/>
            <w:tcBorders>
              <w:top w:val="single" w:sz="4" w:space="0" w:color="auto"/>
              <w:left w:val="nil"/>
              <w:bottom w:val="single" w:sz="4" w:space="0" w:color="auto"/>
              <w:right w:val="nil"/>
            </w:tcBorders>
            <w:shd w:val="clear" w:color="000000" w:fill="E6E6E6"/>
            <w:noWrap/>
            <w:vAlign w:val="bottom"/>
            <w:hideMark/>
          </w:tcPr>
          <w:p w14:paraId="129BBAB0" w14:textId="74D61E9C" w:rsidR="00872667" w:rsidRPr="00B6111F" w:rsidRDefault="00872667" w:rsidP="00872667">
            <w:pPr>
              <w:spacing w:after="0" w:line="240" w:lineRule="auto"/>
              <w:jc w:val="right"/>
              <w:rPr>
                <w:rFonts w:ascii="Arial" w:hAnsi="Arial" w:cs="Arial"/>
                <w:b/>
                <w:bCs/>
                <w:sz w:val="16"/>
                <w:szCs w:val="16"/>
              </w:rPr>
            </w:pPr>
            <w:r>
              <w:rPr>
                <w:rFonts w:ascii="Arial" w:hAnsi="Arial" w:cs="Arial"/>
                <w:b/>
                <w:bCs/>
                <w:sz w:val="16"/>
                <w:szCs w:val="16"/>
              </w:rPr>
              <w:t>11,854</w:t>
            </w:r>
          </w:p>
        </w:tc>
        <w:tc>
          <w:tcPr>
            <w:tcW w:w="977" w:type="dxa"/>
            <w:tcBorders>
              <w:top w:val="single" w:sz="4" w:space="0" w:color="auto"/>
              <w:left w:val="nil"/>
              <w:bottom w:val="single" w:sz="4" w:space="0" w:color="auto"/>
              <w:right w:val="nil"/>
            </w:tcBorders>
            <w:shd w:val="clear" w:color="auto" w:fill="auto"/>
            <w:noWrap/>
            <w:vAlign w:val="bottom"/>
            <w:hideMark/>
          </w:tcPr>
          <w:p w14:paraId="7B55BD50" w14:textId="556131BE" w:rsidR="00872667" w:rsidRPr="00B6111F" w:rsidRDefault="00872667" w:rsidP="00872667">
            <w:pPr>
              <w:spacing w:after="0" w:line="240" w:lineRule="auto"/>
              <w:jc w:val="right"/>
              <w:rPr>
                <w:rFonts w:ascii="Arial" w:hAnsi="Arial" w:cs="Arial"/>
                <w:b/>
                <w:bCs/>
                <w:sz w:val="16"/>
                <w:szCs w:val="16"/>
              </w:rPr>
            </w:pPr>
            <w:r>
              <w:rPr>
                <w:rFonts w:ascii="Arial" w:hAnsi="Arial" w:cs="Arial"/>
                <w:b/>
                <w:bCs/>
                <w:sz w:val="16"/>
                <w:szCs w:val="16"/>
              </w:rPr>
              <w:t>-</w:t>
            </w:r>
          </w:p>
        </w:tc>
        <w:tc>
          <w:tcPr>
            <w:tcW w:w="977" w:type="dxa"/>
            <w:tcBorders>
              <w:top w:val="single" w:sz="4" w:space="0" w:color="auto"/>
              <w:left w:val="nil"/>
              <w:bottom w:val="single" w:sz="4" w:space="0" w:color="auto"/>
              <w:right w:val="nil"/>
            </w:tcBorders>
            <w:shd w:val="clear" w:color="auto" w:fill="auto"/>
            <w:noWrap/>
            <w:vAlign w:val="bottom"/>
            <w:hideMark/>
          </w:tcPr>
          <w:p w14:paraId="234C9BED" w14:textId="0CBE3598" w:rsidR="00872667" w:rsidRPr="00B6111F" w:rsidRDefault="00872667" w:rsidP="00872667">
            <w:pPr>
              <w:spacing w:after="0" w:line="240" w:lineRule="auto"/>
              <w:jc w:val="right"/>
              <w:rPr>
                <w:rFonts w:ascii="Arial" w:hAnsi="Arial" w:cs="Arial"/>
                <w:b/>
                <w:bCs/>
                <w:sz w:val="16"/>
                <w:szCs w:val="16"/>
              </w:rPr>
            </w:pPr>
            <w:r>
              <w:rPr>
                <w:rFonts w:ascii="Arial" w:hAnsi="Arial" w:cs="Arial"/>
                <w:b/>
                <w:bCs/>
                <w:sz w:val="16"/>
                <w:szCs w:val="16"/>
              </w:rPr>
              <w:t>-</w:t>
            </w:r>
          </w:p>
        </w:tc>
        <w:tc>
          <w:tcPr>
            <w:tcW w:w="977" w:type="dxa"/>
            <w:tcBorders>
              <w:top w:val="single" w:sz="4" w:space="0" w:color="auto"/>
              <w:left w:val="nil"/>
              <w:bottom w:val="single" w:sz="4" w:space="0" w:color="auto"/>
              <w:right w:val="nil"/>
            </w:tcBorders>
            <w:shd w:val="clear" w:color="auto" w:fill="auto"/>
            <w:noWrap/>
            <w:vAlign w:val="bottom"/>
            <w:hideMark/>
          </w:tcPr>
          <w:p w14:paraId="4D06A24C" w14:textId="781ACD73" w:rsidR="00872667" w:rsidRPr="00B6111F" w:rsidRDefault="00872667" w:rsidP="00872667">
            <w:pPr>
              <w:spacing w:after="0" w:line="240" w:lineRule="auto"/>
              <w:jc w:val="right"/>
              <w:rPr>
                <w:rFonts w:ascii="Arial" w:hAnsi="Arial" w:cs="Arial"/>
                <w:b/>
                <w:bCs/>
                <w:sz w:val="16"/>
                <w:szCs w:val="16"/>
              </w:rPr>
            </w:pPr>
            <w:r>
              <w:rPr>
                <w:rFonts w:ascii="Arial" w:hAnsi="Arial" w:cs="Arial"/>
                <w:b/>
                <w:bCs/>
                <w:sz w:val="16"/>
                <w:szCs w:val="16"/>
              </w:rPr>
              <w:t>-</w:t>
            </w:r>
          </w:p>
        </w:tc>
      </w:tr>
    </w:tbl>
    <w:p w14:paraId="49C0C8D6" w14:textId="77777777" w:rsidR="00B91F3E" w:rsidRPr="00583D06" w:rsidRDefault="00B91F3E" w:rsidP="00B91F3E">
      <w:pPr>
        <w:pStyle w:val="TableHeadingcontinued"/>
        <w:rPr>
          <w:rFonts w:ascii="Arial" w:hAnsi="Arial" w:cs="Arial"/>
          <w:sz w:val="12"/>
        </w:rPr>
      </w:pPr>
    </w:p>
    <w:tbl>
      <w:tblPr>
        <w:tblW w:w="4820" w:type="dxa"/>
        <w:tblLook w:val="04A0" w:firstRow="1" w:lastRow="0" w:firstColumn="1" w:lastColumn="0" w:noHBand="0" w:noVBand="1"/>
      </w:tblPr>
      <w:tblGrid>
        <w:gridCol w:w="2694"/>
        <w:gridCol w:w="1096"/>
        <w:gridCol w:w="1030"/>
      </w:tblGrid>
      <w:tr w:rsidR="00B91F3E" w:rsidRPr="00B6111F" w14:paraId="712A55BF" w14:textId="77777777" w:rsidTr="00F96D8A">
        <w:trPr>
          <w:trHeight w:val="204"/>
        </w:trPr>
        <w:tc>
          <w:tcPr>
            <w:tcW w:w="2694" w:type="dxa"/>
            <w:tcBorders>
              <w:top w:val="single" w:sz="4" w:space="0" w:color="auto"/>
              <w:left w:val="nil"/>
              <w:bottom w:val="nil"/>
              <w:right w:val="nil"/>
            </w:tcBorders>
            <w:shd w:val="clear" w:color="auto" w:fill="auto"/>
            <w:noWrap/>
            <w:vAlign w:val="bottom"/>
            <w:hideMark/>
          </w:tcPr>
          <w:p w14:paraId="03E59F80" w14:textId="77777777" w:rsidR="00B91F3E" w:rsidRPr="00B6111F" w:rsidRDefault="00B91F3E" w:rsidP="00F96D8A">
            <w:pPr>
              <w:spacing w:after="0" w:line="240" w:lineRule="auto"/>
              <w:jc w:val="left"/>
              <w:rPr>
                <w:rFonts w:ascii="Arial" w:hAnsi="Arial" w:cs="Arial"/>
                <w:sz w:val="16"/>
                <w:szCs w:val="16"/>
              </w:rPr>
            </w:pPr>
            <w:r w:rsidRPr="00B6111F">
              <w:rPr>
                <w:rFonts w:ascii="Arial" w:hAnsi="Arial" w:cs="Arial"/>
                <w:sz w:val="16"/>
                <w:szCs w:val="16"/>
              </w:rPr>
              <w:t> </w:t>
            </w:r>
          </w:p>
        </w:tc>
        <w:tc>
          <w:tcPr>
            <w:tcW w:w="1096" w:type="dxa"/>
            <w:tcBorders>
              <w:top w:val="single" w:sz="4" w:space="0" w:color="auto"/>
              <w:left w:val="nil"/>
              <w:bottom w:val="single" w:sz="4" w:space="0" w:color="auto"/>
              <w:right w:val="nil"/>
            </w:tcBorders>
            <w:shd w:val="clear" w:color="auto" w:fill="auto"/>
            <w:noWrap/>
            <w:vAlign w:val="bottom"/>
            <w:hideMark/>
          </w:tcPr>
          <w:p w14:paraId="1B24983E"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2021-22</w:t>
            </w:r>
          </w:p>
        </w:tc>
        <w:tc>
          <w:tcPr>
            <w:tcW w:w="1030" w:type="dxa"/>
            <w:tcBorders>
              <w:top w:val="single" w:sz="4" w:space="0" w:color="auto"/>
              <w:left w:val="nil"/>
              <w:bottom w:val="single" w:sz="4" w:space="0" w:color="auto"/>
              <w:right w:val="nil"/>
            </w:tcBorders>
            <w:shd w:val="clear" w:color="000000" w:fill="E6E6E6"/>
            <w:vAlign w:val="bottom"/>
            <w:hideMark/>
          </w:tcPr>
          <w:p w14:paraId="65F1327A" w14:textId="77777777" w:rsidR="00B91F3E" w:rsidRPr="00B6111F" w:rsidRDefault="00B91F3E" w:rsidP="00F96D8A">
            <w:pPr>
              <w:spacing w:after="0" w:line="240" w:lineRule="auto"/>
              <w:jc w:val="right"/>
              <w:rPr>
                <w:rFonts w:ascii="Arial" w:hAnsi="Arial" w:cs="Arial"/>
                <w:sz w:val="16"/>
                <w:szCs w:val="16"/>
              </w:rPr>
            </w:pPr>
            <w:r w:rsidRPr="00B6111F">
              <w:rPr>
                <w:rFonts w:ascii="Arial" w:hAnsi="Arial" w:cs="Arial"/>
                <w:sz w:val="16"/>
                <w:szCs w:val="16"/>
              </w:rPr>
              <w:t>2022-23</w:t>
            </w:r>
          </w:p>
        </w:tc>
      </w:tr>
      <w:tr w:rsidR="00BD6527" w:rsidRPr="00B6111F" w14:paraId="27198C92"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00288204" w14:textId="77777777" w:rsidR="00BD6527" w:rsidRPr="00B6111F" w:rsidRDefault="00BD6527" w:rsidP="00BD6527">
            <w:pPr>
              <w:spacing w:after="0" w:line="240" w:lineRule="auto"/>
              <w:jc w:val="left"/>
              <w:rPr>
                <w:rFonts w:ascii="Arial" w:hAnsi="Arial" w:cs="Arial"/>
                <w:b/>
                <w:bCs/>
                <w:sz w:val="16"/>
                <w:szCs w:val="16"/>
              </w:rPr>
            </w:pPr>
            <w:r w:rsidRPr="00B6111F">
              <w:rPr>
                <w:rFonts w:ascii="Arial" w:hAnsi="Arial" w:cs="Arial"/>
                <w:b/>
                <w:bCs/>
                <w:sz w:val="16"/>
                <w:szCs w:val="16"/>
              </w:rPr>
              <w:t>Average staffing level (number)</w:t>
            </w:r>
          </w:p>
        </w:tc>
        <w:tc>
          <w:tcPr>
            <w:tcW w:w="1096" w:type="dxa"/>
            <w:tcBorders>
              <w:top w:val="nil"/>
              <w:left w:val="nil"/>
              <w:bottom w:val="single" w:sz="4" w:space="0" w:color="auto"/>
              <w:right w:val="nil"/>
            </w:tcBorders>
            <w:shd w:val="clear" w:color="auto" w:fill="auto"/>
            <w:noWrap/>
            <w:vAlign w:val="bottom"/>
            <w:hideMark/>
          </w:tcPr>
          <w:p w14:paraId="2D109039" w14:textId="0A43AC1B" w:rsidR="00BD6527" w:rsidRPr="00B6111F" w:rsidRDefault="00BD6527" w:rsidP="00BD6527">
            <w:pPr>
              <w:spacing w:after="0" w:line="240" w:lineRule="auto"/>
              <w:jc w:val="right"/>
              <w:rPr>
                <w:rFonts w:ascii="Arial" w:hAnsi="Arial" w:cs="Arial"/>
                <w:sz w:val="16"/>
                <w:szCs w:val="16"/>
              </w:rPr>
            </w:pPr>
            <w:r>
              <w:rPr>
                <w:rFonts w:ascii="Arial" w:hAnsi="Arial" w:cs="Arial"/>
                <w:sz w:val="16"/>
                <w:szCs w:val="16"/>
              </w:rPr>
              <w:t xml:space="preserve">299 </w:t>
            </w:r>
          </w:p>
        </w:tc>
        <w:tc>
          <w:tcPr>
            <w:tcW w:w="1030" w:type="dxa"/>
            <w:tcBorders>
              <w:top w:val="nil"/>
              <w:left w:val="nil"/>
              <w:bottom w:val="single" w:sz="4" w:space="0" w:color="auto"/>
              <w:right w:val="nil"/>
            </w:tcBorders>
            <w:shd w:val="clear" w:color="auto" w:fill="E6E6E6"/>
            <w:noWrap/>
            <w:vAlign w:val="bottom"/>
            <w:hideMark/>
          </w:tcPr>
          <w:p w14:paraId="6F799A18" w14:textId="45EA2E16" w:rsidR="00BD6527" w:rsidRPr="00B6111F" w:rsidRDefault="00BD6527" w:rsidP="00BD6527">
            <w:pPr>
              <w:spacing w:after="0" w:line="240" w:lineRule="auto"/>
              <w:jc w:val="right"/>
              <w:rPr>
                <w:rFonts w:ascii="Arial" w:hAnsi="Arial" w:cs="Arial"/>
                <w:sz w:val="16"/>
                <w:szCs w:val="16"/>
              </w:rPr>
            </w:pPr>
            <w:r>
              <w:rPr>
                <w:rFonts w:ascii="Arial" w:hAnsi="Arial" w:cs="Arial"/>
                <w:sz w:val="16"/>
                <w:szCs w:val="16"/>
              </w:rPr>
              <w:t xml:space="preserve">364 </w:t>
            </w:r>
          </w:p>
        </w:tc>
      </w:tr>
    </w:tbl>
    <w:p w14:paraId="1A328EA3" w14:textId="77777777" w:rsidR="00B91F3E" w:rsidRPr="00431229" w:rsidRDefault="00B91F3E" w:rsidP="00AD2EFF">
      <w:pPr>
        <w:pStyle w:val="ChartandTableFootnoteAlpha"/>
        <w:numPr>
          <w:ilvl w:val="0"/>
          <w:numId w:val="62"/>
        </w:numPr>
        <w:spacing w:before="60"/>
        <w:jc w:val="left"/>
        <w:rPr>
          <w:rFonts w:cs="Arial"/>
          <w:szCs w:val="16"/>
        </w:rPr>
      </w:pPr>
      <w:r w:rsidRPr="00431229">
        <w:rPr>
          <w:rFonts w:cs="Arial"/>
          <w:szCs w:val="16"/>
        </w:rPr>
        <w:t>Administered ‘Expenses not requiring appropriation in the Budget year’ comprises expenses relating to concessional loans, accruals, payments made from prior year appropriations and other non–cash expenses.</w:t>
      </w:r>
    </w:p>
    <w:p w14:paraId="2096D5A3" w14:textId="36B52B75" w:rsidR="00B91F3E" w:rsidRDefault="00B91F3E" w:rsidP="00B91F3E">
      <w:pPr>
        <w:pStyle w:val="ChartandTableFootnoteAlpha"/>
        <w:jc w:val="left"/>
        <w:rPr>
          <w:rFonts w:cs="Arial"/>
          <w:szCs w:val="16"/>
        </w:rPr>
      </w:pPr>
      <w:r w:rsidRPr="003C7F5F">
        <w:rPr>
          <w:rFonts w:cs="Arial"/>
          <w:szCs w:val="16"/>
        </w:rPr>
        <w:t xml:space="preserve">This program was transferred into the </w:t>
      </w:r>
      <w:r w:rsidR="003C4CC6">
        <w:rPr>
          <w:rFonts w:cs="Arial"/>
          <w:szCs w:val="16"/>
        </w:rPr>
        <w:t>Department</w:t>
      </w:r>
      <w:r w:rsidRPr="003C7F5F">
        <w:rPr>
          <w:rFonts w:cs="Arial"/>
          <w:szCs w:val="16"/>
        </w:rPr>
        <w:t xml:space="preserve"> from the </w:t>
      </w:r>
      <w:r w:rsidR="003C4CC6">
        <w:rPr>
          <w:rFonts w:cs="Arial"/>
          <w:szCs w:val="16"/>
        </w:rPr>
        <w:t>Department</w:t>
      </w:r>
      <w:r w:rsidRPr="003C7F5F">
        <w:rPr>
          <w:rFonts w:cs="Arial"/>
          <w:szCs w:val="16"/>
        </w:rPr>
        <w:t xml:space="preserve"> of Industry, Science, Energy and Resources as part of the amendment to the Administrative Arrangements Order (AAO) with effect on 2</w:t>
      </w:r>
      <w:r>
        <w:rPr>
          <w:rFonts w:cs="Arial"/>
          <w:szCs w:val="16"/>
        </w:rPr>
        <w:t> </w:t>
      </w:r>
      <w:r w:rsidRPr="003C7F5F">
        <w:rPr>
          <w:rFonts w:cs="Arial"/>
          <w:szCs w:val="16"/>
        </w:rPr>
        <w:t>July 2021.</w:t>
      </w:r>
    </w:p>
    <w:p w14:paraId="558EA08F" w14:textId="3E8E4298" w:rsidR="00B91F3E" w:rsidRDefault="00B91F3E" w:rsidP="003926A3">
      <w:pPr>
        <w:pStyle w:val="ChartandTableFootnoteAlpha"/>
        <w:numPr>
          <w:ilvl w:val="0"/>
          <w:numId w:val="7"/>
        </w:numPr>
        <w:jc w:val="left"/>
      </w:pPr>
      <w:r w:rsidRPr="003C7F5F">
        <w:rPr>
          <w:rFonts w:cs="Arial"/>
          <w:szCs w:val="16"/>
        </w:rPr>
        <w:t xml:space="preserve">Relates to appropriation for corporate entities provided through the </w:t>
      </w:r>
      <w:r w:rsidR="003C4CC6">
        <w:rPr>
          <w:rFonts w:cs="Arial"/>
          <w:szCs w:val="16"/>
        </w:rPr>
        <w:t>Department</w:t>
      </w:r>
      <w:r w:rsidRPr="008E4ECE">
        <w:t>.</w:t>
      </w:r>
    </w:p>
    <w:p w14:paraId="5BB27FB0" w14:textId="77777777" w:rsidR="00B91F3E" w:rsidRDefault="00B91F3E" w:rsidP="003926A3">
      <w:pPr>
        <w:pStyle w:val="ChartandTableFootnoteAlpha"/>
        <w:numPr>
          <w:ilvl w:val="0"/>
          <w:numId w:val="7"/>
        </w:numPr>
        <w:jc w:val="left"/>
        <w:rPr>
          <w:rFonts w:cs="Arial"/>
          <w:szCs w:val="16"/>
        </w:rPr>
      </w:pPr>
      <w:r w:rsidRPr="003C7F5F">
        <w:rPr>
          <w:rFonts w:cs="Arial"/>
          <w:szCs w:val="16"/>
        </w:rPr>
        <w:t>Estimated expenses incurred in relation to receipts retained under section 74 of the PGPA Act.</w:t>
      </w:r>
    </w:p>
    <w:p w14:paraId="69D978CC" w14:textId="2277E9F4" w:rsidR="00B91F3E" w:rsidRPr="003C7F5F" w:rsidRDefault="003C4CC6" w:rsidP="003926A3">
      <w:pPr>
        <w:pStyle w:val="ChartandTableFootnoteAlpha"/>
        <w:numPr>
          <w:ilvl w:val="0"/>
          <w:numId w:val="7"/>
        </w:numPr>
        <w:jc w:val="left"/>
        <w:rPr>
          <w:rFonts w:cs="Arial"/>
          <w:szCs w:val="16"/>
        </w:rPr>
      </w:pPr>
      <w:r>
        <w:rPr>
          <w:rFonts w:cs="Arial"/>
          <w:szCs w:val="16"/>
        </w:rPr>
        <w:t>Department</w:t>
      </w:r>
      <w:r w:rsidR="00B91F3E" w:rsidRPr="003C7F5F">
        <w:rPr>
          <w:rFonts w:cs="Arial"/>
          <w:szCs w:val="16"/>
        </w:rPr>
        <w:t>al ‘Expenses not requiring appropriation in the Budget year’ is made up of depreciation and amortisation expenses and expenses that are reduced by associated receipts.</w:t>
      </w:r>
    </w:p>
    <w:p w14:paraId="19C4AF17" w14:textId="77777777" w:rsidR="00BD6527" w:rsidRPr="00BD6527" w:rsidRDefault="00B91F3E" w:rsidP="00B91F3E">
      <w:pPr>
        <w:pStyle w:val="ChartandTableFootnoteAlpha"/>
        <w:numPr>
          <w:ilvl w:val="0"/>
          <w:numId w:val="7"/>
        </w:numPr>
        <w:jc w:val="left"/>
        <w:rPr>
          <w:rFonts w:cs="Arial"/>
          <w:sz w:val="18"/>
          <w:szCs w:val="18"/>
        </w:rPr>
      </w:pPr>
      <w:r w:rsidRPr="00827DF5">
        <w:rPr>
          <w:rFonts w:cs="Arial"/>
          <w:szCs w:val="16"/>
        </w:rPr>
        <w:t>Figures displayed as a negative (–) represent a decrease in funds and a positive (+) represent an increase in fund</w:t>
      </w:r>
      <w:r w:rsidRPr="00827DF5">
        <w:rPr>
          <w:rFonts w:cs="Arial"/>
          <w:sz w:val="18"/>
          <w:szCs w:val="18"/>
        </w:rPr>
        <w:t>s.</w:t>
      </w:r>
      <w:r w:rsidRPr="00827DF5">
        <w:t xml:space="preserve"> </w:t>
      </w:r>
    </w:p>
    <w:p w14:paraId="6130C130" w14:textId="5A701AE5" w:rsidR="00BD6527" w:rsidRPr="00BD6527" w:rsidRDefault="00BD6527" w:rsidP="00B91F3E">
      <w:pPr>
        <w:pStyle w:val="ChartandTableFootnoteAlpha"/>
        <w:numPr>
          <w:ilvl w:val="0"/>
          <w:numId w:val="7"/>
        </w:numPr>
        <w:jc w:val="left"/>
        <w:rPr>
          <w:rFonts w:cs="Arial"/>
          <w:sz w:val="18"/>
          <w:szCs w:val="18"/>
        </w:rPr>
      </w:pPr>
      <w:r w:rsidRPr="00BD6527">
        <w:rPr>
          <w:rFonts w:cs="Arial"/>
          <w:szCs w:val="18"/>
        </w:rPr>
        <w:t>Movements of funds for the Albury-Wodonga City Deal, Townsville City Deal and Western Sydney City Deal are disclosed in the Department of Treasury’s 2022-23 Portfolio Budget Statements.</w:t>
      </w:r>
    </w:p>
    <w:p w14:paraId="5569AF52" w14:textId="2A823B7C" w:rsidR="00B91F3E" w:rsidRPr="00446612" w:rsidRDefault="00B91F3E" w:rsidP="00BD6527">
      <w:pPr>
        <w:pStyle w:val="ChartandTableFootnote"/>
        <w:spacing w:before="60"/>
        <w:jc w:val="left"/>
      </w:pPr>
      <w:r w:rsidRPr="00446612">
        <w:t xml:space="preserve">Note: </w:t>
      </w:r>
      <w:r w:rsidR="003C4CC6">
        <w:t>Department</w:t>
      </w:r>
      <w:r w:rsidRPr="00446612">
        <w:t>al appropriation splits and totals are indicative estimates and m</w:t>
      </w:r>
      <w:r w:rsidR="006B398F">
        <w:t>ay change in the course of the B</w:t>
      </w:r>
      <w:r w:rsidRPr="00446612">
        <w:t>udget year as government priorities change.</w:t>
      </w:r>
    </w:p>
    <w:p w14:paraId="5277C22B" w14:textId="77777777" w:rsidR="00B91F3E" w:rsidRPr="00446612" w:rsidRDefault="00B91F3E" w:rsidP="00B91F3E">
      <w:pPr>
        <w:pStyle w:val="NoSpacing"/>
      </w:pPr>
    </w:p>
    <w:p w14:paraId="5760BC3E" w14:textId="5CA3E394" w:rsidR="00B91F3E" w:rsidRDefault="00B91F3E" w:rsidP="00B91F3E">
      <w:pPr>
        <w:spacing w:after="0"/>
      </w:pPr>
      <w:r>
        <w:rPr>
          <w:highlight w:val="yellow"/>
        </w:rPr>
        <w:br w:type="page"/>
      </w:r>
      <w:r w:rsidRPr="00B166C6">
        <w:rPr>
          <w:rStyle w:val="TableHeadingChar"/>
        </w:rPr>
        <w:lastRenderedPageBreak/>
        <w:t>Table 2.</w:t>
      </w:r>
      <w:r>
        <w:rPr>
          <w:rStyle w:val="TableHeadingChar"/>
          <w:lang w:val="en-GB"/>
        </w:rPr>
        <w:t>3</w:t>
      </w:r>
      <w:r w:rsidRPr="00B166C6">
        <w:rPr>
          <w:rStyle w:val="TableHeadingChar"/>
        </w:rPr>
        <w:t xml:space="preserve">.2: Program components of Outcome </w:t>
      </w:r>
      <w:r>
        <w:rPr>
          <w:rStyle w:val="TableHeadingChar"/>
          <w:lang w:val="en-GB"/>
        </w:rPr>
        <w:t>3</w:t>
      </w:r>
      <w:r>
        <w:t xml:space="preserve"> </w:t>
      </w:r>
    </w:p>
    <w:tbl>
      <w:tblPr>
        <w:tblW w:w="7797" w:type="dxa"/>
        <w:tblLook w:val="04A0" w:firstRow="1" w:lastRow="0" w:firstColumn="1" w:lastColumn="0" w:noHBand="0" w:noVBand="1"/>
      </w:tblPr>
      <w:tblGrid>
        <w:gridCol w:w="2682"/>
        <w:gridCol w:w="1079"/>
        <w:gridCol w:w="993"/>
        <w:gridCol w:w="979"/>
        <w:gridCol w:w="15"/>
        <w:gridCol w:w="960"/>
        <w:gridCol w:w="45"/>
        <w:gridCol w:w="1044"/>
      </w:tblGrid>
      <w:tr w:rsidR="005535E1" w:rsidRPr="005535E1" w14:paraId="5DBC61A3" w14:textId="77777777" w:rsidTr="005535E1">
        <w:trPr>
          <w:trHeight w:val="204"/>
        </w:trPr>
        <w:tc>
          <w:tcPr>
            <w:tcW w:w="2682" w:type="dxa"/>
            <w:tcBorders>
              <w:top w:val="single" w:sz="4" w:space="0" w:color="auto"/>
              <w:left w:val="nil"/>
              <w:bottom w:val="single" w:sz="4" w:space="0" w:color="auto"/>
              <w:right w:val="nil"/>
            </w:tcBorders>
            <w:shd w:val="clear" w:color="auto" w:fill="auto"/>
            <w:noWrap/>
            <w:vAlign w:val="bottom"/>
            <w:hideMark/>
          </w:tcPr>
          <w:p w14:paraId="771BE73C" w14:textId="77777777" w:rsidR="005535E1" w:rsidRPr="005535E1" w:rsidRDefault="005535E1" w:rsidP="005535E1">
            <w:pPr>
              <w:spacing w:after="0" w:line="240" w:lineRule="auto"/>
              <w:jc w:val="left"/>
              <w:rPr>
                <w:rFonts w:ascii="Arial" w:hAnsi="Arial" w:cs="Arial"/>
                <w:sz w:val="16"/>
                <w:szCs w:val="16"/>
              </w:rPr>
            </w:pPr>
            <w:r w:rsidRPr="005535E1">
              <w:rPr>
                <w:rFonts w:ascii="Arial" w:hAnsi="Arial" w:cs="Arial"/>
                <w:sz w:val="16"/>
                <w:szCs w:val="16"/>
              </w:rPr>
              <w:t> </w:t>
            </w:r>
          </w:p>
        </w:tc>
        <w:tc>
          <w:tcPr>
            <w:tcW w:w="1079" w:type="dxa"/>
            <w:tcBorders>
              <w:top w:val="single" w:sz="4" w:space="0" w:color="auto"/>
              <w:left w:val="nil"/>
              <w:bottom w:val="single" w:sz="4" w:space="0" w:color="auto"/>
              <w:right w:val="nil"/>
            </w:tcBorders>
            <w:shd w:val="clear" w:color="auto" w:fill="auto"/>
            <w:vAlign w:val="bottom"/>
            <w:hideMark/>
          </w:tcPr>
          <w:p w14:paraId="0482DEE3" w14:textId="77777777" w:rsidR="005535E1" w:rsidRPr="005535E1" w:rsidRDefault="005535E1" w:rsidP="005535E1">
            <w:pPr>
              <w:spacing w:after="0" w:line="240" w:lineRule="auto"/>
              <w:jc w:val="right"/>
              <w:rPr>
                <w:rFonts w:ascii="Arial" w:hAnsi="Arial" w:cs="Arial"/>
                <w:sz w:val="16"/>
                <w:szCs w:val="16"/>
              </w:rPr>
            </w:pPr>
            <w:r w:rsidRPr="005535E1">
              <w:rPr>
                <w:rFonts w:ascii="Arial" w:hAnsi="Arial" w:cs="Arial"/>
                <w:sz w:val="16"/>
                <w:szCs w:val="16"/>
              </w:rPr>
              <w:t>2021-22</w:t>
            </w:r>
            <w:r w:rsidRPr="005535E1">
              <w:rPr>
                <w:rFonts w:ascii="Arial" w:hAnsi="Arial" w:cs="Arial"/>
                <w:sz w:val="16"/>
                <w:szCs w:val="16"/>
              </w:rPr>
              <w:br/>
              <w:t>Estimated  actual</w:t>
            </w:r>
            <w:r w:rsidRPr="005535E1">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000000" w:fill="E6E6E6"/>
            <w:vAlign w:val="bottom"/>
            <w:hideMark/>
          </w:tcPr>
          <w:p w14:paraId="2BAD6822" w14:textId="77777777" w:rsidR="005535E1" w:rsidRPr="005535E1" w:rsidRDefault="005535E1" w:rsidP="005535E1">
            <w:pPr>
              <w:spacing w:after="0" w:line="240" w:lineRule="auto"/>
              <w:jc w:val="right"/>
              <w:rPr>
                <w:rFonts w:ascii="Arial" w:hAnsi="Arial" w:cs="Arial"/>
                <w:sz w:val="16"/>
                <w:szCs w:val="16"/>
              </w:rPr>
            </w:pPr>
            <w:r w:rsidRPr="005535E1">
              <w:rPr>
                <w:rFonts w:ascii="Arial" w:hAnsi="Arial" w:cs="Arial"/>
                <w:sz w:val="16"/>
                <w:szCs w:val="16"/>
              </w:rPr>
              <w:t>2022-23</w:t>
            </w:r>
            <w:r w:rsidRPr="005535E1">
              <w:rPr>
                <w:rFonts w:ascii="Arial" w:hAnsi="Arial" w:cs="Arial"/>
                <w:sz w:val="16"/>
                <w:szCs w:val="16"/>
              </w:rPr>
              <w:br/>
              <w:t xml:space="preserve"> Budget</w:t>
            </w:r>
            <w:r w:rsidRPr="005535E1">
              <w:rPr>
                <w:rFonts w:ascii="Arial" w:hAnsi="Arial" w:cs="Arial"/>
                <w:sz w:val="16"/>
                <w:szCs w:val="16"/>
              </w:rPr>
              <w:br/>
              <w:t xml:space="preserve">                                      $'000</w:t>
            </w:r>
          </w:p>
        </w:tc>
        <w:tc>
          <w:tcPr>
            <w:tcW w:w="979" w:type="dxa"/>
            <w:tcBorders>
              <w:top w:val="single" w:sz="4" w:space="0" w:color="auto"/>
              <w:left w:val="nil"/>
              <w:bottom w:val="single" w:sz="4" w:space="0" w:color="auto"/>
              <w:right w:val="nil"/>
            </w:tcBorders>
            <w:shd w:val="clear" w:color="auto" w:fill="auto"/>
            <w:vAlign w:val="bottom"/>
            <w:hideMark/>
          </w:tcPr>
          <w:p w14:paraId="3680A6A3" w14:textId="77777777" w:rsidR="005535E1" w:rsidRPr="005535E1" w:rsidRDefault="005535E1" w:rsidP="005535E1">
            <w:pPr>
              <w:spacing w:after="0" w:line="240" w:lineRule="auto"/>
              <w:jc w:val="right"/>
              <w:rPr>
                <w:rFonts w:ascii="Arial" w:hAnsi="Arial" w:cs="Arial"/>
                <w:sz w:val="16"/>
                <w:szCs w:val="16"/>
              </w:rPr>
            </w:pPr>
            <w:r w:rsidRPr="005535E1">
              <w:rPr>
                <w:rFonts w:ascii="Arial" w:hAnsi="Arial" w:cs="Arial"/>
                <w:sz w:val="16"/>
                <w:szCs w:val="16"/>
              </w:rPr>
              <w:t>2023-24</w:t>
            </w:r>
            <w:r w:rsidRPr="005535E1">
              <w:rPr>
                <w:rFonts w:ascii="Arial" w:hAnsi="Arial" w:cs="Arial"/>
                <w:sz w:val="16"/>
                <w:szCs w:val="16"/>
              </w:rPr>
              <w:br/>
              <w:t>Forward estimate</w:t>
            </w:r>
            <w:r w:rsidRPr="005535E1">
              <w:rPr>
                <w:rFonts w:ascii="Arial" w:hAnsi="Arial" w:cs="Arial"/>
                <w:sz w:val="16"/>
                <w:szCs w:val="16"/>
              </w:rPr>
              <w:br/>
              <w:t>$'000</w:t>
            </w:r>
          </w:p>
        </w:tc>
        <w:tc>
          <w:tcPr>
            <w:tcW w:w="975" w:type="dxa"/>
            <w:gridSpan w:val="2"/>
            <w:tcBorders>
              <w:top w:val="single" w:sz="4" w:space="0" w:color="auto"/>
              <w:left w:val="nil"/>
              <w:bottom w:val="single" w:sz="4" w:space="0" w:color="auto"/>
              <w:right w:val="nil"/>
            </w:tcBorders>
            <w:shd w:val="clear" w:color="auto" w:fill="auto"/>
            <w:vAlign w:val="bottom"/>
            <w:hideMark/>
          </w:tcPr>
          <w:p w14:paraId="00857D3B" w14:textId="77777777" w:rsidR="005535E1" w:rsidRPr="005535E1" w:rsidRDefault="005535E1" w:rsidP="005535E1">
            <w:pPr>
              <w:spacing w:after="0" w:line="240" w:lineRule="auto"/>
              <w:jc w:val="right"/>
              <w:rPr>
                <w:rFonts w:ascii="Arial" w:hAnsi="Arial" w:cs="Arial"/>
                <w:sz w:val="16"/>
                <w:szCs w:val="16"/>
              </w:rPr>
            </w:pPr>
            <w:r w:rsidRPr="005535E1">
              <w:rPr>
                <w:rFonts w:ascii="Arial" w:hAnsi="Arial" w:cs="Arial"/>
                <w:sz w:val="16"/>
                <w:szCs w:val="16"/>
              </w:rPr>
              <w:t>2024-25</w:t>
            </w:r>
            <w:r w:rsidRPr="005535E1">
              <w:rPr>
                <w:rFonts w:ascii="Arial" w:hAnsi="Arial" w:cs="Arial"/>
                <w:sz w:val="16"/>
                <w:szCs w:val="16"/>
              </w:rPr>
              <w:br/>
              <w:t>Forward estimate</w:t>
            </w:r>
            <w:r w:rsidRPr="005535E1">
              <w:rPr>
                <w:rFonts w:ascii="Arial" w:hAnsi="Arial" w:cs="Arial"/>
                <w:sz w:val="16"/>
                <w:szCs w:val="16"/>
              </w:rPr>
              <w:br/>
              <w:t>$'000</w:t>
            </w:r>
          </w:p>
        </w:tc>
        <w:tc>
          <w:tcPr>
            <w:tcW w:w="1089" w:type="dxa"/>
            <w:gridSpan w:val="2"/>
            <w:tcBorders>
              <w:top w:val="single" w:sz="4" w:space="0" w:color="auto"/>
              <w:left w:val="nil"/>
              <w:bottom w:val="single" w:sz="4" w:space="0" w:color="auto"/>
              <w:right w:val="nil"/>
            </w:tcBorders>
            <w:shd w:val="clear" w:color="auto" w:fill="auto"/>
            <w:vAlign w:val="bottom"/>
            <w:hideMark/>
          </w:tcPr>
          <w:p w14:paraId="1C21F4E3" w14:textId="77777777" w:rsidR="005535E1" w:rsidRPr="005535E1" w:rsidRDefault="005535E1" w:rsidP="005535E1">
            <w:pPr>
              <w:spacing w:after="0" w:line="240" w:lineRule="auto"/>
              <w:jc w:val="right"/>
              <w:rPr>
                <w:rFonts w:ascii="Arial" w:hAnsi="Arial" w:cs="Arial"/>
                <w:sz w:val="16"/>
                <w:szCs w:val="16"/>
              </w:rPr>
            </w:pPr>
            <w:r w:rsidRPr="005535E1">
              <w:rPr>
                <w:rFonts w:ascii="Arial" w:hAnsi="Arial" w:cs="Arial"/>
                <w:sz w:val="16"/>
                <w:szCs w:val="16"/>
              </w:rPr>
              <w:t>2025-26</w:t>
            </w:r>
            <w:r w:rsidRPr="005535E1">
              <w:rPr>
                <w:rFonts w:ascii="Arial" w:hAnsi="Arial" w:cs="Arial"/>
                <w:sz w:val="16"/>
                <w:szCs w:val="16"/>
              </w:rPr>
              <w:br/>
              <w:t>Forward estimate</w:t>
            </w:r>
            <w:r w:rsidRPr="005535E1">
              <w:rPr>
                <w:rFonts w:ascii="Arial" w:hAnsi="Arial" w:cs="Arial"/>
                <w:sz w:val="16"/>
                <w:szCs w:val="16"/>
              </w:rPr>
              <w:br/>
              <w:t>$'000</w:t>
            </w:r>
          </w:p>
        </w:tc>
      </w:tr>
      <w:tr w:rsidR="005535E1" w:rsidRPr="005535E1" w14:paraId="1E4A9F70" w14:textId="77777777" w:rsidTr="005535E1">
        <w:trPr>
          <w:trHeight w:val="204"/>
        </w:trPr>
        <w:tc>
          <w:tcPr>
            <w:tcW w:w="7797" w:type="dxa"/>
            <w:gridSpan w:val="8"/>
            <w:tcBorders>
              <w:top w:val="single" w:sz="4" w:space="0" w:color="auto"/>
              <w:left w:val="nil"/>
              <w:bottom w:val="single" w:sz="4" w:space="0" w:color="auto"/>
              <w:right w:val="nil"/>
            </w:tcBorders>
            <w:shd w:val="clear" w:color="000000" w:fill="E6E6E6"/>
            <w:noWrap/>
            <w:vAlign w:val="bottom"/>
            <w:hideMark/>
          </w:tcPr>
          <w:p w14:paraId="5D36E70C" w14:textId="7EFC397E" w:rsidR="005535E1" w:rsidRPr="005535E1" w:rsidRDefault="005535E1" w:rsidP="005535E1">
            <w:pPr>
              <w:spacing w:after="0" w:line="240" w:lineRule="auto"/>
              <w:jc w:val="left"/>
              <w:rPr>
                <w:rFonts w:ascii="Arial" w:hAnsi="Arial" w:cs="Arial"/>
                <w:sz w:val="16"/>
                <w:szCs w:val="16"/>
              </w:rPr>
            </w:pPr>
            <w:r w:rsidRPr="005535E1">
              <w:rPr>
                <w:rFonts w:ascii="Arial" w:hAnsi="Arial" w:cs="Arial"/>
                <w:b/>
                <w:bCs/>
                <w:sz w:val="16"/>
                <w:szCs w:val="16"/>
              </w:rPr>
              <w:t>Components for Program 3.1: Regional development</w:t>
            </w:r>
            <w:r w:rsidRPr="005535E1">
              <w:rPr>
                <w:rFonts w:ascii="Arial" w:hAnsi="Arial" w:cs="Arial"/>
                <w:sz w:val="16"/>
                <w:szCs w:val="16"/>
              </w:rPr>
              <w:t> </w:t>
            </w:r>
          </w:p>
        </w:tc>
      </w:tr>
      <w:tr w:rsidR="005535E1" w:rsidRPr="005535E1" w14:paraId="52FF2AFA" w14:textId="77777777" w:rsidTr="005535E1">
        <w:trPr>
          <w:trHeight w:val="204"/>
        </w:trPr>
        <w:tc>
          <w:tcPr>
            <w:tcW w:w="2682" w:type="dxa"/>
            <w:tcBorders>
              <w:top w:val="nil"/>
              <w:left w:val="nil"/>
              <w:bottom w:val="nil"/>
              <w:right w:val="nil"/>
            </w:tcBorders>
            <w:shd w:val="clear" w:color="auto" w:fill="auto"/>
            <w:noWrap/>
            <w:vAlign w:val="bottom"/>
            <w:hideMark/>
          </w:tcPr>
          <w:p w14:paraId="2FD34AA1" w14:textId="77777777" w:rsidR="005535E1" w:rsidRPr="005535E1" w:rsidRDefault="005535E1" w:rsidP="005535E1">
            <w:pPr>
              <w:spacing w:after="0" w:line="240" w:lineRule="auto"/>
              <w:jc w:val="left"/>
              <w:rPr>
                <w:rFonts w:ascii="Arial" w:hAnsi="Arial" w:cs="Arial"/>
                <w:sz w:val="16"/>
                <w:szCs w:val="16"/>
              </w:rPr>
            </w:pPr>
            <w:r w:rsidRPr="005535E1">
              <w:rPr>
                <w:rFonts w:ascii="Arial" w:hAnsi="Arial" w:cs="Arial"/>
                <w:sz w:val="16"/>
                <w:szCs w:val="16"/>
              </w:rPr>
              <w:t>Administered expenses</w:t>
            </w:r>
          </w:p>
        </w:tc>
        <w:tc>
          <w:tcPr>
            <w:tcW w:w="1079" w:type="dxa"/>
            <w:tcBorders>
              <w:top w:val="nil"/>
              <w:left w:val="nil"/>
              <w:bottom w:val="nil"/>
              <w:right w:val="nil"/>
            </w:tcBorders>
            <w:shd w:val="clear" w:color="auto" w:fill="auto"/>
            <w:noWrap/>
            <w:vAlign w:val="bottom"/>
            <w:hideMark/>
          </w:tcPr>
          <w:p w14:paraId="57E2CC24" w14:textId="77777777" w:rsidR="005535E1" w:rsidRPr="005535E1" w:rsidRDefault="005535E1" w:rsidP="005535E1">
            <w:pPr>
              <w:spacing w:after="0" w:line="240" w:lineRule="auto"/>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32BE701F" w14:textId="6AE3E5CA" w:rsidR="005535E1" w:rsidRPr="005535E1" w:rsidRDefault="005535E1" w:rsidP="005535E1">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4EE03671" w14:textId="77777777" w:rsidR="005535E1" w:rsidRPr="005535E1" w:rsidRDefault="005535E1" w:rsidP="005535E1">
            <w:pPr>
              <w:spacing w:after="0" w:line="240" w:lineRule="auto"/>
              <w:jc w:val="right"/>
              <w:rPr>
                <w:rFonts w:ascii="Arial" w:hAnsi="Arial" w:cs="Arial"/>
                <w:sz w:val="16"/>
                <w:szCs w:val="16"/>
              </w:rPr>
            </w:pPr>
          </w:p>
        </w:tc>
        <w:tc>
          <w:tcPr>
            <w:tcW w:w="975" w:type="dxa"/>
            <w:gridSpan w:val="2"/>
            <w:tcBorders>
              <w:top w:val="nil"/>
              <w:left w:val="nil"/>
              <w:bottom w:val="nil"/>
              <w:right w:val="nil"/>
            </w:tcBorders>
            <w:shd w:val="clear" w:color="auto" w:fill="auto"/>
            <w:noWrap/>
            <w:vAlign w:val="bottom"/>
            <w:hideMark/>
          </w:tcPr>
          <w:p w14:paraId="0A957D72" w14:textId="77777777" w:rsidR="005535E1" w:rsidRPr="005535E1" w:rsidRDefault="005535E1" w:rsidP="005535E1">
            <w:pPr>
              <w:spacing w:after="0" w:line="240" w:lineRule="auto"/>
              <w:jc w:val="right"/>
              <w:rPr>
                <w:rFonts w:ascii="Times New Roman" w:hAnsi="Times New Roman"/>
              </w:rPr>
            </w:pPr>
          </w:p>
        </w:tc>
        <w:tc>
          <w:tcPr>
            <w:tcW w:w="1089" w:type="dxa"/>
            <w:gridSpan w:val="2"/>
            <w:tcBorders>
              <w:top w:val="nil"/>
              <w:left w:val="nil"/>
              <w:bottom w:val="nil"/>
              <w:right w:val="nil"/>
            </w:tcBorders>
            <w:shd w:val="clear" w:color="auto" w:fill="auto"/>
            <w:noWrap/>
            <w:vAlign w:val="bottom"/>
            <w:hideMark/>
          </w:tcPr>
          <w:p w14:paraId="23FA4393" w14:textId="77777777" w:rsidR="005535E1" w:rsidRPr="005535E1" w:rsidRDefault="005535E1" w:rsidP="005535E1">
            <w:pPr>
              <w:spacing w:after="0" w:line="240" w:lineRule="auto"/>
              <w:jc w:val="right"/>
              <w:rPr>
                <w:rFonts w:ascii="Times New Roman" w:hAnsi="Times New Roman"/>
              </w:rPr>
            </w:pPr>
          </w:p>
        </w:tc>
      </w:tr>
      <w:tr w:rsidR="00BD6527" w:rsidRPr="005535E1" w14:paraId="12673CFA" w14:textId="77777777" w:rsidTr="005535E1">
        <w:trPr>
          <w:trHeight w:val="204"/>
        </w:trPr>
        <w:tc>
          <w:tcPr>
            <w:tcW w:w="2682" w:type="dxa"/>
            <w:tcBorders>
              <w:top w:val="nil"/>
              <w:left w:val="nil"/>
              <w:bottom w:val="nil"/>
              <w:right w:val="nil"/>
            </w:tcBorders>
            <w:shd w:val="clear" w:color="auto" w:fill="auto"/>
            <w:vAlign w:val="bottom"/>
            <w:hideMark/>
          </w:tcPr>
          <w:p w14:paraId="2220AB17" w14:textId="29234FA7"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Barkly Regional Deal</w:t>
            </w:r>
          </w:p>
        </w:tc>
        <w:tc>
          <w:tcPr>
            <w:tcW w:w="1079" w:type="dxa"/>
            <w:tcBorders>
              <w:top w:val="nil"/>
              <w:left w:val="nil"/>
              <w:bottom w:val="nil"/>
              <w:right w:val="nil"/>
            </w:tcBorders>
            <w:shd w:val="clear" w:color="auto" w:fill="auto"/>
            <w:noWrap/>
            <w:vAlign w:val="bottom"/>
            <w:hideMark/>
          </w:tcPr>
          <w:p w14:paraId="5A5044E8" w14:textId="65CA186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386 </w:t>
            </w:r>
          </w:p>
        </w:tc>
        <w:tc>
          <w:tcPr>
            <w:tcW w:w="993" w:type="dxa"/>
            <w:tcBorders>
              <w:top w:val="nil"/>
              <w:left w:val="nil"/>
              <w:bottom w:val="nil"/>
              <w:right w:val="nil"/>
            </w:tcBorders>
            <w:shd w:val="clear" w:color="000000" w:fill="E6E6E6"/>
            <w:noWrap/>
            <w:vAlign w:val="bottom"/>
            <w:hideMark/>
          </w:tcPr>
          <w:p w14:paraId="547050EC" w14:textId="4FA3B60B"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73DD4300" w14:textId="444FD6A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0A604BF7" w14:textId="350BC0C3"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2B4F0B0A" w14:textId="4A6B9683"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42BEDF8E" w14:textId="77777777" w:rsidTr="005535E1">
        <w:trPr>
          <w:trHeight w:val="204"/>
        </w:trPr>
        <w:tc>
          <w:tcPr>
            <w:tcW w:w="2682" w:type="dxa"/>
            <w:tcBorders>
              <w:top w:val="nil"/>
              <w:left w:val="nil"/>
              <w:bottom w:val="nil"/>
              <w:right w:val="nil"/>
            </w:tcBorders>
            <w:shd w:val="clear" w:color="auto" w:fill="auto"/>
            <w:vAlign w:val="bottom"/>
            <w:hideMark/>
          </w:tcPr>
          <w:p w14:paraId="1D9AFB18" w14:textId="1042CD0A"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Building Better Regions Fund</w:t>
            </w:r>
          </w:p>
        </w:tc>
        <w:tc>
          <w:tcPr>
            <w:tcW w:w="1079" w:type="dxa"/>
            <w:tcBorders>
              <w:top w:val="nil"/>
              <w:left w:val="nil"/>
              <w:bottom w:val="nil"/>
              <w:right w:val="nil"/>
            </w:tcBorders>
            <w:shd w:val="clear" w:color="auto" w:fill="auto"/>
            <w:noWrap/>
            <w:vAlign w:val="bottom"/>
            <w:hideMark/>
          </w:tcPr>
          <w:p w14:paraId="5D9F8B01" w14:textId="13DF5C9D"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273,243 </w:t>
            </w:r>
          </w:p>
        </w:tc>
        <w:tc>
          <w:tcPr>
            <w:tcW w:w="993" w:type="dxa"/>
            <w:tcBorders>
              <w:top w:val="nil"/>
              <w:left w:val="nil"/>
              <w:bottom w:val="nil"/>
              <w:right w:val="nil"/>
            </w:tcBorders>
            <w:shd w:val="clear" w:color="000000" w:fill="E6E6E6"/>
            <w:noWrap/>
            <w:vAlign w:val="bottom"/>
            <w:hideMark/>
          </w:tcPr>
          <w:p w14:paraId="4CA4838C" w14:textId="7EF12D1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318,991 </w:t>
            </w:r>
          </w:p>
        </w:tc>
        <w:tc>
          <w:tcPr>
            <w:tcW w:w="979" w:type="dxa"/>
            <w:tcBorders>
              <w:top w:val="nil"/>
              <w:left w:val="nil"/>
              <w:bottom w:val="nil"/>
              <w:right w:val="nil"/>
            </w:tcBorders>
            <w:shd w:val="clear" w:color="auto" w:fill="auto"/>
            <w:noWrap/>
            <w:vAlign w:val="bottom"/>
            <w:hideMark/>
          </w:tcPr>
          <w:p w14:paraId="5E57780F" w14:textId="2376739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249,237 </w:t>
            </w:r>
          </w:p>
        </w:tc>
        <w:tc>
          <w:tcPr>
            <w:tcW w:w="975" w:type="dxa"/>
            <w:gridSpan w:val="2"/>
            <w:tcBorders>
              <w:top w:val="nil"/>
              <w:left w:val="nil"/>
              <w:bottom w:val="nil"/>
              <w:right w:val="nil"/>
            </w:tcBorders>
            <w:shd w:val="clear" w:color="auto" w:fill="auto"/>
            <w:noWrap/>
            <w:vAlign w:val="bottom"/>
            <w:hideMark/>
          </w:tcPr>
          <w:p w14:paraId="5CA5CE5C" w14:textId="6BA81FFB"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75,000 </w:t>
            </w:r>
          </w:p>
        </w:tc>
        <w:tc>
          <w:tcPr>
            <w:tcW w:w="1089" w:type="dxa"/>
            <w:gridSpan w:val="2"/>
            <w:tcBorders>
              <w:top w:val="nil"/>
              <w:left w:val="nil"/>
              <w:bottom w:val="nil"/>
              <w:right w:val="nil"/>
            </w:tcBorders>
            <w:shd w:val="clear" w:color="auto" w:fill="auto"/>
            <w:noWrap/>
            <w:vAlign w:val="bottom"/>
            <w:hideMark/>
          </w:tcPr>
          <w:p w14:paraId="5FEA8360" w14:textId="448B0057"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3519BE45" w14:textId="77777777" w:rsidTr="005535E1">
        <w:trPr>
          <w:trHeight w:val="204"/>
        </w:trPr>
        <w:tc>
          <w:tcPr>
            <w:tcW w:w="2682" w:type="dxa"/>
            <w:tcBorders>
              <w:top w:val="nil"/>
              <w:left w:val="nil"/>
              <w:bottom w:val="nil"/>
              <w:right w:val="nil"/>
            </w:tcBorders>
            <w:shd w:val="clear" w:color="auto" w:fill="auto"/>
            <w:vAlign w:val="bottom"/>
            <w:hideMark/>
          </w:tcPr>
          <w:p w14:paraId="2F9310B8" w14:textId="38831ECE"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Community Development Grants Programme</w:t>
            </w:r>
          </w:p>
        </w:tc>
        <w:tc>
          <w:tcPr>
            <w:tcW w:w="1079" w:type="dxa"/>
            <w:tcBorders>
              <w:top w:val="nil"/>
              <w:left w:val="nil"/>
              <w:bottom w:val="nil"/>
              <w:right w:val="nil"/>
            </w:tcBorders>
            <w:shd w:val="clear" w:color="auto" w:fill="auto"/>
            <w:noWrap/>
            <w:vAlign w:val="bottom"/>
            <w:hideMark/>
          </w:tcPr>
          <w:p w14:paraId="37F53D48" w14:textId="0665798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272,876 </w:t>
            </w:r>
          </w:p>
        </w:tc>
        <w:tc>
          <w:tcPr>
            <w:tcW w:w="993" w:type="dxa"/>
            <w:tcBorders>
              <w:top w:val="nil"/>
              <w:left w:val="nil"/>
              <w:bottom w:val="nil"/>
              <w:right w:val="nil"/>
            </w:tcBorders>
            <w:shd w:val="clear" w:color="000000" w:fill="E6E6E6"/>
            <w:noWrap/>
            <w:vAlign w:val="bottom"/>
            <w:hideMark/>
          </w:tcPr>
          <w:p w14:paraId="563CD636" w14:textId="155A1E3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712,965 </w:t>
            </w:r>
          </w:p>
        </w:tc>
        <w:tc>
          <w:tcPr>
            <w:tcW w:w="979" w:type="dxa"/>
            <w:tcBorders>
              <w:top w:val="nil"/>
              <w:left w:val="nil"/>
              <w:bottom w:val="nil"/>
              <w:right w:val="nil"/>
            </w:tcBorders>
            <w:shd w:val="clear" w:color="auto" w:fill="auto"/>
            <w:noWrap/>
            <w:vAlign w:val="bottom"/>
            <w:hideMark/>
          </w:tcPr>
          <w:p w14:paraId="76F2B466" w14:textId="402FFE1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593,509 </w:t>
            </w:r>
          </w:p>
        </w:tc>
        <w:tc>
          <w:tcPr>
            <w:tcW w:w="975" w:type="dxa"/>
            <w:gridSpan w:val="2"/>
            <w:tcBorders>
              <w:top w:val="nil"/>
              <w:left w:val="nil"/>
              <w:bottom w:val="nil"/>
              <w:right w:val="nil"/>
            </w:tcBorders>
            <w:shd w:val="clear" w:color="auto" w:fill="auto"/>
            <w:noWrap/>
            <w:vAlign w:val="bottom"/>
            <w:hideMark/>
          </w:tcPr>
          <w:p w14:paraId="57FFA4A4" w14:textId="274A4F4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368,100 </w:t>
            </w:r>
          </w:p>
        </w:tc>
        <w:tc>
          <w:tcPr>
            <w:tcW w:w="1089" w:type="dxa"/>
            <w:gridSpan w:val="2"/>
            <w:tcBorders>
              <w:top w:val="nil"/>
              <w:left w:val="nil"/>
              <w:bottom w:val="nil"/>
              <w:right w:val="nil"/>
            </w:tcBorders>
            <w:shd w:val="clear" w:color="auto" w:fill="auto"/>
            <w:noWrap/>
            <w:vAlign w:val="bottom"/>
            <w:hideMark/>
          </w:tcPr>
          <w:p w14:paraId="055BFD86" w14:textId="01EFAE7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203,821 </w:t>
            </w:r>
          </w:p>
        </w:tc>
      </w:tr>
      <w:tr w:rsidR="00BD6527" w:rsidRPr="005535E1" w14:paraId="6E6E433A" w14:textId="77777777" w:rsidTr="005535E1">
        <w:trPr>
          <w:trHeight w:val="204"/>
        </w:trPr>
        <w:tc>
          <w:tcPr>
            <w:tcW w:w="2682" w:type="dxa"/>
            <w:tcBorders>
              <w:top w:val="nil"/>
              <w:left w:val="nil"/>
              <w:bottom w:val="nil"/>
              <w:right w:val="nil"/>
            </w:tcBorders>
            <w:shd w:val="clear" w:color="auto" w:fill="auto"/>
            <w:vAlign w:val="bottom"/>
            <w:hideMark/>
          </w:tcPr>
          <w:p w14:paraId="37A52692" w14:textId="4DBDB63F"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Drought Communities Programme Extension</w:t>
            </w:r>
          </w:p>
        </w:tc>
        <w:tc>
          <w:tcPr>
            <w:tcW w:w="1079" w:type="dxa"/>
            <w:tcBorders>
              <w:top w:val="nil"/>
              <w:left w:val="nil"/>
              <w:bottom w:val="nil"/>
              <w:right w:val="nil"/>
            </w:tcBorders>
            <w:shd w:val="clear" w:color="auto" w:fill="auto"/>
            <w:noWrap/>
            <w:vAlign w:val="bottom"/>
            <w:hideMark/>
          </w:tcPr>
          <w:p w14:paraId="55C59025" w14:textId="2721BBA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13,085 </w:t>
            </w:r>
          </w:p>
        </w:tc>
        <w:tc>
          <w:tcPr>
            <w:tcW w:w="993" w:type="dxa"/>
            <w:tcBorders>
              <w:top w:val="nil"/>
              <w:left w:val="nil"/>
              <w:bottom w:val="nil"/>
              <w:right w:val="nil"/>
            </w:tcBorders>
            <w:shd w:val="clear" w:color="000000" w:fill="E6E6E6"/>
            <w:noWrap/>
            <w:vAlign w:val="bottom"/>
            <w:hideMark/>
          </w:tcPr>
          <w:p w14:paraId="1737C4DE" w14:textId="16AB6CA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10,000 </w:t>
            </w:r>
          </w:p>
        </w:tc>
        <w:tc>
          <w:tcPr>
            <w:tcW w:w="979" w:type="dxa"/>
            <w:tcBorders>
              <w:top w:val="nil"/>
              <w:left w:val="nil"/>
              <w:bottom w:val="nil"/>
              <w:right w:val="nil"/>
            </w:tcBorders>
            <w:shd w:val="clear" w:color="auto" w:fill="auto"/>
            <w:noWrap/>
            <w:vAlign w:val="bottom"/>
            <w:hideMark/>
          </w:tcPr>
          <w:p w14:paraId="518841ED" w14:textId="1F9D5736"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735613A9" w14:textId="6E9B205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483D302E" w14:textId="03EF3FDD"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428A7690" w14:textId="77777777" w:rsidTr="005535E1">
        <w:trPr>
          <w:trHeight w:val="204"/>
        </w:trPr>
        <w:tc>
          <w:tcPr>
            <w:tcW w:w="2682" w:type="dxa"/>
            <w:tcBorders>
              <w:top w:val="nil"/>
              <w:left w:val="nil"/>
              <w:bottom w:val="nil"/>
              <w:right w:val="nil"/>
            </w:tcBorders>
            <w:shd w:val="clear" w:color="auto" w:fill="auto"/>
            <w:vAlign w:val="bottom"/>
            <w:hideMark/>
          </w:tcPr>
          <w:p w14:paraId="17160534" w14:textId="7FB21FB5"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Energy Security and Regional Development Plan</w:t>
            </w:r>
          </w:p>
        </w:tc>
        <w:tc>
          <w:tcPr>
            <w:tcW w:w="1079" w:type="dxa"/>
            <w:tcBorders>
              <w:top w:val="nil"/>
              <w:left w:val="nil"/>
              <w:bottom w:val="nil"/>
              <w:right w:val="nil"/>
            </w:tcBorders>
            <w:shd w:val="clear" w:color="auto" w:fill="auto"/>
            <w:noWrap/>
            <w:vAlign w:val="bottom"/>
            <w:hideMark/>
          </w:tcPr>
          <w:p w14:paraId="42D25C8E" w14:textId="53B1707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000000" w:fill="E6E6E6"/>
            <w:noWrap/>
            <w:vAlign w:val="bottom"/>
            <w:hideMark/>
          </w:tcPr>
          <w:p w14:paraId="1B358410" w14:textId="25CB9ED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108,380 </w:t>
            </w:r>
          </w:p>
        </w:tc>
        <w:tc>
          <w:tcPr>
            <w:tcW w:w="979" w:type="dxa"/>
            <w:tcBorders>
              <w:top w:val="nil"/>
              <w:left w:val="nil"/>
              <w:bottom w:val="nil"/>
              <w:right w:val="nil"/>
            </w:tcBorders>
            <w:shd w:val="clear" w:color="auto" w:fill="auto"/>
            <w:noWrap/>
            <w:vAlign w:val="bottom"/>
            <w:hideMark/>
          </w:tcPr>
          <w:p w14:paraId="6F18106F" w14:textId="16B3A7D6"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207,508 </w:t>
            </w:r>
          </w:p>
        </w:tc>
        <w:tc>
          <w:tcPr>
            <w:tcW w:w="975" w:type="dxa"/>
            <w:gridSpan w:val="2"/>
            <w:tcBorders>
              <w:top w:val="nil"/>
              <w:left w:val="nil"/>
              <w:bottom w:val="nil"/>
              <w:right w:val="nil"/>
            </w:tcBorders>
            <w:shd w:val="clear" w:color="auto" w:fill="auto"/>
            <w:noWrap/>
            <w:vAlign w:val="bottom"/>
            <w:hideMark/>
          </w:tcPr>
          <w:p w14:paraId="093B5C20" w14:textId="2DCD679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462,597 </w:t>
            </w:r>
          </w:p>
        </w:tc>
        <w:tc>
          <w:tcPr>
            <w:tcW w:w="1089" w:type="dxa"/>
            <w:gridSpan w:val="2"/>
            <w:tcBorders>
              <w:top w:val="nil"/>
              <w:left w:val="nil"/>
              <w:bottom w:val="nil"/>
              <w:right w:val="nil"/>
            </w:tcBorders>
            <w:shd w:val="clear" w:color="auto" w:fill="auto"/>
            <w:noWrap/>
            <w:vAlign w:val="bottom"/>
            <w:hideMark/>
          </w:tcPr>
          <w:p w14:paraId="4549FD62" w14:textId="0E916A4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585,516 </w:t>
            </w:r>
          </w:p>
        </w:tc>
      </w:tr>
      <w:tr w:rsidR="00BD6527" w:rsidRPr="005535E1" w14:paraId="7A7A9671" w14:textId="77777777" w:rsidTr="005535E1">
        <w:trPr>
          <w:trHeight w:val="204"/>
        </w:trPr>
        <w:tc>
          <w:tcPr>
            <w:tcW w:w="2682" w:type="dxa"/>
            <w:tcBorders>
              <w:top w:val="nil"/>
              <w:left w:val="nil"/>
              <w:bottom w:val="nil"/>
              <w:right w:val="nil"/>
            </w:tcBorders>
            <w:shd w:val="clear" w:color="auto" w:fill="auto"/>
            <w:vAlign w:val="bottom"/>
            <w:hideMark/>
          </w:tcPr>
          <w:p w14:paraId="54F3439C" w14:textId="3823D5F9"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Hinkler Regional Deal</w:t>
            </w:r>
          </w:p>
        </w:tc>
        <w:tc>
          <w:tcPr>
            <w:tcW w:w="1079" w:type="dxa"/>
            <w:tcBorders>
              <w:top w:val="nil"/>
              <w:left w:val="nil"/>
              <w:bottom w:val="nil"/>
              <w:right w:val="nil"/>
            </w:tcBorders>
            <w:shd w:val="clear" w:color="auto" w:fill="auto"/>
            <w:noWrap/>
            <w:vAlign w:val="bottom"/>
            <w:hideMark/>
          </w:tcPr>
          <w:p w14:paraId="13759496" w14:textId="5FA64EA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250 </w:t>
            </w:r>
          </w:p>
        </w:tc>
        <w:tc>
          <w:tcPr>
            <w:tcW w:w="993" w:type="dxa"/>
            <w:tcBorders>
              <w:top w:val="nil"/>
              <w:left w:val="nil"/>
              <w:bottom w:val="nil"/>
              <w:right w:val="nil"/>
            </w:tcBorders>
            <w:shd w:val="clear" w:color="000000" w:fill="E6E6E6"/>
            <w:noWrap/>
            <w:vAlign w:val="bottom"/>
            <w:hideMark/>
          </w:tcPr>
          <w:p w14:paraId="20D1FAF6" w14:textId="3AFB6AB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3295793F" w14:textId="7D97697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2B594379" w14:textId="28DE4267"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1A7E4DC7" w14:textId="11FEF1B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6159F87C" w14:textId="77777777" w:rsidTr="005535E1">
        <w:trPr>
          <w:trHeight w:val="204"/>
        </w:trPr>
        <w:tc>
          <w:tcPr>
            <w:tcW w:w="2682" w:type="dxa"/>
            <w:tcBorders>
              <w:top w:val="nil"/>
              <w:left w:val="nil"/>
              <w:bottom w:val="nil"/>
              <w:right w:val="nil"/>
            </w:tcBorders>
            <w:shd w:val="clear" w:color="auto" w:fill="auto"/>
            <w:vAlign w:val="bottom"/>
            <w:hideMark/>
          </w:tcPr>
          <w:p w14:paraId="4BEA745F" w14:textId="79C0C3D9"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National Stronger Regions Fund</w:t>
            </w:r>
          </w:p>
        </w:tc>
        <w:tc>
          <w:tcPr>
            <w:tcW w:w="1079" w:type="dxa"/>
            <w:tcBorders>
              <w:top w:val="nil"/>
              <w:left w:val="nil"/>
              <w:bottom w:val="nil"/>
              <w:right w:val="nil"/>
            </w:tcBorders>
            <w:shd w:val="clear" w:color="auto" w:fill="auto"/>
            <w:noWrap/>
            <w:vAlign w:val="bottom"/>
            <w:hideMark/>
          </w:tcPr>
          <w:p w14:paraId="7C7F3C25" w14:textId="22468FC7"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8,600 </w:t>
            </w:r>
          </w:p>
        </w:tc>
        <w:tc>
          <w:tcPr>
            <w:tcW w:w="993" w:type="dxa"/>
            <w:tcBorders>
              <w:top w:val="nil"/>
              <w:left w:val="nil"/>
              <w:bottom w:val="nil"/>
              <w:right w:val="nil"/>
            </w:tcBorders>
            <w:shd w:val="clear" w:color="000000" w:fill="E6E6E6"/>
            <w:noWrap/>
            <w:vAlign w:val="bottom"/>
            <w:hideMark/>
          </w:tcPr>
          <w:p w14:paraId="38335D44" w14:textId="7C39E4E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258DBD11" w14:textId="5ADF8FBE"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499AF3F7" w14:textId="352BC1C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588E2CCF" w14:textId="6CC3C1C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6CAF7E37" w14:textId="77777777" w:rsidTr="005535E1">
        <w:trPr>
          <w:trHeight w:val="204"/>
        </w:trPr>
        <w:tc>
          <w:tcPr>
            <w:tcW w:w="2682" w:type="dxa"/>
            <w:tcBorders>
              <w:top w:val="nil"/>
              <w:left w:val="nil"/>
              <w:bottom w:val="nil"/>
              <w:right w:val="nil"/>
            </w:tcBorders>
            <w:shd w:val="clear" w:color="auto" w:fill="auto"/>
            <w:vAlign w:val="bottom"/>
            <w:hideMark/>
          </w:tcPr>
          <w:p w14:paraId="539E8D7B" w14:textId="41F7EB0E"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National Water Infrastructure Development Fund</w:t>
            </w:r>
          </w:p>
        </w:tc>
        <w:tc>
          <w:tcPr>
            <w:tcW w:w="1079" w:type="dxa"/>
            <w:tcBorders>
              <w:top w:val="nil"/>
              <w:left w:val="nil"/>
              <w:bottom w:val="nil"/>
              <w:right w:val="nil"/>
            </w:tcBorders>
            <w:shd w:val="clear" w:color="auto" w:fill="auto"/>
            <w:noWrap/>
            <w:vAlign w:val="bottom"/>
            <w:hideMark/>
          </w:tcPr>
          <w:p w14:paraId="04A678C3" w14:textId="5068E60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500 </w:t>
            </w:r>
          </w:p>
        </w:tc>
        <w:tc>
          <w:tcPr>
            <w:tcW w:w="993" w:type="dxa"/>
            <w:tcBorders>
              <w:top w:val="nil"/>
              <w:left w:val="nil"/>
              <w:bottom w:val="nil"/>
              <w:right w:val="nil"/>
            </w:tcBorders>
            <w:shd w:val="clear" w:color="000000" w:fill="E6E6E6"/>
            <w:noWrap/>
            <w:vAlign w:val="bottom"/>
            <w:hideMark/>
          </w:tcPr>
          <w:p w14:paraId="0173727D" w14:textId="0918282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975 </w:t>
            </w:r>
          </w:p>
        </w:tc>
        <w:tc>
          <w:tcPr>
            <w:tcW w:w="979" w:type="dxa"/>
            <w:tcBorders>
              <w:top w:val="nil"/>
              <w:left w:val="nil"/>
              <w:bottom w:val="nil"/>
              <w:right w:val="nil"/>
            </w:tcBorders>
            <w:shd w:val="clear" w:color="auto" w:fill="auto"/>
            <w:noWrap/>
            <w:vAlign w:val="bottom"/>
            <w:hideMark/>
          </w:tcPr>
          <w:p w14:paraId="44FBC7E1" w14:textId="13D850C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25 </w:t>
            </w:r>
          </w:p>
        </w:tc>
        <w:tc>
          <w:tcPr>
            <w:tcW w:w="975" w:type="dxa"/>
            <w:gridSpan w:val="2"/>
            <w:tcBorders>
              <w:top w:val="nil"/>
              <w:left w:val="nil"/>
              <w:bottom w:val="nil"/>
              <w:right w:val="nil"/>
            </w:tcBorders>
            <w:shd w:val="clear" w:color="auto" w:fill="auto"/>
            <w:noWrap/>
            <w:vAlign w:val="bottom"/>
            <w:hideMark/>
          </w:tcPr>
          <w:p w14:paraId="0A2FCB80" w14:textId="244F05A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669E9463" w14:textId="192C65B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1C9C8394" w14:textId="77777777" w:rsidTr="005535E1">
        <w:trPr>
          <w:trHeight w:val="204"/>
        </w:trPr>
        <w:tc>
          <w:tcPr>
            <w:tcW w:w="2682" w:type="dxa"/>
            <w:tcBorders>
              <w:top w:val="nil"/>
              <w:left w:val="nil"/>
              <w:bottom w:val="nil"/>
              <w:right w:val="nil"/>
            </w:tcBorders>
            <w:shd w:val="clear" w:color="auto" w:fill="auto"/>
            <w:vAlign w:val="bottom"/>
            <w:hideMark/>
          </w:tcPr>
          <w:p w14:paraId="238A0589" w14:textId="5A2E8394"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National Water Grid Authority</w:t>
            </w:r>
          </w:p>
        </w:tc>
        <w:tc>
          <w:tcPr>
            <w:tcW w:w="1079" w:type="dxa"/>
            <w:tcBorders>
              <w:top w:val="nil"/>
              <w:left w:val="nil"/>
              <w:bottom w:val="nil"/>
              <w:right w:val="nil"/>
            </w:tcBorders>
            <w:shd w:val="clear" w:color="auto" w:fill="auto"/>
            <w:noWrap/>
            <w:vAlign w:val="bottom"/>
            <w:hideMark/>
          </w:tcPr>
          <w:p w14:paraId="01030E7F" w14:textId="0DE3DDCF"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6,170 </w:t>
            </w:r>
          </w:p>
        </w:tc>
        <w:tc>
          <w:tcPr>
            <w:tcW w:w="993" w:type="dxa"/>
            <w:tcBorders>
              <w:top w:val="nil"/>
              <w:left w:val="nil"/>
              <w:bottom w:val="nil"/>
              <w:right w:val="nil"/>
            </w:tcBorders>
            <w:shd w:val="clear" w:color="000000" w:fill="E6E6E6"/>
            <w:noWrap/>
            <w:vAlign w:val="bottom"/>
            <w:hideMark/>
          </w:tcPr>
          <w:p w14:paraId="6D4FDAAD" w14:textId="7DBD4C4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7,453 </w:t>
            </w:r>
          </w:p>
        </w:tc>
        <w:tc>
          <w:tcPr>
            <w:tcW w:w="979" w:type="dxa"/>
            <w:tcBorders>
              <w:top w:val="nil"/>
              <w:left w:val="nil"/>
              <w:bottom w:val="nil"/>
              <w:right w:val="nil"/>
            </w:tcBorders>
            <w:shd w:val="clear" w:color="auto" w:fill="auto"/>
            <w:noWrap/>
            <w:vAlign w:val="bottom"/>
            <w:hideMark/>
          </w:tcPr>
          <w:p w14:paraId="2B851610" w14:textId="030563F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4,275 </w:t>
            </w:r>
          </w:p>
        </w:tc>
        <w:tc>
          <w:tcPr>
            <w:tcW w:w="975" w:type="dxa"/>
            <w:gridSpan w:val="2"/>
            <w:tcBorders>
              <w:top w:val="nil"/>
              <w:left w:val="nil"/>
              <w:bottom w:val="nil"/>
              <w:right w:val="nil"/>
            </w:tcBorders>
            <w:shd w:val="clear" w:color="auto" w:fill="auto"/>
            <w:noWrap/>
            <w:vAlign w:val="bottom"/>
            <w:hideMark/>
          </w:tcPr>
          <w:p w14:paraId="2BAC2287" w14:textId="3044CF0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05B57029" w14:textId="15167EAF"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237732DD" w14:textId="77777777" w:rsidTr="005535E1">
        <w:trPr>
          <w:trHeight w:val="204"/>
        </w:trPr>
        <w:tc>
          <w:tcPr>
            <w:tcW w:w="2682" w:type="dxa"/>
            <w:tcBorders>
              <w:top w:val="nil"/>
              <w:left w:val="nil"/>
              <w:bottom w:val="nil"/>
              <w:right w:val="nil"/>
            </w:tcBorders>
            <w:shd w:val="clear" w:color="auto" w:fill="auto"/>
            <w:vAlign w:val="bottom"/>
            <w:hideMark/>
          </w:tcPr>
          <w:p w14:paraId="3B707E76" w14:textId="6E5A0580"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Rebuilding Regional Communities</w:t>
            </w:r>
          </w:p>
        </w:tc>
        <w:tc>
          <w:tcPr>
            <w:tcW w:w="1079" w:type="dxa"/>
            <w:tcBorders>
              <w:top w:val="nil"/>
              <w:left w:val="nil"/>
              <w:bottom w:val="nil"/>
              <w:right w:val="nil"/>
            </w:tcBorders>
            <w:shd w:val="clear" w:color="auto" w:fill="auto"/>
            <w:noWrap/>
            <w:vAlign w:val="bottom"/>
            <w:hideMark/>
          </w:tcPr>
          <w:p w14:paraId="65B04976" w14:textId="0F3FAE6B"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3,404 </w:t>
            </w:r>
          </w:p>
        </w:tc>
        <w:tc>
          <w:tcPr>
            <w:tcW w:w="993" w:type="dxa"/>
            <w:tcBorders>
              <w:top w:val="nil"/>
              <w:left w:val="nil"/>
              <w:bottom w:val="nil"/>
              <w:right w:val="nil"/>
            </w:tcBorders>
            <w:shd w:val="clear" w:color="000000" w:fill="E6E6E6"/>
            <w:noWrap/>
            <w:vAlign w:val="bottom"/>
            <w:hideMark/>
          </w:tcPr>
          <w:p w14:paraId="36FF107B" w14:textId="077AAB6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2,304 </w:t>
            </w:r>
          </w:p>
        </w:tc>
        <w:tc>
          <w:tcPr>
            <w:tcW w:w="979" w:type="dxa"/>
            <w:tcBorders>
              <w:top w:val="nil"/>
              <w:left w:val="nil"/>
              <w:bottom w:val="nil"/>
              <w:right w:val="nil"/>
            </w:tcBorders>
            <w:shd w:val="clear" w:color="auto" w:fill="auto"/>
            <w:noWrap/>
            <w:vAlign w:val="bottom"/>
            <w:hideMark/>
          </w:tcPr>
          <w:p w14:paraId="722805A3" w14:textId="347079AE"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046D3EF2" w14:textId="3BBD01A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6E147FC9" w14:textId="22E6F8C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2B908A5C" w14:textId="77777777" w:rsidTr="005535E1">
        <w:trPr>
          <w:trHeight w:val="204"/>
        </w:trPr>
        <w:tc>
          <w:tcPr>
            <w:tcW w:w="2682" w:type="dxa"/>
            <w:tcBorders>
              <w:top w:val="nil"/>
              <w:left w:val="nil"/>
              <w:bottom w:val="nil"/>
              <w:right w:val="nil"/>
            </w:tcBorders>
            <w:shd w:val="clear" w:color="auto" w:fill="auto"/>
            <w:vAlign w:val="bottom"/>
            <w:hideMark/>
          </w:tcPr>
          <w:p w14:paraId="2EE7110B" w14:textId="4EA03E61"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Regional Accelerator Program</w:t>
            </w:r>
          </w:p>
        </w:tc>
        <w:tc>
          <w:tcPr>
            <w:tcW w:w="1079" w:type="dxa"/>
            <w:tcBorders>
              <w:top w:val="nil"/>
              <w:left w:val="nil"/>
              <w:bottom w:val="nil"/>
              <w:right w:val="nil"/>
            </w:tcBorders>
            <w:shd w:val="clear" w:color="auto" w:fill="auto"/>
            <w:noWrap/>
            <w:vAlign w:val="bottom"/>
            <w:hideMark/>
          </w:tcPr>
          <w:p w14:paraId="718594C8" w14:textId="5014D86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000000" w:fill="E6E6E6"/>
            <w:noWrap/>
            <w:vAlign w:val="bottom"/>
            <w:hideMark/>
          </w:tcPr>
          <w:p w14:paraId="2CA9A8EE" w14:textId="07B75503"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384,800 </w:t>
            </w:r>
          </w:p>
        </w:tc>
        <w:tc>
          <w:tcPr>
            <w:tcW w:w="979" w:type="dxa"/>
            <w:tcBorders>
              <w:top w:val="nil"/>
              <w:left w:val="nil"/>
              <w:bottom w:val="nil"/>
              <w:right w:val="nil"/>
            </w:tcBorders>
            <w:shd w:val="clear" w:color="auto" w:fill="auto"/>
            <w:noWrap/>
            <w:vAlign w:val="bottom"/>
            <w:hideMark/>
          </w:tcPr>
          <w:p w14:paraId="03C27813" w14:textId="37CCC580"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459,100 </w:t>
            </w:r>
          </w:p>
        </w:tc>
        <w:tc>
          <w:tcPr>
            <w:tcW w:w="975" w:type="dxa"/>
            <w:gridSpan w:val="2"/>
            <w:tcBorders>
              <w:top w:val="nil"/>
              <w:left w:val="nil"/>
              <w:bottom w:val="nil"/>
              <w:right w:val="nil"/>
            </w:tcBorders>
            <w:shd w:val="clear" w:color="auto" w:fill="auto"/>
            <w:noWrap/>
            <w:vAlign w:val="bottom"/>
            <w:hideMark/>
          </w:tcPr>
          <w:p w14:paraId="56851A90" w14:textId="3015E56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400,700 </w:t>
            </w:r>
          </w:p>
        </w:tc>
        <w:tc>
          <w:tcPr>
            <w:tcW w:w="1089" w:type="dxa"/>
            <w:gridSpan w:val="2"/>
            <w:tcBorders>
              <w:top w:val="nil"/>
              <w:left w:val="nil"/>
              <w:bottom w:val="nil"/>
              <w:right w:val="nil"/>
            </w:tcBorders>
            <w:shd w:val="clear" w:color="auto" w:fill="auto"/>
            <w:noWrap/>
            <w:vAlign w:val="bottom"/>
            <w:hideMark/>
          </w:tcPr>
          <w:p w14:paraId="4B58DFDA" w14:textId="7E80835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150,400 </w:t>
            </w:r>
          </w:p>
        </w:tc>
      </w:tr>
      <w:tr w:rsidR="00BD6527" w:rsidRPr="005535E1" w14:paraId="132C24C4" w14:textId="77777777" w:rsidTr="005535E1">
        <w:trPr>
          <w:trHeight w:val="204"/>
        </w:trPr>
        <w:tc>
          <w:tcPr>
            <w:tcW w:w="2682" w:type="dxa"/>
            <w:tcBorders>
              <w:top w:val="nil"/>
              <w:left w:val="nil"/>
              <w:bottom w:val="nil"/>
              <w:right w:val="nil"/>
            </w:tcBorders>
            <w:shd w:val="clear" w:color="auto" w:fill="auto"/>
            <w:vAlign w:val="bottom"/>
            <w:hideMark/>
          </w:tcPr>
          <w:p w14:paraId="6318AEEE" w14:textId="2FE2C2C4"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Regional Australia Institute</w:t>
            </w:r>
          </w:p>
        </w:tc>
        <w:tc>
          <w:tcPr>
            <w:tcW w:w="1079" w:type="dxa"/>
            <w:tcBorders>
              <w:top w:val="nil"/>
              <w:left w:val="nil"/>
              <w:bottom w:val="nil"/>
              <w:right w:val="nil"/>
            </w:tcBorders>
            <w:shd w:val="clear" w:color="auto" w:fill="auto"/>
            <w:noWrap/>
            <w:vAlign w:val="bottom"/>
            <w:hideMark/>
          </w:tcPr>
          <w:p w14:paraId="44FBD38D" w14:textId="7B0EC1F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2,700 </w:t>
            </w:r>
          </w:p>
        </w:tc>
        <w:tc>
          <w:tcPr>
            <w:tcW w:w="993" w:type="dxa"/>
            <w:tcBorders>
              <w:top w:val="nil"/>
              <w:left w:val="nil"/>
              <w:bottom w:val="nil"/>
              <w:right w:val="nil"/>
            </w:tcBorders>
            <w:shd w:val="clear" w:color="000000" w:fill="E6E6E6"/>
            <w:noWrap/>
            <w:vAlign w:val="bottom"/>
            <w:hideMark/>
          </w:tcPr>
          <w:p w14:paraId="0BEFA211" w14:textId="726ECB7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0329117D" w14:textId="15887F1E"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59909B6F" w14:textId="70E5454E"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1BA7E5EB" w14:textId="7FB7C24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1AEFCF0F" w14:textId="77777777" w:rsidTr="005535E1">
        <w:trPr>
          <w:trHeight w:val="204"/>
        </w:trPr>
        <w:tc>
          <w:tcPr>
            <w:tcW w:w="2682" w:type="dxa"/>
            <w:tcBorders>
              <w:top w:val="nil"/>
              <w:left w:val="nil"/>
              <w:bottom w:val="nil"/>
              <w:right w:val="nil"/>
            </w:tcBorders>
            <w:shd w:val="clear" w:color="auto" w:fill="auto"/>
            <w:vAlign w:val="bottom"/>
            <w:hideMark/>
          </w:tcPr>
          <w:p w14:paraId="1F8B361E" w14:textId="0096CEEB"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Regional Development Australia Committees</w:t>
            </w:r>
          </w:p>
        </w:tc>
        <w:tc>
          <w:tcPr>
            <w:tcW w:w="1079" w:type="dxa"/>
            <w:tcBorders>
              <w:top w:val="nil"/>
              <w:left w:val="nil"/>
              <w:bottom w:val="nil"/>
              <w:right w:val="nil"/>
            </w:tcBorders>
            <w:shd w:val="clear" w:color="auto" w:fill="auto"/>
            <w:noWrap/>
            <w:vAlign w:val="bottom"/>
            <w:hideMark/>
          </w:tcPr>
          <w:p w14:paraId="3AA7D83E" w14:textId="158A451F"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19,119 </w:t>
            </w:r>
          </w:p>
        </w:tc>
        <w:tc>
          <w:tcPr>
            <w:tcW w:w="993" w:type="dxa"/>
            <w:tcBorders>
              <w:top w:val="nil"/>
              <w:left w:val="nil"/>
              <w:bottom w:val="nil"/>
              <w:right w:val="nil"/>
            </w:tcBorders>
            <w:shd w:val="clear" w:color="000000" w:fill="E6E6E6"/>
            <w:noWrap/>
            <w:vAlign w:val="bottom"/>
            <w:hideMark/>
          </w:tcPr>
          <w:p w14:paraId="541F96F7" w14:textId="7F7B5D1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19,560 </w:t>
            </w:r>
          </w:p>
        </w:tc>
        <w:tc>
          <w:tcPr>
            <w:tcW w:w="979" w:type="dxa"/>
            <w:tcBorders>
              <w:top w:val="nil"/>
              <w:left w:val="nil"/>
              <w:bottom w:val="nil"/>
              <w:right w:val="nil"/>
            </w:tcBorders>
            <w:shd w:val="clear" w:color="auto" w:fill="auto"/>
            <w:noWrap/>
            <w:vAlign w:val="bottom"/>
            <w:hideMark/>
          </w:tcPr>
          <w:p w14:paraId="5AEF76C4" w14:textId="52EAB87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19,911 </w:t>
            </w:r>
          </w:p>
        </w:tc>
        <w:tc>
          <w:tcPr>
            <w:tcW w:w="975" w:type="dxa"/>
            <w:gridSpan w:val="2"/>
            <w:tcBorders>
              <w:top w:val="nil"/>
              <w:left w:val="nil"/>
              <w:bottom w:val="nil"/>
              <w:right w:val="nil"/>
            </w:tcBorders>
            <w:shd w:val="clear" w:color="auto" w:fill="auto"/>
            <w:noWrap/>
            <w:vAlign w:val="bottom"/>
            <w:hideMark/>
          </w:tcPr>
          <w:p w14:paraId="2FAC32C4" w14:textId="411DA23B"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20,390 </w:t>
            </w:r>
          </w:p>
        </w:tc>
        <w:tc>
          <w:tcPr>
            <w:tcW w:w="1089" w:type="dxa"/>
            <w:gridSpan w:val="2"/>
            <w:tcBorders>
              <w:top w:val="nil"/>
              <w:left w:val="nil"/>
              <w:bottom w:val="nil"/>
              <w:right w:val="nil"/>
            </w:tcBorders>
            <w:shd w:val="clear" w:color="auto" w:fill="auto"/>
            <w:noWrap/>
            <w:vAlign w:val="bottom"/>
            <w:hideMark/>
          </w:tcPr>
          <w:p w14:paraId="7C2462D0" w14:textId="07878057"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20,797 </w:t>
            </w:r>
          </w:p>
        </w:tc>
      </w:tr>
      <w:tr w:rsidR="00BD6527" w:rsidRPr="005535E1" w14:paraId="379113D8" w14:textId="77777777" w:rsidTr="005535E1">
        <w:trPr>
          <w:trHeight w:val="204"/>
        </w:trPr>
        <w:tc>
          <w:tcPr>
            <w:tcW w:w="2682" w:type="dxa"/>
            <w:tcBorders>
              <w:top w:val="nil"/>
              <w:left w:val="nil"/>
              <w:bottom w:val="nil"/>
              <w:right w:val="nil"/>
            </w:tcBorders>
            <w:shd w:val="clear" w:color="auto" w:fill="auto"/>
            <w:vAlign w:val="bottom"/>
            <w:hideMark/>
          </w:tcPr>
          <w:p w14:paraId="7CE731E9" w14:textId="39217761"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Regional Growth Fund</w:t>
            </w:r>
          </w:p>
        </w:tc>
        <w:tc>
          <w:tcPr>
            <w:tcW w:w="1079" w:type="dxa"/>
            <w:tcBorders>
              <w:top w:val="nil"/>
              <w:left w:val="nil"/>
              <w:bottom w:val="nil"/>
              <w:right w:val="nil"/>
            </w:tcBorders>
            <w:shd w:val="clear" w:color="auto" w:fill="auto"/>
            <w:noWrap/>
            <w:vAlign w:val="bottom"/>
            <w:hideMark/>
          </w:tcPr>
          <w:p w14:paraId="4C72B214" w14:textId="5B6952DF"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71,776 </w:t>
            </w:r>
          </w:p>
        </w:tc>
        <w:tc>
          <w:tcPr>
            <w:tcW w:w="993" w:type="dxa"/>
            <w:tcBorders>
              <w:top w:val="nil"/>
              <w:left w:val="nil"/>
              <w:bottom w:val="nil"/>
              <w:right w:val="nil"/>
            </w:tcBorders>
            <w:shd w:val="clear" w:color="000000" w:fill="E6E6E6"/>
            <w:noWrap/>
            <w:vAlign w:val="bottom"/>
            <w:hideMark/>
          </w:tcPr>
          <w:p w14:paraId="67267B9C" w14:textId="0F69463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124,003 </w:t>
            </w:r>
          </w:p>
        </w:tc>
        <w:tc>
          <w:tcPr>
            <w:tcW w:w="979" w:type="dxa"/>
            <w:tcBorders>
              <w:top w:val="nil"/>
              <w:left w:val="nil"/>
              <w:bottom w:val="nil"/>
              <w:right w:val="nil"/>
            </w:tcBorders>
            <w:shd w:val="clear" w:color="auto" w:fill="auto"/>
            <w:noWrap/>
            <w:vAlign w:val="bottom"/>
            <w:hideMark/>
          </w:tcPr>
          <w:p w14:paraId="4A61016A" w14:textId="7FBD89B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06800F03" w14:textId="78FC69B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79CC8ED9" w14:textId="39AE47A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7AE313AD" w14:textId="77777777" w:rsidTr="005535E1">
        <w:trPr>
          <w:trHeight w:val="204"/>
        </w:trPr>
        <w:tc>
          <w:tcPr>
            <w:tcW w:w="2682" w:type="dxa"/>
            <w:tcBorders>
              <w:top w:val="nil"/>
              <w:left w:val="nil"/>
              <w:bottom w:val="nil"/>
              <w:right w:val="nil"/>
            </w:tcBorders>
            <w:shd w:val="clear" w:color="auto" w:fill="auto"/>
            <w:vAlign w:val="bottom"/>
            <w:hideMark/>
          </w:tcPr>
          <w:p w14:paraId="53B3066E" w14:textId="77432314"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Regional Jobs and Investment Packages</w:t>
            </w:r>
          </w:p>
        </w:tc>
        <w:tc>
          <w:tcPr>
            <w:tcW w:w="1079" w:type="dxa"/>
            <w:tcBorders>
              <w:top w:val="nil"/>
              <w:left w:val="nil"/>
              <w:bottom w:val="nil"/>
              <w:right w:val="nil"/>
            </w:tcBorders>
            <w:shd w:val="clear" w:color="auto" w:fill="auto"/>
            <w:noWrap/>
            <w:vAlign w:val="bottom"/>
            <w:hideMark/>
          </w:tcPr>
          <w:p w14:paraId="160A964F" w14:textId="1ED7C80E"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20,217 </w:t>
            </w:r>
          </w:p>
        </w:tc>
        <w:tc>
          <w:tcPr>
            <w:tcW w:w="993" w:type="dxa"/>
            <w:tcBorders>
              <w:top w:val="nil"/>
              <w:left w:val="nil"/>
              <w:bottom w:val="nil"/>
              <w:right w:val="nil"/>
            </w:tcBorders>
            <w:shd w:val="clear" w:color="000000" w:fill="E6E6E6"/>
            <w:noWrap/>
            <w:vAlign w:val="bottom"/>
            <w:hideMark/>
          </w:tcPr>
          <w:p w14:paraId="2F352134" w14:textId="5FF868D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24478CD4" w14:textId="6548D43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67F258AF" w14:textId="2B53F87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57413034" w14:textId="1D494187"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3E3ED823" w14:textId="77777777" w:rsidTr="005535E1">
        <w:trPr>
          <w:trHeight w:val="204"/>
        </w:trPr>
        <w:tc>
          <w:tcPr>
            <w:tcW w:w="2682" w:type="dxa"/>
            <w:tcBorders>
              <w:top w:val="nil"/>
              <w:left w:val="nil"/>
              <w:bottom w:val="nil"/>
              <w:right w:val="nil"/>
            </w:tcBorders>
            <w:shd w:val="clear" w:color="auto" w:fill="auto"/>
            <w:vAlign w:val="bottom"/>
            <w:hideMark/>
          </w:tcPr>
          <w:p w14:paraId="7476DD6A" w14:textId="7010EF44"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Regionalisation and Decentralisation Policy - Research and Development Program</w:t>
            </w:r>
          </w:p>
        </w:tc>
        <w:tc>
          <w:tcPr>
            <w:tcW w:w="1079" w:type="dxa"/>
            <w:tcBorders>
              <w:top w:val="nil"/>
              <w:left w:val="nil"/>
              <w:bottom w:val="nil"/>
              <w:right w:val="nil"/>
            </w:tcBorders>
            <w:shd w:val="clear" w:color="auto" w:fill="auto"/>
            <w:noWrap/>
            <w:vAlign w:val="bottom"/>
            <w:hideMark/>
          </w:tcPr>
          <w:p w14:paraId="0F19183B" w14:textId="2EBD782B"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12,264 </w:t>
            </w:r>
          </w:p>
        </w:tc>
        <w:tc>
          <w:tcPr>
            <w:tcW w:w="993" w:type="dxa"/>
            <w:tcBorders>
              <w:top w:val="nil"/>
              <w:left w:val="nil"/>
              <w:bottom w:val="nil"/>
              <w:right w:val="nil"/>
            </w:tcBorders>
            <w:shd w:val="clear" w:color="000000" w:fill="E6E6E6"/>
            <w:noWrap/>
            <w:vAlign w:val="bottom"/>
            <w:hideMark/>
          </w:tcPr>
          <w:p w14:paraId="50C3587D" w14:textId="6B530F6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7,982 </w:t>
            </w:r>
          </w:p>
        </w:tc>
        <w:tc>
          <w:tcPr>
            <w:tcW w:w="979" w:type="dxa"/>
            <w:tcBorders>
              <w:top w:val="nil"/>
              <w:left w:val="nil"/>
              <w:bottom w:val="nil"/>
              <w:right w:val="nil"/>
            </w:tcBorders>
            <w:shd w:val="clear" w:color="auto" w:fill="auto"/>
            <w:noWrap/>
            <w:vAlign w:val="bottom"/>
            <w:hideMark/>
          </w:tcPr>
          <w:p w14:paraId="71269111" w14:textId="5E8299AD"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10,434 </w:t>
            </w:r>
          </w:p>
        </w:tc>
        <w:tc>
          <w:tcPr>
            <w:tcW w:w="975" w:type="dxa"/>
            <w:gridSpan w:val="2"/>
            <w:tcBorders>
              <w:top w:val="nil"/>
              <w:left w:val="nil"/>
              <w:bottom w:val="nil"/>
              <w:right w:val="nil"/>
            </w:tcBorders>
            <w:shd w:val="clear" w:color="auto" w:fill="auto"/>
            <w:noWrap/>
            <w:vAlign w:val="bottom"/>
            <w:hideMark/>
          </w:tcPr>
          <w:p w14:paraId="6F983B53" w14:textId="0505883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10,150 </w:t>
            </w:r>
          </w:p>
        </w:tc>
        <w:tc>
          <w:tcPr>
            <w:tcW w:w="1089" w:type="dxa"/>
            <w:gridSpan w:val="2"/>
            <w:tcBorders>
              <w:top w:val="nil"/>
              <w:left w:val="nil"/>
              <w:bottom w:val="nil"/>
              <w:right w:val="nil"/>
            </w:tcBorders>
            <w:shd w:val="clear" w:color="auto" w:fill="auto"/>
            <w:noWrap/>
            <w:vAlign w:val="bottom"/>
            <w:hideMark/>
          </w:tcPr>
          <w:p w14:paraId="3E28CC9F" w14:textId="1E5F1E7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1C74B204" w14:textId="77777777" w:rsidTr="005535E1">
        <w:trPr>
          <w:trHeight w:val="204"/>
        </w:trPr>
        <w:tc>
          <w:tcPr>
            <w:tcW w:w="2682" w:type="dxa"/>
            <w:tcBorders>
              <w:top w:val="nil"/>
              <w:left w:val="nil"/>
              <w:bottom w:val="nil"/>
              <w:right w:val="nil"/>
            </w:tcBorders>
            <w:shd w:val="clear" w:color="auto" w:fill="auto"/>
            <w:vAlign w:val="bottom"/>
            <w:hideMark/>
          </w:tcPr>
          <w:p w14:paraId="0BF69188" w14:textId="58060A26"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 xml:space="preserve">Regionalisation Fund </w:t>
            </w:r>
          </w:p>
        </w:tc>
        <w:tc>
          <w:tcPr>
            <w:tcW w:w="1079" w:type="dxa"/>
            <w:tcBorders>
              <w:top w:val="nil"/>
              <w:left w:val="nil"/>
              <w:bottom w:val="nil"/>
              <w:right w:val="nil"/>
            </w:tcBorders>
            <w:shd w:val="clear" w:color="auto" w:fill="auto"/>
            <w:noWrap/>
            <w:vAlign w:val="bottom"/>
            <w:hideMark/>
          </w:tcPr>
          <w:p w14:paraId="0D39C794" w14:textId="3C5B855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93" w:type="dxa"/>
            <w:tcBorders>
              <w:top w:val="nil"/>
              <w:left w:val="nil"/>
              <w:bottom w:val="nil"/>
              <w:right w:val="nil"/>
            </w:tcBorders>
            <w:shd w:val="clear" w:color="000000" w:fill="E6E6E6"/>
            <w:noWrap/>
            <w:vAlign w:val="bottom"/>
            <w:hideMark/>
          </w:tcPr>
          <w:p w14:paraId="7CAA42F1" w14:textId="58B9D8E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50,000 </w:t>
            </w:r>
          </w:p>
        </w:tc>
        <w:tc>
          <w:tcPr>
            <w:tcW w:w="979" w:type="dxa"/>
            <w:tcBorders>
              <w:top w:val="nil"/>
              <w:left w:val="nil"/>
              <w:bottom w:val="nil"/>
              <w:right w:val="nil"/>
            </w:tcBorders>
            <w:shd w:val="clear" w:color="auto" w:fill="auto"/>
            <w:noWrap/>
            <w:vAlign w:val="bottom"/>
            <w:hideMark/>
          </w:tcPr>
          <w:p w14:paraId="2AD71103" w14:textId="7E9CA21D"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100,000 </w:t>
            </w:r>
          </w:p>
        </w:tc>
        <w:tc>
          <w:tcPr>
            <w:tcW w:w="975" w:type="dxa"/>
            <w:gridSpan w:val="2"/>
            <w:tcBorders>
              <w:top w:val="nil"/>
              <w:left w:val="nil"/>
              <w:bottom w:val="nil"/>
              <w:right w:val="nil"/>
            </w:tcBorders>
            <w:shd w:val="clear" w:color="auto" w:fill="auto"/>
            <w:noWrap/>
            <w:vAlign w:val="bottom"/>
            <w:hideMark/>
          </w:tcPr>
          <w:p w14:paraId="17B46481" w14:textId="6E1B4E68"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120,000 </w:t>
            </w:r>
          </w:p>
        </w:tc>
        <w:tc>
          <w:tcPr>
            <w:tcW w:w="1089" w:type="dxa"/>
            <w:gridSpan w:val="2"/>
            <w:tcBorders>
              <w:top w:val="nil"/>
              <w:left w:val="nil"/>
              <w:bottom w:val="nil"/>
              <w:right w:val="nil"/>
            </w:tcBorders>
            <w:shd w:val="clear" w:color="auto" w:fill="auto"/>
            <w:noWrap/>
            <w:vAlign w:val="bottom"/>
            <w:hideMark/>
          </w:tcPr>
          <w:p w14:paraId="7E80561E" w14:textId="7BF34B5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130,000 </w:t>
            </w:r>
          </w:p>
        </w:tc>
      </w:tr>
      <w:tr w:rsidR="00BD6527" w:rsidRPr="005535E1" w14:paraId="02E37E14" w14:textId="77777777" w:rsidTr="005535E1">
        <w:trPr>
          <w:trHeight w:val="204"/>
        </w:trPr>
        <w:tc>
          <w:tcPr>
            <w:tcW w:w="2682" w:type="dxa"/>
            <w:tcBorders>
              <w:top w:val="nil"/>
              <w:left w:val="nil"/>
              <w:bottom w:val="nil"/>
              <w:right w:val="nil"/>
            </w:tcBorders>
            <w:shd w:val="clear" w:color="auto" w:fill="auto"/>
            <w:vAlign w:val="bottom"/>
            <w:hideMark/>
          </w:tcPr>
          <w:p w14:paraId="43DDF355" w14:textId="25256548"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Resilient Regional Leaders Program</w:t>
            </w:r>
          </w:p>
        </w:tc>
        <w:tc>
          <w:tcPr>
            <w:tcW w:w="1079" w:type="dxa"/>
            <w:tcBorders>
              <w:top w:val="nil"/>
              <w:left w:val="nil"/>
              <w:bottom w:val="nil"/>
              <w:right w:val="nil"/>
            </w:tcBorders>
            <w:shd w:val="clear" w:color="auto" w:fill="auto"/>
            <w:noWrap/>
            <w:vAlign w:val="bottom"/>
            <w:hideMark/>
          </w:tcPr>
          <w:p w14:paraId="34CCE057" w14:textId="1053EC96"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3,000 </w:t>
            </w:r>
          </w:p>
        </w:tc>
        <w:tc>
          <w:tcPr>
            <w:tcW w:w="993" w:type="dxa"/>
            <w:tcBorders>
              <w:top w:val="nil"/>
              <w:left w:val="nil"/>
              <w:bottom w:val="nil"/>
              <w:right w:val="nil"/>
            </w:tcBorders>
            <w:shd w:val="clear" w:color="000000" w:fill="E6E6E6"/>
            <w:noWrap/>
            <w:vAlign w:val="bottom"/>
            <w:hideMark/>
          </w:tcPr>
          <w:p w14:paraId="32C748FE" w14:textId="0CF267CF"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2,000 </w:t>
            </w:r>
          </w:p>
        </w:tc>
        <w:tc>
          <w:tcPr>
            <w:tcW w:w="979" w:type="dxa"/>
            <w:tcBorders>
              <w:top w:val="nil"/>
              <w:left w:val="nil"/>
              <w:bottom w:val="nil"/>
              <w:right w:val="nil"/>
            </w:tcBorders>
            <w:shd w:val="clear" w:color="auto" w:fill="auto"/>
            <w:noWrap/>
            <w:vAlign w:val="bottom"/>
            <w:hideMark/>
          </w:tcPr>
          <w:p w14:paraId="2247F485" w14:textId="7231E472"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3D7C474B" w14:textId="059670D3"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63C7CBD4" w14:textId="106AD19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4B9080CA" w14:textId="77777777" w:rsidTr="005535E1">
        <w:trPr>
          <w:trHeight w:val="204"/>
        </w:trPr>
        <w:tc>
          <w:tcPr>
            <w:tcW w:w="2682" w:type="dxa"/>
            <w:tcBorders>
              <w:top w:val="nil"/>
              <w:left w:val="nil"/>
              <w:bottom w:val="nil"/>
              <w:right w:val="nil"/>
            </w:tcBorders>
            <w:shd w:val="clear" w:color="auto" w:fill="auto"/>
            <w:vAlign w:val="bottom"/>
            <w:hideMark/>
          </w:tcPr>
          <w:p w14:paraId="6C68749E" w14:textId="5660CF05"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Stronger Communities Programme</w:t>
            </w:r>
          </w:p>
        </w:tc>
        <w:tc>
          <w:tcPr>
            <w:tcW w:w="1079" w:type="dxa"/>
            <w:tcBorders>
              <w:top w:val="nil"/>
              <w:left w:val="nil"/>
              <w:bottom w:val="nil"/>
              <w:right w:val="nil"/>
            </w:tcBorders>
            <w:shd w:val="clear" w:color="auto" w:fill="auto"/>
            <w:noWrap/>
            <w:vAlign w:val="bottom"/>
            <w:hideMark/>
          </w:tcPr>
          <w:p w14:paraId="7E4EC9CF" w14:textId="2E54A9B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22,650 </w:t>
            </w:r>
          </w:p>
        </w:tc>
        <w:tc>
          <w:tcPr>
            <w:tcW w:w="993" w:type="dxa"/>
            <w:tcBorders>
              <w:top w:val="nil"/>
              <w:left w:val="nil"/>
              <w:bottom w:val="nil"/>
              <w:right w:val="nil"/>
            </w:tcBorders>
            <w:shd w:val="clear" w:color="000000" w:fill="E6E6E6"/>
            <w:noWrap/>
            <w:vAlign w:val="bottom"/>
            <w:hideMark/>
          </w:tcPr>
          <w:p w14:paraId="2FA0F712" w14:textId="5CB2235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22,650 </w:t>
            </w:r>
          </w:p>
        </w:tc>
        <w:tc>
          <w:tcPr>
            <w:tcW w:w="979" w:type="dxa"/>
            <w:tcBorders>
              <w:top w:val="nil"/>
              <w:left w:val="nil"/>
              <w:bottom w:val="nil"/>
              <w:right w:val="nil"/>
            </w:tcBorders>
            <w:shd w:val="clear" w:color="auto" w:fill="auto"/>
            <w:noWrap/>
            <w:vAlign w:val="bottom"/>
            <w:hideMark/>
          </w:tcPr>
          <w:p w14:paraId="4D334488" w14:textId="524886D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975" w:type="dxa"/>
            <w:gridSpan w:val="2"/>
            <w:tcBorders>
              <w:top w:val="nil"/>
              <w:left w:val="nil"/>
              <w:bottom w:val="nil"/>
              <w:right w:val="nil"/>
            </w:tcBorders>
            <w:shd w:val="clear" w:color="auto" w:fill="auto"/>
            <w:noWrap/>
            <w:vAlign w:val="bottom"/>
            <w:hideMark/>
          </w:tcPr>
          <w:p w14:paraId="42D8EAD3" w14:textId="5DFDBD6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89" w:type="dxa"/>
            <w:gridSpan w:val="2"/>
            <w:tcBorders>
              <w:top w:val="nil"/>
              <w:left w:val="nil"/>
              <w:bottom w:val="nil"/>
              <w:right w:val="nil"/>
            </w:tcBorders>
            <w:shd w:val="clear" w:color="auto" w:fill="auto"/>
            <w:noWrap/>
            <w:vAlign w:val="bottom"/>
            <w:hideMark/>
          </w:tcPr>
          <w:p w14:paraId="16B57D31" w14:textId="27F01304"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531CAF35" w14:textId="77777777" w:rsidTr="005535E1">
        <w:trPr>
          <w:trHeight w:val="204"/>
        </w:trPr>
        <w:tc>
          <w:tcPr>
            <w:tcW w:w="2682" w:type="dxa"/>
            <w:tcBorders>
              <w:top w:val="nil"/>
              <w:left w:val="nil"/>
              <w:bottom w:val="nil"/>
              <w:right w:val="nil"/>
            </w:tcBorders>
            <w:shd w:val="clear" w:color="auto" w:fill="auto"/>
            <w:noWrap/>
            <w:vAlign w:val="bottom"/>
            <w:hideMark/>
          </w:tcPr>
          <w:p w14:paraId="39B5BCF9" w14:textId="34C95E76" w:rsidR="00BD6527" w:rsidRPr="005535E1" w:rsidRDefault="00BD6527" w:rsidP="00BD6527">
            <w:pPr>
              <w:spacing w:after="0" w:line="240" w:lineRule="auto"/>
              <w:jc w:val="left"/>
              <w:rPr>
                <w:rFonts w:ascii="Arial" w:hAnsi="Arial" w:cs="Arial"/>
                <w:b/>
                <w:bCs/>
                <w:sz w:val="16"/>
                <w:szCs w:val="16"/>
              </w:rPr>
            </w:pPr>
            <w:r>
              <w:rPr>
                <w:rFonts w:ascii="Arial" w:hAnsi="Arial" w:cs="Arial"/>
                <w:b/>
                <w:bCs/>
                <w:sz w:val="16"/>
                <w:szCs w:val="16"/>
              </w:rPr>
              <w:t>Total expenses for Program 3.1</w:t>
            </w:r>
          </w:p>
        </w:tc>
        <w:tc>
          <w:tcPr>
            <w:tcW w:w="1079" w:type="dxa"/>
            <w:tcBorders>
              <w:top w:val="single" w:sz="4" w:space="0" w:color="auto"/>
              <w:left w:val="nil"/>
              <w:bottom w:val="single" w:sz="4" w:space="0" w:color="auto"/>
              <w:right w:val="nil"/>
            </w:tcBorders>
            <w:shd w:val="clear" w:color="auto" w:fill="auto"/>
            <w:noWrap/>
            <w:vAlign w:val="bottom"/>
            <w:hideMark/>
          </w:tcPr>
          <w:p w14:paraId="0C1F7ACC" w14:textId="3BA28AEB"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730,240 </w:t>
            </w:r>
          </w:p>
        </w:tc>
        <w:tc>
          <w:tcPr>
            <w:tcW w:w="993" w:type="dxa"/>
            <w:tcBorders>
              <w:top w:val="single" w:sz="4" w:space="0" w:color="auto"/>
              <w:left w:val="nil"/>
              <w:bottom w:val="single" w:sz="4" w:space="0" w:color="auto"/>
              <w:right w:val="nil"/>
            </w:tcBorders>
            <w:shd w:val="clear" w:color="000000" w:fill="E6E6E6"/>
            <w:noWrap/>
            <w:vAlign w:val="bottom"/>
            <w:hideMark/>
          </w:tcPr>
          <w:p w14:paraId="2EB696FD" w14:textId="65ED97A9"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1,772,063 </w:t>
            </w:r>
          </w:p>
        </w:tc>
        <w:tc>
          <w:tcPr>
            <w:tcW w:w="979" w:type="dxa"/>
            <w:tcBorders>
              <w:top w:val="single" w:sz="4" w:space="0" w:color="auto"/>
              <w:left w:val="nil"/>
              <w:bottom w:val="single" w:sz="4" w:space="0" w:color="auto"/>
              <w:right w:val="nil"/>
            </w:tcBorders>
            <w:shd w:val="clear" w:color="auto" w:fill="auto"/>
            <w:noWrap/>
            <w:vAlign w:val="bottom"/>
            <w:hideMark/>
          </w:tcPr>
          <w:p w14:paraId="2DCB2833" w14:textId="3C4C9019"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1,643,999 </w:t>
            </w:r>
          </w:p>
        </w:tc>
        <w:tc>
          <w:tcPr>
            <w:tcW w:w="975" w:type="dxa"/>
            <w:gridSpan w:val="2"/>
            <w:tcBorders>
              <w:top w:val="single" w:sz="4" w:space="0" w:color="auto"/>
              <w:left w:val="nil"/>
              <w:bottom w:val="single" w:sz="4" w:space="0" w:color="auto"/>
              <w:right w:val="nil"/>
            </w:tcBorders>
            <w:shd w:val="clear" w:color="auto" w:fill="auto"/>
            <w:noWrap/>
            <w:vAlign w:val="bottom"/>
            <w:hideMark/>
          </w:tcPr>
          <w:p w14:paraId="65D20085" w14:textId="346E2055"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1,456,937 </w:t>
            </w:r>
          </w:p>
        </w:tc>
        <w:tc>
          <w:tcPr>
            <w:tcW w:w="1089" w:type="dxa"/>
            <w:gridSpan w:val="2"/>
            <w:tcBorders>
              <w:top w:val="single" w:sz="4" w:space="0" w:color="auto"/>
              <w:left w:val="nil"/>
              <w:bottom w:val="single" w:sz="4" w:space="0" w:color="auto"/>
              <w:right w:val="nil"/>
            </w:tcBorders>
            <w:shd w:val="clear" w:color="auto" w:fill="auto"/>
            <w:noWrap/>
            <w:vAlign w:val="bottom"/>
            <w:hideMark/>
          </w:tcPr>
          <w:p w14:paraId="446ADFE8" w14:textId="145C8A39"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1,090,534 </w:t>
            </w:r>
          </w:p>
        </w:tc>
      </w:tr>
      <w:tr w:rsidR="005535E1" w:rsidRPr="005535E1" w14:paraId="292A7619" w14:textId="77777777" w:rsidTr="005535E1">
        <w:trPr>
          <w:trHeight w:val="204"/>
        </w:trPr>
        <w:tc>
          <w:tcPr>
            <w:tcW w:w="7797" w:type="dxa"/>
            <w:gridSpan w:val="8"/>
            <w:tcBorders>
              <w:top w:val="single" w:sz="4" w:space="0" w:color="auto"/>
              <w:left w:val="nil"/>
              <w:bottom w:val="single" w:sz="4" w:space="0" w:color="auto"/>
              <w:right w:val="nil"/>
            </w:tcBorders>
            <w:shd w:val="clear" w:color="000000" w:fill="E6E6E6"/>
            <w:noWrap/>
            <w:vAlign w:val="bottom"/>
            <w:hideMark/>
          </w:tcPr>
          <w:p w14:paraId="30C5A3D2" w14:textId="50383FB4" w:rsidR="005535E1" w:rsidRPr="005535E1" w:rsidRDefault="005535E1" w:rsidP="005535E1">
            <w:pPr>
              <w:spacing w:after="0" w:line="240" w:lineRule="auto"/>
              <w:jc w:val="left"/>
              <w:rPr>
                <w:rFonts w:ascii="Arial" w:hAnsi="Arial" w:cs="Arial"/>
                <w:sz w:val="16"/>
                <w:szCs w:val="16"/>
              </w:rPr>
            </w:pPr>
            <w:r w:rsidRPr="005535E1">
              <w:rPr>
                <w:rFonts w:ascii="Arial" w:hAnsi="Arial" w:cs="Arial"/>
                <w:b/>
                <w:bCs/>
                <w:sz w:val="16"/>
                <w:szCs w:val="16"/>
              </w:rPr>
              <w:t>Components for Program 3.2: Local government</w:t>
            </w:r>
            <w:r w:rsidRPr="005535E1">
              <w:rPr>
                <w:rFonts w:ascii="Arial" w:hAnsi="Arial" w:cs="Arial"/>
                <w:sz w:val="16"/>
                <w:szCs w:val="16"/>
              </w:rPr>
              <w:t> </w:t>
            </w:r>
          </w:p>
        </w:tc>
      </w:tr>
      <w:tr w:rsidR="005535E1" w:rsidRPr="005535E1" w14:paraId="3AB109B8" w14:textId="77777777" w:rsidTr="005535E1">
        <w:trPr>
          <w:trHeight w:val="204"/>
        </w:trPr>
        <w:tc>
          <w:tcPr>
            <w:tcW w:w="2682" w:type="dxa"/>
            <w:tcBorders>
              <w:top w:val="nil"/>
              <w:left w:val="nil"/>
              <w:bottom w:val="nil"/>
              <w:right w:val="nil"/>
            </w:tcBorders>
            <w:shd w:val="clear" w:color="auto" w:fill="auto"/>
            <w:noWrap/>
            <w:vAlign w:val="bottom"/>
            <w:hideMark/>
          </w:tcPr>
          <w:p w14:paraId="5D016982" w14:textId="77777777" w:rsidR="005535E1" w:rsidRPr="005535E1" w:rsidRDefault="005535E1" w:rsidP="005535E1">
            <w:pPr>
              <w:spacing w:after="0" w:line="240" w:lineRule="auto"/>
              <w:jc w:val="left"/>
              <w:rPr>
                <w:rFonts w:ascii="Arial" w:hAnsi="Arial" w:cs="Arial"/>
                <w:sz w:val="16"/>
                <w:szCs w:val="16"/>
              </w:rPr>
            </w:pPr>
            <w:r w:rsidRPr="005535E1">
              <w:rPr>
                <w:rFonts w:ascii="Arial" w:hAnsi="Arial" w:cs="Arial"/>
                <w:sz w:val="16"/>
                <w:szCs w:val="16"/>
              </w:rPr>
              <w:t>Administered expenses</w:t>
            </w:r>
          </w:p>
        </w:tc>
        <w:tc>
          <w:tcPr>
            <w:tcW w:w="1079" w:type="dxa"/>
            <w:tcBorders>
              <w:top w:val="nil"/>
              <w:left w:val="nil"/>
              <w:bottom w:val="nil"/>
              <w:right w:val="nil"/>
            </w:tcBorders>
            <w:shd w:val="clear" w:color="auto" w:fill="auto"/>
            <w:noWrap/>
            <w:vAlign w:val="bottom"/>
            <w:hideMark/>
          </w:tcPr>
          <w:p w14:paraId="1A39848F" w14:textId="77777777" w:rsidR="005535E1" w:rsidRPr="005535E1" w:rsidRDefault="005535E1" w:rsidP="005535E1">
            <w:pPr>
              <w:spacing w:after="0" w:line="240" w:lineRule="auto"/>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2B9F1DBE" w14:textId="76E7C24D" w:rsidR="005535E1" w:rsidRPr="005535E1" w:rsidRDefault="005535E1" w:rsidP="005535E1">
            <w:pPr>
              <w:spacing w:after="0" w:line="240" w:lineRule="auto"/>
              <w:jc w:val="right"/>
              <w:rPr>
                <w:rFonts w:ascii="Arial" w:hAnsi="Arial" w:cs="Arial"/>
                <w:sz w:val="16"/>
                <w:szCs w:val="16"/>
              </w:rPr>
            </w:pPr>
          </w:p>
        </w:tc>
        <w:tc>
          <w:tcPr>
            <w:tcW w:w="994" w:type="dxa"/>
            <w:gridSpan w:val="2"/>
            <w:tcBorders>
              <w:top w:val="nil"/>
              <w:left w:val="nil"/>
              <w:bottom w:val="nil"/>
              <w:right w:val="nil"/>
            </w:tcBorders>
            <w:shd w:val="clear" w:color="auto" w:fill="auto"/>
            <w:noWrap/>
            <w:vAlign w:val="bottom"/>
            <w:hideMark/>
          </w:tcPr>
          <w:p w14:paraId="1244D9EB" w14:textId="77777777" w:rsidR="005535E1" w:rsidRPr="005535E1" w:rsidRDefault="005535E1" w:rsidP="005535E1">
            <w:pPr>
              <w:spacing w:after="0" w:line="240" w:lineRule="auto"/>
              <w:jc w:val="right"/>
              <w:rPr>
                <w:rFonts w:ascii="Arial" w:hAnsi="Arial" w:cs="Arial"/>
                <w:sz w:val="16"/>
                <w:szCs w:val="16"/>
              </w:rPr>
            </w:pPr>
          </w:p>
        </w:tc>
        <w:tc>
          <w:tcPr>
            <w:tcW w:w="1005" w:type="dxa"/>
            <w:gridSpan w:val="2"/>
            <w:tcBorders>
              <w:top w:val="nil"/>
              <w:left w:val="nil"/>
              <w:bottom w:val="nil"/>
              <w:right w:val="nil"/>
            </w:tcBorders>
            <w:shd w:val="clear" w:color="auto" w:fill="auto"/>
            <w:noWrap/>
            <w:vAlign w:val="bottom"/>
            <w:hideMark/>
          </w:tcPr>
          <w:p w14:paraId="7668C251" w14:textId="77777777" w:rsidR="005535E1" w:rsidRPr="005535E1" w:rsidRDefault="005535E1" w:rsidP="005535E1">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2BF3953D" w14:textId="77777777" w:rsidR="005535E1" w:rsidRPr="005535E1" w:rsidRDefault="005535E1" w:rsidP="005535E1">
            <w:pPr>
              <w:spacing w:after="0" w:line="240" w:lineRule="auto"/>
              <w:jc w:val="right"/>
              <w:rPr>
                <w:rFonts w:ascii="Times New Roman" w:hAnsi="Times New Roman"/>
              </w:rPr>
            </w:pPr>
          </w:p>
        </w:tc>
      </w:tr>
      <w:tr w:rsidR="00BD6527" w:rsidRPr="005535E1" w14:paraId="0DA4E23F" w14:textId="77777777" w:rsidTr="005535E1">
        <w:trPr>
          <w:trHeight w:val="204"/>
        </w:trPr>
        <w:tc>
          <w:tcPr>
            <w:tcW w:w="2682" w:type="dxa"/>
            <w:tcBorders>
              <w:top w:val="nil"/>
              <w:left w:val="nil"/>
              <w:bottom w:val="nil"/>
              <w:right w:val="nil"/>
            </w:tcBorders>
            <w:shd w:val="clear" w:color="auto" w:fill="auto"/>
            <w:vAlign w:val="bottom"/>
            <w:hideMark/>
          </w:tcPr>
          <w:p w14:paraId="34CEB967" w14:textId="77777777" w:rsidR="00BD6527" w:rsidRPr="005535E1" w:rsidRDefault="00BD6527" w:rsidP="00BD6527">
            <w:pPr>
              <w:spacing w:after="0" w:line="240" w:lineRule="auto"/>
              <w:ind w:left="113"/>
              <w:jc w:val="left"/>
              <w:rPr>
                <w:rFonts w:ascii="Arial" w:hAnsi="Arial" w:cs="Arial"/>
                <w:sz w:val="16"/>
                <w:szCs w:val="16"/>
              </w:rPr>
            </w:pPr>
            <w:r w:rsidRPr="005535E1">
              <w:rPr>
                <w:rFonts w:ascii="Arial" w:hAnsi="Arial" w:cs="Arial"/>
                <w:sz w:val="16"/>
                <w:szCs w:val="16"/>
              </w:rPr>
              <w:t>Local Roads and Community Infrastructure</w:t>
            </w:r>
          </w:p>
        </w:tc>
        <w:tc>
          <w:tcPr>
            <w:tcW w:w="1079" w:type="dxa"/>
            <w:tcBorders>
              <w:top w:val="nil"/>
              <w:left w:val="nil"/>
              <w:bottom w:val="nil"/>
              <w:right w:val="nil"/>
            </w:tcBorders>
            <w:shd w:val="clear" w:color="auto" w:fill="auto"/>
            <w:noWrap/>
            <w:vAlign w:val="bottom"/>
            <w:hideMark/>
          </w:tcPr>
          <w:p w14:paraId="79AB6AEC" w14:textId="44821E97"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914,797 </w:t>
            </w:r>
          </w:p>
        </w:tc>
        <w:tc>
          <w:tcPr>
            <w:tcW w:w="993" w:type="dxa"/>
            <w:tcBorders>
              <w:top w:val="nil"/>
              <w:left w:val="nil"/>
              <w:bottom w:val="nil"/>
              <w:right w:val="nil"/>
            </w:tcBorders>
            <w:shd w:val="clear" w:color="000000" w:fill="E6E6E6"/>
            <w:noWrap/>
            <w:vAlign w:val="bottom"/>
            <w:hideMark/>
          </w:tcPr>
          <w:p w14:paraId="4031DD04" w14:textId="7737212E"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650,000 </w:t>
            </w:r>
          </w:p>
        </w:tc>
        <w:tc>
          <w:tcPr>
            <w:tcW w:w="994" w:type="dxa"/>
            <w:gridSpan w:val="2"/>
            <w:tcBorders>
              <w:top w:val="nil"/>
              <w:left w:val="nil"/>
              <w:bottom w:val="nil"/>
              <w:right w:val="nil"/>
            </w:tcBorders>
            <w:shd w:val="clear" w:color="auto" w:fill="auto"/>
            <w:noWrap/>
            <w:vAlign w:val="bottom"/>
            <w:hideMark/>
          </w:tcPr>
          <w:p w14:paraId="53F8B0E7" w14:textId="4E2D4AB1"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350,000 </w:t>
            </w:r>
          </w:p>
        </w:tc>
        <w:tc>
          <w:tcPr>
            <w:tcW w:w="1005" w:type="dxa"/>
            <w:gridSpan w:val="2"/>
            <w:tcBorders>
              <w:top w:val="nil"/>
              <w:left w:val="nil"/>
              <w:bottom w:val="nil"/>
              <w:right w:val="nil"/>
            </w:tcBorders>
            <w:shd w:val="clear" w:color="auto" w:fill="auto"/>
            <w:noWrap/>
            <w:vAlign w:val="bottom"/>
            <w:hideMark/>
          </w:tcPr>
          <w:p w14:paraId="06A76E94" w14:textId="56DCDBBE"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250,000 </w:t>
            </w:r>
          </w:p>
        </w:tc>
        <w:tc>
          <w:tcPr>
            <w:tcW w:w="1044" w:type="dxa"/>
            <w:tcBorders>
              <w:top w:val="nil"/>
              <w:left w:val="nil"/>
              <w:bottom w:val="nil"/>
              <w:right w:val="nil"/>
            </w:tcBorders>
            <w:shd w:val="clear" w:color="auto" w:fill="auto"/>
            <w:noWrap/>
            <w:vAlign w:val="bottom"/>
            <w:hideMark/>
          </w:tcPr>
          <w:p w14:paraId="6049E361" w14:textId="42230511"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 </w:t>
            </w:r>
          </w:p>
        </w:tc>
      </w:tr>
      <w:tr w:rsidR="00BD6527" w:rsidRPr="005535E1" w14:paraId="0B6EDDAB" w14:textId="77777777" w:rsidTr="005535E1">
        <w:trPr>
          <w:trHeight w:val="204"/>
        </w:trPr>
        <w:tc>
          <w:tcPr>
            <w:tcW w:w="2682" w:type="dxa"/>
            <w:tcBorders>
              <w:top w:val="nil"/>
              <w:left w:val="nil"/>
              <w:bottom w:val="nil"/>
              <w:right w:val="nil"/>
            </w:tcBorders>
            <w:shd w:val="clear" w:color="auto" w:fill="auto"/>
            <w:vAlign w:val="bottom"/>
            <w:hideMark/>
          </w:tcPr>
          <w:p w14:paraId="098854D8" w14:textId="77777777" w:rsidR="00BD6527" w:rsidRPr="005535E1" w:rsidRDefault="00BD6527" w:rsidP="00BD6527">
            <w:pPr>
              <w:spacing w:after="0" w:line="240" w:lineRule="auto"/>
              <w:ind w:left="113"/>
              <w:jc w:val="left"/>
              <w:rPr>
                <w:rFonts w:ascii="Arial" w:hAnsi="Arial" w:cs="Arial"/>
                <w:sz w:val="16"/>
                <w:szCs w:val="16"/>
              </w:rPr>
            </w:pPr>
            <w:r w:rsidRPr="005535E1">
              <w:rPr>
                <w:rFonts w:ascii="Arial" w:hAnsi="Arial" w:cs="Arial"/>
                <w:sz w:val="16"/>
                <w:szCs w:val="16"/>
              </w:rPr>
              <w:t>Supplementary Funding for South Australian Roads</w:t>
            </w:r>
          </w:p>
        </w:tc>
        <w:tc>
          <w:tcPr>
            <w:tcW w:w="1079" w:type="dxa"/>
            <w:tcBorders>
              <w:top w:val="nil"/>
              <w:left w:val="nil"/>
              <w:bottom w:val="nil"/>
              <w:right w:val="nil"/>
            </w:tcBorders>
            <w:shd w:val="clear" w:color="auto" w:fill="auto"/>
            <w:noWrap/>
            <w:vAlign w:val="bottom"/>
            <w:hideMark/>
          </w:tcPr>
          <w:p w14:paraId="4E2BA0A9" w14:textId="3E7D4928"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20,000 </w:t>
            </w:r>
          </w:p>
        </w:tc>
        <w:tc>
          <w:tcPr>
            <w:tcW w:w="993" w:type="dxa"/>
            <w:tcBorders>
              <w:top w:val="nil"/>
              <w:left w:val="nil"/>
              <w:bottom w:val="nil"/>
              <w:right w:val="nil"/>
            </w:tcBorders>
            <w:shd w:val="clear" w:color="000000" w:fill="E6E6E6"/>
            <w:noWrap/>
            <w:vAlign w:val="bottom"/>
            <w:hideMark/>
          </w:tcPr>
          <w:p w14:paraId="7ABF4417" w14:textId="42D99C19"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20,000 </w:t>
            </w:r>
          </w:p>
        </w:tc>
        <w:tc>
          <w:tcPr>
            <w:tcW w:w="994" w:type="dxa"/>
            <w:gridSpan w:val="2"/>
            <w:tcBorders>
              <w:top w:val="nil"/>
              <w:left w:val="nil"/>
              <w:bottom w:val="nil"/>
              <w:right w:val="nil"/>
            </w:tcBorders>
            <w:shd w:val="clear" w:color="auto" w:fill="auto"/>
            <w:noWrap/>
            <w:vAlign w:val="bottom"/>
            <w:hideMark/>
          </w:tcPr>
          <w:p w14:paraId="16A41840" w14:textId="70365EBF"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 </w:t>
            </w:r>
          </w:p>
        </w:tc>
        <w:tc>
          <w:tcPr>
            <w:tcW w:w="1005" w:type="dxa"/>
            <w:gridSpan w:val="2"/>
            <w:tcBorders>
              <w:top w:val="nil"/>
              <w:left w:val="nil"/>
              <w:bottom w:val="nil"/>
              <w:right w:val="nil"/>
            </w:tcBorders>
            <w:shd w:val="clear" w:color="auto" w:fill="auto"/>
            <w:noWrap/>
            <w:vAlign w:val="bottom"/>
            <w:hideMark/>
          </w:tcPr>
          <w:p w14:paraId="30430653" w14:textId="07A43B96"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 </w:t>
            </w:r>
          </w:p>
        </w:tc>
        <w:tc>
          <w:tcPr>
            <w:tcW w:w="1044" w:type="dxa"/>
            <w:tcBorders>
              <w:top w:val="nil"/>
              <w:left w:val="nil"/>
              <w:bottom w:val="nil"/>
              <w:right w:val="nil"/>
            </w:tcBorders>
            <w:shd w:val="clear" w:color="auto" w:fill="auto"/>
            <w:noWrap/>
            <w:vAlign w:val="bottom"/>
            <w:hideMark/>
          </w:tcPr>
          <w:p w14:paraId="1656650A" w14:textId="7719C5E1"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 </w:t>
            </w:r>
          </w:p>
        </w:tc>
      </w:tr>
      <w:tr w:rsidR="00BD6527" w:rsidRPr="005535E1" w14:paraId="55297051" w14:textId="77777777" w:rsidTr="005535E1">
        <w:trPr>
          <w:trHeight w:val="204"/>
        </w:trPr>
        <w:tc>
          <w:tcPr>
            <w:tcW w:w="2682" w:type="dxa"/>
            <w:tcBorders>
              <w:top w:val="nil"/>
              <w:left w:val="nil"/>
              <w:bottom w:val="nil"/>
              <w:right w:val="nil"/>
            </w:tcBorders>
            <w:shd w:val="clear" w:color="auto" w:fill="auto"/>
            <w:vAlign w:val="bottom"/>
            <w:hideMark/>
          </w:tcPr>
          <w:p w14:paraId="373AA2F7" w14:textId="77777777" w:rsidR="00BD6527" w:rsidRPr="005535E1" w:rsidRDefault="00BD6527" w:rsidP="00BD6527">
            <w:pPr>
              <w:spacing w:after="0" w:line="240" w:lineRule="auto"/>
              <w:jc w:val="left"/>
              <w:rPr>
                <w:rFonts w:ascii="Arial" w:hAnsi="Arial" w:cs="Arial"/>
                <w:sz w:val="16"/>
                <w:szCs w:val="16"/>
              </w:rPr>
            </w:pPr>
            <w:r w:rsidRPr="005535E1">
              <w:rPr>
                <w:rFonts w:ascii="Arial" w:hAnsi="Arial" w:cs="Arial"/>
                <w:sz w:val="16"/>
                <w:szCs w:val="16"/>
              </w:rPr>
              <w:t>Special Appropriations</w:t>
            </w:r>
          </w:p>
        </w:tc>
        <w:tc>
          <w:tcPr>
            <w:tcW w:w="1079" w:type="dxa"/>
            <w:tcBorders>
              <w:top w:val="nil"/>
              <w:left w:val="nil"/>
              <w:bottom w:val="nil"/>
              <w:right w:val="nil"/>
            </w:tcBorders>
            <w:shd w:val="clear" w:color="auto" w:fill="auto"/>
            <w:noWrap/>
            <w:vAlign w:val="bottom"/>
            <w:hideMark/>
          </w:tcPr>
          <w:p w14:paraId="5F8AC042" w14:textId="77777777" w:rsidR="00BD6527" w:rsidRPr="00BD6527" w:rsidRDefault="00BD6527" w:rsidP="00BD6527">
            <w:pPr>
              <w:spacing w:after="0" w:line="240" w:lineRule="auto"/>
              <w:ind w:firstLineChars="100" w:firstLine="160"/>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68FE9EB5" w14:textId="32C942F3"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w:t>
            </w:r>
          </w:p>
        </w:tc>
        <w:tc>
          <w:tcPr>
            <w:tcW w:w="994" w:type="dxa"/>
            <w:gridSpan w:val="2"/>
            <w:tcBorders>
              <w:top w:val="nil"/>
              <w:left w:val="nil"/>
              <w:bottom w:val="nil"/>
              <w:right w:val="nil"/>
            </w:tcBorders>
            <w:shd w:val="clear" w:color="auto" w:fill="auto"/>
            <w:noWrap/>
            <w:vAlign w:val="bottom"/>
            <w:hideMark/>
          </w:tcPr>
          <w:p w14:paraId="0B1B73D4" w14:textId="77777777" w:rsidR="00BD6527" w:rsidRPr="00BD6527" w:rsidRDefault="00BD6527" w:rsidP="00BD6527">
            <w:pPr>
              <w:spacing w:after="0" w:line="240" w:lineRule="auto"/>
              <w:jc w:val="right"/>
              <w:rPr>
                <w:rFonts w:ascii="Arial" w:hAnsi="Arial" w:cs="Arial"/>
                <w:sz w:val="16"/>
                <w:szCs w:val="16"/>
              </w:rPr>
            </w:pPr>
          </w:p>
        </w:tc>
        <w:tc>
          <w:tcPr>
            <w:tcW w:w="1005" w:type="dxa"/>
            <w:gridSpan w:val="2"/>
            <w:tcBorders>
              <w:top w:val="nil"/>
              <w:left w:val="nil"/>
              <w:bottom w:val="nil"/>
              <w:right w:val="nil"/>
            </w:tcBorders>
            <w:shd w:val="clear" w:color="auto" w:fill="auto"/>
            <w:noWrap/>
            <w:vAlign w:val="bottom"/>
            <w:hideMark/>
          </w:tcPr>
          <w:p w14:paraId="373738F9" w14:textId="77777777" w:rsidR="00BD6527" w:rsidRPr="00BD6527" w:rsidRDefault="00BD6527" w:rsidP="00BD6527">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5C9181B2" w14:textId="77777777" w:rsidR="00BD6527" w:rsidRPr="00BD6527" w:rsidRDefault="00BD6527" w:rsidP="00BD6527">
            <w:pPr>
              <w:spacing w:after="0" w:line="240" w:lineRule="auto"/>
              <w:jc w:val="right"/>
              <w:rPr>
                <w:rFonts w:ascii="Times New Roman" w:hAnsi="Times New Roman"/>
                <w:sz w:val="16"/>
                <w:szCs w:val="16"/>
              </w:rPr>
            </w:pPr>
          </w:p>
        </w:tc>
      </w:tr>
      <w:tr w:rsidR="00BD6527" w:rsidRPr="005535E1" w14:paraId="2902A7D7" w14:textId="77777777" w:rsidTr="005535E1">
        <w:trPr>
          <w:trHeight w:val="204"/>
        </w:trPr>
        <w:tc>
          <w:tcPr>
            <w:tcW w:w="2682" w:type="dxa"/>
            <w:tcBorders>
              <w:top w:val="nil"/>
              <w:left w:val="nil"/>
              <w:bottom w:val="nil"/>
              <w:right w:val="nil"/>
            </w:tcBorders>
            <w:shd w:val="clear" w:color="auto" w:fill="auto"/>
            <w:vAlign w:val="bottom"/>
            <w:hideMark/>
          </w:tcPr>
          <w:p w14:paraId="31C6A76C" w14:textId="77777777" w:rsidR="00BD6527" w:rsidRPr="00665295" w:rsidRDefault="00BD6527" w:rsidP="00BD6527">
            <w:pPr>
              <w:spacing w:after="0" w:line="240" w:lineRule="auto"/>
              <w:ind w:left="113"/>
              <w:jc w:val="left"/>
              <w:rPr>
                <w:rFonts w:ascii="Arial" w:hAnsi="Arial" w:cs="Arial"/>
                <w:i/>
                <w:sz w:val="16"/>
                <w:szCs w:val="16"/>
              </w:rPr>
            </w:pPr>
            <w:r w:rsidRPr="00665295">
              <w:rPr>
                <w:rFonts w:ascii="Arial" w:hAnsi="Arial" w:cs="Arial"/>
                <w:i/>
                <w:sz w:val="16"/>
                <w:szCs w:val="16"/>
              </w:rPr>
              <w:t>Local Government (Financial Assistance) Act 1995</w:t>
            </w:r>
          </w:p>
        </w:tc>
        <w:tc>
          <w:tcPr>
            <w:tcW w:w="1079" w:type="dxa"/>
            <w:tcBorders>
              <w:top w:val="nil"/>
              <w:left w:val="nil"/>
              <w:bottom w:val="nil"/>
              <w:right w:val="nil"/>
            </w:tcBorders>
            <w:shd w:val="clear" w:color="auto" w:fill="auto"/>
            <w:noWrap/>
            <w:vAlign w:val="bottom"/>
            <w:hideMark/>
          </w:tcPr>
          <w:p w14:paraId="2D11A577" w14:textId="7B8987B6"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3,505,008 </w:t>
            </w:r>
          </w:p>
        </w:tc>
        <w:tc>
          <w:tcPr>
            <w:tcW w:w="993" w:type="dxa"/>
            <w:tcBorders>
              <w:top w:val="nil"/>
              <w:left w:val="nil"/>
              <w:bottom w:val="nil"/>
              <w:right w:val="nil"/>
            </w:tcBorders>
            <w:shd w:val="clear" w:color="000000" w:fill="E6E6E6"/>
            <w:noWrap/>
            <w:vAlign w:val="bottom"/>
            <w:hideMark/>
          </w:tcPr>
          <w:p w14:paraId="190587CC" w14:textId="32B094F4"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704,427 </w:t>
            </w:r>
          </w:p>
        </w:tc>
        <w:tc>
          <w:tcPr>
            <w:tcW w:w="994" w:type="dxa"/>
            <w:gridSpan w:val="2"/>
            <w:tcBorders>
              <w:top w:val="nil"/>
              <w:left w:val="nil"/>
              <w:bottom w:val="nil"/>
              <w:right w:val="nil"/>
            </w:tcBorders>
            <w:shd w:val="clear" w:color="auto" w:fill="auto"/>
            <w:noWrap/>
            <w:vAlign w:val="bottom"/>
            <w:hideMark/>
          </w:tcPr>
          <w:p w14:paraId="04374E1E" w14:textId="64BD38A0"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2,927,311 </w:t>
            </w:r>
          </w:p>
        </w:tc>
        <w:tc>
          <w:tcPr>
            <w:tcW w:w="1005" w:type="dxa"/>
            <w:gridSpan w:val="2"/>
            <w:tcBorders>
              <w:top w:val="nil"/>
              <w:left w:val="nil"/>
              <w:bottom w:val="nil"/>
              <w:right w:val="nil"/>
            </w:tcBorders>
            <w:shd w:val="clear" w:color="auto" w:fill="auto"/>
            <w:noWrap/>
            <w:vAlign w:val="bottom"/>
            <w:hideMark/>
          </w:tcPr>
          <w:p w14:paraId="58BC806E" w14:textId="046B3646"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3,048,208 </w:t>
            </w:r>
          </w:p>
        </w:tc>
        <w:tc>
          <w:tcPr>
            <w:tcW w:w="1044" w:type="dxa"/>
            <w:tcBorders>
              <w:top w:val="nil"/>
              <w:left w:val="nil"/>
              <w:bottom w:val="nil"/>
              <w:right w:val="nil"/>
            </w:tcBorders>
            <w:shd w:val="clear" w:color="auto" w:fill="auto"/>
            <w:noWrap/>
            <w:vAlign w:val="bottom"/>
            <w:hideMark/>
          </w:tcPr>
          <w:p w14:paraId="5297EA41" w14:textId="4C8B0EAB" w:rsidR="00BD6527" w:rsidRPr="00BD6527" w:rsidRDefault="00BD6527" w:rsidP="00BD6527">
            <w:pPr>
              <w:spacing w:after="0" w:line="240" w:lineRule="auto"/>
              <w:jc w:val="right"/>
              <w:rPr>
                <w:rFonts w:ascii="Arial" w:hAnsi="Arial" w:cs="Arial"/>
                <w:sz w:val="16"/>
                <w:szCs w:val="16"/>
              </w:rPr>
            </w:pPr>
            <w:r w:rsidRPr="00BD6527">
              <w:rPr>
                <w:rFonts w:ascii="Arial" w:hAnsi="Arial" w:cs="Arial"/>
                <w:sz w:val="16"/>
                <w:szCs w:val="16"/>
              </w:rPr>
              <w:t xml:space="preserve">3,169,527 </w:t>
            </w:r>
          </w:p>
        </w:tc>
      </w:tr>
      <w:tr w:rsidR="00BD6527" w:rsidRPr="005535E1" w14:paraId="1E434129" w14:textId="77777777" w:rsidTr="005535E1">
        <w:trPr>
          <w:trHeight w:val="204"/>
        </w:trPr>
        <w:tc>
          <w:tcPr>
            <w:tcW w:w="2682" w:type="dxa"/>
            <w:tcBorders>
              <w:top w:val="nil"/>
              <w:left w:val="nil"/>
              <w:bottom w:val="nil"/>
              <w:right w:val="nil"/>
            </w:tcBorders>
            <w:shd w:val="clear" w:color="auto" w:fill="auto"/>
            <w:noWrap/>
            <w:vAlign w:val="bottom"/>
            <w:hideMark/>
          </w:tcPr>
          <w:p w14:paraId="65EDAFFB" w14:textId="77777777" w:rsidR="00BD6527" w:rsidRPr="005535E1" w:rsidRDefault="00BD6527" w:rsidP="00BD6527">
            <w:pPr>
              <w:spacing w:after="0" w:line="240" w:lineRule="auto"/>
              <w:jc w:val="left"/>
              <w:rPr>
                <w:rFonts w:ascii="Arial" w:hAnsi="Arial" w:cs="Arial"/>
                <w:b/>
                <w:bCs/>
                <w:sz w:val="16"/>
                <w:szCs w:val="16"/>
              </w:rPr>
            </w:pPr>
            <w:r w:rsidRPr="005535E1">
              <w:rPr>
                <w:rFonts w:ascii="Arial" w:hAnsi="Arial" w:cs="Arial"/>
                <w:b/>
                <w:bCs/>
                <w:sz w:val="16"/>
                <w:szCs w:val="16"/>
              </w:rPr>
              <w:t>Total expenses for Program 3.2</w:t>
            </w:r>
          </w:p>
        </w:tc>
        <w:tc>
          <w:tcPr>
            <w:tcW w:w="1079" w:type="dxa"/>
            <w:tcBorders>
              <w:top w:val="single" w:sz="4" w:space="0" w:color="auto"/>
              <w:left w:val="nil"/>
              <w:bottom w:val="single" w:sz="4" w:space="0" w:color="auto"/>
              <w:right w:val="nil"/>
            </w:tcBorders>
            <w:shd w:val="clear" w:color="auto" w:fill="auto"/>
            <w:noWrap/>
            <w:vAlign w:val="bottom"/>
            <w:hideMark/>
          </w:tcPr>
          <w:p w14:paraId="6A8517F5" w14:textId="640CF1DF" w:rsidR="00BD6527" w:rsidRPr="00BD6527" w:rsidRDefault="00BD6527" w:rsidP="00BD6527">
            <w:pPr>
              <w:spacing w:after="0" w:line="240" w:lineRule="auto"/>
              <w:jc w:val="right"/>
              <w:rPr>
                <w:rFonts w:ascii="Arial" w:hAnsi="Arial" w:cs="Arial"/>
                <w:b/>
                <w:bCs/>
                <w:sz w:val="16"/>
                <w:szCs w:val="16"/>
              </w:rPr>
            </w:pPr>
            <w:r w:rsidRPr="00BD6527">
              <w:rPr>
                <w:rFonts w:ascii="Arial" w:hAnsi="Arial" w:cs="Arial"/>
                <w:b/>
                <w:bCs/>
                <w:sz w:val="16"/>
                <w:szCs w:val="16"/>
              </w:rPr>
              <w:t xml:space="preserve">4,439,805 </w:t>
            </w:r>
          </w:p>
        </w:tc>
        <w:tc>
          <w:tcPr>
            <w:tcW w:w="993" w:type="dxa"/>
            <w:tcBorders>
              <w:top w:val="single" w:sz="4" w:space="0" w:color="auto"/>
              <w:left w:val="nil"/>
              <w:bottom w:val="single" w:sz="4" w:space="0" w:color="auto"/>
              <w:right w:val="nil"/>
            </w:tcBorders>
            <w:shd w:val="clear" w:color="000000" w:fill="E6E6E6"/>
            <w:noWrap/>
            <w:vAlign w:val="bottom"/>
            <w:hideMark/>
          </w:tcPr>
          <w:p w14:paraId="0EF501CD" w14:textId="476364C0" w:rsidR="00BD6527" w:rsidRPr="00BD6527" w:rsidRDefault="00BD6527" w:rsidP="00BD6527">
            <w:pPr>
              <w:spacing w:after="0" w:line="240" w:lineRule="auto"/>
              <w:jc w:val="right"/>
              <w:rPr>
                <w:rFonts w:ascii="Arial" w:hAnsi="Arial" w:cs="Arial"/>
                <w:b/>
                <w:bCs/>
                <w:sz w:val="16"/>
                <w:szCs w:val="16"/>
              </w:rPr>
            </w:pPr>
            <w:r w:rsidRPr="00BD6527">
              <w:rPr>
                <w:rFonts w:ascii="Arial" w:hAnsi="Arial" w:cs="Arial"/>
                <w:b/>
                <w:bCs/>
                <w:sz w:val="16"/>
                <w:szCs w:val="16"/>
              </w:rPr>
              <w:t xml:space="preserve">1,374,427 </w:t>
            </w:r>
          </w:p>
        </w:tc>
        <w:tc>
          <w:tcPr>
            <w:tcW w:w="994" w:type="dxa"/>
            <w:gridSpan w:val="2"/>
            <w:tcBorders>
              <w:top w:val="single" w:sz="4" w:space="0" w:color="auto"/>
              <w:left w:val="nil"/>
              <w:bottom w:val="single" w:sz="4" w:space="0" w:color="auto"/>
              <w:right w:val="nil"/>
            </w:tcBorders>
            <w:shd w:val="clear" w:color="auto" w:fill="auto"/>
            <w:noWrap/>
            <w:vAlign w:val="bottom"/>
            <w:hideMark/>
          </w:tcPr>
          <w:p w14:paraId="6852C93F" w14:textId="31A28F0E" w:rsidR="00BD6527" w:rsidRPr="00BD6527" w:rsidRDefault="00BD6527" w:rsidP="00BD6527">
            <w:pPr>
              <w:spacing w:after="0" w:line="240" w:lineRule="auto"/>
              <w:jc w:val="right"/>
              <w:rPr>
                <w:rFonts w:ascii="Arial" w:hAnsi="Arial" w:cs="Arial"/>
                <w:b/>
                <w:bCs/>
                <w:sz w:val="16"/>
                <w:szCs w:val="16"/>
              </w:rPr>
            </w:pPr>
            <w:r w:rsidRPr="00BD6527">
              <w:rPr>
                <w:rFonts w:ascii="Arial" w:hAnsi="Arial" w:cs="Arial"/>
                <w:b/>
                <w:bCs/>
                <w:sz w:val="16"/>
                <w:szCs w:val="16"/>
              </w:rPr>
              <w:t xml:space="preserve">3,277,311 </w:t>
            </w:r>
          </w:p>
        </w:tc>
        <w:tc>
          <w:tcPr>
            <w:tcW w:w="1005" w:type="dxa"/>
            <w:gridSpan w:val="2"/>
            <w:tcBorders>
              <w:top w:val="single" w:sz="4" w:space="0" w:color="auto"/>
              <w:left w:val="nil"/>
              <w:bottom w:val="single" w:sz="4" w:space="0" w:color="auto"/>
              <w:right w:val="nil"/>
            </w:tcBorders>
            <w:shd w:val="clear" w:color="auto" w:fill="auto"/>
            <w:noWrap/>
            <w:vAlign w:val="bottom"/>
            <w:hideMark/>
          </w:tcPr>
          <w:p w14:paraId="4AFF636E" w14:textId="50A655F9" w:rsidR="00BD6527" w:rsidRPr="00BD6527" w:rsidRDefault="00BD6527" w:rsidP="00BD6527">
            <w:pPr>
              <w:spacing w:after="0" w:line="240" w:lineRule="auto"/>
              <w:jc w:val="right"/>
              <w:rPr>
                <w:rFonts w:ascii="Arial" w:hAnsi="Arial" w:cs="Arial"/>
                <w:b/>
                <w:bCs/>
                <w:sz w:val="16"/>
                <w:szCs w:val="16"/>
              </w:rPr>
            </w:pPr>
            <w:r w:rsidRPr="00BD6527">
              <w:rPr>
                <w:rFonts w:ascii="Arial" w:hAnsi="Arial" w:cs="Arial"/>
                <w:b/>
                <w:bCs/>
                <w:sz w:val="16"/>
                <w:szCs w:val="16"/>
              </w:rPr>
              <w:t xml:space="preserve">3,298,208 </w:t>
            </w:r>
          </w:p>
        </w:tc>
        <w:tc>
          <w:tcPr>
            <w:tcW w:w="1044" w:type="dxa"/>
            <w:tcBorders>
              <w:top w:val="single" w:sz="4" w:space="0" w:color="auto"/>
              <w:left w:val="nil"/>
              <w:bottom w:val="single" w:sz="4" w:space="0" w:color="auto"/>
              <w:right w:val="nil"/>
            </w:tcBorders>
            <w:shd w:val="clear" w:color="auto" w:fill="auto"/>
            <w:noWrap/>
            <w:vAlign w:val="bottom"/>
            <w:hideMark/>
          </w:tcPr>
          <w:p w14:paraId="4296623B" w14:textId="7A098737" w:rsidR="00BD6527" w:rsidRPr="00BD6527" w:rsidRDefault="00BD6527" w:rsidP="00BD6527">
            <w:pPr>
              <w:spacing w:after="0" w:line="240" w:lineRule="auto"/>
              <w:jc w:val="right"/>
              <w:rPr>
                <w:rFonts w:ascii="Arial" w:hAnsi="Arial" w:cs="Arial"/>
                <w:b/>
                <w:bCs/>
                <w:sz w:val="16"/>
                <w:szCs w:val="16"/>
              </w:rPr>
            </w:pPr>
            <w:r w:rsidRPr="00BD6527">
              <w:rPr>
                <w:rFonts w:ascii="Arial" w:hAnsi="Arial" w:cs="Arial"/>
                <w:b/>
                <w:bCs/>
                <w:sz w:val="16"/>
                <w:szCs w:val="16"/>
              </w:rPr>
              <w:t xml:space="preserve">3,169,527 </w:t>
            </w:r>
          </w:p>
        </w:tc>
      </w:tr>
      <w:tr w:rsidR="005535E1" w:rsidRPr="005535E1" w14:paraId="5D6BC387" w14:textId="77777777" w:rsidTr="005535E1">
        <w:trPr>
          <w:trHeight w:val="204"/>
        </w:trPr>
        <w:tc>
          <w:tcPr>
            <w:tcW w:w="7797" w:type="dxa"/>
            <w:gridSpan w:val="8"/>
            <w:tcBorders>
              <w:top w:val="single" w:sz="4" w:space="0" w:color="auto"/>
              <w:left w:val="nil"/>
              <w:bottom w:val="single" w:sz="4" w:space="0" w:color="auto"/>
              <w:right w:val="nil"/>
            </w:tcBorders>
            <w:shd w:val="clear" w:color="000000" w:fill="E6E6E6"/>
            <w:noWrap/>
            <w:vAlign w:val="bottom"/>
            <w:hideMark/>
          </w:tcPr>
          <w:p w14:paraId="48FAED3B" w14:textId="08A1F932" w:rsidR="005535E1" w:rsidRPr="005535E1" w:rsidRDefault="005535E1" w:rsidP="005535E1">
            <w:pPr>
              <w:spacing w:after="0" w:line="240" w:lineRule="auto"/>
              <w:jc w:val="left"/>
              <w:rPr>
                <w:rFonts w:ascii="Arial" w:hAnsi="Arial" w:cs="Arial"/>
                <w:sz w:val="16"/>
                <w:szCs w:val="16"/>
              </w:rPr>
            </w:pPr>
            <w:r w:rsidRPr="005535E1">
              <w:rPr>
                <w:rFonts w:ascii="Arial" w:hAnsi="Arial" w:cs="Arial"/>
                <w:b/>
                <w:bCs/>
                <w:sz w:val="16"/>
                <w:szCs w:val="16"/>
              </w:rPr>
              <w:t>Components for Program 3.3: Cities</w:t>
            </w:r>
            <w:r w:rsidRPr="005535E1">
              <w:rPr>
                <w:rFonts w:ascii="Arial" w:hAnsi="Arial" w:cs="Arial"/>
                <w:sz w:val="16"/>
                <w:szCs w:val="16"/>
              </w:rPr>
              <w:t> </w:t>
            </w:r>
          </w:p>
        </w:tc>
      </w:tr>
      <w:tr w:rsidR="005535E1" w:rsidRPr="005535E1" w14:paraId="3CB09412" w14:textId="77777777" w:rsidTr="005535E1">
        <w:trPr>
          <w:trHeight w:val="204"/>
        </w:trPr>
        <w:tc>
          <w:tcPr>
            <w:tcW w:w="2682" w:type="dxa"/>
            <w:tcBorders>
              <w:top w:val="nil"/>
              <w:left w:val="nil"/>
              <w:bottom w:val="nil"/>
              <w:right w:val="nil"/>
            </w:tcBorders>
            <w:shd w:val="clear" w:color="auto" w:fill="auto"/>
            <w:noWrap/>
            <w:vAlign w:val="bottom"/>
            <w:hideMark/>
          </w:tcPr>
          <w:p w14:paraId="0A38FCBF" w14:textId="77777777" w:rsidR="005535E1" w:rsidRPr="005535E1" w:rsidRDefault="005535E1" w:rsidP="005535E1">
            <w:pPr>
              <w:spacing w:after="0" w:line="240" w:lineRule="auto"/>
              <w:jc w:val="left"/>
              <w:rPr>
                <w:rFonts w:ascii="Arial" w:hAnsi="Arial" w:cs="Arial"/>
                <w:sz w:val="16"/>
                <w:szCs w:val="16"/>
              </w:rPr>
            </w:pPr>
            <w:r w:rsidRPr="005535E1">
              <w:rPr>
                <w:rFonts w:ascii="Arial" w:hAnsi="Arial" w:cs="Arial"/>
                <w:sz w:val="16"/>
                <w:szCs w:val="16"/>
              </w:rPr>
              <w:t>Administered expenses</w:t>
            </w:r>
          </w:p>
        </w:tc>
        <w:tc>
          <w:tcPr>
            <w:tcW w:w="1079" w:type="dxa"/>
            <w:tcBorders>
              <w:top w:val="nil"/>
              <w:left w:val="nil"/>
              <w:bottom w:val="nil"/>
              <w:right w:val="nil"/>
            </w:tcBorders>
            <w:shd w:val="clear" w:color="auto" w:fill="auto"/>
            <w:noWrap/>
            <w:vAlign w:val="bottom"/>
            <w:hideMark/>
          </w:tcPr>
          <w:p w14:paraId="4744D1AD" w14:textId="77777777" w:rsidR="005535E1" w:rsidRPr="005535E1" w:rsidRDefault="005535E1" w:rsidP="005535E1">
            <w:pPr>
              <w:spacing w:after="0" w:line="240" w:lineRule="auto"/>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362CACB8" w14:textId="0224A437" w:rsidR="005535E1" w:rsidRPr="005535E1" w:rsidRDefault="005535E1" w:rsidP="005535E1">
            <w:pPr>
              <w:spacing w:after="0" w:line="240" w:lineRule="auto"/>
              <w:jc w:val="right"/>
              <w:rPr>
                <w:rFonts w:ascii="Arial" w:hAnsi="Arial" w:cs="Arial"/>
                <w:sz w:val="16"/>
                <w:szCs w:val="16"/>
              </w:rPr>
            </w:pPr>
          </w:p>
        </w:tc>
        <w:tc>
          <w:tcPr>
            <w:tcW w:w="994" w:type="dxa"/>
            <w:gridSpan w:val="2"/>
            <w:tcBorders>
              <w:top w:val="nil"/>
              <w:left w:val="nil"/>
              <w:bottom w:val="nil"/>
              <w:right w:val="nil"/>
            </w:tcBorders>
            <w:shd w:val="clear" w:color="auto" w:fill="auto"/>
            <w:noWrap/>
            <w:vAlign w:val="bottom"/>
            <w:hideMark/>
          </w:tcPr>
          <w:p w14:paraId="6AEAE4A2" w14:textId="77777777" w:rsidR="005535E1" w:rsidRPr="005535E1" w:rsidRDefault="005535E1" w:rsidP="005535E1">
            <w:pPr>
              <w:spacing w:after="0" w:line="240" w:lineRule="auto"/>
              <w:jc w:val="right"/>
              <w:rPr>
                <w:rFonts w:ascii="Arial" w:hAnsi="Arial" w:cs="Arial"/>
                <w:sz w:val="16"/>
                <w:szCs w:val="16"/>
              </w:rPr>
            </w:pPr>
          </w:p>
        </w:tc>
        <w:tc>
          <w:tcPr>
            <w:tcW w:w="1005" w:type="dxa"/>
            <w:gridSpan w:val="2"/>
            <w:tcBorders>
              <w:top w:val="nil"/>
              <w:left w:val="nil"/>
              <w:bottom w:val="nil"/>
              <w:right w:val="nil"/>
            </w:tcBorders>
            <w:shd w:val="clear" w:color="auto" w:fill="auto"/>
            <w:noWrap/>
            <w:vAlign w:val="bottom"/>
            <w:hideMark/>
          </w:tcPr>
          <w:p w14:paraId="50521A3B" w14:textId="77777777" w:rsidR="005535E1" w:rsidRPr="005535E1" w:rsidRDefault="005535E1" w:rsidP="005535E1">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78C51B2D" w14:textId="77777777" w:rsidR="005535E1" w:rsidRPr="005535E1" w:rsidRDefault="005535E1" w:rsidP="005535E1">
            <w:pPr>
              <w:spacing w:after="0" w:line="240" w:lineRule="auto"/>
              <w:jc w:val="right"/>
              <w:rPr>
                <w:rFonts w:ascii="Times New Roman" w:hAnsi="Times New Roman"/>
              </w:rPr>
            </w:pPr>
          </w:p>
        </w:tc>
      </w:tr>
      <w:tr w:rsidR="00BD6527" w:rsidRPr="005535E1" w14:paraId="38D562BB" w14:textId="77777777" w:rsidTr="005535E1">
        <w:trPr>
          <w:trHeight w:val="204"/>
        </w:trPr>
        <w:tc>
          <w:tcPr>
            <w:tcW w:w="2682" w:type="dxa"/>
            <w:tcBorders>
              <w:top w:val="nil"/>
              <w:left w:val="nil"/>
              <w:bottom w:val="nil"/>
              <w:right w:val="nil"/>
            </w:tcBorders>
            <w:shd w:val="clear" w:color="auto" w:fill="auto"/>
            <w:vAlign w:val="bottom"/>
            <w:hideMark/>
          </w:tcPr>
          <w:p w14:paraId="3739345C" w14:textId="0D82955E"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Support for City Deals</w:t>
            </w:r>
          </w:p>
        </w:tc>
        <w:tc>
          <w:tcPr>
            <w:tcW w:w="1079" w:type="dxa"/>
            <w:tcBorders>
              <w:top w:val="nil"/>
              <w:left w:val="nil"/>
              <w:bottom w:val="nil"/>
              <w:right w:val="nil"/>
            </w:tcBorders>
            <w:shd w:val="clear" w:color="auto" w:fill="auto"/>
            <w:noWrap/>
            <w:vAlign w:val="bottom"/>
            <w:hideMark/>
          </w:tcPr>
          <w:p w14:paraId="289A737B" w14:textId="1D5D40DE"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679 </w:t>
            </w:r>
          </w:p>
        </w:tc>
        <w:tc>
          <w:tcPr>
            <w:tcW w:w="993" w:type="dxa"/>
            <w:tcBorders>
              <w:top w:val="nil"/>
              <w:left w:val="nil"/>
              <w:bottom w:val="nil"/>
              <w:right w:val="nil"/>
            </w:tcBorders>
            <w:shd w:val="clear" w:color="000000" w:fill="E6E6E6"/>
            <w:noWrap/>
            <w:vAlign w:val="bottom"/>
            <w:hideMark/>
          </w:tcPr>
          <w:p w14:paraId="484D0927" w14:textId="75762500"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4,387 </w:t>
            </w:r>
          </w:p>
        </w:tc>
        <w:tc>
          <w:tcPr>
            <w:tcW w:w="994" w:type="dxa"/>
            <w:gridSpan w:val="2"/>
            <w:tcBorders>
              <w:top w:val="nil"/>
              <w:left w:val="nil"/>
              <w:bottom w:val="nil"/>
              <w:right w:val="nil"/>
            </w:tcBorders>
            <w:shd w:val="clear" w:color="auto" w:fill="auto"/>
            <w:noWrap/>
            <w:vAlign w:val="bottom"/>
            <w:hideMark/>
          </w:tcPr>
          <w:p w14:paraId="4E650458" w14:textId="67BCCDD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05" w:type="dxa"/>
            <w:gridSpan w:val="2"/>
            <w:tcBorders>
              <w:top w:val="nil"/>
              <w:left w:val="nil"/>
              <w:bottom w:val="nil"/>
              <w:right w:val="nil"/>
            </w:tcBorders>
            <w:shd w:val="clear" w:color="auto" w:fill="auto"/>
            <w:noWrap/>
            <w:vAlign w:val="bottom"/>
            <w:hideMark/>
          </w:tcPr>
          <w:p w14:paraId="14648262" w14:textId="0198C2B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44" w:type="dxa"/>
            <w:tcBorders>
              <w:top w:val="nil"/>
              <w:left w:val="nil"/>
              <w:bottom w:val="nil"/>
              <w:right w:val="nil"/>
            </w:tcBorders>
            <w:shd w:val="clear" w:color="auto" w:fill="auto"/>
            <w:noWrap/>
            <w:vAlign w:val="bottom"/>
            <w:hideMark/>
          </w:tcPr>
          <w:p w14:paraId="6EEA97FB" w14:textId="52449BB6"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36D572AB" w14:textId="77777777" w:rsidTr="005535E1">
        <w:trPr>
          <w:trHeight w:val="204"/>
        </w:trPr>
        <w:tc>
          <w:tcPr>
            <w:tcW w:w="2682" w:type="dxa"/>
            <w:tcBorders>
              <w:top w:val="nil"/>
              <w:left w:val="nil"/>
              <w:bottom w:val="nil"/>
              <w:right w:val="nil"/>
            </w:tcBorders>
            <w:shd w:val="clear" w:color="auto" w:fill="auto"/>
            <w:vAlign w:val="bottom"/>
            <w:hideMark/>
          </w:tcPr>
          <w:p w14:paraId="6D398529" w14:textId="523DEC92" w:rsidR="00BD6527" w:rsidRPr="005535E1" w:rsidRDefault="00BD6527" w:rsidP="00BD6527">
            <w:pPr>
              <w:spacing w:after="0" w:line="240" w:lineRule="auto"/>
              <w:ind w:left="113"/>
              <w:jc w:val="left"/>
              <w:rPr>
                <w:rFonts w:ascii="Arial" w:hAnsi="Arial" w:cs="Arial"/>
                <w:sz w:val="16"/>
                <w:szCs w:val="16"/>
              </w:rPr>
            </w:pPr>
            <w:r>
              <w:rPr>
                <w:rFonts w:ascii="Arial" w:hAnsi="Arial" w:cs="Arial"/>
                <w:sz w:val="16"/>
                <w:szCs w:val="16"/>
              </w:rPr>
              <w:t>Western Sydney City Deal</w:t>
            </w:r>
          </w:p>
        </w:tc>
        <w:tc>
          <w:tcPr>
            <w:tcW w:w="1079" w:type="dxa"/>
            <w:tcBorders>
              <w:top w:val="nil"/>
              <w:left w:val="nil"/>
              <w:bottom w:val="nil"/>
              <w:right w:val="nil"/>
            </w:tcBorders>
            <w:shd w:val="clear" w:color="auto" w:fill="auto"/>
            <w:noWrap/>
            <w:vAlign w:val="bottom"/>
            <w:hideMark/>
          </w:tcPr>
          <w:p w14:paraId="52B65EF1" w14:textId="7BF7AAC5"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300 </w:t>
            </w:r>
          </w:p>
        </w:tc>
        <w:tc>
          <w:tcPr>
            <w:tcW w:w="993" w:type="dxa"/>
            <w:tcBorders>
              <w:top w:val="nil"/>
              <w:left w:val="nil"/>
              <w:bottom w:val="nil"/>
              <w:right w:val="nil"/>
            </w:tcBorders>
            <w:shd w:val="clear" w:color="000000" w:fill="E6E6E6"/>
            <w:noWrap/>
            <w:vAlign w:val="bottom"/>
            <w:hideMark/>
          </w:tcPr>
          <w:p w14:paraId="396536DE" w14:textId="4C0F30CC"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100 </w:t>
            </w:r>
          </w:p>
        </w:tc>
        <w:tc>
          <w:tcPr>
            <w:tcW w:w="994" w:type="dxa"/>
            <w:gridSpan w:val="2"/>
            <w:tcBorders>
              <w:top w:val="nil"/>
              <w:left w:val="nil"/>
              <w:bottom w:val="nil"/>
              <w:right w:val="nil"/>
            </w:tcBorders>
            <w:shd w:val="clear" w:color="auto" w:fill="auto"/>
            <w:noWrap/>
            <w:vAlign w:val="bottom"/>
            <w:hideMark/>
          </w:tcPr>
          <w:p w14:paraId="7AF6AB07" w14:textId="2B5DDDA1"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100 </w:t>
            </w:r>
          </w:p>
        </w:tc>
        <w:tc>
          <w:tcPr>
            <w:tcW w:w="1005" w:type="dxa"/>
            <w:gridSpan w:val="2"/>
            <w:tcBorders>
              <w:top w:val="nil"/>
              <w:left w:val="nil"/>
              <w:bottom w:val="nil"/>
              <w:right w:val="nil"/>
            </w:tcBorders>
            <w:shd w:val="clear" w:color="auto" w:fill="auto"/>
            <w:noWrap/>
            <w:vAlign w:val="bottom"/>
            <w:hideMark/>
          </w:tcPr>
          <w:p w14:paraId="640C1737" w14:textId="3012841A"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c>
          <w:tcPr>
            <w:tcW w:w="1044" w:type="dxa"/>
            <w:tcBorders>
              <w:top w:val="nil"/>
              <w:left w:val="nil"/>
              <w:bottom w:val="nil"/>
              <w:right w:val="nil"/>
            </w:tcBorders>
            <w:shd w:val="clear" w:color="auto" w:fill="auto"/>
            <w:noWrap/>
            <w:vAlign w:val="bottom"/>
            <w:hideMark/>
          </w:tcPr>
          <w:p w14:paraId="3EE37392" w14:textId="52EC4489" w:rsidR="00BD6527" w:rsidRPr="005535E1" w:rsidRDefault="00BD6527" w:rsidP="00BD6527">
            <w:pPr>
              <w:spacing w:after="0" w:line="240" w:lineRule="auto"/>
              <w:jc w:val="right"/>
              <w:rPr>
                <w:rFonts w:ascii="Arial" w:hAnsi="Arial" w:cs="Arial"/>
                <w:sz w:val="16"/>
                <w:szCs w:val="16"/>
              </w:rPr>
            </w:pPr>
            <w:r>
              <w:rPr>
                <w:rFonts w:ascii="Arial" w:hAnsi="Arial" w:cs="Arial"/>
                <w:sz w:val="16"/>
                <w:szCs w:val="16"/>
              </w:rPr>
              <w:t xml:space="preserve">- </w:t>
            </w:r>
          </w:p>
        </w:tc>
      </w:tr>
      <w:tr w:rsidR="00BD6527" w:rsidRPr="005535E1" w14:paraId="309A24A0" w14:textId="77777777" w:rsidTr="005535E1">
        <w:trPr>
          <w:trHeight w:val="204"/>
        </w:trPr>
        <w:tc>
          <w:tcPr>
            <w:tcW w:w="2682" w:type="dxa"/>
            <w:tcBorders>
              <w:top w:val="nil"/>
              <w:left w:val="nil"/>
              <w:bottom w:val="single" w:sz="4" w:space="0" w:color="auto"/>
              <w:right w:val="nil"/>
            </w:tcBorders>
            <w:shd w:val="clear" w:color="auto" w:fill="auto"/>
            <w:noWrap/>
            <w:vAlign w:val="bottom"/>
            <w:hideMark/>
          </w:tcPr>
          <w:p w14:paraId="359CE0AA" w14:textId="31120B54" w:rsidR="00BD6527" w:rsidRPr="005535E1" w:rsidRDefault="00BD6527" w:rsidP="00BD6527">
            <w:pPr>
              <w:spacing w:after="0" w:line="240" w:lineRule="auto"/>
              <w:jc w:val="left"/>
              <w:rPr>
                <w:rFonts w:ascii="Arial" w:hAnsi="Arial" w:cs="Arial"/>
                <w:b/>
                <w:bCs/>
                <w:sz w:val="16"/>
                <w:szCs w:val="16"/>
              </w:rPr>
            </w:pPr>
            <w:r>
              <w:rPr>
                <w:rFonts w:ascii="Arial" w:hAnsi="Arial" w:cs="Arial"/>
                <w:b/>
                <w:bCs/>
                <w:sz w:val="16"/>
                <w:szCs w:val="16"/>
              </w:rPr>
              <w:t>Total expenses for Program 3.3</w:t>
            </w:r>
          </w:p>
        </w:tc>
        <w:tc>
          <w:tcPr>
            <w:tcW w:w="1079" w:type="dxa"/>
            <w:tcBorders>
              <w:top w:val="single" w:sz="4" w:space="0" w:color="auto"/>
              <w:left w:val="nil"/>
              <w:bottom w:val="single" w:sz="4" w:space="0" w:color="auto"/>
              <w:right w:val="nil"/>
            </w:tcBorders>
            <w:shd w:val="clear" w:color="auto" w:fill="auto"/>
            <w:noWrap/>
            <w:vAlign w:val="bottom"/>
            <w:hideMark/>
          </w:tcPr>
          <w:p w14:paraId="5E63ABBA" w14:textId="4464F438"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979 </w:t>
            </w:r>
          </w:p>
        </w:tc>
        <w:tc>
          <w:tcPr>
            <w:tcW w:w="993" w:type="dxa"/>
            <w:tcBorders>
              <w:top w:val="single" w:sz="4" w:space="0" w:color="auto"/>
              <w:left w:val="nil"/>
              <w:bottom w:val="single" w:sz="4" w:space="0" w:color="auto"/>
              <w:right w:val="nil"/>
            </w:tcBorders>
            <w:shd w:val="clear" w:color="000000" w:fill="E6E6E6"/>
            <w:noWrap/>
            <w:vAlign w:val="bottom"/>
            <w:hideMark/>
          </w:tcPr>
          <w:p w14:paraId="30BFF3D6" w14:textId="6010BAA0"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4,487 </w:t>
            </w:r>
          </w:p>
        </w:tc>
        <w:tc>
          <w:tcPr>
            <w:tcW w:w="994" w:type="dxa"/>
            <w:gridSpan w:val="2"/>
            <w:tcBorders>
              <w:top w:val="single" w:sz="4" w:space="0" w:color="auto"/>
              <w:left w:val="nil"/>
              <w:bottom w:val="single" w:sz="4" w:space="0" w:color="auto"/>
              <w:right w:val="nil"/>
            </w:tcBorders>
            <w:shd w:val="clear" w:color="auto" w:fill="auto"/>
            <w:noWrap/>
            <w:vAlign w:val="bottom"/>
            <w:hideMark/>
          </w:tcPr>
          <w:p w14:paraId="4EFA167C" w14:textId="7C8EF86F"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1005" w:type="dxa"/>
            <w:gridSpan w:val="2"/>
            <w:tcBorders>
              <w:top w:val="single" w:sz="4" w:space="0" w:color="auto"/>
              <w:left w:val="nil"/>
              <w:bottom w:val="single" w:sz="4" w:space="0" w:color="auto"/>
              <w:right w:val="nil"/>
            </w:tcBorders>
            <w:shd w:val="clear" w:color="auto" w:fill="auto"/>
            <w:noWrap/>
            <w:vAlign w:val="bottom"/>
            <w:hideMark/>
          </w:tcPr>
          <w:p w14:paraId="6B3D604C" w14:textId="38C8C724"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14:paraId="2CA427DD" w14:textId="6DC502DD" w:rsidR="00BD6527" w:rsidRPr="005535E1"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2628628A" w14:textId="77777777" w:rsidR="00B91F3E" w:rsidRDefault="00B91F3E" w:rsidP="00B91F3E">
      <w:r>
        <w:br w:type="page"/>
      </w:r>
    </w:p>
    <w:p w14:paraId="7658FD2E" w14:textId="77777777" w:rsidR="00B91F3E" w:rsidRDefault="00B91F3E" w:rsidP="00B91F3E">
      <w:pPr>
        <w:spacing w:after="0"/>
      </w:pPr>
      <w:r w:rsidRPr="00B166C6">
        <w:rPr>
          <w:rStyle w:val="TableHeadingChar"/>
        </w:rPr>
        <w:lastRenderedPageBreak/>
        <w:t>Table 2.</w:t>
      </w:r>
      <w:r>
        <w:rPr>
          <w:rStyle w:val="TableHeadingChar"/>
          <w:lang w:val="en-GB"/>
        </w:rPr>
        <w:t>3</w:t>
      </w:r>
      <w:r w:rsidRPr="00B166C6">
        <w:rPr>
          <w:rStyle w:val="TableHeadingChar"/>
        </w:rPr>
        <w:t xml:space="preserve">.2: Program components of Outcome </w:t>
      </w:r>
      <w:r w:rsidRPr="004C719D">
        <w:rPr>
          <w:rStyle w:val="TableHeadingChar"/>
        </w:rPr>
        <w:t>3 (continued)</w:t>
      </w:r>
    </w:p>
    <w:tbl>
      <w:tblPr>
        <w:tblW w:w="7738" w:type="dxa"/>
        <w:tblLayout w:type="fixed"/>
        <w:tblLook w:val="04A0" w:firstRow="1" w:lastRow="0" w:firstColumn="1" w:lastColumn="0" w:noHBand="0" w:noVBand="1"/>
      </w:tblPr>
      <w:tblGrid>
        <w:gridCol w:w="2835"/>
        <w:gridCol w:w="993"/>
        <w:gridCol w:w="977"/>
        <w:gridCol w:w="977"/>
        <w:gridCol w:w="979"/>
        <w:gridCol w:w="977"/>
      </w:tblGrid>
      <w:tr w:rsidR="00B91F3E" w:rsidRPr="004C719D" w14:paraId="3F91677F" w14:textId="77777777" w:rsidTr="00F96D8A">
        <w:trPr>
          <w:trHeight w:val="204"/>
        </w:trPr>
        <w:tc>
          <w:tcPr>
            <w:tcW w:w="2835" w:type="dxa"/>
            <w:tcBorders>
              <w:top w:val="single" w:sz="4" w:space="0" w:color="auto"/>
              <w:left w:val="nil"/>
              <w:bottom w:val="single" w:sz="4" w:space="0" w:color="auto"/>
              <w:right w:val="nil"/>
            </w:tcBorders>
            <w:shd w:val="clear" w:color="auto" w:fill="auto"/>
            <w:noWrap/>
            <w:vAlign w:val="bottom"/>
            <w:hideMark/>
          </w:tcPr>
          <w:p w14:paraId="4EF5BEA1" w14:textId="77777777" w:rsidR="00B91F3E" w:rsidRPr="004C719D" w:rsidRDefault="00B91F3E" w:rsidP="00F96D8A">
            <w:pPr>
              <w:spacing w:after="0" w:line="240" w:lineRule="auto"/>
              <w:jc w:val="left"/>
              <w:rPr>
                <w:rFonts w:ascii="Arial" w:hAnsi="Arial" w:cs="Arial"/>
                <w:sz w:val="16"/>
                <w:szCs w:val="16"/>
              </w:rPr>
            </w:pPr>
            <w:r w:rsidRPr="004C719D">
              <w:rPr>
                <w:rFonts w:ascii="Arial" w:hAnsi="Arial" w:cs="Arial"/>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449EF623" w14:textId="77777777" w:rsidR="00B91F3E" w:rsidRPr="004C719D" w:rsidRDefault="00B91F3E" w:rsidP="00F96D8A">
            <w:pPr>
              <w:spacing w:after="0" w:line="240" w:lineRule="auto"/>
              <w:jc w:val="right"/>
              <w:rPr>
                <w:rFonts w:ascii="Arial" w:hAnsi="Arial" w:cs="Arial"/>
                <w:sz w:val="16"/>
                <w:szCs w:val="16"/>
              </w:rPr>
            </w:pPr>
            <w:r w:rsidRPr="004C719D">
              <w:rPr>
                <w:rFonts w:ascii="Arial" w:hAnsi="Arial" w:cs="Arial"/>
                <w:sz w:val="16"/>
                <w:szCs w:val="16"/>
              </w:rPr>
              <w:t>2021-22</w:t>
            </w:r>
            <w:r w:rsidRPr="004C719D">
              <w:rPr>
                <w:rFonts w:ascii="Arial" w:hAnsi="Arial" w:cs="Arial"/>
                <w:sz w:val="16"/>
                <w:szCs w:val="16"/>
              </w:rPr>
              <w:br/>
              <w:t>Estimated  actual</w:t>
            </w:r>
            <w:r w:rsidRPr="004C719D">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bottom"/>
            <w:hideMark/>
          </w:tcPr>
          <w:p w14:paraId="215579C7" w14:textId="77777777" w:rsidR="00B91F3E" w:rsidRPr="004C719D" w:rsidRDefault="00B91F3E" w:rsidP="00F96D8A">
            <w:pPr>
              <w:spacing w:after="0" w:line="240" w:lineRule="auto"/>
              <w:jc w:val="right"/>
              <w:rPr>
                <w:rFonts w:ascii="Arial" w:hAnsi="Arial" w:cs="Arial"/>
                <w:sz w:val="16"/>
                <w:szCs w:val="16"/>
              </w:rPr>
            </w:pPr>
            <w:r w:rsidRPr="004C719D">
              <w:rPr>
                <w:rFonts w:ascii="Arial" w:hAnsi="Arial" w:cs="Arial"/>
                <w:sz w:val="16"/>
                <w:szCs w:val="16"/>
              </w:rPr>
              <w:t>2022-23</w:t>
            </w:r>
            <w:r w:rsidRPr="004C719D">
              <w:rPr>
                <w:rFonts w:ascii="Arial" w:hAnsi="Arial" w:cs="Arial"/>
                <w:sz w:val="16"/>
                <w:szCs w:val="16"/>
              </w:rPr>
              <w:br/>
              <w:t xml:space="preserve"> Budget</w:t>
            </w:r>
            <w:r w:rsidRPr="004C719D">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672D91B2" w14:textId="77777777" w:rsidR="00B91F3E" w:rsidRPr="004C719D" w:rsidRDefault="00B91F3E" w:rsidP="00F96D8A">
            <w:pPr>
              <w:spacing w:after="0" w:line="240" w:lineRule="auto"/>
              <w:jc w:val="right"/>
              <w:rPr>
                <w:rFonts w:ascii="Arial" w:hAnsi="Arial" w:cs="Arial"/>
                <w:sz w:val="16"/>
                <w:szCs w:val="16"/>
              </w:rPr>
            </w:pPr>
            <w:r w:rsidRPr="004C719D">
              <w:rPr>
                <w:rFonts w:ascii="Arial" w:hAnsi="Arial" w:cs="Arial"/>
                <w:sz w:val="16"/>
                <w:szCs w:val="16"/>
              </w:rPr>
              <w:t>2023-24</w:t>
            </w:r>
            <w:r w:rsidRPr="004C719D">
              <w:rPr>
                <w:rFonts w:ascii="Arial" w:hAnsi="Arial" w:cs="Arial"/>
                <w:sz w:val="16"/>
                <w:szCs w:val="16"/>
              </w:rPr>
              <w:br/>
              <w:t>Forward estimate</w:t>
            </w:r>
            <w:r w:rsidRPr="004C719D">
              <w:rPr>
                <w:rFonts w:ascii="Arial" w:hAnsi="Arial" w:cs="Arial"/>
                <w:sz w:val="16"/>
                <w:szCs w:val="16"/>
              </w:rPr>
              <w:br/>
              <w:t>$'000</w:t>
            </w:r>
          </w:p>
        </w:tc>
        <w:tc>
          <w:tcPr>
            <w:tcW w:w="979" w:type="dxa"/>
            <w:tcBorders>
              <w:top w:val="single" w:sz="4" w:space="0" w:color="auto"/>
              <w:left w:val="nil"/>
              <w:bottom w:val="single" w:sz="4" w:space="0" w:color="auto"/>
              <w:right w:val="nil"/>
            </w:tcBorders>
            <w:shd w:val="clear" w:color="auto" w:fill="auto"/>
            <w:vAlign w:val="bottom"/>
            <w:hideMark/>
          </w:tcPr>
          <w:p w14:paraId="5A3B41AA" w14:textId="77777777" w:rsidR="00B91F3E" w:rsidRPr="004C719D" w:rsidRDefault="00B91F3E" w:rsidP="00F96D8A">
            <w:pPr>
              <w:spacing w:after="0" w:line="240" w:lineRule="auto"/>
              <w:jc w:val="right"/>
              <w:rPr>
                <w:rFonts w:ascii="Arial" w:hAnsi="Arial" w:cs="Arial"/>
                <w:sz w:val="16"/>
                <w:szCs w:val="16"/>
              </w:rPr>
            </w:pPr>
            <w:r w:rsidRPr="004C719D">
              <w:rPr>
                <w:rFonts w:ascii="Arial" w:hAnsi="Arial" w:cs="Arial"/>
                <w:sz w:val="16"/>
                <w:szCs w:val="16"/>
              </w:rPr>
              <w:t>2024-25</w:t>
            </w:r>
            <w:r w:rsidRPr="004C719D">
              <w:rPr>
                <w:rFonts w:ascii="Arial" w:hAnsi="Arial" w:cs="Arial"/>
                <w:sz w:val="16"/>
                <w:szCs w:val="16"/>
              </w:rPr>
              <w:br/>
              <w:t>Forward estimate</w:t>
            </w:r>
            <w:r w:rsidRPr="004C719D">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2E52F518" w14:textId="77777777" w:rsidR="00B91F3E" w:rsidRPr="004C719D" w:rsidRDefault="00B91F3E" w:rsidP="00F96D8A">
            <w:pPr>
              <w:spacing w:after="0" w:line="240" w:lineRule="auto"/>
              <w:jc w:val="right"/>
              <w:rPr>
                <w:rFonts w:ascii="Arial" w:hAnsi="Arial" w:cs="Arial"/>
                <w:sz w:val="16"/>
                <w:szCs w:val="16"/>
              </w:rPr>
            </w:pPr>
            <w:r w:rsidRPr="004C719D">
              <w:rPr>
                <w:rFonts w:ascii="Arial" w:hAnsi="Arial" w:cs="Arial"/>
                <w:sz w:val="16"/>
                <w:szCs w:val="16"/>
              </w:rPr>
              <w:t>2025-26</w:t>
            </w:r>
            <w:r w:rsidRPr="004C719D">
              <w:rPr>
                <w:rFonts w:ascii="Arial" w:hAnsi="Arial" w:cs="Arial"/>
                <w:sz w:val="16"/>
                <w:szCs w:val="16"/>
              </w:rPr>
              <w:br/>
              <w:t>Forward estimate</w:t>
            </w:r>
            <w:r w:rsidRPr="004C719D">
              <w:rPr>
                <w:rFonts w:ascii="Arial" w:hAnsi="Arial" w:cs="Arial"/>
                <w:sz w:val="16"/>
                <w:szCs w:val="16"/>
              </w:rPr>
              <w:br/>
              <w:t>$'000</w:t>
            </w:r>
          </w:p>
        </w:tc>
      </w:tr>
      <w:tr w:rsidR="00B91F3E" w:rsidRPr="003C7F5F" w14:paraId="162AC4C0" w14:textId="77777777" w:rsidTr="00F96D8A">
        <w:trPr>
          <w:trHeight w:val="204"/>
        </w:trPr>
        <w:tc>
          <w:tcPr>
            <w:tcW w:w="6761" w:type="dxa"/>
            <w:gridSpan w:val="5"/>
            <w:tcBorders>
              <w:top w:val="single" w:sz="4" w:space="0" w:color="auto"/>
              <w:left w:val="nil"/>
              <w:bottom w:val="single" w:sz="4" w:space="0" w:color="auto"/>
              <w:right w:val="nil"/>
            </w:tcBorders>
            <w:shd w:val="clear" w:color="000000" w:fill="E6E6E6"/>
            <w:noWrap/>
            <w:vAlign w:val="bottom"/>
            <w:hideMark/>
          </w:tcPr>
          <w:p w14:paraId="483C3B71" w14:textId="696C215A" w:rsidR="00B91F3E" w:rsidRPr="003C7F5F" w:rsidRDefault="00B91F3E" w:rsidP="00BD6527">
            <w:pPr>
              <w:spacing w:after="0" w:line="240" w:lineRule="auto"/>
              <w:jc w:val="left"/>
              <w:rPr>
                <w:rFonts w:ascii="Arial" w:hAnsi="Arial" w:cs="Arial"/>
                <w:b/>
                <w:bCs/>
                <w:sz w:val="16"/>
                <w:szCs w:val="16"/>
              </w:rPr>
            </w:pPr>
            <w:r w:rsidRPr="003C7F5F">
              <w:rPr>
                <w:rFonts w:ascii="Arial" w:hAnsi="Arial" w:cs="Arial"/>
                <w:b/>
                <w:bCs/>
                <w:sz w:val="16"/>
                <w:szCs w:val="16"/>
              </w:rPr>
              <w:t xml:space="preserve">Components for Program 3.4: Growing a Stronger Northern Australian Economy </w:t>
            </w:r>
            <w:r w:rsidRPr="00020C9D">
              <w:rPr>
                <w:rFonts w:ascii="Arial" w:hAnsi="Arial" w:cs="Arial"/>
                <w:b/>
                <w:bCs/>
                <w:sz w:val="16"/>
                <w:szCs w:val="16"/>
                <w:vertAlign w:val="superscript"/>
              </w:rPr>
              <w:t>(</w:t>
            </w:r>
            <w:r w:rsidR="00BD6527">
              <w:rPr>
                <w:rFonts w:ascii="Arial" w:hAnsi="Arial" w:cs="Arial"/>
                <w:b/>
                <w:bCs/>
                <w:sz w:val="16"/>
                <w:szCs w:val="16"/>
                <w:vertAlign w:val="superscript"/>
              </w:rPr>
              <w:t>a</w:t>
            </w:r>
            <w:r w:rsidRPr="00020C9D">
              <w:rPr>
                <w:rFonts w:ascii="Arial" w:hAnsi="Arial" w:cs="Arial"/>
                <w:b/>
                <w:bCs/>
                <w:sz w:val="16"/>
                <w:szCs w:val="16"/>
                <w:vertAlign w:val="superscript"/>
              </w:rPr>
              <w:t>)</w:t>
            </w:r>
          </w:p>
        </w:tc>
        <w:tc>
          <w:tcPr>
            <w:tcW w:w="977" w:type="dxa"/>
            <w:tcBorders>
              <w:top w:val="nil"/>
              <w:left w:val="nil"/>
              <w:bottom w:val="single" w:sz="4" w:space="0" w:color="auto"/>
              <w:right w:val="nil"/>
            </w:tcBorders>
            <w:shd w:val="clear" w:color="000000" w:fill="E6E6E6"/>
            <w:noWrap/>
            <w:vAlign w:val="bottom"/>
            <w:hideMark/>
          </w:tcPr>
          <w:p w14:paraId="49C142C1" w14:textId="77777777" w:rsidR="00B91F3E" w:rsidRPr="003C7F5F" w:rsidRDefault="00B91F3E" w:rsidP="00F96D8A">
            <w:pPr>
              <w:spacing w:after="0" w:line="240" w:lineRule="auto"/>
              <w:jc w:val="right"/>
              <w:rPr>
                <w:rFonts w:ascii="Arial" w:hAnsi="Arial" w:cs="Arial"/>
                <w:sz w:val="16"/>
                <w:szCs w:val="16"/>
              </w:rPr>
            </w:pPr>
            <w:r w:rsidRPr="003C7F5F">
              <w:rPr>
                <w:rFonts w:ascii="Arial" w:hAnsi="Arial" w:cs="Arial"/>
                <w:sz w:val="16"/>
                <w:szCs w:val="16"/>
              </w:rPr>
              <w:t> </w:t>
            </w:r>
          </w:p>
        </w:tc>
      </w:tr>
      <w:tr w:rsidR="00B91F3E" w:rsidRPr="003C7F5F" w14:paraId="2320819F" w14:textId="77777777" w:rsidTr="00F96D8A">
        <w:trPr>
          <w:trHeight w:val="204"/>
        </w:trPr>
        <w:tc>
          <w:tcPr>
            <w:tcW w:w="2835" w:type="dxa"/>
            <w:tcBorders>
              <w:top w:val="nil"/>
              <w:left w:val="nil"/>
              <w:bottom w:val="nil"/>
              <w:right w:val="nil"/>
            </w:tcBorders>
            <w:shd w:val="clear" w:color="auto" w:fill="auto"/>
            <w:noWrap/>
            <w:vAlign w:val="bottom"/>
            <w:hideMark/>
          </w:tcPr>
          <w:p w14:paraId="01CABD0A" w14:textId="77777777" w:rsidR="00B91F3E" w:rsidRPr="003C7F5F" w:rsidRDefault="00B91F3E" w:rsidP="00F96D8A">
            <w:pPr>
              <w:spacing w:after="0" w:line="240" w:lineRule="auto"/>
              <w:jc w:val="left"/>
              <w:rPr>
                <w:rFonts w:ascii="Arial" w:hAnsi="Arial" w:cs="Arial"/>
                <w:sz w:val="16"/>
                <w:szCs w:val="16"/>
              </w:rPr>
            </w:pPr>
            <w:r w:rsidRPr="003C7F5F">
              <w:rPr>
                <w:rFonts w:ascii="Arial" w:hAnsi="Arial" w:cs="Arial"/>
                <w:sz w:val="16"/>
                <w:szCs w:val="16"/>
              </w:rPr>
              <w:t>Administered expenses</w:t>
            </w:r>
          </w:p>
        </w:tc>
        <w:tc>
          <w:tcPr>
            <w:tcW w:w="993" w:type="dxa"/>
            <w:tcBorders>
              <w:top w:val="nil"/>
              <w:left w:val="nil"/>
              <w:bottom w:val="nil"/>
              <w:right w:val="nil"/>
            </w:tcBorders>
            <w:shd w:val="clear" w:color="auto" w:fill="auto"/>
            <w:noWrap/>
            <w:vAlign w:val="bottom"/>
            <w:hideMark/>
          </w:tcPr>
          <w:p w14:paraId="59C2E074" w14:textId="77777777" w:rsidR="00B91F3E" w:rsidRPr="003C7F5F"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429A859" w14:textId="77777777" w:rsidR="00B91F3E" w:rsidRPr="003C7F5F"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D2C1F84" w14:textId="77777777" w:rsidR="00B91F3E" w:rsidRPr="003C7F5F" w:rsidRDefault="00B91F3E" w:rsidP="00F96D8A">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50C20C34" w14:textId="77777777" w:rsidR="00B91F3E" w:rsidRPr="003C7F5F"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3F5B0D78" w14:textId="77777777" w:rsidR="00B91F3E" w:rsidRPr="003C7F5F" w:rsidRDefault="00B91F3E" w:rsidP="00F96D8A">
            <w:pPr>
              <w:spacing w:after="0" w:line="240" w:lineRule="auto"/>
              <w:jc w:val="right"/>
              <w:rPr>
                <w:rFonts w:ascii="Times New Roman" w:hAnsi="Times New Roman"/>
                <w:sz w:val="16"/>
                <w:szCs w:val="16"/>
              </w:rPr>
            </w:pPr>
          </w:p>
        </w:tc>
      </w:tr>
      <w:tr w:rsidR="00BD6527" w:rsidRPr="003C7F5F" w14:paraId="22979BD0" w14:textId="77777777" w:rsidTr="00F96D8A">
        <w:trPr>
          <w:trHeight w:val="204"/>
        </w:trPr>
        <w:tc>
          <w:tcPr>
            <w:tcW w:w="2835" w:type="dxa"/>
            <w:tcBorders>
              <w:top w:val="nil"/>
              <w:left w:val="nil"/>
              <w:bottom w:val="nil"/>
              <w:right w:val="nil"/>
            </w:tcBorders>
            <w:shd w:val="clear" w:color="auto" w:fill="auto"/>
            <w:vAlign w:val="bottom"/>
            <w:hideMark/>
          </w:tcPr>
          <w:p w14:paraId="3119801D" w14:textId="1FBBAD1B" w:rsidR="00BD6527" w:rsidRPr="003C7F5F" w:rsidRDefault="00BD6527" w:rsidP="00BD6527">
            <w:pPr>
              <w:spacing w:after="0" w:line="240" w:lineRule="auto"/>
              <w:ind w:left="113"/>
              <w:jc w:val="left"/>
              <w:rPr>
                <w:rFonts w:ascii="Arial" w:hAnsi="Arial" w:cs="Arial"/>
                <w:sz w:val="16"/>
                <w:szCs w:val="16"/>
              </w:rPr>
            </w:pPr>
            <w:r>
              <w:rPr>
                <w:rFonts w:ascii="Arial" w:hAnsi="Arial" w:cs="Arial"/>
                <w:sz w:val="16"/>
                <w:szCs w:val="16"/>
              </w:rPr>
              <w:t>Northern Australia Development Program</w:t>
            </w:r>
          </w:p>
        </w:tc>
        <w:tc>
          <w:tcPr>
            <w:tcW w:w="993" w:type="dxa"/>
            <w:tcBorders>
              <w:top w:val="nil"/>
              <w:left w:val="nil"/>
              <w:bottom w:val="nil"/>
              <w:right w:val="nil"/>
            </w:tcBorders>
            <w:shd w:val="clear" w:color="auto" w:fill="auto"/>
            <w:noWrap/>
            <w:vAlign w:val="bottom"/>
            <w:hideMark/>
          </w:tcPr>
          <w:p w14:paraId="3A5499B9" w14:textId="7C18F1F8"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30,777 </w:t>
            </w:r>
          </w:p>
        </w:tc>
        <w:tc>
          <w:tcPr>
            <w:tcW w:w="977" w:type="dxa"/>
            <w:tcBorders>
              <w:top w:val="nil"/>
              <w:left w:val="nil"/>
              <w:bottom w:val="nil"/>
              <w:right w:val="nil"/>
            </w:tcBorders>
            <w:shd w:val="clear" w:color="000000" w:fill="E6E6E6"/>
            <w:noWrap/>
            <w:vAlign w:val="bottom"/>
            <w:hideMark/>
          </w:tcPr>
          <w:p w14:paraId="5A9A2918" w14:textId="14A88C09"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67276438" w14:textId="21A68E96"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30,777 </w:t>
            </w:r>
          </w:p>
        </w:tc>
        <w:tc>
          <w:tcPr>
            <w:tcW w:w="979" w:type="dxa"/>
            <w:tcBorders>
              <w:top w:val="nil"/>
              <w:left w:val="nil"/>
              <w:bottom w:val="nil"/>
              <w:right w:val="nil"/>
            </w:tcBorders>
            <w:shd w:val="clear" w:color="auto" w:fill="auto"/>
            <w:noWrap/>
            <w:vAlign w:val="bottom"/>
            <w:hideMark/>
          </w:tcPr>
          <w:p w14:paraId="6D3CA4C3" w14:textId="05E95FC2"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4,110 </w:t>
            </w:r>
          </w:p>
        </w:tc>
        <w:tc>
          <w:tcPr>
            <w:tcW w:w="977" w:type="dxa"/>
            <w:tcBorders>
              <w:top w:val="nil"/>
              <w:left w:val="nil"/>
              <w:bottom w:val="nil"/>
              <w:right w:val="nil"/>
            </w:tcBorders>
            <w:shd w:val="clear" w:color="auto" w:fill="auto"/>
            <w:noWrap/>
            <w:vAlign w:val="bottom"/>
            <w:hideMark/>
          </w:tcPr>
          <w:p w14:paraId="4A89C6AC" w14:textId="7E1CDD3F"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4,110 </w:t>
            </w:r>
          </w:p>
        </w:tc>
      </w:tr>
      <w:tr w:rsidR="00BD6527" w:rsidRPr="003C7F5F" w14:paraId="1F167744" w14:textId="77777777" w:rsidTr="00F96D8A">
        <w:trPr>
          <w:trHeight w:val="204"/>
        </w:trPr>
        <w:tc>
          <w:tcPr>
            <w:tcW w:w="2835" w:type="dxa"/>
            <w:tcBorders>
              <w:top w:val="nil"/>
              <w:left w:val="nil"/>
              <w:bottom w:val="nil"/>
              <w:right w:val="nil"/>
            </w:tcBorders>
            <w:shd w:val="clear" w:color="auto" w:fill="auto"/>
            <w:vAlign w:val="bottom"/>
            <w:hideMark/>
          </w:tcPr>
          <w:p w14:paraId="2D41408C" w14:textId="7E9BECFE" w:rsidR="00BD6527" w:rsidRPr="003C7F5F" w:rsidRDefault="00BD6527" w:rsidP="00BD6527">
            <w:pPr>
              <w:spacing w:after="0" w:line="240" w:lineRule="auto"/>
              <w:ind w:left="113"/>
              <w:jc w:val="left"/>
              <w:rPr>
                <w:rFonts w:ascii="Arial" w:hAnsi="Arial" w:cs="Arial"/>
                <w:sz w:val="16"/>
                <w:szCs w:val="16"/>
              </w:rPr>
            </w:pPr>
            <w:r>
              <w:rPr>
                <w:rFonts w:ascii="Arial" w:hAnsi="Arial" w:cs="Arial"/>
                <w:sz w:val="16"/>
                <w:szCs w:val="16"/>
              </w:rPr>
              <w:t>Northern Australia Infrastructure Facility</w:t>
            </w:r>
          </w:p>
        </w:tc>
        <w:tc>
          <w:tcPr>
            <w:tcW w:w="993" w:type="dxa"/>
            <w:tcBorders>
              <w:top w:val="nil"/>
              <w:left w:val="nil"/>
              <w:bottom w:val="nil"/>
              <w:right w:val="nil"/>
            </w:tcBorders>
            <w:shd w:val="clear" w:color="auto" w:fill="auto"/>
            <w:noWrap/>
            <w:vAlign w:val="bottom"/>
            <w:hideMark/>
          </w:tcPr>
          <w:p w14:paraId="3B56075D" w14:textId="291EE861"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362,208 </w:t>
            </w:r>
          </w:p>
        </w:tc>
        <w:tc>
          <w:tcPr>
            <w:tcW w:w="977" w:type="dxa"/>
            <w:tcBorders>
              <w:top w:val="nil"/>
              <w:left w:val="nil"/>
              <w:bottom w:val="nil"/>
              <w:right w:val="nil"/>
            </w:tcBorders>
            <w:shd w:val="clear" w:color="000000" w:fill="E6E6E6"/>
            <w:noWrap/>
            <w:vAlign w:val="bottom"/>
            <w:hideMark/>
          </w:tcPr>
          <w:p w14:paraId="6E653FB7" w14:textId="345E312D"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523,294 </w:t>
            </w:r>
          </w:p>
        </w:tc>
        <w:tc>
          <w:tcPr>
            <w:tcW w:w="977" w:type="dxa"/>
            <w:tcBorders>
              <w:top w:val="nil"/>
              <w:left w:val="nil"/>
              <w:bottom w:val="nil"/>
              <w:right w:val="nil"/>
            </w:tcBorders>
            <w:shd w:val="clear" w:color="auto" w:fill="auto"/>
            <w:noWrap/>
            <w:vAlign w:val="bottom"/>
            <w:hideMark/>
          </w:tcPr>
          <w:p w14:paraId="3D4A53E1" w14:textId="0E90AEE2"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467,209 </w:t>
            </w:r>
          </w:p>
        </w:tc>
        <w:tc>
          <w:tcPr>
            <w:tcW w:w="979" w:type="dxa"/>
            <w:tcBorders>
              <w:top w:val="nil"/>
              <w:left w:val="nil"/>
              <w:bottom w:val="nil"/>
              <w:right w:val="nil"/>
            </w:tcBorders>
            <w:shd w:val="clear" w:color="auto" w:fill="auto"/>
            <w:noWrap/>
            <w:vAlign w:val="bottom"/>
            <w:hideMark/>
          </w:tcPr>
          <w:p w14:paraId="6780B714" w14:textId="77ECDB90"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348,648 </w:t>
            </w:r>
          </w:p>
        </w:tc>
        <w:tc>
          <w:tcPr>
            <w:tcW w:w="977" w:type="dxa"/>
            <w:tcBorders>
              <w:top w:val="nil"/>
              <w:left w:val="nil"/>
              <w:bottom w:val="nil"/>
              <w:right w:val="nil"/>
            </w:tcBorders>
            <w:shd w:val="clear" w:color="auto" w:fill="auto"/>
            <w:noWrap/>
            <w:vAlign w:val="bottom"/>
            <w:hideMark/>
          </w:tcPr>
          <w:p w14:paraId="4FFC5A06" w14:textId="0235C8D0"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301,803 </w:t>
            </w:r>
          </w:p>
        </w:tc>
      </w:tr>
      <w:tr w:rsidR="00BD6527" w:rsidRPr="003C7F5F" w14:paraId="29C05B6F" w14:textId="77777777" w:rsidTr="00F96D8A">
        <w:trPr>
          <w:trHeight w:val="204"/>
        </w:trPr>
        <w:tc>
          <w:tcPr>
            <w:tcW w:w="2835" w:type="dxa"/>
            <w:tcBorders>
              <w:top w:val="nil"/>
              <w:left w:val="nil"/>
              <w:bottom w:val="nil"/>
              <w:right w:val="nil"/>
            </w:tcBorders>
            <w:shd w:val="clear" w:color="auto" w:fill="auto"/>
            <w:vAlign w:val="bottom"/>
            <w:hideMark/>
          </w:tcPr>
          <w:p w14:paraId="3BEA3270" w14:textId="266A7744" w:rsidR="00BD6527" w:rsidRPr="003C7F5F" w:rsidRDefault="00BD6527" w:rsidP="00BD6527">
            <w:pPr>
              <w:spacing w:after="0" w:line="240" w:lineRule="auto"/>
              <w:ind w:left="113"/>
              <w:jc w:val="left"/>
              <w:rPr>
                <w:rFonts w:ascii="Arial" w:hAnsi="Arial" w:cs="Arial"/>
                <w:sz w:val="16"/>
                <w:szCs w:val="16"/>
              </w:rPr>
            </w:pPr>
            <w:r>
              <w:rPr>
                <w:rFonts w:ascii="Arial" w:hAnsi="Arial" w:cs="Arial"/>
                <w:sz w:val="16"/>
                <w:szCs w:val="16"/>
              </w:rPr>
              <w:t xml:space="preserve">Payments to corporate entities </w:t>
            </w:r>
            <w:r w:rsidRPr="00BD6527">
              <w:rPr>
                <w:rFonts w:ascii="Arial" w:hAnsi="Arial" w:cs="Arial"/>
                <w:sz w:val="16"/>
                <w:szCs w:val="16"/>
                <w:vertAlign w:val="superscript"/>
              </w:rPr>
              <w:t>(b)</w:t>
            </w:r>
          </w:p>
        </w:tc>
        <w:tc>
          <w:tcPr>
            <w:tcW w:w="993" w:type="dxa"/>
            <w:tcBorders>
              <w:top w:val="nil"/>
              <w:left w:val="nil"/>
              <w:bottom w:val="nil"/>
              <w:right w:val="nil"/>
            </w:tcBorders>
            <w:shd w:val="clear" w:color="auto" w:fill="auto"/>
            <w:noWrap/>
            <w:vAlign w:val="bottom"/>
            <w:hideMark/>
          </w:tcPr>
          <w:p w14:paraId="229DB826" w14:textId="77777777" w:rsidR="00BD6527" w:rsidRPr="003C7F5F" w:rsidRDefault="00BD6527" w:rsidP="00BD6527">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17AE4BE5" w14:textId="5D6E2E76"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14A24B9D" w14:textId="77777777" w:rsidR="00BD6527" w:rsidRPr="003C7F5F" w:rsidRDefault="00BD6527" w:rsidP="00BD6527">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313B7B16" w14:textId="77777777" w:rsidR="00BD6527" w:rsidRPr="003C7F5F" w:rsidRDefault="00BD6527" w:rsidP="00BD6527">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51EDC58C" w14:textId="77777777" w:rsidR="00BD6527" w:rsidRPr="003C7F5F" w:rsidRDefault="00BD6527" w:rsidP="00BD6527">
            <w:pPr>
              <w:spacing w:after="0" w:line="240" w:lineRule="auto"/>
              <w:jc w:val="right"/>
              <w:rPr>
                <w:rFonts w:ascii="Times New Roman" w:hAnsi="Times New Roman"/>
                <w:sz w:val="16"/>
                <w:szCs w:val="16"/>
              </w:rPr>
            </w:pPr>
          </w:p>
        </w:tc>
      </w:tr>
      <w:tr w:rsidR="00BD6527" w:rsidRPr="003C7F5F" w14:paraId="7F3A177E" w14:textId="77777777" w:rsidTr="00F96D8A">
        <w:trPr>
          <w:trHeight w:val="204"/>
        </w:trPr>
        <w:tc>
          <w:tcPr>
            <w:tcW w:w="2835" w:type="dxa"/>
            <w:tcBorders>
              <w:top w:val="nil"/>
              <w:left w:val="nil"/>
              <w:right w:val="nil"/>
            </w:tcBorders>
            <w:shd w:val="clear" w:color="auto" w:fill="auto"/>
            <w:vAlign w:val="bottom"/>
            <w:hideMark/>
          </w:tcPr>
          <w:p w14:paraId="5380876A" w14:textId="07BE5FB1" w:rsidR="00BD6527" w:rsidRPr="003C7F5F" w:rsidRDefault="00BD6527" w:rsidP="00BD6527">
            <w:pPr>
              <w:pStyle w:val="ListParagraph"/>
              <w:numPr>
                <w:ilvl w:val="0"/>
                <w:numId w:val="200"/>
              </w:numPr>
              <w:spacing w:after="0" w:line="240" w:lineRule="auto"/>
              <w:ind w:left="313" w:hanging="142"/>
              <w:rPr>
                <w:rFonts w:ascii="Arial" w:hAnsi="Arial" w:cs="Arial"/>
                <w:sz w:val="16"/>
                <w:szCs w:val="16"/>
              </w:rPr>
            </w:pPr>
            <w:r>
              <w:rPr>
                <w:rFonts w:ascii="Arial" w:hAnsi="Arial" w:cs="Arial"/>
                <w:sz w:val="16"/>
                <w:szCs w:val="16"/>
              </w:rPr>
              <w:t>Northern Australia Infrastructure Facility</w:t>
            </w:r>
          </w:p>
        </w:tc>
        <w:tc>
          <w:tcPr>
            <w:tcW w:w="993" w:type="dxa"/>
            <w:tcBorders>
              <w:top w:val="nil"/>
              <w:left w:val="nil"/>
              <w:bottom w:val="nil"/>
              <w:right w:val="nil"/>
            </w:tcBorders>
            <w:shd w:val="clear" w:color="auto" w:fill="auto"/>
            <w:noWrap/>
            <w:vAlign w:val="bottom"/>
            <w:hideMark/>
          </w:tcPr>
          <w:p w14:paraId="04D7E266" w14:textId="4AB2E487"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14,227 </w:t>
            </w:r>
          </w:p>
        </w:tc>
        <w:tc>
          <w:tcPr>
            <w:tcW w:w="977" w:type="dxa"/>
            <w:tcBorders>
              <w:top w:val="nil"/>
              <w:left w:val="nil"/>
              <w:bottom w:val="nil"/>
              <w:right w:val="nil"/>
            </w:tcBorders>
            <w:shd w:val="clear" w:color="000000" w:fill="E6E6E6"/>
            <w:noWrap/>
            <w:vAlign w:val="bottom"/>
            <w:hideMark/>
          </w:tcPr>
          <w:p w14:paraId="69152451" w14:textId="3458933F"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20,939 </w:t>
            </w:r>
          </w:p>
        </w:tc>
        <w:tc>
          <w:tcPr>
            <w:tcW w:w="977" w:type="dxa"/>
            <w:tcBorders>
              <w:top w:val="nil"/>
              <w:left w:val="nil"/>
              <w:bottom w:val="nil"/>
              <w:right w:val="nil"/>
            </w:tcBorders>
            <w:shd w:val="clear" w:color="auto" w:fill="auto"/>
            <w:noWrap/>
            <w:vAlign w:val="bottom"/>
            <w:hideMark/>
          </w:tcPr>
          <w:p w14:paraId="6B1F1948" w14:textId="6DA04F1C"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21,090 </w:t>
            </w:r>
          </w:p>
        </w:tc>
        <w:tc>
          <w:tcPr>
            <w:tcW w:w="979" w:type="dxa"/>
            <w:tcBorders>
              <w:top w:val="nil"/>
              <w:left w:val="nil"/>
              <w:bottom w:val="nil"/>
              <w:right w:val="nil"/>
            </w:tcBorders>
            <w:shd w:val="clear" w:color="auto" w:fill="auto"/>
            <w:noWrap/>
            <w:vAlign w:val="bottom"/>
            <w:hideMark/>
          </w:tcPr>
          <w:p w14:paraId="2319C18A" w14:textId="58A1AC1B"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21,254 </w:t>
            </w:r>
          </w:p>
        </w:tc>
        <w:tc>
          <w:tcPr>
            <w:tcW w:w="977" w:type="dxa"/>
            <w:tcBorders>
              <w:top w:val="nil"/>
              <w:left w:val="nil"/>
              <w:bottom w:val="nil"/>
              <w:right w:val="nil"/>
            </w:tcBorders>
            <w:shd w:val="clear" w:color="auto" w:fill="auto"/>
            <w:noWrap/>
            <w:vAlign w:val="bottom"/>
            <w:hideMark/>
          </w:tcPr>
          <w:p w14:paraId="2E2291A4" w14:textId="3AAB7E09" w:rsidR="00BD6527" w:rsidRPr="003C7F5F" w:rsidRDefault="00BD6527" w:rsidP="00BD6527">
            <w:pPr>
              <w:spacing w:after="0" w:line="240" w:lineRule="auto"/>
              <w:jc w:val="right"/>
              <w:rPr>
                <w:rFonts w:ascii="Arial" w:hAnsi="Arial" w:cs="Arial"/>
                <w:sz w:val="16"/>
                <w:szCs w:val="16"/>
              </w:rPr>
            </w:pPr>
            <w:r>
              <w:rPr>
                <w:rFonts w:ascii="Arial" w:hAnsi="Arial" w:cs="Arial"/>
                <w:sz w:val="16"/>
                <w:szCs w:val="16"/>
              </w:rPr>
              <w:t xml:space="preserve">21,615 </w:t>
            </w:r>
          </w:p>
        </w:tc>
      </w:tr>
      <w:tr w:rsidR="00BD6527" w:rsidRPr="003C7F5F" w14:paraId="71B6EBAB"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72A43195" w14:textId="38FBDE68" w:rsidR="00BD6527" w:rsidRPr="003C7F5F" w:rsidRDefault="00BD6527" w:rsidP="00BD6527">
            <w:pPr>
              <w:spacing w:after="0" w:line="240" w:lineRule="auto"/>
              <w:jc w:val="left"/>
              <w:rPr>
                <w:rFonts w:ascii="Arial" w:hAnsi="Arial" w:cs="Arial"/>
                <w:b/>
                <w:bCs/>
                <w:sz w:val="16"/>
                <w:szCs w:val="16"/>
              </w:rPr>
            </w:pPr>
            <w:r>
              <w:rPr>
                <w:rFonts w:ascii="Arial" w:hAnsi="Arial" w:cs="Arial"/>
                <w:b/>
                <w:bCs/>
                <w:sz w:val="16"/>
                <w:szCs w:val="16"/>
              </w:rPr>
              <w:t>Total expenses for Program 3.4</w:t>
            </w:r>
          </w:p>
        </w:tc>
        <w:tc>
          <w:tcPr>
            <w:tcW w:w="993" w:type="dxa"/>
            <w:tcBorders>
              <w:top w:val="single" w:sz="4" w:space="0" w:color="auto"/>
              <w:left w:val="nil"/>
              <w:bottom w:val="single" w:sz="4" w:space="0" w:color="auto"/>
              <w:right w:val="nil"/>
            </w:tcBorders>
            <w:shd w:val="clear" w:color="auto" w:fill="auto"/>
            <w:noWrap/>
            <w:vAlign w:val="bottom"/>
            <w:hideMark/>
          </w:tcPr>
          <w:p w14:paraId="200F283A" w14:textId="7D58806D" w:rsidR="00BD6527" w:rsidRPr="003C7F5F"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407,212 </w:t>
            </w:r>
          </w:p>
        </w:tc>
        <w:tc>
          <w:tcPr>
            <w:tcW w:w="977" w:type="dxa"/>
            <w:tcBorders>
              <w:top w:val="single" w:sz="4" w:space="0" w:color="auto"/>
              <w:left w:val="nil"/>
              <w:bottom w:val="single" w:sz="4" w:space="0" w:color="auto"/>
              <w:right w:val="nil"/>
            </w:tcBorders>
            <w:shd w:val="clear" w:color="000000" w:fill="E6E6E6"/>
            <w:noWrap/>
            <w:vAlign w:val="bottom"/>
            <w:hideMark/>
          </w:tcPr>
          <w:p w14:paraId="0086FFBB" w14:textId="0E03E6F4" w:rsidR="00BD6527" w:rsidRPr="003C7F5F"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575,010 </w:t>
            </w:r>
          </w:p>
        </w:tc>
        <w:tc>
          <w:tcPr>
            <w:tcW w:w="977" w:type="dxa"/>
            <w:tcBorders>
              <w:top w:val="single" w:sz="4" w:space="0" w:color="auto"/>
              <w:left w:val="nil"/>
              <w:bottom w:val="single" w:sz="4" w:space="0" w:color="auto"/>
              <w:right w:val="nil"/>
            </w:tcBorders>
            <w:shd w:val="clear" w:color="auto" w:fill="auto"/>
            <w:noWrap/>
            <w:vAlign w:val="bottom"/>
            <w:hideMark/>
          </w:tcPr>
          <w:p w14:paraId="560D676C" w14:textId="48683502" w:rsidR="00BD6527" w:rsidRPr="003C7F5F"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519,076 </w:t>
            </w:r>
          </w:p>
        </w:tc>
        <w:tc>
          <w:tcPr>
            <w:tcW w:w="979" w:type="dxa"/>
            <w:tcBorders>
              <w:top w:val="single" w:sz="4" w:space="0" w:color="auto"/>
              <w:left w:val="nil"/>
              <w:bottom w:val="single" w:sz="4" w:space="0" w:color="auto"/>
              <w:right w:val="nil"/>
            </w:tcBorders>
            <w:shd w:val="clear" w:color="auto" w:fill="auto"/>
            <w:noWrap/>
            <w:vAlign w:val="bottom"/>
            <w:hideMark/>
          </w:tcPr>
          <w:p w14:paraId="5B4586CE" w14:textId="389F3EE8" w:rsidR="00BD6527" w:rsidRPr="003C7F5F"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374,012 </w:t>
            </w:r>
          </w:p>
        </w:tc>
        <w:tc>
          <w:tcPr>
            <w:tcW w:w="977" w:type="dxa"/>
            <w:tcBorders>
              <w:top w:val="single" w:sz="4" w:space="0" w:color="auto"/>
              <w:left w:val="nil"/>
              <w:bottom w:val="single" w:sz="4" w:space="0" w:color="auto"/>
              <w:right w:val="nil"/>
            </w:tcBorders>
            <w:shd w:val="clear" w:color="auto" w:fill="auto"/>
            <w:noWrap/>
            <w:vAlign w:val="bottom"/>
            <w:hideMark/>
          </w:tcPr>
          <w:p w14:paraId="155179B6" w14:textId="52D0BFC1" w:rsidR="00BD6527" w:rsidRPr="003C7F5F" w:rsidRDefault="00BD6527" w:rsidP="00BD6527">
            <w:pPr>
              <w:spacing w:after="0" w:line="240" w:lineRule="auto"/>
              <w:jc w:val="right"/>
              <w:rPr>
                <w:rFonts w:ascii="Arial" w:hAnsi="Arial" w:cs="Arial"/>
                <w:b/>
                <w:bCs/>
                <w:sz w:val="16"/>
                <w:szCs w:val="16"/>
              </w:rPr>
            </w:pPr>
            <w:r>
              <w:rPr>
                <w:rFonts w:ascii="Arial" w:hAnsi="Arial" w:cs="Arial"/>
                <w:b/>
                <w:bCs/>
                <w:sz w:val="16"/>
                <w:szCs w:val="16"/>
              </w:rPr>
              <w:t xml:space="preserve">327,528 </w:t>
            </w:r>
          </w:p>
        </w:tc>
      </w:tr>
    </w:tbl>
    <w:p w14:paraId="5B49F88E" w14:textId="0634EF86" w:rsidR="00B91F3E" w:rsidRPr="00BD6527" w:rsidRDefault="00B91F3E" w:rsidP="00BD6527">
      <w:pPr>
        <w:pStyle w:val="ChartandTableFootnoteAlpha"/>
        <w:numPr>
          <w:ilvl w:val="0"/>
          <w:numId w:val="249"/>
        </w:numPr>
        <w:jc w:val="left"/>
        <w:rPr>
          <w:rFonts w:cs="Arial"/>
          <w:szCs w:val="16"/>
        </w:rPr>
      </w:pPr>
      <w:r w:rsidRPr="00BD6527">
        <w:rPr>
          <w:rFonts w:cs="Arial"/>
          <w:szCs w:val="16"/>
        </w:rPr>
        <w:t xml:space="preserve">This program was transferred into the </w:t>
      </w:r>
      <w:r w:rsidR="003C4CC6" w:rsidRPr="00BD6527">
        <w:rPr>
          <w:rFonts w:cs="Arial"/>
          <w:szCs w:val="16"/>
        </w:rPr>
        <w:t>Department</w:t>
      </w:r>
      <w:r w:rsidRPr="00BD6527">
        <w:rPr>
          <w:rFonts w:cs="Arial"/>
          <w:szCs w:val="16"/>
        </w:rPr>
        <w:t xml:space="preserve"> from the </w:t>
      </w:r>
      <w:r w:rsidR="003C4CC6" w:rsidRPr="00BD6527">
        <w:rPr>
          <w:rFonts w:cs="Arial"/>
          <w:szCs w:val="16"/>
        </w:rPr>
        <w:t>Department</w:t>
      </w:r>
      <w:r w:rsidRPr="00BD6527">
        <w:rPr>
          <w:rFonts w:cs="Arial"/>
          <w:szCs w:val="16"/>
        </w:rPr>
        <w:t xml:space="preserve"> of Industry, Science, Energy and Resources as part of the amendment to the Administrative Arrangements Order (AAO) with effect on 2 July 2021.</w:t>
      </w:r>
    </w:p>
    <w:p w14:paraId="3FD14C88" w14:textId="163E5B45" w:rsidR="00B91F3E" w:rsidRPr="00D054F5" w:rsidRDefault="00B91F3E" w:rsidP="003926A3">
      <w:pPr>
        <w:pStyle w:val="ChartandTableFootnoteAlpha"/>
        <w:numPr>
          <w:ilvl w:val="0"/>
          <w:numId w:val="7"/>
        </w:numPr>
        <w:rPr>
          <w:rFonts w:cs="Arial"/>
          <w:szCs w:val="16"/>
        </w:rPr>
      </w:pPr>
      <w:r w:rsidRPr="00D054F5">
        <w:rPr>
          <w:rFonts w:cs="Arial"/>
          <w:szCs w:val="16"/>
        </w:rPr>
        <w:t xml:space="preserve">Relates to appropriation for corporate entities provided through the </w:t>
      </w:r>
      <w:r w:rsidR="003C4CC6">
        <w:rPr>
          <w:rFonts w:cs="Arial"/>
          <w:szCs w:val="16"/>
        </w:rPr>
        <w:t>Department</w:t>
      </w:r>
      <w:r w:rsidRPr="00D054F5">
        <w:rPr>
          <w:rFonts w:cs="Arial"/>
          <w:szCs w:val="16"/>
        </w:rPr>
        <w:t>.</w:t>
      </w:r>
    </w:p>
    <w:p w14:paraId="5B71DB4A" w14:textId="77777777" w:rsidR="00B91F3E" w:rsidRDefault="00B91F3E" w:rsidP="00B91F3E">
      <w:pPr>
        <w:spacing w:after="160" w:line="259" w:lineRule="auto"/>
        <w:jc w:val="left"/>
        <w:rPr>
          <w:rFonts w:ascii="Arial" w:hAnsi="Arial" w:cs="Arial"/>
          <w:sz w:val="16"/>
          <w:szCs w:val="16"/>
        </w:rPr>
      </w:pPr>
      <w:r>
        <w:rPr>
          <w:rFonts w:ascii="Arial" w:hAnsi="Arial" w:cs="Arial"/>
          <w:sz w:val="16"/>
          <w:szCs w:val="16"/>
        </w:rPr>
        <w:br w:type="page"/>
      </w:r>
    </w:p>
    <w:p w14:paraId="39F69693" w14:textId="77777777" w:rsidR="00B91F3E" w:rsidRPr="00F71634" w:rsidRDefault="00B91F3E" w:rsidP="00B91F3E">
      <w:pPr>
        <w:pStyle w:val="TableHeading"/>
      </w:pPr>
      <w:r w:rsidRPr="00F71634">
        <w:lastRenderedPageBreak/>
        <w:t>Table 2.</w:t>
      </w:r>
      <w:r>
        <w:rPr>
          <w:lang w:val="en-GB"/>
        </w:rPr>
        <w:t>3</w:t>
      </w:r>
      <w:r w:rsidRPr="00F71634">
        <w:t xml:space="preserve">.3: Performance </w:t>
      </w:r>
      <w:r>
        <w:rPr>
          <w:lang w:val="en-AU"/>
        </w:rPr>
        <w:t>measure</w:t>
      </w:r>
      <w:r>
        <w:t xml:space="preserve"> for Outcome 3</w:t>
      </w:r>
    </w:p>
    <w:p w14:paraId="43FB666F" w14:textId="77777777" w:rsidR="00B91F3E" w:rsidRDefault="00B91F3E" w:rsidP="00B91F3E">
      <w:pPr>
        <w:jc w:val="left"/>
      </w:pPr>
      <w:r w:rsidRPr="001B2F81">
        <w:t>Table 2.</w:t>
      </w:r>
      <w:r>
        <w:t>3</w:t>
      </w:r>
      <w:r w:rsidRPr="001B2F81">
        <w:t>.</w:t>
      </w:r>
      <w:r>
        <w:t>3</w:t>
      </w:r>
      <w:r w:rsidRPr="001B2F81">
        <w:t xml:space="preserve"> details the performance measures for each program associated with Outcome</w:t>
      </w:r>
      <w:r>
        <w:t> 3</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1B2F81" w14:paraId="19EBAA8E" w14:textId="77777777" w:rsidTr="00B208C2">
        <w:trPr>
          <w:trHeight w:val="569"/>
          <w:tblHeader/>
        </w:trPr>
        <w:tc>
          <w:tcPr>
            <w:tcW w:w="7655" w:type="dxa"/>
            <w:gridSpan w:val="3"/>
            <w:shd w:val="clear" w:color="auto" w:fill="F2F2F2"/>
          </w:tcPr>
          <w:p w14:paraId="7EF8629A" w14:textId="77777777" w:rsidR="00B208C2" w:rsidRPr="00F96D8A" w:rsidRDefault="00B208C2" w:rsidP="00B208C2">
            <w:pPr>
              <w:spacing w:before="120" w:after="120" w:line="240" w:lineRule="auto"/>
              <w:jc w:val="left"/>
              <w:rPr>
                <w:b/>
                <w:highlight w:val="yellow"/>
              </w:rPr>
            </w:pPr>
            <w:r w:rsidRPr="00F96D8A">
              <w:rPr>
                <w:rFonts w:ascii="Arial" w:eastAsia="Calibri" w:hAnsi="Arial" w:cs="Arial"/>
                <w:b/>
                <w:lang w:eastAsia="en-US"/>
              </w:rPr>
              <w:t xml:space="preserve">Outcome 3 </w:t>
            </w:r>
            <w:r w:rsidRPr="00EC0B13">
              <w:rPr>
                <w:rFonts w:ascii="Arial" w:eastAsia="Calibri" w:hAnsi="Arial" w:cs="Arial"/>
                <w:lang w:eastAsia="en-US"/>
              </w:rPr>
              <w:t>– 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r>
      <w:tr w:rsidR="00B208C2" w:rsidRPr="001B2F81" w14:paraId="191EB281" w14:textId="77777777" w:rsidTr="00B208C2">
        <w:trPr>
          <w:trHeight w:val="522"/>
          <w:tblHeader/>
        </w:trPr>
        <w:tc>
          <w:tcPr>
            <w:tcW w:w="7655" w:type="dxa"/>
            <w:gridSpan w:val="3"/>
            <w:shd w:val="clear" w:color="auto" w:fill="F2F2F2"/>
          </w:tcPr>
          <w:p w14:paraId="00FABFC3" w14:textId="77777777" w:rsidR="00B208C2" w:rsidRPr="007210CD" w:rsidRDefault="00B208C2" w:rsidP="00B208C2">
            <w:pPr>
              <w:spacing w:before="120" w:after="120" w:line="240" w:lineRule="auto"/>
              <w:jc w:val="left"/>
              <w:rPr>
                <w:rFonts w:ascii="Arial" w:eastAsia="Calibri" w:hAnsi="Arial" w:cs="Arial"/>
                <w:sz w:val="18"/>
                <w:szCs w:val="18"/>
                <w:lang w:eastAsia="en-US"/>
              </w:rPr>
            </w:pPr>
            <w:r w:rsidRPr="007210CD">
              <w:rPr>
                <w:rFonts w:ascii="Arial" w:eastAsia="Calibri" w:hAnsi="Arial" w:cs="Arial"/>
                <w:b/>
                <w:sz w:val="18"/>
                <w:szCs w:val="18"/>
                <w:lang w:eastAsia="en-US"/>
              </w:rPr>
              <w:t xml:space="preserve">Program </w:t>
            </w:r>
            <w:r w:rsidRPr="00EC0B13">
              <w:rPr>
                <w:rFonts w:ascii="Arial" w:eastAsia="Calibri" w:hAnsi="Arial" w:cs="Arial"/>
                <w:b/>
                <w:sz w:val="18"/>
                <w:szCs w:val="18"/>
                <w:lang w:eastAsia="en-US"/>
              </w:rPr>
              <w:t>3.1 – Regional Development</w:t>
            </w:r>
          </w:p>
          <w:p w14:paraId="2E9B5BD4" w14:textId="77777777" w:rsidR="00B208C2" w:rsidRPr="005134E8" w:rsidRDefault="00B208C2" w:rsidP="00B208C2">
            <w:pPr>
              <w:pStyle w:val="TableTextLeft"/>
              <w:rPr>
                <w:highlight w:val="yellow"/>
              </w:rPr>
            </w:pPr>
            <w:r w:rsidRPr="007210CD">
              <w:rPr>
                <w:rFonts w:eastAsia="Calibri" w:cs="Arial"/>
                <w:szCs w:val="18"/>
                <w:lang w:eastAsia="en-US"/>
              </w:rPr>
              <w:t>The regional development program supports regional development and local communities through regionally focused stakeholder consultation and engagement, research, policy development and program delivery activities to create jobs, drive regional economic growth and build stronger regional communities.</w:t>
            </w:r>
          </w:p>
        </w:tc>
      </w:tr>
      <w:tr w:rsidR="00B208C2" w:rsidRPr="001B2F81" w14:paraId="25A2490A" w14:textId="77777777" w:rsidTr="00B208C2">
        <w:trPr>
          <w:trHeight w:val="694"/>
        </w:trPr>
        <w:tc>
          <w:tcPr>
            <w:tcW w:w="1560" w:type="dxa"/>
            <w:tcBorders>
              <w:bottom w:val="double" w:sz="4" w:space="0" w:color="auto"/>
            </w:tcBorders>
          </w:tcPr>
          <w:p w14:paraId="49B2BFB7" w14:textId="77777777" w:rsidR="00B208C2" w:rsidRPr="00160C23" w:rsidRDefault="00B208C2" w:rsidP="00B208C2">
            <w:pPr>
              <w:tabs>
                <w:tab w:val="left" w:pos="709"/>
              </w:tabs>
              <w:spacing w:before="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p>
        </w:tc>
        <w:tc>
          <w:tcPr>
            <w:tcW w:w="6095" w:type="dxa"/>
            <w:gridSpan w:val="2"/>
            <w:tcBorders>
              <w:bottom w:val="double" w:sz="4" w:space="0" w:color="auto"/>
            </w:tcBorders>
          </w:tcPr>
          <w:p w14:paraId="69719E31" w14:textId="77777777" w:rsidR="00B208C2" w:rsidRPr="007210CD" w:rsidRDefault="00B208C2" w:rsidP="00B208C2">
            <w:pPr>
              <w:numPr>
                <w:ilvl w:val="0"/>
                <w:numId w:val="39"/>
              </w:numPr>
              <w:spacing w:before="60" w:after="60" w:line="240" w:lineRule="auto"/>
              <w:ind w:left="179" w:hanging="218"/>
              <w:jc w:val="left"/>
              <w:rPr>
                <w:rFonts w:ascii="Arial" w:eastAsia="Calibri" w:hAnsi="Arial" w:cs="Arial"/>
                <w:sz w:val="16"/>
                <w:szCs w:val="16"/>
                <w:lang w:eastAsia="en-US"/>
              </w:rPr>
            </w:pPr>
            <w:r w:rsidRPr="007210CD">
              <w:rPr>
                <w:rFonts w:ascii="Arial" w:eastAsia="Calibri" w:hAnsi="Arial" w:cs="Arial"/>
                <w:sz w:val="16"/>
                <w:szCs w:val="16"/>
                <w:lang w:eastAsia="en-US"/>
              </w:rPr>
              <w:t>Provide policy leadership and deliver programs to support regional development and local governments</w:t>
            </w:r>
          </w:p>
          <w:p w14:paraId="46CEA3B4" w14:textId="77777777" w:rsidR="00B208C2" w:rsidRPr="007210CD" w:rsidRDefault="00B208C2" w:rsidP="00B208C2">
            <w:pPr>
              <w:numPr>
                <w:ilvl w:val="0"/>
                <w:numId w:val="39"/>
              </w:numPr>
              <w:spacing w:before="60" w:after="60" w:line="240" w:lineRule="auto"/>
              <w:ind w:left="179" w:hanging="218"/>
              <w:jc w:val="left"/>
              <w:rPr>
                <w:rFonts w:ascii="Arial" w:hAnsi="Arial" w:cs="Arial"/>
                <w:sz w:val="16"/>
                <w:szCs w:val="16"/>
              </w:rPr>
            </w:pPr>
            <w:r w:rsidRPr="007210CD">
              <w:rPr>
                <w:rFonts w:ascii="Arial" w:eastAsia="Calibri" w:hAnsi="Arial" w:cs="Arial"/>
                <w:sz w:val="16"/>
                <w:szCs w:val="16"/>
                <w:lang w:eastAsia="en-US"/>
              </w:rPr>
              <w:t>Manage water infrastructure projects under the National Water Grid Fund (NWGF), as informed by the NWGA’s science program</w:t>
            </w:r>
          </w:p>
          <w:p w14:paraId="006B0B6F" w14:textId="77777777" w:rsidR="00B208C2" w:rsidRPr="007210CD" w:rsidRDefault="00B208C2" w:rsidP="00B208C2">
            <w:pPr>
              <w:numPr>
                <w:ilvl w:val="0"/>
                <w:numId w:val="39"/>
              </w:numPr>
              <w:spacing w:before="60" w:after="60" w:line="240" w:lineRule="auto"/>
              <w:ind w:left="179" w:hanging="218"/>
              <w:jc w:val="left"/>
              <w:rPr>
                <w:rFonts w:ascii="Arial" w:hAnsi="Arial" w:cs="Arial"/>
                <w:sz w:val="16"/>
                <w:szCs w:val="16"/>
              </w:rPr>
            </w:pPr>
            <w:r w:rsidRPr="007210CD">
              <w:rPr>
                <w:rFonts w:ascii="Arial" w:eastAsia="Calibri" w:hAnsi="Arial" w:cs="Arial"/>
                <w:sz w:val="16"/>
                <w:szCs w:val="16"/>
                <w:lang w:eastAsia="en-US"/>
              </w:rPr>
              <w:t>Advise on and deliver City Deals and Regional Deals</w:t>
            </w:r>
            <w:r>
              <w:rPr>
                <w:rFonts w:ascii="Arial" w:eastAsia="Calibri" w:hAnsi="Arial" w:cs="Arial"/>
                <w:sz w:val="16"/>
                <w:szCs w:val="16"/>
                <w:lang w:eastAsia="en-US"/>
              </w:rPr>
              <w:t xml:space="preserve"> </w:t>
            </w:r>
            <w:r>
              <w:rPr>
                <w:rFonts w:ascii="Arial" w:eastAsia="Calibri" w:hAnsi="Arial" w:cs="Arial"/>
                <w:sz w:val="16"/>
                <w:szCs w:val="16"/>
                <w:vertAlign w:val="superscript"/>
                <w:lang w:eastAsia="en-US"/>
              </w:rPr>
              <w:t>(a</w:t>
            </w:r>
            <w:r w:rsidRPr="005D0E5A">
              <w:rPr>
                <w:rFonts w:ascii="Arial" w:eastAsia="Calibri" w:hAnsi="Arial" w:cs="Arial"/>
                <w:sz w:val="16"/>
                <w:szCs w:val="16"/>
                <w:vertAlign w:val="superscript"/>
                <w:lang w:eastAsia="en-US"/>
              </w:rPr>
              <w:t>)</w:t>
            </w:r>
          </w:p>
        </w:tc>
      </w:tr>
      <w:tr w:rsidR="00B208C2" w:rsidRPr="001B2F81" w14:paraId="70ACFE68" w14:textId="77777777" w:rsidTr="00B208C2">
        <w:trPr>
          <w:trHeight w:val="258"/>
        </w:trPr>
        <w:tc>
          <w:tcPr>
            <w:tcW w:w="1560" w:type="dxa"/>
            <w:tcBorders>
              <w:top w:val="double" w:sz="4" w:space="0" w:color="auto"/>
              <w:bottom w:val="single" w:sz="4" w:space="0" w:color="auto"/>
              <w:right w:val="single" w:sz="4" w:space="0" w:color="auto"/>
            </w:tcBorders>
          </w:tcPr>
          <w:p w14:paraId="5DD8C273"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FA8957F" w14:textId="77777777" w:rsidR="00B208C2" w:rsidRPr="007210CD" w:rsidRDefault="00B208C2" w:rsidP="00B208C2">
            <w:pPr>
              <w:pStyle w:val="TableTextBase"/>
              <w:rPr>
                <w:rFonts w:cs="Arial"/>
                <w:b/>
                <w:sz w:val="16"/>
                <w:szCs w:val="16"/>
              </w:rPr>
            </w:pPr>
            <w:r w:rsidRPr="007210CD">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17C17E1"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1B2F81" w14:paraId="22BC7AA9" w14:textId="77777777" w:rsidTr="00B208C2">
        <w:trPr>
          <w:cantSplit/>
          <w:trHeight w:val="642"/>
        </w:trPr>
        <w:tc>
          <w:tcPr>
            <w:tcW w:w="1560" w:type="dxa"/>
            <w:tcBorders>
              <w:top w:val="single" w:sz="4" w:space="0" w:color="auto"/>
              <w:bottom w:val="nil"/>
              <w:right w:val="single" w:sz="4" w:space="0" w:color="auto"/>
            </w:tcBorders>
          </w:tcPr>
          <w:p w14:paraId="37A8DCA9" w14:textId="77777777" w:rsidR="00B208C2" w:rsidRPr="00160C23" w:rsidRDefault="00B208C2" w:rsidP="00B208C2">
            <w:pPr>
              <w:pStyle w:val="TableTextBase"/>
              <w:rPr>
                <w:sz w:val="16"/>
                <w:szCs w:val="16"/>
              </w:rPr>
            </w:pPr>
            <w:r w:rsidRPr="00160C23">
              <w:rPr>
                <w:sz w:val="16"/>
                <w:szCs w:val="16"/>
              </w:rPr>
              <w:t xml:space="preserve">Current year </w:t>
            </w:r>
          </w:p>
          <w:p w14:paraId="6426030E" w14:textId="77777777" w:rsidR="00B208C2" w:rsidRPr="00160C23" w:rsidRDefault="00B208C2" w:rsidP="00B208C2">
            <w:pPr>
              <w:pStyle w:val="TableTextBase"/>
              <w:rPr>
                <w:sz w:val="16"/>
                <w:szCs w:val="16"/>
              </w:rPr>
            </w:pPr>
            <w:r w:rsidRPr="00160C23">
              <w:rPr>
                <w:sz w:val="16"/>
                <w:szCs w:val="16"/>
              </w:rPr>
              <w:t>2021</w:t>
            </w:r>
            <w:r>
              <w:rPr>
                <w:sz w:val="16"/>
                <w:szCs w:val="16"/>
              </w:rPr>
              <w:t>–</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21500AC0"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Performance in delivering regional programs indicated through projects contracted, completed and funds expended for:</w:t>
            </w:r>
          </w:p>
          <w:p w14:paraId="16B9395A" w14:textId="77777777" w:rsidR="00B208C2" w:rsidRPr="00126BBF" w:rsidRDefault="00B208C2" w:rsidP="00B208C2">
            <w:pPr>
              <w:numPr>
                <w:ilvl w:val="0"/>
                <w:numId w:val="22"/>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Community Development Grants</w:t>
            </w:r>
          </w:p>
          <w:p w14:paraId="5AD9DDC0" w14:textId="77777777" w:rsidR="00B208C2" w:rsidRPr="00126BBF" w:rsidRDefault="00B208C2" w:rsidP="00B208C2">
            <w:pPr>
              <w:numPr>
                <w:ilvl w:val="0"/>
                <w:numId w:val="22"/>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 xml:space="preserve">Stronger Communities Program (Round 5) </w:t>
            </w:r>
          </w:p>
          <w:p w14:paraId="731D0775" w14:textId="77777777" w:rsidR="00B208C2" w:rsidRPr="00126BBF" w:rsidRDefault="00B208C2" w:rsidP="00B208C2">
            <w:pPr>
              <w:numPr>
                <w:ilvl w:val="0"/>
                <w:numId w:val="22"/>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Building Better Regions Fund (Round 4)</w:t>
            </w:r>
          </w:p>
          <w:p w14:paraId="3BB4053F" w14:textId="77777777" w:rsidR="00B208C2" w:rsidRPr="00126BBF" w:rsidRDefault="00B208C2" w:rsidP="00665295">
            <w:pPr>
              <w:numPr>
                <w:ilvl w:val="0"/>
                <w:numId w:val="22"/>
              </w:numPr>
              <w:spacing w:before="60" w:after="60" w:line="240" w:lineRule="auto"/>
              <w:ind w:left="284" w:hanging="284"/>
              <w:jc w:val="left"/>
              <w:rPr>
                <w:rFonts w:ascii="Arial" w:eastAsia="Calibri" w:hAnsi="Arial" w:cs="Arial"/>
                <w:sz w:val="16"/>
                <w:szCs w:val="16"/>
                <w:lang w:eastAsia="en-US"/>
              </w:rPr>
            </w:pPr>
            <w:r w:rsidRPr="000B0083">
              <w:rPr>
                <w:rFonts w:ascii="Arial" w:eastAsia="Calibri" w:hAnsi="Arial" w:cs="Arial"/>
                <w:sz w:val="16"/>
                <w:szCs w:val="16"/>
                <w:lang w:eastAsia="en-US"/>
              </w:rPr>
              <w:t>Regional Growth Fund</w:t>
            </w:r>
          </w:p>
        </w:tc>
        <w:tc>
          <w:tcPr>
            <w:tcW w:w="2977" w:type="dxa"/>
            <w:tcBorders>
              <w:top w:val="single" w:sz="4" w:space="0" w:color="auto"/>
              <w:left w:val="single" w:sz="4" w:space="0" w:color="auto"/>
              <w:bottom w:val="single" w:sz="4" w:space="0" w:color="auto"/>
            </w:tcBorders>
          </w:tcPr>
          <w:p w14:paraId="043A118A" w14:textId="77777777" w:rsidR="00B208C2" w:rsidRPr="00126BBF" w:rsidRDefault="00B208C2" w:rsidP="00B208C2">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a–c) ≥90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all commitments (up to May 2019) contracted; and ≥70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2019 commitments completed</w:t>
            </w:r>
          </w:p>
          <w:p w14:paraId="42BF91D5" w14:textId="77777777" w:rsidR="00B208C2" w:rsidRPr="00126BBF" w:rsidRDefault="00B208C2" w:rsidP="00B208C2">
            <w:pPr>
              <w:spacing w:before="60" w:after="60" w:line="240" w:lineRule="auto"/>
              <w:ind w:right="-12"/>
              <w:jc w:val="left"/>
              <w:rPr>
                <w:rFonts w:ascii="Arial" w:eastAsia="Calibri" w:hAnsi="Arial" w:cs="Arial"/>
                <w:sz w:val="16"/>
                <w:szCs w:val="16"/>
                <w:lang w:eastAsia="en-US"/>
              </w:rPr>
            </w:pPr>
            <w:r w:rsidRPr="00126BBF">
              <w:rPr>
                <w:rFonts w:ascii="Arial" w:eastAsia="Calibri" w:hAnsi="Arial" w:cs="Arial"/>
                <w:sz w:val="16"/>
                <w:szCs w:val="16"/>
                <w:lang w:eastAsia="en-US"/>
              </w:rPr>
              <w:t>d) On track for all projects to be completed by June 2023</w:t>
            </w:r>
          </w:p>
          <w:p w14:paraId="4A4A62C8" w14:textId="77777777" w:rsidR="00B208C2" w:rsidRPr="00126BBF" w:rsidRDefault="00B208C2" w:rsidP="00B208C2">
            <w:pPr>
              <w:tabs>
                <w:tab w:val="left" w:pos="204"/>
                <w:tab w:val="left" w:pos="396"/>
              </w:tabs>
              <w:spacing w:after="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Target expected to be met</w:t>
            </w:r>
          </w:p>
        </w:tc>
      </w:tr>
      <w:tr w:rsidR="00B208C2" w:rsidRPr="001B2F81" w14:paraId="564B0FE5" w14:textId="77777777" w:rsidTr="00B208C2">
        <w:trPr>
          <w:cantSplit/>
          <w:trHeight w:val="642"/>
        </w:trPr>
        <w:tc>
          <w:tcPr>
            <w:tcW w:w="1560" w:type="dxa"/>
            <w:tcBorders>
              <w:top w:val="nil"/>
              <w:bottom w:val="nil"/>
              <w:right w:val="single" w:sz="4" w:space="0" w:color="auto"/>
            </w:tcBorders>
          </w:tcPr>
          <w:p w14:paraId="33BA5D5E"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F9CACED" w14:textId="77777777" w:rsidR="00B208C2" w:rsidRPr="00126BBF" w:rsidRDefault="00B208C2" w:rsidP="00B208C2">
            <w:pPr>
              <w:pStyle w:val="TableTextBase"/>
              <w:rPr>
                <w:sz w:val="16"/>
                <w:szCs w:val="16"/>
              </w:rPr>
            </w:pPr>
            <w:r w:rsidRPr="00126BBF">
              <w:rPr>
                <w:rFonts w:eastAsia="Calibri" w:cs="Arial"/>
                <w:sz w:val="16"/>
                <w:szCs w:val="16"/>
                <w:lang w:eastAsia="en-US"/>
              </w:rPr>
              <w:t>Number of Regional Deals commitments on track to be completed within agreed timeframe</w:t>
            </w:r>
          </w:p>
        </w:tc>
        <w:tc>
          <w:tcPr>
            <w:tcW w:w="2977" w:type="dxa"/>
            <w:tcBorders>
              <w:top w:val="single" w:sz="4" w:space="0" w:color="auto"/>
              <w:left w:val="single" w:sz="4" w:space="0" w:color="auto"/>
              <w:bottom w:val="single" w:sz="4" w:space="0" w:color="auto"/>
            </w:tcBorders>
          </w:tcPr>
          <w:p w14:paraId="08A2C868"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100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projects on track to be completed by their scheduled timeframes</w:t>
            </w:r>
          </w:p>
          <w:p w14:paraId="67EEFC1F" w14:textId="77777777" w:rsidR="00B208C2" w:rsidRPr="00126BBF" w:rsidRDefault="00B208C2" w:rsidP="00B208C2">
            <w:pPr>
              <w:pStyle w:val="TableTextBase"/>
              <w:rPr>
                <w:sz w:val="16"/>
                <w:szCs w:val="16"/>
              </w:rPr>
            </w:pPr>
            <w:r w:rsidRPr="00126BBF">
              <w:rPr>
                <w:rFonts w:eastAsia="Calibri" w:cs="Arial"/>
                <w:sz w:val="16"/>
                <w:szCs w:val="16"/>
                <w:lang w:eastAsia="en-US"/>
              </w:rPr>
              <w:t>Target expected to be met</w:t>
            </w:r>
          </w:p>
        </w:tc>
      </w:tr>
      <w:tr w:rsidR="00B208C2" w:rsidRPr="001B2F81" w14:paraId="1C390E17" w14:textId="77777777" w:rsidTr="00B208C2">
        <w:trPr>
          <w:cantSplit/>
          <w:trHeight w:val="642"/>
        </w:trPr>
        <w:tc>
          <w:tcPr>
            <w:tcW w:w="1560" w:type="dxa"/>
            <w:tcBorders>
              <w:top w:val="nil"/>
              <w:bottom w:val="single" w:sz="4" w:space="0" w:color="auto"/>
              <w:right w:val="single" w:sz="4" w:space="0" w:color="auto"/>
            </w:tcBorders>
          </w:tcPr>
          <w:p w14:paraId="18ADADD8"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9F2EF4A"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Estimated number of jobs supported over the life of projects, from regional development projects underway during the financial year (based on proponent reported data)</w:t>
            </w:r>
          </w:p>
        </w:tc>
        <w:tc>
          <w:tcPr>
            <w:tcW w:w="2977" w:type="dxa"/>
            <w:tcBorders>
              <w:top w:val="single" w:sz="4" w:space="0" w:color="auto"/>
              <w:left w:val="single" w:sz="4" w:space="0" w:color="auto"/>
              <w:bottom w:val="single" w:sz="4" w:space="0" w:color="auto"/>
            </w:tcBorders>
          </w:tcPr>
          <w:p w14:paraId="57D2D015"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Programs support projects for which work requirements fluctuate. While it is appropriate to monitor jobs supported, it is not appropriate to set annual targets</w:t>
            </w:r>
          </w:p>
          <w:p w14:paraId="4D85AC8A"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Results rely on data not yet published</w:t>
            </w:r>
          </w:p>
        </w:tc>
      </w:tr>
    </w:tbl>
    <w:p w14:paraId="525E725D" w14:textId="77777777" w:rsidR="004D329E" w:rsidRDefault="004D329E">
      <w:pPr>
        <w:spacing w:after="0" w:line="240" w:lineRule="auto"/>
        <w:jc w:val="left"/>
        <w:rPr>
          <w:rFonts w:ascii="Arial" w:hAnsi="Arial" w:cs="Arial"/>
          <w:sz w:val="16"/>
          <w:szCs w:val="14"/>
        </w:rPr>
      </w:pPr>
      <w:r>
        <w:rPr>
          <w:rFonts w:ascii="Arial" w:hAnsi="Arial" w:cs="Arial"/>
          <w:sz w:val="16"/>
          <w:szCs w:val="14"/>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160C23" w14:paraId="0145F33F" w14:textId="77777777" w:rsidTr="00B208C2">
        <w:trPr>
          <w:trHeight w:val="258"/>
        </w:trPr>
        <w:tc>
          <w:tcPr>
            <w:tcW w:w="1560" w:type="dxa"/>
            <w:tcBorders>
              <w:top w:val="double" w:sz="4" w:space="0" w:color="auto"/>
              <w:bottom w:val="single" w:sz="4" w:space="0" w:color="auto"/>
              <w:right w:val="single" w:sz="4" w:space="0" w:color="auto"/>
            </w:tcBorders>
          </w:tcPr>
          <w:p w14:paraId="44C4126A" w14:textId="77777777" w:rsidR="00B208C2" w:rsidRPr="00160C23" w:rsidRDefault="00B208C2" w:rsidP="00B208C2">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10351AA"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760A279"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1B2F81" w14:paraId="23675FDD" w14:textId="77777777" w:rsidTr="00B208C2">
        <w:trPr>
          <w:cantSplit/>
          <w:trHeight w:val="642"/>
        </w:trPr>
        <w:tc>
          <w:tcPr>
            <w:tcW w:w="1560" w:type="dxa"/>
            <w:tcBorders>
              <w:top w:val="single" w:sz="4" w:space="0" w:color="auto"/>
              <w:bottom w:val="nil"/>
              <w:right w:val="single" w:sz="4" w:space="0" w:color="auto"/>
            </w:tcBorders>
          </w:tcPr>
          <w:p w14:paraId="739171F4" w14:textId="77777777" w:rsidR="00B208C2" w:rsidRPr="00160C23" w:rsidRDefault="00B208C2" w:rsidP="00B208C2">
            <w:pPr>
              <w:pStyle w:val="TableTextBase"/>
              <w:rPr>
                <w:sz w:val="16"/>
                <w:szCs w:val="16"/>
              </w:rPr>
            </w:pPr>
            <w:r w:rsidRPr="00160C23">
              <w:rPr>
                <w:sz w:val="16"/>
                <w:szCs w:val="16"/>
              </w:rPr>
              <w:t xml:space="preserve">Current year </w:t>
            </w:r>
          </w:p>
          <w:p w14:paraId="2DCD9514" w14:textId="77777777" w:rsidR="00B208C2" w:rsidRPr="00160C23" w:rsidRDefault="00B208C2" w:rsidP="00B208C2">
            <w:pPr>
              <w:pStyle w:val="TableTextBase"/>
              <w:rPr>
                <w:sz w:val="16"/>
                <w:szCs w:val="16"/>
              </w:rPr>
            </w:pPr>
            <w:r w:rsidRPr="00160C23">
              <w:rPr>
                <w:sz w:val="16"/>
                <w:szCs w:val="16"/>
              </w:rPr>
              <w:t>2021</w:t>
            </w:r>
            <w:r>
              <w:rPr>
                <w:sz w:val="16"/>
                <w:szCs w:val="16"/>
              </w:rPr>
              <w:t>–</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42DCF3D0" w14:textId="77777777" w:rsidR="00B208C2" w:rsidRPr="00126BBF"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Percent</w:t>
            </w:r>
            <w:r w:rsidRPr="00126BBF">
              <w:rPr>
                <w:rFonts w:ascii="Arial" w:eastAsia="Calibri" w:hAnsi="Arial" w:cs="Arial"/>
                <w:sz w:val="16"/>
                <w:szCs w:val="16"/>
                <w:lang w:eastAsia="en-US"/>
              </w:rPr>
              <w:t>age of Regional Development Australia (RDA) Committees achieving agreed outcomes as demonstrated by:</w:t>
            </w:r>
          </w:p>
          <w:p w14:paraId="31823A58" w14:textId="77777777" w:rsidR="00B208C2" w:rsidRPr="00126BBF" w:rsidRDefault="00B208C2" w:rsidP="00B208C2">
            <w:pPr>
              <w:numPr>
                <w:ilvl w:val="0"/>
                <w:numId w:val="25"/>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Stakeholders satisfied with the performance of their RDA</w:t>
            </w:r>
          </w:p>
          <w:p w14:paraId="6C051C41" w14:textId="77777777" w:rsidR="00B208C2" w:rsidRPr="00126BBF" w:rsidRDefault="00B208C2" w:rsidP="00B917D6">
            <w:pPr>
              <w:numPr>
                <w:ilvl w:val="0"/>
                <w:numId w:val="25"/>
              </w:numPr>
              <w:spacing w:before="60" w:after="60" w:line="240" w:lineRule="auto"/>
              <w:ind w:left="284" w:hanging="284"/>
              <w:jc w:val="left"/>
              <w:rPr>
                <w:rFonts w:ascii="Arial" w:eastAsia="Calibri" w:hAnsi="Arial" w:cs="Arial"/>
                <w:sz w:val="16"/>
                <w:szCs w:val="16"/>
                <w:lang w:eastAsia="en-US"/>
              </w:rPr>
            </w:pPr>
            <w:r w:rsidRPr="00126BBF">
              <w:rPr>
                <w:rFonts w:ascii="Arial" w:eastAsia="Calibri" w:hAnsi="Arial" w:cs="Arial"/>
                <w:sz w:val="16"/>
                <w:szCs w:val="16"/>
                <w:lang w:eastAsia="en-US"/>
              </w:rPr>
              <w:t>Departmental review of RDA reporting</w:t>
            </w:r>
            <w:r>
              <w:rPr>
                <w:rFonts w:ascii="Arial" w:eastAsia="Calibri" w:hAnsi="Arial" w:cs="Arial"/>
                <w:sz w:val="16"/>
                <w:szCs w:val="16"/>
                <w:lang w:eastAsia="en-US"/>
              </w:rPr>
              <w:t xml:space="preserve"> </w:t>
            </w:r>
            <w:r>
              <w:rPr>
                <w:rFonts w:ascii="Arial" w:eastAsia="Calibri" w:hAnsi="Arial" w:cs="Arial"/>
                <w:sz w:val="16"/>
                <w:szCs w:val="16"/>
                <w:vertAlign w:val="superscript"/>
                <w:lang w:eastAsia="en-US"/>
              </w:rPr>
              <w:t>(b</w:t>
            </w:r>
            <w:r w:rsidRPr="00FC7F64">
              <w:rPr>
                <w:rFonts w:ascii="Arial" w:eastAsia="Calibri" w:hAnsi="Arial"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1B19E519" w14:textId="77777777" w:rsidR="00B208C2" w:rsidRPr="00126BBF" w:rsidRDefault="00B208C2" w:rsidP="00B208C2">
            <w:pPr>
              <w:spacing w:before="60" w:after="60" w:line="240" w:lineRule="auto"/>
              <w:ind w:right="-12"/>
              <w:jc w:val="left"/>
              <w:rPr>
                <w:rFonts w:ascii="Arial" w:eastAsia="Calibri" w:hAnsi="Arial" w:cs="Arial"/>
                <w:sz w:val="14"/>
                <w:szCs w:val="16"/>
                <w:lang w:eastAsia="en-US"/>
              </w:rPr>
            </w:pPr>
            <w:r w:rsidRPr="00126BBF">
              <w:rPr>
                <w:rFonts w:ascii="Arial" w:eastAsia="Calibri" w:hAnsi="Arial" w:cs="Arial"/>
                <w:sz w:val="16"/>
                <w:szCs w:val="22"/>
                <w:lang w:eastAsia="en-US"/>
              </w:rPr>
              <w:sym w:font="Symbol" w:char="F0B3"/>
            </w:r>
            <w:r w:rsidRPr="00126BBF">
              <w:rPr>
                <w:rFonts w:ascii="Arial" w:eastAsia="Calibri" w:hAnsi="Arial" w:cs="Arial"/>
                <w:sz w:val="16"/>
                <w:szCs w:val="22"/>
                <w:lang w:eastAsia="en-US"/>
              </w:rPr>
              <w:t>90</w:t>
            </w:r>
            <w:r>
              <w:rPr>
                <w:rFonts w:ascii="Arial" w:eastAsia="Calibri" w:hAnsi="Arial" w:cs="Arial"/>
                <w:sz w:val="16"/>
                <w:szCs w:val="22"/>
                <w:lang w:eastAsia="en-US"/>
              </w:rPr>
              <w:t>%</w:t>
            </w:r>
            <w:r w:rsidRPr="00126BBF">
              <w:rPr>
                <w:rFonts w:ascii="Arial" w:eastAsia="Calibri" w:hAnsi="Arial" w:cs="Arial"/>
                <w:sz w:val="16"/>
                <w:szCs w:val="22"/>
                <w:lang w:eastAsia="en-US"/>
              </w:rPr>
              <w:t xml:space="preserve"> of RDAs rated satisfactory or above</w:t>
            </w:r>
          </w:p>
          <w:p w14:paraId="4B76B0BF" w14:textId="77777777" w:rsidR="00B208C2" w:rsidRPr="00126BBF" w:rsidRDefault="00B208C2" w:rsidP="00B208C2">
            <w:pPr>
              <w:pStyle w:val="TableTextBase"/>
              <w:rPr>
                <w:sz w:val="16"/>
                <w:szCs w:val="16"/>
              </w:rPr>
            </w:pPr>
            <w:r w:rsidRPr="00126BBF">
              <w:rPr>
                <w:rFonts w:eastAsia="Calibri" w:cs="Arial"/>
                <w:sz w:val="16"/>
                <w:szCs w:val="16"/>
                <w:lang w:eastAsia="en-US"/>
              </w:rPr>
              <w:t>Target expected to be met</w:t>
            </w:r>
          </w:p>
        </w:tc>
      </w:tr>
      <w:tr w:rsidR="00B208C2" w:rsidRPr="001B2F81" w14:paraId="7ADC4C64" w14:textId="77777777" w:rsidTr="00B208C2">
        <w:trPr>
          <w:cantSplit/>
          <w:trHeight w:val="642"/>
        </w:trPr>
        <w:tc>
          <w:tcPr>
            <w:tcW w:w="1560" w:type="dxa"/>
            <w:tcBorders>
              <w:top w:val="nil"/>
              <w:bottom w:val="nil"/>
              <w:right w:val="single" w:sz="4" w:space="0" w:color="auto"/>
            </w:tcBorders>
          </w:tcPr>
          <w:p w14:paraId="4FD557E8"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69A4914" w14:textId="77777777" w:rsidR="00B208C2" w:rsidRPr="00126BBF" w:rsidRDefault="00B208C2" w:rsidP="00B208C2">
            <w:pPr>
              <w:pStyle w:val="TableTextBase"/>
              <w:rPr>
                <w:sz w:val="16"/>
                <w:szCs w:val="16"/>
              </w:rPr>
            </w:pPr>
            <w:r w:rsidRPr="00126BBF">
              <w:rPr>
                <w:rFonts w:eastAsia="Calibri" w:cs="Arial"/>
                <w:sz w:val="16"/>
                <w:szCs w:val="16"/>
                <w:lang w:eastAsia="en-US"/>
              </w:rPr>
              <w:t>Progress of water infrastructure capital and science projects</w:t>
            </w:r>
          </w:p>
        </w:tc>
        <w:tc>
          <w:tcPr>
            <w:tcW w:w="2977" w:type="dxa"/>
            <w:tcBorders>
              <w:top w:val="single" w:sz="4" w:space="0" w:color="auto"/>
              <w:left w:val="single" w:sz="4" w:space="0" w:color="auto"/>
              <w:bottom w:val="single" w:sz="4" w:space="0" w:color="auto"/>
            </w:tcBorders>
          </w:tcPr>
          <w:p w14:paraId="27F27064"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Projects progressed in accordance with agreed timeframes in each financial year</w:t>
            </w:r>
          </w:p>
          <w:p w14:paraId="1ACE63ED"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Target expected to be met</w:t>
            </w:r>
          </w:p>
        </w:tc>
      </w:tr>
      <w:tr w:rsidR="00B208C2" w:rsidRPr="001B2F81" w14:paraId="4596559F" w14:textId="77777777" w:rsidTr="00B208C2">
        <w:trPr>
          <w:cantSplit/>
          <w:trHeight w:val="642"/>
        </w:trPr>
        <w:tc>
          <w:tcPr>
            <w:tcW w:w="1560" w:type="dxa"/>
            <w:tcBorders>
              <w:top w:val="nil"/>
              <w:bottom w:val="nil"/>
              <w:right w:val="single" w:sz="4" w:space="0" w:color="auto"/>
            </w:tcBorders>
          </w:tcPr>
          <w:p w14:paraId="706B9B9A"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B3D45C6" w14:textId="2ACCD71A" w:rsidR="00B208C2" w:rsidRPr="003F1EC3" w:rsidRDefault="00B208C2" w:rsidP="003F1EC3">
            <w:pPr>
              <w:spacing w:before="60" w:after="60" w:line="240" w:lineRule="auto"/>
              <w:jc w:val="left"/>
              <w:rPr>
                <w:rFonts w:ascii="Arial" w:eastAsia="Calibri" w:hAnsi="Arial" w:cs="Arial"/>
                <w:sz w:val="16"/>
                <w:szCs w:val="16"/>
                <w:lang w:eastAsia="en-US"/>
              </w:rPr>
            </w:pPr>
            <w:r w:rsidRPr="003F1EC3">
              <w:rPr>
                <w:rFonts w:ascii="Arial" w:eastAsia="Calibri" w:hAnsi="Arial" w:cs="Arial"/>
                <w:sz w:val="16"/>
                <w:szCs w:val="16"/>
                <w:lang w:eastAsia="en-US"/>
              </w:rPr>
              <w:t xml:space="preserve">Estimated number of construction and ongoing jobs supported over the life of the projects, from </w:t>
            </w:r>
            <w:r w:rsidR="003F1EC3" w:rsidRPr="003F1EC3">
              <w:rPr>
                <w:rFonts w:ascii="Arial" w:eastAsia="Calibri" w:hAnsi="Arial" w:cs="Arial"/>
                <w:sz w:val="16"/>
                <w:szCs w:val="16"/>
                <w:lang w:eastAsia="en-US"/>
              </w:rPr>
              <w:t xml:space="preserve">National Water Grid Fund (NWGF) </w:t>
            </w:r>
            <w:r w:rsidRPr="003F1EC3">
              <w:rPr>
                <w:rFonts w:ascii="Arial" w:eastAsia="Calibri" w:hAnsi="Arial" w:cs="Arial"/>
                <w:sz w:val="16"/>
                <w:szCs w:val="16"/>
                <w:lang w:eastAsia="en-US"/>
              </w:rPr>
              <w:t>capital projects</w:t>
            </w:r>
          </w:p>
        </w:tc>
        <w:tc>
          <w:tcPr>
            <w:tcW w:w="2977" w:type="dxa"/>
            <w:tcBorders>
              <w:top w:val="single" w:sz="4" w:space="0" w:color="auto"/>
              <w:left w:val="single" w:sz="4" w:space="0" w:color="auto"/>
              <w:bottom w:val="single" w:sz="4" w:space="0" w:color="auto"/>
            </w:tcBorders>
          </w:tcPr>
          <w:p w14:paraId="28AAAD40"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Completed projects deliver two construction jobs and at least four ongoing employees per $million of NWGF funding expensed</w:t>
            </w:r>
          </w:p>
          <w:p w14:paraId="36C52E84"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Target expected to be met</w:t>
            </w:r>
          </w:p>
        </w:tc>
      </w:tr>
      <w:tr w:rsidR="00B208C2" w:rsidRPr="001B2F81" w14:paraId="356B9B86" w14:textId="77777777" w:rsidTr="00B208C2">
        <w:trPr>
          <w:cantSplit/>
          <w:trHeight w:val="642"/>
        </w:trPr>
        <w:tc>
          <w:tcPr>
            <w:tcW w:w="1560" w:type="dxa"/>
            <w:tcBorders>
              <w:top w:val="nil"/>
              <w:bottom w:val="nil"/>
              <w:right w:val="single" w:sz="4" w:space="0" w:color="auto"/>
            </w:tcBorders>
          </w:tcPr>
          <w:p w14:paraId="335F7C2B"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12B5B6E" w14:textId="47FBEDCE" w:rsidR="00B208C2" w:rsidRPr="00126BBF" w:rsidRDefault="00B208C2" w:rsidP="003F1EC3">
            <w:pPr>
              <w:pStyle w:val="TableTextBase"/>
              <w:rPr>
                <w:sz w:val="16"/>
                <w:szCs w:val="16"/>
              </w:rPr>
            </w:pPr>
            <w:r w:rsidRPr="00126BBF">
              <w:rPr>
                <w:rFonts w:eastAsia="Calibri" w:cs="Arial"/>
                <w:sz w:val="16"/>
                <w:szCs w:val="16"/>
                <w:lang w:eastAsia="en-US"/>
              </w:rPr>
              <w:t>Expected increase in the availability and/or reliability of water arising from projects receiving NWGF capital funding</w:t>
            </w:r>
          </w:p>
        </w:tc>
        <w:tc>
          <w:tcPr>
            <w:tcW w:w="2977" w:type="dxa"/>
            <w:tcBorders>
              <w:top w:val="single" w:sz="4" w:space="0" w:color="auto"/>
              <w:left w:val="single" w:sz="4" w:space="0" w:color="auto"/>
              <w:bottom w:val="single" w:sz="4" w:space="0" w:color="auto"/>
            </w:tcBorders>
          </w:tcPr>
          <w:p w14:paraId="275F74B0"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For completed projects, an annual increase of 180 megalitres of water available for productive use per annum and at least 30 hectares of additional irrigable land and new areas serviced per $million of NWGF funding expensed</w:t>
            </w:r>
          </w:p>
          <w:p w14:paraId="140C42CE"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Target expected to be met</w:t>
            </w:r>
          </w:p>
        </w:tc>
      </w:tr>
      <w:tr w:rsidR="00B208C2" w:rsidRPr="001B2F81" w14:paraId="646EA913" w14:textId="77777777" w:rsidTr="00B208C2">
        <w:trPr>
          <w:cantSplit/>
          <w:trHeight w:val="642"/>
        </w:trPr>
        <w:tc>
          <w:tcPr>
            <w:tcW w:w="1560" w:type="dxa"/>
            <w:tcBorders>
              <w:top w:val="nil"/>
              <w:bottom w:val="single" w:sz="4" w:space="0" w:color="auto"/>
              <w:right w:val="single" w:sz="4" w:space="0" w:color="auto"/>
            </w:tcBorders>
          </w:tcPr>
          <w:p w14:paraId="7C3A307A"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F62BF7D" w14:textId="77777777" w:rsidR="00B208C2" w:rsidRPr="00126BBF" w:rsidRDefault="00B208C2" w:rsidP="00B208C2">
            <w:pPr>
              <w:pStyle w:val="TableTextBase"/>
              <w:rPr>
                <w:sz w:val="16"/>
                <w:szCs w:val="16"/>
              </w:rPr>
            </w:pPr>
            <w:r w:rsidRPr="00126BBF">
              <w:rPr>
                <w:rFonts w:eastAsia="Calibri" w:cs="Arial"/>
                <w:sz w:val="16"/>
                <w:szCs w:val="16"/>
                <w:lang w:eastAsia="en-US"/>
              </w:rPr>
              <w:t>Expected ongoing increase in gross value of agriculture and industrial production arising from projects receiving NWGF capital funding</w:t>
            </w:r>
          </w:p>
        </w:tc>
        <w:tc>
          <w:tcPr>
            <w:tcW w:w="2977" w:type="dxa"/>
            <w:tcBorders>
              <w:top w:val="single" w:sz="4" w:space="0" w:color="auto"/>
              <w:left w:val="single" w:sz="4" w:space="0" w:color="auto"/>
              <w:bottom w:val="single" w:sz="4" w:space="0" w:color="auto"/>
            </w:tcBorders>
          </w:tcPr>
          <w:p w14:paraId="6A591252"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 xml:space="preserve">For completed projects, an annual increase of $900,000 per annum per </w:t>
            </w:r>
            <w:r>
              <w:rPr>
                <w:rFonts w:ascii="Arial" w:eastAsia="Calibri" w:hAnsi="Arial" w:cs="Arial"/>
                <w:sz w:val="16"/>
                <w:szCs w:val="16"/>
                <w:lang w:eastAsia="en-US"/>
              </w:rPr>
              <w:t>$</w:t>
            </w:r>
            <w:r w:rsidRPr="00126BBF">
              <w:rPr>
                <w:rFonts w:ascii="Arial" w:eastAsia="Calibri" w:hAnsi="Arial" w:cs="Arial"/>
                <w:sz w:val="16"/>
                <w:szCs w:val="16"/>
                <w:lang w:eastAsia="en-US"/>
              </w:rPr>
              <w:t>million of NWGF funding expensed</w:t>
            </w:r>
          </w:p>
          <w:p w14:paraId="7620D3EA"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Target expected to be met</w:t>
            </w:r>
          </w:p>
        </w:tc>
      </w:tr>
      <w:tr w:rsidR="00B208C2" w:rsidRPr="00160C23" w14:paraId="24F8CC74" w14:textId="77777777" w:rsidTr="00B208C2">
        <w:trPr>
          <w:trHeight w:val="258"/>
        </w:trPr>
        <w:tc>
          <w:tcPr>
            <w:tcW w:w="1560" w:type="dxa"/>
            <w:tcBorders>
              <w:top w:val="double" w:sz="4" w:space="0" w:color="auto"/>
              <w:bottom w:val="single" w:sz="4" w:space="0" w:color="auto"/>
              <w:right w:val="single" w:sz="4" w:space="0" w:color="auto"/>
            </w:tcBorders>
          </w:tcPr>
          <w:p w14:paraId="04591B7E" w14:textId="77777777" w:rsidR="00B208C2" w:rsidRPr="00160C23" w:rsidRDefault="00B208C2" w:rsidP="00B208C2">
            <w:pPr>
              <w:pStyle w:val="TableTextBase"/>
              <w:keepNext/>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9805F3A"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7CD22595" w14:textId="77777777" w:rsidR="00B208C2" w:rsidRPr="00160C23" w:rsidRDefault="00B208C2" w:rsidP="00B208C2">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B208C2" w14:paraId="4E1421ED" w14:textId="77777777" w:rsidTr="00B208C2">
        <w:trPr>
          <w:cantSplit/>
          <w:trHeight w:val="642"/>
        </w:trPr>
        <w:tc>
          <w:tcPr>
            <w:tcW w:w="1560" w:type="dxa"/>
            <w:tcBorders>
              <w:top w:val="single" w:sz="4" w:space="0" w:color="auto"/>
              <w:bottom w:val="nil"/>
              <w:right w:val="single" w:sz="4" w:space="0" w:color="auto"/>
            </w:tcBorders>
          </w:tcPr>
          <w:p w14:paraId="77C83369"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566948F7" w14:textId="77777777" w:rsidR="00B208C2" w:rsidRPr="00160C23" w:rsidRDefault="00B208C2" w:rsidP="00B208C2">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20211575"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Performance in delivering regional programs indicated through projects contracted, completed and funds expended for:</w:t>
            </w:r>
          </w:p>
          <w:p w14:paraId="3040E84C" w14:textId="77777777" w:rsidR="00B208C2" w:rsidRPr="00126BBF" w:rsidRDefault="00B208C2" w:rsidP="00B208C2">
            <w:pPr>
              <w:numPr>
                <w:ilvl w:val="0"/>
                <w:numId w:val="23"/>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Community Development Grants</w:t>
            </w:r>
          </w:p>
          <w:p w14:paraId="451C6754" w14:textId="77777777" w:rsidR="00B208C2" w:rsidRPr="00126BBF" w:rsidRDefault="00B208C2" w:rsidP="00B208C2">
            <w:pPr>
              <w:numPr>
                <w:ilvl w:val="0"/>
                <w:numId w:val="23"/>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Stronger Communities Program</w:t>
            </w:r>
          </w:p>
          <w:p w14:paraId="6DB4D270" w14:textId="77777777" w:rsidR="00B208C2" w:rsidRPr="00126BBF" w:rsidRDefault="00B208C2" w:rsidP="00B208C2">
            <w:pPr>
              <w:numPr>
                <w:ilvl w:val="0"/>
                <w:numId w:val="23"/>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Building Better Regions Fund</w:t>
            </w:r>
          </w:p>
          <w:p w14:paraId="4CF9F31F" w14:textId="77777777" w:rsidR="00B208C2" w:rsidRPr="00126BBF" w:rsidRDefault="00B208C2" w:rsidP="00B208C2">
            <w:pPr>
              <w:numPr>
                <w:ilvl w:val="0"/>
                <w:numId w:val="23"/>
              </w:numPr>
              <w:spacing w:before="60" w:after="60" w:line="240" w:lineRule="auto"/>
              <w:ind w:left="284"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Regional Growth Fund</w:t>
            </w:r>
          </w:p>
        </w:tc>
        <w:tc>
          <w:tcPr>
            <w:tcW w:w="2977" w:type="dxa"/>
            <w:tcBorders>
              <w:top w:val="single" w:sz="4" w:space="0" w:color="auto"/>
              <w:left w:val="single" w:sz="4" w:space="0" w:color="auto"/>
              <w:bottom w:val="single" w:sz="4" w:space="0" w:color="auto"/>
            </w:tcBorders>
          </w:tcPr>
          <w:p w14:paraId="2BF0BD69" w14:textId="77777777" w:rsidR="00B208C2" w:rsidRPr="00126BBF" w:rsidRDefault="00B208C2" w:rsidP="00B208C2">
            <w:pPr>
              <w:numPr>
                <w:ilvl w:val="0"/>
                <w:numId w:val="24"/>
              </w:numPr>
              <w:spacing w:before="60" w:after="60" w:line="240" w:lineRule="auto"/>
              <w:ind w:left="284" w:right="-11"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≥95</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all commitments (up to and including the 2019 election) contracted and ≥90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2019 commitments completed</w:t>
            </w:r>
          </w:p>
          <w:p w14:paraId="4D9F341E" w14:textId="77777777" w:rsidR="00B208C2" w:rsidRPr="00126BBF" w:rsidRDefault="00B208C2" w:rsidP="00B208C2">
            <w:pPr>
              <w:numPr>
                <w:ilvl w:val="0"/>
                <w:numId w:val="24"/>
              </w:numPr>
              <w:spacing w:before="60" w:after="60" w:line="240" w:lineRule="auto"/>
              <w:ind w:left="284" w:right="-11"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100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all commitments contracted and completed (Round 5 and 6)</w:t>
            </w:r>
          </w:p>
          <w:p w14:paraId="6F9F4DF8" w14:textId="77777777" w:rsidR="00B208C2" w:rsidRPr="00126BBF" w:rsidRDefault="00B208C2" w:rsidP="00B208C2">
            <w:pPr>
              <w:numPr>
                <w:ilvl w:val="0"/>
                <w:numId w:val="24"/>
              </w:numPr>
              <w:spacing w:before="60" w:after="60" w:line="240" w:lineRule="auto"/>
              <w:ind w:left="284" w:right="-11" w:hanging="284"/>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≥95</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all commitments contracted (Rounds 4 and 5) and on target for completion by 30 June 2024</w:t>
            </w:r>
          </w:p>
          <w:p w14:paraId="1EF8E920" w14:textId="71121178" w:rsidR="00B208C2" w:rsidRPr="00665295" w:rsidRDefault="00B208C2" w:rsidP="00665295">
            <w:pPr>
              <w:numPr>
                <w:ilvl w:val="0"/>
                <w:numId w:val="24"/>
              </w:numPr>
              <w:spacing w:before="60" w:after="60" w:line="240" w:lineRule="auto"/>
              <w:ind w:left="284" w:right="-11" w:hanging="284"/>
              <w:jc w:val="left"/>
              <w:rPr>
                <w:rFonts w:ascii="Arial" w:eastAsia="Calibri" w:hAnsi="Arial" w:cs="Arial"/>
                <w:sz w:val="16"/>
                <w:szCs w:val="16"/>
                <w:lang w:eastAsia="en-US"/>
              </w:rPr>
            </w:pPr>
            <w:r w:rsidRPr="00126BBF">
              <w:rPr>
                <w:rFonts w:ascii="Arial" w:eastAsia="Calibri" w:hAnsi="Arial" w:cs="Arial"/>
                <w:sz w:val="16"/>
                <w:szCs w:val="16"/>
                <w:lang w:eastAsia="en-US"/>
              </w:rPr>
              <w:t>On track for all projects to be completed by June 2024 (current round)</w:t>
            </w:r>
            <w:r w:rsidRPr="00126BBF">
              <w:rPr>
                <w:rFonts w:ascii="Arial" w:eastAsia="Calibri" w:hAnsi="Arial" w:cs="Arial"/>
                <w:b/>
                <w:sz w:val="16"/>
                <w:szCs w:val="16"/>
                <w:lang w:eastAsia="en-US"/>
              </w:rPr>
              <w:t xml:space="preserve"> </w:t>
            </w:r>
          </w:p>
        </w:tc>
      </w:tr>
      <w:tr w:rsidR="00B208C2" w14:paraId="3953D84D" w14:textId="77777777" w:rsidTr="00B208C2">
        <w:trPr>
          <w:cantSplit/>
          <w:trHeight w:val="642"/>
        </w:trPr>
        <w:tc>
          <w:tcPr>
            <w:tcW w:w="1560" w:type="dxa"/>
            <w:tcBorders>
              <w:top w:val="nil"/>
              <w:bottom w:val="nil"/>
              <w:right w:val="single" w:sz="4" w:space="0" w:color="auto"/>
            </w:tcBorders>
          </w:tcPr>
          <w:p w14:paraId="75666EDD"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5B81875" w14:textId="59556127" w:rsidR="00B208C2" w:rsidRPr="00126BBF" w:rsidRDefault="00B208C2" w:rsidP="00B208C2">
            <w:pPr>
              <w:pStyle w:val="TableTextBase"/>
              <w:rPr>
                <w:sz w:val="16"/>
                <w:szCs w:val="16"/>
              </w:rPr>
            </w:pPr>
            <w:r w:rsidRPr="00126BBF">
              <w:rPr>
                <w:rFonts w:eastAsia="Calibri" w:cs="Arial"/>
                <w:i/>
                <w:sz w:val="16"/>
                <w:szCs w:val="16"/>
                <w:lang w:eastAsia="en-US"/>
              </w:rPr>
              <w:t>Number of City and Regional Deal commitments on track to be completed within agreed timeframes</w:t>
            </w:r>
            <w:r w:rsidR="003F1EC3">
              <w:rPr>
                <w:rFonts w:eastAsia="Calibri" w:cs="Arial"/>
                <w:i/>
                <w:sz w:val="16"/>
                <w:szCs w:val="16"/>
                <w:lang w:eastAsia="en-US"/>
              </w:rPr>
              <w:t xml:space="preserve"> </w:t>
            </w:r>
            <w:r w:rsidRPr="00E73F6C">
              <w:rPr>
                <w:rFonts w:eastAsia="Calibri" w:cs="Arial"/>
                <w:i/>
                <w:sz w:val="16"/>
                <w:szCs w:val="16"/>
                <w:vertAlign w:val="superscript"/>
                <w:lang w:eastAsia="en-US"/>
              </w:rPr>
              <w:t>(c)</w:t>
            </w:r>
            <w:r w:rsidR="003F1EC3">
              <w:rPr>
                <w:rFonts w:eastAsia="Calibri" w:cs="Arial"/>
                <w:i/>
                <w:sz w:val="16"/>
                <w:szCs w:val="16"/>
                <w:vertAlign w:val="superscript"/>
                <w:lang w:eastAsia="en-US"/>
              </w:rPr>
              <w:t xml:space="preserve"> </w:t>
            </w:r>
            <w:r>
              <w:rPr>
                <w:rFonts w:eastAsia="Calibri" w:cs="Arial"/>
                <w:i/>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328F2A3B" w14:textId="77777777" w:rsidR="00B208C2" w:rsidRPr="00126BBF" w:rsidRDefault="00B208C2" w:rsidP="00B208C2">
            <w:pPr>
              <w:spacing w:before="60" w:after="60" w:line="240" w:lineRule="auto"/>
              <w:ind w:right="-12"/>
              <w:contextualSpacing/>
              <w:jc w:val="left"/>
              <w:rPr>
                <w:rFonts w:eastAsia="Calibri" w:cs="Arial"/>
                <w:sz w:val="16"/>
                <w:szCs w:val="16"/>
                <w:lang w:eastAsia="en-US"/>
              </w:rPr>
            </w:pPr>
            <w:r w:rsidRPr="00126BBF">
              <w:rPr>
                <w:rFonts w:ascii="Arial" w:eastAsia="Calibri" w:hAnsi="Arial" w:cs="Arial"/>
                <w:sz w:val="16"/>
                <w:szCs w:val="16"/>
                <w:lang w:eastAsia="en-US"/>
              </w:rPr>
              <w:t>100</w:t>
            </w:r>
            <w:r>
              <w:rPr>
                <w:rFonts w:ascii="Arial" w:eastAsia="Calibri" w:hAnsi="Arial" w:cs="Arial"/>
                <w:sz w:val="16"/>
                <w:szCs w:val="16"/>
                <w:lang w:eastAsia="en-US"/>
              </w:rPr>
              <w:t>%</w:t>
            </w:r>
            <w:r w:rsidRPr="00126BBF">
              <w:rPr>
                <w:rFonts w:ascii="Arial" w:eastAsia="Calibri" w:hAnsi="Arial" w:cs="Arial"/>
                <w:sz w:val="16"/>
                <w:szCs w:val="16"/>
                <w:lang w:eastAsia="en-US"/>
              </w:rPr>
              <w:t xml:space="preserve"> of projects on track to be completed by their scheduled timeframes</w:t>
            </w:r>
          </w:p>
        </w:tc>
      </w:tr>
      <w:tr w:rsidR="00B208C2" w14:paraId="7E503801" w14:textId="77777777" w:rsidTr="00B208C2">
        <w:trPr>
          <w:cantSplit/>
          <w:trHeight w:val="642"/>
        </w:trPr>
        <w:tc>
          <w:tcPr>
            <w:tcW w:w="1560" w:type="dxa"/>
            <w:tcBorders>
              <w:top w:val="nil"/>
              <w:bottom w:val="single" w:sz="4" w:space="0" w:color="auto"/>
              <w:right w:val="single" w:sz="4" w:space="0" w:color="auto"/>
            </w:tcBorders>
          </w:tcPr>
          <w:p w14:paraId="609DC4A8"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8E5433" w14:textId="77777777" w:rsidR="00B208C2" w:rsidRPr="00126BBF" w:rsidRDefault="00B208C2" w:rsidP="00B208C2">
            <w:pPr>
              <w:pStyle w:val="TableTextBase"/>
              <w:rPr>
                <w:sz w:val="16"/>
                <w:szCs w:val="16"/>
              </w:rPr>
            </w:pPr>
            <w:r w:rsidRPr="00126BBF">
              <w:rPr>
                <w:rFonts w:eastAsia="Calibri" w:cs="Arial"/>
                <w:sz w:val="16"/>
                <w:szCs w:val="16"/>
                <w:lang w:eastAsia="en-US"/>
              </w:rPr>
              <w:t>Estimated number of jobs supported over the life of projects, from regional development projects underway during the financial year (based on proponent reported data)</w:t>
            </w:r>
          </w:p>
        </w:tc>
        <w:tc>
          <w:tcPr>
            <w:tcW w:w="2977" w:type="dxa"/>
            <w:tcBorders>
              <w:top w:val="single" w:sz="4" w:space="0" w:color="auto"/>
              <w:left w:val="single" w:sz="4" w:space="0" w:color="auto"/>
              <w:bottom w:val="single" w:sz="4" w:space="0" w:color="auto"/>
            </w:tcBorders>
          </w:tcPr>
          <w:p w14:paraId="3240E2F9" w14:textId="77777777" w:rsidR="00B208C2" w:rsidRPr="00126BBF" w:rsidRDefault="00B208C2" w:rsidP="00B208C2">
            <w:pPr>
              <w:spacing w:before="60" w:after="60" w:line="240" w:lineRule="auto"/>
              <w:ind w:right="-12"/>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Programs support projects for which work requirements fluctuate. While it is appropriate to monitor jobs supported, it is not appropriate to set annual targets</w:t>
            </w:r>
          </w:p>
        </w:tc>
      </w:tr>
      <w:tr w:rsidR="00665295" w:rsidRPr="00160C23" w14:paraId="18533BF7" w14:textId="77777777" w:rsidTr="00807D41">
        <w:trPr>
          <w:trHeight w:val="258"/>
        </w:trPr>
        <w:tc>
          <w:tcPr>
            <w:tcW w:w="1560" w:type="dxa"/>
            <w:tcBorders>
              <w:top w:val="double" w:sz="4" w:space="0" w:color="auto"/>
              <w:bottom w:val="single" w:sz="4" w:space="0" w:color="auto"/>
              <w:right w:val="single" w:sz="4" w:space="0" w:color="auto"/>
            </w:tcBorders>
          </w:tcPr>
          <w:p w14:paraId="4DD93470" w14:textId="77777777" w:rsidR="00665295" w:rsidRPr="00160C23" w:rsidRDefault="00665295" w:rsidP="00807D41">
            <w:pPr>
              <w:pStyle w:val="TableTextBase"/>
              <w:keepNext/>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0BD80FC" w14:textId="77777777" w:rsidR="00665295" w:rsidRPr="00160C23" w:rsidRDefault="00665295" w:rsidP="00807D4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210A044A" w14:textId="77777777" w:rsidR="00665295" w:rsidRPr="00160C23" w:rsidRDefault="00665295" w:rsidP="00807D41">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B208C2" w14:paraId="78598002" w14:textId="77777777" w:rsidTr="00B208C2">
        <w:trPr>
          <w:cantSplit/>
          <w:trHeight w:val="642"/>
        </w:trPr>
        <w:tc>
          <w:tcPr>
            <w:tcW w:w="1560" w:type="dxa"/>
            <w:vMerge w:val="restart"/>
            <w:tcBorders>
              <w:top w:val="single" w:sz="4" w:space="0" w:color="auto"/>
              <w:right w:val="single" w:sz="4" w:space="0" w:color="auto"/>
            </w:tcBorders>
          </w:tcPr>
          <w:p w14:paraId="2B366D7C"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66817E7D" w14:textId="6212F813" w:rsidR="00B208C2" w:rsidRPr="00160C23" w:rsidRDefault="00B208C2" w:rsidP="00B208C2">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10DE72A1" w14:textId="77777777" w:rsidR="00B208C2" w:rsidRPr="00126BBF" w:rsidRDefault="00B208C2" w:rsidP="00B208C2">
            <w:pPr>
              <w:spacing w:before="60" w:after="60" w:line="240" w:lineRule="auto"/>
              <w:jc w:val="left"/>
              <w:rPr>
                <w:rFonts w:ascii="Arial" w:eastAsia="Calibri" w:hAnsi="Arial" w:cs="Arial"/>
                <w:sz w:val="16"/>
                <w:szCs w:val="16"/>
                <w:lang w:eastAsia="en-US"/>
              </w:rPr>
            </w:pPr>
            <w:r w:rsidRPr="00126BBF">
              <w:rPr>
                <w:rFonts w:ascii="Arial" w:eastAsia="Calibri" w:hAnsi="Arial" w:cs="Arial"/>
                <w:sz w:val="16"/>
                <w:szCs w:val="16"/>
                <w:lang w:eastAsia="en-US"/>
              </w:rPr>
              <w:t>Progress of water infrastructure capital and science projects</w:t>
            </w:r>
          </w:p>
        </w:tc>
        <w:tc>
          <w:tcPr>
            <w:tcW w:w="2977" w:type="dxa"/>
            <w:tcBorders>
              <w:top w:val="single" w:sz="4" w:space="0" w:color="auto"/>
              <w:left w:val="single" w:sz="4" w:space="0" w:color="auto"/>
              <w:bottom w:val="single" w:sz="4" w:space="0" w:color="auto"/>
            </w:tcBorders>
          </w:tcPr>
          <w:p w14:paraId="40E04F93" w14:textId="77777777" w:rsidR="00B208C2" w:rsidRPr="00126BBF" w:rsidRDefault="00B208C2" w:rsidP="00B208C2">
            <w:pPr>
              <w:spacing w:before="60" w:after="60" w:line="240" w:lineRule="auto"/>
              <w:ind w:right="-12"/>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Projects progressed in accordance with agreed timeframes in the financial year</w:t>
            </w:r>
          </w:p>
        </w:tc>
      </w:tr>
      <w:tr w:rsidR="00B208C2" w14:paraId="3C056467" w14:textId="77777777" w:rsidTr="00B208C2">
        <w:trPr>
          <w:cantSplit/>
          <w:trHeight w:val="642"/>
        </w:trPr>
        <w:tc>
          <w:tcPr>
            <w:tcW w:w="1560" w:type="dxa"/>
            <w:vMerge/>
            <w:tcBorders>
              <w:right w:val="single" w:sz="4" w:space="0" w:color="auto"/>
            </w:tcBorders>
          </w:tcPr>
          <w:p w14:paraId="2DE50C61" w14:textId="1C8EBEB2"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718B7A9" w14:textId="77777777" w:rsidR="00B208C2" w:rsidRPr="00126BBF" w:rsidRDefault="00B208C2" w:rsidP="00B208C2">
            <w:pPr>
              <w:pStyle w:val="TableTextBase"/>
              <w:rPr>
                <w:sz w:val="16"/>
                <w:szCs w:val="16"/>
              </w:rPr>
            </w:pPr>
            <w:r w:rsidRPr="00126BBF">
              <w:rPr>
                <w:rFonts w:eastAsia="Calibri" w:cs="Arial"/>
                <w:sz w:val="16"/>
                <w:szCs w:val="16"/>
                <w:lang w:eastAsia="en-US"/>
              </w:rPr>
              <w:t>Estimated number of construction and ongoing jobs supported over the life of the projects, from NWGF capital projects</w:t>
            </w:r>
          </w:p>
        </w:tc>
        <w:tc>
          <w:tcPr>
            <w:tcW w:w="2977" w:type="dxa"/>
            <w:tcBorders>
              <w:top w:val="single" w:sz="4" w:space="0" w:color="auto"/>
              <w:left w:val="single" w:sz="4" w:space="0" w:color="auto"/>
              <w:bottom w:val="single" w:sz="4" w:space="0" w:color="auto"/>
            </w:tcBorders>
          </w:tcPr>
          <w:p w14:paraId="1A4AA0BE"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Completed projects deliver two construction jobs and at least four ongoing employees per $million of NWGF funding expensed</w:t>
            </w:r>
          </w:p>
        </w:tc>
      </w:tr>
      <w:tr w:rsidR="00B208C2" w14:paraId="54DBA1E8" w14:textId="77777777" w:rsidTr="00B208C2">
        <w:trPr>
          <w:cantSplit/>
          <w:trHeight w:val="642"/>
        </w:trPr>
        <w:tc>
          <w:tcPr>
            <w:tcW w:w="1560" w:type="dxa"/>
            <w:vMerge/>
            <w:tcBorders>
              <w:bottom w:val="nil"/>
              <w:right w:val="single" w:sz="4" w:space="0" w:color="auto"/>
            </w:tcBorders>
          </w:tcPr>
          <w:p w14:paraId="35E992EB"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CB6107E" w14:textId="77777777" w:rsidR="00B208C2" w:rsidRPr="00126BBF" w:rsidRDefault="00B208C2" w:rsidP="00B208C2">
            <w:pPr>
              <w:spacing w:before="60" w:after="60" w:line="240" w:lineRule="auto"/>
              <w:contextualSpacing/>
              <w:jc w:val="left"/>
              <w:rPr>
                <w:rFonts w:ascii="Arial" w:eastAsia="Calibri" w:hAnsi="Arial" w:cs="Arial"/>
                <w:sz w:val="16"/>
                <w:szCs w:val="16"/>
                <w:lang w:eastAsia="en-US"/>
              </w:rPr>
            </w:pPr>
            <w:r w:rsidRPr="00126BBF">
              <w:rPr>
                <w:rFonts w:ascii="Arial" w:eastAsia="Calibri" w:hAnsi="Arial" w:cs="Arial"/>
                <w:sz w:val="16"/>
                <w:szCs w:val="16"/>
                <w:lang w:eastAsia="en-US"/>
              </w:rPr>
              <w:t>Expected increase in the availability and/or reliability of water arising from projects receiving National Water Grid Fund (NWGF) capital funding</w:t>
            </w:r>
          </w:p>
        </w:tc>
        <w:tc>
          <w:tcPr>
            <w:tcW w:w="2977" w:type="dxa"/>
            <w:tcBorders>
              <w:top w:val="single" w:sz="4" w:space="0" w:color="auto"/>
              <w:left w:val="single" w:sz="4" w:space="0" w:color="auto"/>
              <w:bottom w:val="single" w:sz="4" w:space="0" w:color="auto"/>
            </w:tcBorders>
          </w:tcPr>
          <w:p w14:paraId="4FA3AAC8"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For completed projects, an annual increase of 180 megalitres of water available for productive use per annum and at least 30 hectares of additional irrigable land and new areas serviced per $million of NWGF funding expensed</w:t>
            </w:r>
          </w:p>
        </w:tc>
      </w:tr>
      <w:tr w:rsidR="00B208C2" w14:paraId="1A2E3A82" w14:textId="77777777" w:rsidTr="00B208C2">
        <w:trPr>
          <w:cantSplit/>
          <w:trHeight w:val="642"/>
        </w:trPr>
        <w:tc>
          <w:tcPr>
            <w:tcW w:w="1560" w:type="dxa"/>
            <w:tcBorders>
              <w:top w:val="nil"/>
              <w:bottom w:val="single" w:sz="4" w:space="0" w:color="auto"/>
              <w:right w:val="single" w:sz="4" w:space="0" w:color="auto"/>
            </w:tcBorders>
          </w:tcPr>
          <w:p w14:paraId="08DF26AA"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3DAF204" w14:textId="77777777" w:rsidR="00B208C2" w:rsidRPr="00126BBF" w:rsidRDefault="00B208C2" w:rsidP="00B208C2">
            <w:pPr>
              <w:pStyle w:val="TableTextBase"/>
              <w:rPr>
                <w:sz w:val="16"/>
                <w:szCs w:val="16"/>
              </w:rPr>
            </w:pPr>
            <w:r w:rsidRPr="00126BBF">
              <w:rPr>
                <w:rFonts w:eastAsia="Calibri" w:cs="Arial"/>
                <w:sz w:val="16"/>
                <w:szCs w:val="16"/>
                <w:lang w:eastAsia="en-US"/>
              </w:rPr>
              <w:t>Expected ongoing increase in gross value of agriculture and industrial production arising from projects receiving NWGF capital funding</w:t>
            </w:r>
          </w:p>
        </w:tc>
        <w:tc>
          <w:tcPr>
            <w:tcW w:w="2977" w:type="dxa"/>
            <w:tcBorders>
              <w:top w:val="single" w:sz="4" w:space="0" w:color="auto"/>
              <w:left w:val="single" w:sz="4" w:space="0" w:color="auto"/>
              <w:bottom w:val="single" w:sz="4" w:space="0" w:color="auto"/>
            </w:tcBorders>
          </w:tcPr>
          <w:p w14:paraId="31836E61"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For completed projects, an annual increase of $900,000 per annum per $million of NWGF funding expensed</w:t>
            </w:r>
          </w:p>
        </w:tc>
      </w:tr>
      <w:tr w:rsidR="00B208C2" w14:paraId="0E0E3682" w14:textId="77777777" w:rsidTr="00B208C2">
        <w:trPr>
          <w:cantSplit/>
          <w:trHeight w:val="642"/>
        </w:trPr>
        <w:tc>
          <w:tcPr>
            <w:tcW w:w="1560" w:type="dxa"/>
            <w:tcBorders>
              <w:top w:val="single" w:sz="4" w:space="0" w:color="auto"/>
              <w:bottom w:val="nil"/>
              <w:right w:val="single" w:sz="4" w:space="0" w:color="auto"/>
            </w:tcBorders>
          </w:tcPr>
          <w:p w14:paraId="7A875AB3" w14:textId="77777777" w:rsidR="00B208C2" w:rsidRDefault="00B208C2" w:rsidP="00B208C2">
            <w:pPr>
              <w:pStyle w:val="TableTextBase"/>
              <w:rPr>
                <w:sz w:val="16"/>
                <w:szCs w:val="16"/>
              </w:rPr>
            </w:pPr>
            <w:r>
              <w:rPr>
                <w:sz w:val="16"/>
                <w:szCs w:val="16"/>
              </w:rPr>
              <w:t xml:space="preserve">Forward Estimates </w:t>
            </w:r>
          </w:p>
          <w:p w14:paraId="35AF7E30" w14:textId="77777777" w:rsidR="00B208C2" w:rsidRPr="00160C23" w:rsidRDefault="00B208C2" w:rsidP="00B208C2">
            <w:pPr>
              <w:pStyle w:val="TableTextBase"/>
              <w:rPr>
                <w:sz w:val="16"/>
                <w:szCs w:val="16"/>
              </w:rPr>
            </w:pPr>
            <w:r>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2888C657" w14:textId="77777777" w:rsidR="00B208C2" w:rsidRPr="00073732" w:rsidRDefault="00B208C2" w:rsidP="00B208C2">
            <w:pPr>
              <w:spacing w:before="60" w:after="60" w:line="240" w:lineRule="auto"/>
              <w:jc w:val="left"/>
              <w:rPr>
                <w:rFonts w:ascii="Arial" w:eastAsia="Calibri" w:hAnsi="Arial" w:cs="Arial"/>
                <w:sz w:val="16"/>
                <w:szCs w:val="16"/>
                <w:lang w:eastAsia="en-US"/>
              </w:rPr>
            </w:pPr>
            <w:r w:rsidRPr="00073732">
              <w:rPr>
                <w:rFonts w:ascii="Arial" w:eastAsia="Calibri" w:hAnsi="Arial" w:cs="Arial"/>
                <w:sz w:val="16"/>
                <w:szCs w:val="16"/>
                <w:lang w:eastAsia="en-US"/>
              </w:rPr>
              <w:t>Performance in delivering regional programs indicated through projects contracted, completed and funds expended for:</w:t>
            </w:r>
          </w:p>
          <w:p w14:paraId="222DB559" w14:textId="77777777" w:rsidR="00B208C2" w:rsidRPr="00073732" w:rsidRDefault="00B208C2" w:rsidP="009E60A3">
            <w:pPr>
              <w:pStyle w:val="ListParagraph"/>
              <w:numPr>
                <w:ilvl w:val="0"/>
                <w:numId w:val="226"/>
              </w:numPr>
              <w:spacing w:before="60" w:after="60" w:line="240" w:lineRule="auto"/>
              <w:ind w:left="312" w:hanging="284"/>
              <w:rPr>
                <w:rFonts w:ascii="Arial" w:hAnsi="Arial" w:cs="Arial"/>
                <w:sz w:val="16"/>
                <w:szCs w:val="16"/>
              </w:rPr>
            </w:pPr>
            <w:r w:rsidRPr="00073732">
              <w:rPr>
                <w:rFonts w:ascii="Arial" w:hAnsi="Arial" w:cs="Arial"/>
                <w:sz w:val="16"/>
                <w:szCs w:val="16"/>
              </w:rPr>
              <w:t>Community Development Grants</w:t>
            </w:r>
          </w:p>
          <w:p w14:paraId="4E92E495" w14:textId="77777777" w:rsidR="00B208C2" w:rsidRPr="00073732" w:rsidRDefault="00B208C2" w:rsidP="009E60A3">
            <w:pPr>
              <w:pStyle w:val="ListParagraph"/>
              <w:numPr>
                <w:ilvl w:val="0"/>
                <w:numId w:val="226"/>
              </w:numPr>
              <w:spacing w:before="60" w:after="60" w:line="240" w:lineRule="auto"/>
              <w:ind w:left="312" w:hanging="284"/>
              <w:rPr>
                <w:rFonts w:ascii="Arial" w:hAnsi="Arial" w:cs="Arial"/>
                <w:sz w:val="16"/>
                <w:szCs w:val="16"/>
              </w:rPr>
            </w:pPr>
            <w:r w:rsidRPr="00073732">
              <w:rPr>
                <w:rFonts w:ascii="Arial" w:hAnsi="Arial" w:cs="Arial"/>
                <w:sz w:val="16"/>
                <w:szCs w:val="16"/>
              </w:rPr>
              <w:t>Stronger Communities Program</w:t>
            </w:r>
          </w:p>
          <w:p w14:paraId="74580C61" w14:textId="77777777" w:rsidR="00B208C2" w:rsidRPr="00073732" w:rsidRDefault="00B208C2" w:rsidP="009E60A3">
            <w:pPr>
              <w:numPr>
                <w:ilvl w:val="0"/>
                <w:numId w:val="226"/>
              </w:numPr>
              <w:spacing w:before="60" w:after="60" w:line="240" w:lineRule="auto"/>
              <w:ind w:left="312" w:hanging="284"/>
              <w:contextualSpacing/>
              <w:jc w:val="left"/>
              <w:rPr>
                <w:rFonts w:ascii="Arial" w:eastAsia="Calibri" w:hAnsi="Arial" w:cs="Arial"/>
                <w:sz w:val="16"/>
                <w:szCs w:val="16"/>
                <w:lang w:eastAsia="en-US"/>
              </w:rPr>
            </w:pPr>
            <w:r w:rsidRPr="00073732">
              <w:rPr>
                <w:rFonts w:ascii="Arial" w:eastAsia="Calibri" w:hAnsi="Arial" w:cs="Arial"/>
                <w:sz w:val="16"/>
                <w:szCs w:val="16"/>
                <w:lang w:eastAsia="en-US"/>
              </w:rPr>
              <w:t>Building Better Regions Fund</w:t>
            </w:r>
          </w:p>
          <w:p w14:paraId="70DFE6C9" w14:textId="77777777" w:rsidR="00B208C2" w:rsidRPr="00073732" w:rsidRDefault="00B208C2" w:rsidP="009E60A3">
            <w:pPr>
              <w:pStyle w:val="TableTextBase"/>
              <w:numPr>
                <w:ilvl w:val="0"/>
                <w:numId w:val="226"/>
              </w:numPr>
              <w:ind w:left="312" w:hanging="284"/>
              <w:contextualSpacing/>
              <w:rPr>
                <w:rFonts w:eastAsia="Calibri" w:cs="Arial"/>
                <w:sz w:val="16"/>
                <w:szCs w:val="16"/>
                <w:lang w:eastAsia="en-US"/>
              </w:rPr>
            </w:pPr>
            <w:r w:rsidRPr="00073732">
              <w:rPr>
                <w:rFonts w:eastAsia="Calibri" w:cs="Arial"/>
                <w:sz w:val="16"/>
                <w:szCs w:val="16"/>
                <w:lang w:eastAsia="en-US"/>
              </w:rPr>
              <w:t>Regional Growth Fund</w:t>
            </w:r>
          </w:p>
        </w:tc>
        <w:tc>
          <w:tcPr>
            <w:tcW w:w="2977" w:type="dxa"/>
            <w:tcBorders>
              <w:top w:val="single" w:sz="4" w:space="0" w:color="auto"/>
              <w:left w:val="single" w:sz="4" w:space="0" w:color="auto"/>
              <w:bottom w:val="single" w:sz="4" w:space="0" w:color="auto"/>
            </w:tcBorders>
          </w:tcPr>
          <w:p w14:paraId="58A5AF78" w14:textId="77777777" w:rsidR="00B208C2" w:rsidRPr="00876131" w:rsidRDefault="00B208C2" w:rsidP="009E60A3">
            <w:pPr>
              <w:pStyle w:val="ListParagraph"/>
              <w:numPr>
                <w:ilvl w:val="0"/>
                <w:numId w:val="227"/>
              </w:numPr>
              <w:spacing w:before="60" w:after="60" w:line="240" w:lineRule="auto"/>
              <w:ind w:left="312" w:hanging="284"/>
              <w:rPr>
                <w:rFonts w:ascii="Arial" w:hAnsi="Arial" w:cs="Arial"/>
                <w:sz w:val="16"/>
                <w:szCs w:val="16"/>
              </w:rPr>
            </w:pPr>
            <w:r w:rsidRPr="00876131">
              <w:rPr>
                <w:rFonts w:ascii="Arial" w:hAnsi="Arial" w:cs="Arial"/>
                <w:sz w:val="16"/>
                <w:szCs w:val="16"/>
              </w:rPr>
              <w:t>100% of all commitments up to and including the 2019 election contracted by 30 June 2026 and ≥95% of 2019 election commitments completed by 30 June 2026</w:t>
            </w:r>
          </w:p>
          <w:p w14:paraId="67497192" w14:textId="77777777" w:rsidR="00B208C2" w:rsidRPr="00876131" w:rsidRDefault="00B208C2" w:rsidP="009E60A3">
            <w:pPr>
              <w:pStyle w:val="ListParagraph"/>
              <w:numPr>
                <w:ilvl w:val="0"/>
                <w:numId w:val="227"/>
              </w:numPr>
              <w:spacing w:before="60" w:after="60" w:line="240" w:lineRule="auto"/>
              <w:ind w:left="312" w:hanging="284"/>
              <w:rPr>
                <w:rFonts w:ascii="Arial" w:hAnsi="Arial" w:cs="Arial"/>
                <w:sz w:val="16"/>
                <w:szCs w:val="16"/>
              </w:rPr>
            </w:pPr>
            <w:r w:rsidRPr="00876131">
              <w:rPr>
                <w:rFonts w:ascii="Arial" w:hAnsi="Arial" w:cs="Arial"/>
                <w:sz w:val="16"/>
                <w:szCs w:val="16"/>
              </w:rPr>
              <w:t>Program appropriation ends 30 June 2023</w:t>
            </w:r>
          </w:p>
          <w:p w14:paraId="0796EC39" w14:textId="77777777" w:rsidR="00B208C2" w:rsidRPr="00876131" w:rsidRDefault="00B208C2" w:rsidP="009E60A3">
            <w:pPr>
              <w:pStyle w:val="ListParagraph"/>
              <w:numPr>
                <w:ilvl w:val="0"/>
                <w:numId w:val="227"/>
              </w:numPr>
              <w:spacing w:before="60" w:after="60" w:line="240" w:lineRule="auto"/>
              <w:ind w:left="312" w:hanging="284"/>
              <w:rPr>
                <w:rFonts w:ascii="Arial" w:hAnsi="Arial" w:cs="Arial"/>
                <w:sz w:val="16"/>
                <w:szCs w:val="16"/>
              </w:rPr>
            </w:pPr>
            <w:r w:rsidRPr="00876131">
              <w:rPr>
                <w:rFonts w:ascii="Arial" w:hAnsi="Arial" w:cs="Arial"/>
                <w:sz w:val="16"/>
                <w:szCs w:val="16"/>
              </w:rPr>
              <w:t>100% of commitments contracted (Rounds 4 and 5) and 90% completed by 30 June 2024</w:t>
            </w:r>
          </w:p>
          <w:p w14:paraId="43F0F5B0" w14:textId="77777777" w:rsidR="00B208C2" w:rsidRPr="00876131" w:rsidRDefault="00B208C2" w:rsidP="009E60A3">
            <w:pPr>
              <w:pStyle w:val="ListParagraph"/>
              <w:numPr>
                <w:ilvl w:val="0"/>
                <w:numId w:val="227"/>
              </w:numPr>
              <w:spacing w:before="60" w:after="60" w:line="240" w:lineRule="auto"/>
              <w:ind w:left="312" w:hanging="284"/>
              <w:rPr>
                <w:rFonts w:ascii="Arial" w:hAnsi="Arial" w:cs="Arial"/>
                <w:sz w:val="16"/>
                <w:szCs w:val="16"/>
              </w:rPr>
            </w:pPr>
            <w:r w:rsidRPr="00876131">
              <w:rPr>
                <w:rFonts w:ascii="Arial" w:hAnsi="Arial" w:cs="Arial"/>
                <w:sz w:val="16"/>
                <w:szCs w:val="16"/>
              </w:rPr>
              <w:t>On track for all projects to be completed. All projects to be completed by June 2024</w:t>
            </w:r>
          </w:p>
        </w:tc>
      </w:tr>
      <w:tr w:rsidR="00B208C2" w14:paraId="3E286821" w14:textId="77777777" w:rsidTr="00B208C2">
        <w:trPr>
          <w:cantSplit/>
          <w:trHeight w:val="642"/>
        </w:trPr>
        <w:tc>
          <w:tcPr>
            <w:tcW w:w="1560" w:type="dxa"/>
            <w:tcBorders>
              <w:top w:val="nil"/>
              <w:bottom w:val="nil"/>
              <w:right w:val="single" w:sz="4" w:space="0" w:color="auto"/>
            </w:tcBorders>
          </w:tcPr>
          <w:p w14:paraId="524DDD56"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0310A5B" w14:textId="7EA4B7F0" w:rsidR="00B208C2" w:rsidRPr="00126BBF" w:rsidRDefault="00B208C2" w:rsidP="00B208C2">
            <w:pPr>
              <w:pStyle w:val="TableTextBase"/>
              <w:rPr>
                <w:rFonts w:eastAsia="Calibri" w:cs="Arial"/>
                <w:sz w:val="16"/>
                <w:szCs w:val="16"/>
                <w:lang w:eastAsia="en-US"/>
              </w:rPr>
            </w:pPr>
            <w:r w:rsidRPr="00126BBF">
              <w:rPr>
                <w:rFonts w:eastAsia="Calibri" w:cs="Arial"/>
                <w:i/>
                <w:sz w:val="16"/>
                <w:szCs w:val="16"/>
                <w:lang w:eastAsia="en-US"/>
              </w:rPr>
              <w:t>Number of City and Regional Deal commitments on track to be completed within agreed timeframes</w:t>
            </w:r>
            <w:r w:rsidR="003F1EC3">
              <w:rPr>
                <w:rFonts w:eastAsia="Calibri" w:cs="Arial"/>
                <w:i/>
                <w:sz w:val="16"/>
                <w:szCs w:val="16"/>
                <w:lang w:eastAsia="en-US"/>
              </w:rPr>
              <w:t xml:space="preserve"> </w:t>
            </w:r>
            <w:r w:rsidRPr="00E73F6C">
              <w:rPr>
                <w:rFonts w:eastAsia="Calibri" w:cs="Arial"/>
                <w:i/>
                <w:sz w:val="16"/>
                <w:szCs w:val="16"/>
                <w:vertAlign w:val="superscript"/>
                <w:lang w:eastAsia="en-US"/>
              </w:rPr>
              <w:t>(c)</w:t>
            </w:r>
          </w:p>
        </w:tc>
        <w:tc>
          <w:tcPr>
            <w:tcW w:w="2977" w:type="dxa"/>
            <w:tcBorders>
              <w:top w:val="single" w:sz="4" w:space="0" w:color="auto"/>
              <w:left w:val="single" w:sz="4" w:space="0" w:color="auto"/>
              <w:bottom w:val="single" w:sz="4" w:space="0" w:color="auto"/>
            </w:tcBorders>
          </w:tcPr>
          <w:p w14:paraId="4466FDEE"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100</w:t>
            </w:r>
            <w:r>
              <w:rPr>
                <w:rFonts w:eastAsia="Calibri" w:cs="Arial"/>
                <w:sz w:val="16"/>
                <w:szCs w:val="16"/>
                <w:lang w:eastAsia="en-US"/>
              </w:rPr>
              <w:t>%</w:t>
            </w:r>
            <w:r w:rsidRPr="00126BBF">
              <w:rPr>
                <w:rFonts w:eastAsia="Calibri" w:cs="Arial"/>
                <w:sz w:val="16"/>
                <w:szCs w:val="16"/>
                <w:lang w:eastAsia="en-US"/>
              </w:rPr>
              <w:t xml:space="preserve"> of projects on track to be completed by their scheduled timeframes</w:t>
            </w:r>
          </w:p>
        </w:tc>
      </w:tr>
      <w:tr w:rsidR="00B208C2" w14:paraId="62157919" w14:textId="77777777" w:rsidTr="00B208C2">
        <w:trPr>
          <w:cantSplit/>
          <w:trHeight w:val="642"/>
        </w:trPr>
        <w:tc>
          <w:tcPr>
            <w:tcW w:w="1560" w:type="dxa"/>
            <w:tcBorders>
              <w:top w:val="nil"/>
              <w:bottom w:val="nil"/>
              <w:right w:val="single" w:sz="4" w:space="0" w:color="auto"/>
            </w:tcBorders>
          </w:tcPr>
          <w:p w14:paraId="2F2F9D92"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0BCACE0"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Estimated number of jobs supported over the life of projects, from regional development projects underway during the financial year (based on proponent reported data)</w:t>
            </w:r>
          </w:p>
        </w:tc>
        <w:tc>
          <w:tcPr>
            <w:tcW w:w="2977" w:type="dxa"/>
            <w:tcBorders>
              <w:top w:val="single" w:sz="4" w:space="0" w:color="auto"/>
              <w:left w:val="single" w:sz="4" w:space="0" w:color="auto"/>
              <w:bottom w:val="single" w:sz="4" w:space="0" w:color="auto"/>
            </w:tcBorders>
          </w:tcPr>
          <w:p w14:paraId="7140E81C"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Programs support projects for which work requirements fluctuate. While it is appropriate to monitor jobs supported, it is not appropriate to set annual targets</w:t>
            </w:r>
          </w:p>
        </w:tc>
      </w:tr>
      <w:tr w:rsidR="00B208C2" w14:paraId="6A09E9F2" w14:textId="77777777" w:rsidTr="00B208C2">
        <w:trPr>
          <w:cantSplit/>
          <w:trHeight w:val="642"/>
        </w:trPr>
        <w:tc>
          <w:tcPr>
            <w:tcW w:w="1560" w:type="dxa"/>
            <w:tcBorders>
              <w:top w:val="nil"/>
              <w:bottom w:val="nil"/>
              <w:right w:val="single" w:sz="4" w:space="0" w:color="auto"/>
            </w:tcBorders>
          </w:tcPr>
          <w:p w14:paraId="6CD3A8E5"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F0339DA"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Progress of water infrastructure capital and science projects</w:t>
            </w:r>
          </w:p>
        </w:tc>
        <w:tc>
          <w:tcPr>
            <w:tcW w:w="2977" w:type="dxa"/>
            <w:tcBorders>
              <w:top w:val="single" w:sz="4" w:space="0" w:color="auto"/>
              <w:left w:val="single" w:sz="4" w:space="0" w:color="auto"/>
              <w:bottom w:val="single" w:sz="4" w:space="0" w:color="auto"/>
            </w:tcBorders>
          </w:tcPr>
          <w:p w14:paraId="09CF1FF7"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Projects progressed in accordance with agreed timeframes in the financial year</w:t>
            </w:r>
          </w:p>
        </w:tc>
      </w:tr>
      <w:tr w:rsidR="00B208C2" w14:paraId="70EE57E5" w14:textId="77777777" w:rsidTr="00665295">
        <w:trPr>
          <w:cantSplit/>
          <w:trHeight w:val="642"/>
        </w:trPr>
        <w:tc>
          <w:tcPr>
            <w:tcW w:w="1560" w:type="dxa"/>
            <w:tcBorders>
              <w:top w:val="nil"/>
              <w:bottom w:val="single" w:sz="4" w:space="0" w:color="auto"/>
              <w:right w:val="single" w:sz="4" w:space="0" w:color="auto"/>
            </w:tcBorders>
          </w:tcPr>
          <w:p w14:paraId="1960D0FE"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23E5F37"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Estimated number of construction and ongoing jobs supported over the life of the projects, from NWGF capital projects</w:t>
            </w:r>
          </w:p>
        </w:tc>
        <w:tc>
          <w:tcPr>
            <w:tcW w:w="2977" w:type="dxa"/>
            <w:tcBorders>
              <w:top w:val="single" w:sz="4" w:space="0" w:color="auto"/>
              <w:left w:val="single" w:sz="4" w:space="0" w:color="auto"/>
              <w:bottom w:val="single" w:sz="4" w:space="0" w:color="auto"/>
            </w:tcBorders>
          </w:tcPr>
          <w:p w14:paraId="1DD78AA3"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Completed projects deliver two construction jobs and at least four ongoing employees per $million of NWGF funding expensed</w:t>
            </w:r>
          </w:p>
        </w:tc>
      </w:tr>
      <w:tr w:rsidR="00665295" w:rsidRPr="00160C23" w14:paraId="3B650904" w14:textId="77777777" w:rsidTr="00665295">
        <w:trPr>
          <w:trHeight w:val="258"/>
        </w:trPr>
        <w:tc>
          <w:tcPr>
            <w:tcW w:w="1560" w:type="dxa"/>
            <w:tcBorders>
              <w:top w:val="double" w:sz="4" w:space="0" w:color="auto"/>
              <w:bottom w:val="single" w:sz="4" w:space="0" w:color="auto"/>
              <w:right w:val="single" w:sz="4" w:space="0" w:color="auto"/>
            </w:tcBorders>
          </w:tcPr>
          <w:p w14:paraId="0A06489C" w14:textId="77777777" w:rsidR="00665295" w:rsidRPr="00160C23" w:rsidRDefault="00665295" w:rsidP="00807D41">
            <w:pPr>
              <w:pStyle w:val="TableTextBase"/>
              <w:keepNext/>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E1C4DC2" w14:textId="77777777" w:rsidR="00665295" w:rsidRPr="00160C23" w:rsidRDefault="00665295" w:rsidP="00807D41">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EDFD117" w14:textId="77777777" w:rsidR="00665295" w:rsidRPr="00160C23" w:rsidRDefault="00665295" w:rsidP="00807D41">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B208C2" w14:paraId="38628E83" w14:textId="77777777" w:rsidTr="00665295">
        <w:trPr>
          <w:cantSplit/>
          <w:trHeight w:val="642"/>
        </w:trPr>
        <w:tc>
          <w:tcPr>
            <w:tcW w:w="1560" w:type="dxa"/>
            <w:tcBorders>
              <w:top w:val="single" w:sz="4" w:space="0" w:color="auto"/>
              <w:bottom w:val="nil"/>
              <w:right w:val="single" w:sz="4" w:space="0" w:color="auto"/>
            </w:tcBorders>
          </w:tcPr>
          <w:p w14:paraId="447D701F" w14:textId="77777777" w:rsidR="00665295" w:rsidRDefault="00665295" w:rsidP="00665295">
            <w:pPr>
              <w:pStyle w:val="TableTextBase"/>
              <w:rPr>
                <w:sz w:val="16"/>
                <w:szCs w:val="16"/>
              </w:rPr>
            </w:pPr>
            <w:r>
              <w:rPr>
                <w:sz w:val="16"/>
                <w:szCs w:val="16"/>
              </w:rPr>
              <w:t xml:space="preserve">Forward Estimates </w:t>
            </w:r>
          </w:p>
          <w:p w14:paraId="02AECD61" w14:textId="1B433001" w:rsidR="00B208C2" w:rsidRPr="00160C23" w:rsidRDefault="00665295" w:rsidP="00665295">
            <w:pPr>
              <w:pStyle w:val="TableTextBase"/>
              <w:rPr>
                <w:sz w:val="16"/>
                <w:szCs w:val="16"/>
              </w:rPr>
            </w:pPr>
            <w:r>
              <w:rPr>
                <w:sz w:val="16"/>
                <w:szCs w:val="16"/>
              </w:rPr>
              <w:t>2023–26 cont.</w:t>
            </w:r>
          </w:p>
        </w:tc>
        <w:tc>
          <w:tcPr>
            <w:tcW w:w="3118" w:type="dxa"/>
            <w:tcBorders>
              <w:top w:val="single" w:sz="4" w:space="0" w:color="auto"/>
              <w:left w:val="single" w:sz="4" w:space="0" w:color="auto"/>
              <w:bottom w:val="single" w:sz="4" w:space="0" w:color="auto"/>
              <w:right w:val="single" w:sz="4" w:space="0" w:color="auto"/>
            </w:tcBorders>
          </w:tcPr>
          <w:p w14:paraId="0709A5FC"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Expected increase in the availability and/or reliability of water arising from projects receiving National Water Grid Fund (NWGF) capital funding</w:t>
            </w:r>
          </w:p>
        </w:tc>
        <w:tc>
          <w:tcPr>
            <w:tcW w:w="2977" w:type="dxa"/>
            <w:tcBorders>
              <w:top w:val="single" w:sz="4" w:space="0" w:color="auto"/>
              <w:left w:val="single" w:sz="4" w:space="0" w:color="auto"/>
              <w:bottom w:val="single" w:sz="4" w:space="0" w:color="auto"/>
            </w:tcBorders>
          </w:tcPr>
          <w:p w14:paraId="18315A51"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For completed projects, an annual increase of 180 megalitres of water available for productive use per annum and at least 30 hectares of additional irrigable land and new areas serviced per $million of NWGF funding expensed</w:t>
            </w:r>
          </w:p>
        </w:tc>
      </w:tr>
      <w:tr w:rsidR="00B208C2" w14:paraId="2FCC571F" w14:textId="77777777" w:rsidTr="00665295">
        <w:trPr>
          <w:cantSplit/>
          <w:trHeight w:val="642"/>
        </w:trPr>
        <w:tc>
          <w:tcPr>
            <w:tcW w:w="1560" w:type="dxa"/>
            <w:tcBorders>
              <w:top w:val="nil"/>
              <w:bottom w:val="single" w:sz="4" w:space="0" w:color="auto"/>
              <w:right w:val="single" w:sz="4" w:space="0" w:color="auto"/>
            </w:tcBorders>
          </w:tcPr>
          <w:p w14:paraId="380211EB" w14:textId="6696DBDC"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27629C1" w14:textId="77777777" w:rsidR="00B208C2" w:rsidRPr="00126BBF" w:rsidRDefault="00B208C2" w:rsidP="00B208C2">
            <w:pPr>
              <w:pStyle w:val="TableTextBase"/>
              <w:rPr>
                <w:rFonts w:eastAsia="Calibri" w:cs="Arial"/>
                <w:sz w:val="16"/>
                <w:szCs w:val="16"/>
                <w:lang w:eastAsia="en-US"/>
              </w:rPr>
            </w:pPr>
            <w:r w:rsidRPr="00126BBF">
              <w:rPr>
                <w:rFonts w:eastAsia="Calibri" w:cs="Arial"/>
                <w:sz w:val="16"/>
                <w:szCs w:val="16"/>
                <w:lang w:eastAsia="en-US"/>
              </w:rPr>
              <w:t>Expected ongoing increase in gross value of agriculture and industrial production arising from projects receiving NWGF capital funding</w:t>
            </w:r>
          </w:p>
        </w:tc>
        <w:tc>
          <w:tcPr>
            <w:tcW w:w="2977" w:type="dxa"/>
            <w:tcBorders>
              <w:top w:val="single" w:sz="4" w:space="0" w:color="auto"/>
              <w:left w:val="single" w:sz="4" w:space="0" w:color="auto"/>
              <w:bottom w:val="single" w:sz="4" w:space="0" w:color="auto"/>
            </w:tcBorders>
          </w:tcPr>
          <w:p w14:paraId="4A2CB298" w14:textId="77777777" w:rsidR="00B208C2" w:rsidRPr="00126BBF" w:rsidRDefault="00B208C2" w:rsidP="00B208C2">
            <w:pPr>
              <w:pStyle w:val="TableTextBase"/>
              <w:rPr>
                <w:rFonts w:eastAsia="Calibri" w:cs="Arial"/>
                <w:b/>
                <w:sz w:val="16"/>
                <w:szCs w:val="16"/>
                <w:lang w:eastAsia="en-US"/>
              </w:rPr>
            </w:pPr>
            <w:r w:rsidRPr="00126BBF">
              <w:rPr>
                <w:rFonts w:eastAsia="Calibri" w:cs="Arial"/>
                <w:sz w:val="16"/>
                <w:szCs w:val="16"/>
                <w:lang w:eastAsia="en-US"/>
              </w:rPr>
              <w:t>For completed projects, an annual increase of $900,000 per annum per $million of NWGF funding expensed</w:t>
            </w:r>
          </w:p>
        </w:tc>
      </w:tr>
    </w:tbl>
    <w:p w14:paraId="1849DE83" w14:textId="77777777" w:rsidR="00B208C2" w:rsidRPr="00447C97" w:rsidRDefault="00B208C2" w:rsidP="004F6389">
      <w:pPr>
        <w:spacing w:before="60" w:after="60" w:line="240" w:lineRule="auto"/>
        <w:rPr>
          <w:rFonts w:ascii="Arial" w:hAnsi="Arial" w:cs="Arial"/>
          <w:sz w:val="16"/>
          <w:szCs w:val="16"/>
        </w:rPr>
      </w:pPr>
      <w:r w:rsidRPr="00456EFC">
        <w:rPr>
          <w:rFonts w:ascii="Arial" w:hAnsi="Arial" w:cs="Arial"/>
          <w:sz w:val="16"/>
          <w:szCs w:val="16"/>
        </w:rPr>
        <w:t xml:space="preserve">New or modified performance measures that reflect new or materially changed programs are shown in </w:t>
      </w:r>
      <w:r w:rsidRPr="00E824FB">
        <w:rPr>
          <w:rFonts w:ascii="Arial" w:hAnsi="Arial" w:cs="Arial"/>
          <w:i/>
          <w:sz w:val="16"/>
          <w:szCs w:val="16"/>
        </w:rPr>
        <w:t>italics</w:t>
      </w:r>
      <w:r w:rsidRPr="00456EFC">
        <w:rPr>
          <w:rFonts w:ascii="Arial" w:hAnsi="Arial" w:cs="Arial"/>
          <w:sz w:val="16"/>
          <w:szCs w:val="16"/>
        </w:rPr>
        <w:t>.</w:t>
      </w:r>
    </w:p>
    <w:p w14:paraId="64E9F4EB" w14:textId="77777777" w:rsidR="00B208C2" w:rsidRPr="009E7E01" w:rsidRDefault="00B208C2" w:rsidP="004F6389">
      <w:pPr>
        <w:pStyle w:val="ListParagraph"/>
        <w:numPr>
          <w:ilvl w:val="0"/>
          <w:numId w:val="56"/>
        </w:numPr>
        <w:spacing w:after="0" w:line="240" w:lineRule="auto"/>
        <w:ind w:left="284" w:hanging="284"/>
        <w:rPr>
          <w:sz w:val="24"/>
        </w:rPr>
      </w:pPr>
      <w:r w:rsidRPr="00F96D8A">
        <w:rPr>
          <w:rFonts w:ascii="Arial" w:hAnsi="Arial" w:cs="Arial"/>
          <w:sz w:val="16"/>
          <w:szCs w:val="14"/>
        </w:rPr>
        <w:t>Refers to updated key activity that will be reflected in the 2022–23 Corporate Plan.</w:t>
      </w:r>
    </w:p>
    <w:p w14:paraId="7E65D773" w14:textId="77777777" w:rsidR="00B208C2" w:rsidRPr="00047061" w:rsidRDefault="00B208C2" w:rsidP="004F6389">
      <w:pPr>
        <w:pStyle w:val="ListParagraph"/>
        <w:numPr>
          <w:ilvl w:val="0"/>
          <w:numId w:val="56"/>
        </w:numPr>
        <w:spacing w:before="60" w:after="0" w:line="240" w:lineRule="auto"/>
        <w:ind w:left="284" w:hanging="284"/>
        <w:rPr>
          <w:sz w:val="24"/>
        </w:rPr>
      </w:pPr>
      <w:r w:rsidRPr="00047061">
        <w:rPr>
          <w:rFonts w:ascii="Arial" w:hAnsi="Arial" w:cs="Arial"/>
          <w:sz w:val="16"/>
          <w:szCs w:val="16"/>
        </w:rPr>
        <w:t>Final reporting period for this measure. Further details will be included in the 2022–23 Corporate Plan.</w:t>
      </w:r>
    </w:p>
    <w:p w14:paraId="24074F30" w14:textId="56827A17" w:rsidR="00B208C2" w:rsidRPr="00E73F6C" w:rsidRDefault="00B208C2" w:rsidP="004F6389">
      <w:pPr>
        <w:pStyle w:val="ListParagraph"/>
        <w:numPr>
          <w:ilvl w:val="0"/>
          <w:numId w:val="56"/>
        </w:numPr>
        <w:spacing w:before="60" w:after="0" w:line="240" w:lineRule="auto"/>
        <w:ind w:left="284" w:hanging="284"/>
        <w:rPr>
          <w:sz w:val="24"/>
        </w:rPr>
      </w:pPr>
      <w:r w:rsidRPr="00073732">
        <w:rPr>
          <w:rFonts w:ascii="Arial" w:hAnsi="Arial" w:cs="Arial"/>
          <w:sz w:val="16"/>
          <w:szCs w:val="14"/>
        </w:rPr>
        <w:t>This measure is linked to Program 3.1 Regional Development and Program 3.3 Cities</w:t>
      </w:r>
      <w:r w:rsidR="003F1EC3">
        <w:rPr>
          <w:rFonts w:ascii="Arial" w:hAnsi="Arial" w:cs="Arial"/>
          <w:sz w:val="16"/>
          <w:szCs w:val="14"/>
        </w:rPr>
        <w:t>.</w:t>
      </w:r>
    </w:p>
    <w:p w14:paraId="4775BA61" w14:textId="77777777" w:rsidR="00B208C2" w:rsidRPr="00E73F6C" w:rsidRDefault="00B208C2" w:rsidP="004F6389">
      <w:pPr>
        <w:pStyle w:val="ListParagraph"/>
        <w:numPr>
          <w:ilvl w:val="0"/>
          <w:numId w:val="56"/>
        </w:numPr>
        <w:spacing w:before="60" w:after="0" w:line="240" w:lineRule="auto"/>
        <w:ind w:left="284" w:hanging="284"/>
        <w:rPr>
          <w:sz w:val="24"/>
        </w:rPr>
      </w:pPr>
      <w:r w:rsidRPr="00E73F6C">
        <w:rPr>
          <w:rFonts w:ascii="Arial" w:hAnsi="Arial" w:cs="Arial"/>
          <w:sz w:val="16"/>
        </w:rPr>
        <w:t>Thi</w:t>
      </w:r>
      <w:r w:rsidRPr="00A42092">
        <w:rPr>
          <w:rFonts w:ascii="Arial" w:hAnsi="Arial" w:cs="Arial"/>
          <w:sz w:val="16"/>
        </w:rPr>
        <w:t>s 2022–23 measure combines two</w:t>
      </w:r>
      <w:r w:rsidRPr="00E73F6C">
        <w:rPr>
          <w:rFonts w:ascii="Arial" w:hAnsi="Arial" w:cs="Arial"/>
          <w:sz w:val="16"/>
        </w:rPr>
        <w:t xml:space="preserve"> 2021–22 measures.</w:t>
      </w:r>
    </w:p>
    <w:p w14:paraId="48DE6566" w14:textId="77777777" w:rsidR="00B208C2" w:rsidRDefault="00B208C2">
      <w:pPr>
        <w:spacing w:after="0" w:line="240" w:lineRule="auto"/>
        <w:jc w:val="left"/>
        <w:rPr>
          <w:sz w:val="24"/>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5134E8" w14:paraId="018C167A" w14:textId="77777777" w:rsidTr="00B208C2">
        <w:trPr>
          <w:trHeight w:val="522"/>
          <w:tblHeader/>
        </w:trPr>
        <w:tc>
          <w:tcPr>
            <w:tcW w:w="7655" w:type="dxa"/>
            <w:gridSpan w:val="3"/>
            <w:shd w:val="clear" w:color="auto" w:fill="F2F2F2"/>
          </w:tcPr>
          <w:p w14:paraId="2F3E9857" w14:textId="77777777" w:rsidR="00B208C2" w:rsidRPr="0027724F" w:rsidRDefault="00B208C2" w:rsidP="00B208C2">
            <w:pPr>
              <w:spacing w:before="120" w:after="120" w:line="240" w:lineRule="auto"/>
              <w:jc w:val="left"/>
              <w:rPr>
                <w:rFonts w:ascii="Arial" w:eastAsia="Calibri" w:hAnsi="Arial" w:cs="Arial"/>
                <w:sz w:val="18"/>
                <w:szCs w:val="18"/>
                <w:lang w:eastAsia="en-US"/>
              </w:rPr>
            </w:pPr>
            <w:bookmarkStart w:id="36" w:name="LocalGovernment3_2"/>
            <w:r w:rsidRPr="007A4613">
              <w:rPr>
                <w:rFonts w:ascii="Arial" w:eastAsia="Calibri" w:hAnsi="Arial" w:cs="Arial"/>
                <w:b/>
                <w:sz w:val="18"/>
                <w:szCs w:val="18"/>
                <w:lang w:eastAsia="en-US"/>
              </w:rPr>
              <w:t>Program 3</w:t>
            </w:r>
            <w:r w:rsidRPr="00EC0B13">
              <w:rPr>
                <w:rFonts w:ascii="Arial" w:eastAsia="Calibri" w:hAnsi="Arial" w:cs="Arial"/>
                <w:b/>
                <w:sz w:val="18"/>
                <w:szCs w:val="18"/>
                <w:lang w:eastAsia="en-US"/>
              </w:rPr>
              <w:t>.2 – Local Government</w:t>
            </w:r>
            <w:r w:rsidRPr="0027724F">
              <w:rPr>
                <w:rFonts w:ascii="Arial" w:eastAsia="Calibri" w:hAnsi="Arial" w:cs="Arial"/>
                <w:sz w:val="18"/>
                <w:szCs w:val="18"/>
                <w:lang w:eastAsia="en-US"/>
              </w:rPr>
              <w:t xml:space="preserve"> </w:t>
            </w:r>
            <w:bookmarkEnd w:id="36"/>
          </w:p>
          <w:p w14:paraId="0F671B39" w14:textId="77777777" w:rsidR="00B208C2" w:rsidRPr="005134E8" w:rsidRDefault="00B208C2" w:rsidP="00B208C2">
            <w:pPr>
              <w:pStyle w:val="TableTextLeft"/>
              <w:rPr>
                <w:highlight w:val="yellow"/>
              </w:rPr>
            </w:pPr>
            <w:r w:rsidRPr="007A4613">
              <w:rPr>
                <w:rFonts w:eastAsia="Calibri" w:cs="Arial"/>
                <w:szCs w:val="18"/>
                <w:lang w:eastAsia="en-US"/>
              </w:rPr>
              <w:t>The local government program supports regional development and local communities through delivery of policy advice to the Australian Government and financial assistance to local governments to strengthen local government capacity and better support local communities.</w:t>
            </w:r>
          </w:p>
        </w:tc>
      </w:tr>
      <w:tr w:rsidR="00B208C2" w:rsidRPr="00160C23" w14:paraId="72EA1A46" w14:textId="77777777" w:rsidTr="00B208C2">
        <w:trPr>
          <w:trHeight w:val="174"/>
        </w:trPr>
        <w:tc>
          <w:tcPr>
            <w:tcW w:w="1560" w:type="dxa"/>
            <w:tcBorders>
              <w:bottom w:val="double" w:sz="4" w:space="0" w:color="auto"/>
            </w:tcBorders>
          </w:tcPr>
          <w:p w14:paraId="764705B5" w14:textId="77777777" w:rsidR="00B208C2" w:rsidRPr="00160C23" w:rsidRDefault="00B208C2" w:rsidP="00B208C2">
            <w:pPr>
              <w:tabs>
                <w:tab w:val="left" w:pos="709"/>
              </w:tabs>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p>
        </w:tc>
        <w:tc>
          <w:tcPr>
            <w:tcW w:w="6095" w:type="dxa"/>
            <w:gridSpan w:val="2"/>
            <w:tcBorders>
              <w:bottom w:val="double" w:sz="4" w:space="0" w:color="auto"/>
            </w:tcBorders>
          </w:tcPr>
          <w:p w14:paraId="1DB2E439" w14:textId="77777777" w:rsidR="00B208C2" w:rsidRPr="001F7463" w:rsidRDefault="00B208C2" w:rsidP="00B208C2">
            <w:pPr>
              <w:numPr>
                <w:ilvl w:val="0"/>
                <w:numId w:val="39"/>
              </w:numPr>
              <w:spacing w:before="60" w:after="60" w:line="240" w:lineRule="auto"/>
              <w:ind w:left="179" w:hanging="218"/>
              <w:jc w:val="left"/>
              <w:rPr>
                <w:rFonts w:ascii="Arial" w:eastAsia="Calibri" w:hAnsi="Arial" w:cs="Arial"/>
                <w:sz w:val="16"/>
                <w:szCs w:val="16"/>
                <w:lang w:eastAsia="en-US"/>
              </w:rPr>
            </w:pPr>
            <w:r w:rsidRPr="00A46594">
              <w:rPr>
                <w:rFonts w:ascii="Arial" w:eastAsia="Calibri" w:hAnsi="Arial" w:cs="Arial"/>
                <w:sz w:val="16"/>
                <w:szCs w:val="16"/>
                <w:lang w:eastAsia="en-US"/>
              </w:rPr>
              <w:t>Provide policy leadership and deliver programs to support regional development and local governments</w:t>
            </w:r>
          </w:p>
        </w:tc>
      </w:tr>
      <w:tr w:rsidR="00B208C2" w:rsidRPr="00160C23" w14:paraId="0C85BFB5" w14:textId="77777777" w:rsidTr="00B208C2">
        <w:trPr>
          <w:trHeight w:val="258"/>
        </w:trPr>
        <w:tc>
          <w:tcPr>
            <w:tcW w:w="1560" w:type="dxa"/>
            <w:tcBorders>
              <w:top w:val="double" w:sz="4" w:space="0" w:color="auto"/>
              <w:bottom w:val="single" w:sz="4" w:space="0" w:color="auto"/>
              <w:right w:val="single" w:sz="4" w:space="0" w:color="auto"/>
            </w:tcBorders>
          </w:tcPr>
          <w:p w14:paraId="19FED8C8"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0CF331E"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7E8E429"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5307EA" w14:paraId="253566D0" w14:textId="77777777" w:rsidTr="00B208C2">
        <w:trPr>
          <w:cantSplit/>
          <w:trHeight w:val="642"/>
        </w:trPr>
        <w:tc>
          <w:tcPr>
            <w:tcW w:w="1560" w:type="dxa"/>
            <w:tcBorders>
              <w:top w:val="single" w:sz="4" w:space="0" w:color="auto"/>
              <w:bottom w:val="double" w:sz="4" w:space="0" w:color="auto"/>
              <w:right w:val="single" w:sz="4" w:space="0" w:color="auto"/>
            </w:tcBorders>
          </w:tcPr>
          <w:p w14:paraId="021828D2" w14:textId="77777777" w:rsidR="00B208C2" w:rsidRPr="00160C23" w:rsidRDefault="00B208C2" w:rsidP="00B208C2">
            <w:pPr>
              <w:pStyle w:val="TableTextBase"/>
              <w:rPr>
                <w:sz w:val="16"/>
                <w:szCs w:val="16"/>
              </w:rPr>
            </w:pPr>
            <w:r w:rsidRPr="00160C23">
              <w:rPr>
                <w:sz w:val="16"/>
                <w:szCs w:val="16"/>
              </w:rPr>
              <w:t xml:space="preserve">Current year </w:t>
            </w:r>
          </w:p>
          <w:p w14:paraId="73E2BE40" w14:textId="77777777" w:rsidR="00B208C2" w:rsidRPr="00160C23" w:rsidRDefault="00B208C2" w:rsidP="00B208C2">
            <w:pPr>
              <w:pStyle w:val="TableTextBase"/>
              <w:rPr>
                <w:sz w:val="16"/>
                <w:szCs w:val="16"/>
              </w:rPr>
            </w:pPr>
            <w:r>
              <w:rPr>
                <w:sz w:val="16"/>
                <w:szCs w:val="16"/>
              </w:rPr>
              <w:t>2021–</w:t>
            </w:r>
            <w:r w:rsidRPr="00160C23">
              <w:rPr>
                <w:sz w:val="16"/>
                <w:szCs w:val="16"/>
              </w:rPr>
              <w:t>22</w:t>
            </w:r>
          </w:p>
        </w:tc>
        <w:tc>
          <w:tcPr>
            <w:tcW w:w="3118" w:type="dxa"/>
            <w:tcBorders>
              <w:top w:val="single" w:sz="4" w:space="0" w:color="auto"/>
              <w:left w:val="single" w:sz="4" w:space="0" w:color="auto"/>
              <w:bottom w:val="double" w:sz="4" w:space="0" w:color="auto"/>
              <w:right w:val="single" w:sz="4" w:space="0" w:color="auto"/>
            </w:tcBorders>
          </w:tcPr>
          <w:p w14:paraId="5CA9A5C5" w14:textId="77777777" w:rsidR="00B208C2" w:rsidRPr="001F7463" w:rsidRDefault="00B208C2" w:rsidP="00B208C2">
            <w:pPr>
              <w:spacing w:before="60" w:after="60" w:line="240" w:lineRule="auto"/>
              <w:contextualSpacing/>
              <w:jc w:val="left"/>
              <w:rPr>
                <w:rFonts w:ascii="Arial" w:hAnsi="Arial" w:cs="Arial"/>
                <w:sz w:val="16"/>
                <w:szCs w:val="16"/>
              </w:rPr>
            </w:pPr>
            <w:r w:rsidRPr="00A46594">
              <w:rPr>
                <w:rFonts w:ascii="Arial" w:eastAsia="Calibri" w:hAnsi="Arial" w:cs="Arial"/>
                <w:sz w:val="16"/>
                <w:szCs w:val="16"/>
                <w:lang w:eastAsia="en-US"/>
              </w:rPr>
              <w:t>Financial assistance is provided to local government</w:t>
            </w:r>
          </w:p>
        </w:tc>
        <w:tc>
          <w:tcPr>
            <w:tcW w:w="2977" w:type="dxa"/>
            <w:tcBorders>
              <w:top w:val="single" w:sz="4" w:space="0" w:color="auto"/>
              <w:left w:val="single" w:sz="4" w:space="0" w:color="auto"/>
              <w:bottom w:val="double" w:sz="4" w:space="0" w:color="auto"/>
            </w:tcBorders>
          </w:tcPr>
          <w:p w14:paraId="73496588" w14:textId="77777777" w:rsidR="00B208C2" w:rsidRPr="00A46594" w:rsidRDefault="00B208C2" w:rsidP="00B208C2">
            <w:pPr>
              <w:spacing w:before="60" w:after="60" w:line="240" w:lineRule="auto"/>
              <w:jc w:val="left"/>
              <w:rPr>
                <w:rFonts w:ascii="Arial" w:eastAsia="Calibri" w:hAnsi="Arial" w:cs="Arial"/>
                <w:i/>
                <w:sz w:val="16"/>
                <w:szCs w:val="16"/>
                <w:lang w:eastAsia="en-US"/>
              </w:rPr>
            </w:pPr>
            <w:r w:rsidRPr="00A46594">
              <w:rPr>
                <w:rFonts w:ascii="Arial" w:eastAsia="Calibri" w:hAnsi="Arial" w:cs="Arial"/>
                <w:sz w:val="16"/>
                <w:szCs w:val="16"/>
                <w:lang w:eastAsia="en-US"/>
              </w:rPr>
              <w:t xml:space="preserve">Assistance is provided in accordance with the </w:t>
            </w:r>
            <w:r w:rsidRPr="00A46594">
              <w:rPr>
                <w:rFonts w:ascii="Arial" w:eastAsia="Calibri" w:hAnsi="Arial" w:cs="Arial"/>
                <w:i/>
                <w:sz w:val="16"/>
                <w:szCs w:val="16"/>
                <w:lang w:eastAsia="en-US"/>
              </w:rPr>
              <w:t>Local Government (Financial Assistance) Act 1995</w:t>
            </w:r>
          </w:p>
          <w:p w14:paraId="61C912FB"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Target expected to be met</w:t>
            </w:r>
          </w:p>
          <w:p w14:paraId="79EA1BB2" w14:textId="77777777" w:rsidR="00B208C2" w:rsidRPr="005307EA"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100</w:t>
            </w:r>
            <w:r>
              <w:rPr>
                <w:rFonts w:ascii="Arial" w:eastAsia="Calibri" w:hAnsi="Arial" w:cs="Arial"/>
                <w:sz w:val="16"/>
                <w:szCs w:val="16"/>
                <w:lang w:eastAsia="en-US"/>
              </w:rPr>
              <w:t>%</w:t>
            </w:r>
            <w:r w:rsidRPr="00A46594">
              <w:rPr>
                <w:rFonts w:ascii="Arial" w:eastAsia="Calibri" w:hAnsi="Arial" w:cs="Arial"/>
                <w:sz w:val="16"/>
                <w:szCs w:val="16"/>
                <w:lang w:eastAsia="en-US"/>
              </w:rPr>
              <w:t xml:space="preserve"> of assistance payable under the </w:t>
            </w:r>
            <w:r w:rsidRPr="00A46594">
              <w:rPr>
                <w:rFonts w:ascii="Arial" w:eastAsia="Calibri" w:hAnsi="Arial" w:cs="Arial"/>
                <w:i/>
                <w:sz w:val="16"/>
                <w:szCs w:val="16"/>
                <w:lang w:eastAsia="en-US"/>
              </w:rPr>
              <w:t>Local Government (Financial Assistance) Act 1995</w:t>
            </w:r>
            <w:r w:rsidRPr="00A46594">
              <w:rPr>
                <w:rFonts w:ascii="Arial" w:eastAsia="Calibri" w:hAnsi="Arial" w:cs="Arial"/>
                <w:sz w:val="16"/>
                <w:szCs w:val="16"/>
                <w:lang w:eastAsia="en-US"/>
              </w:rPr>
              <w:t xml:space="preserve"> paid by 30 June 2022</w:t>
            </w:r>
          </w:p>
        </w:tc>
      </w:tr>
      <w:tr w:rsidR="00B208C2" w14:paraId="00A0FAA9" w14:textId="77777777" w:rsidTr="00B208C2">
        <w:trPr>
          <w:cantSplit/>
          <w:trHeight w:val="302"/>
        </w:trPr>
        <w:tc>
          <w:tcPr>
            <w:tcW w:w="1560" w:type="dxa"/>
            <w:tcBorders>
              <w:top w:val="double" w:sz="4" w:space="0" w:color="auto"/>
              <w:bottom w:val="single" w:sz="4" w:space="0" w:color="auto"/>
              <w:right w:val="single" w:sz="4" w:space="0" w:color="auto"/>
            </w:tcBorders>
          </w:tcPr>
          <w:p w14:paraId="0CB609D0" w14:textId="77777777" w:rsidR="00B208C2" w:rsidRPr="00073732" w:rsidRDefault="00B208C2" w:rsidP="00B208C2">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EA338A5" w14:textId="77777777" w:rsidR="00B208C2" w:rsidRPr="00073732" w:rsidRDefault="00B208C2" w:rsidP="00B208C2">
            <w:pPr>
              <w:pStyle w:val="TableTextBase"/>
              <w:rPr>
                <w:b/>
                <w:sz w:val="16"/>
                <w:szCs w:val="16"/>
              </w:rPr>
            </w:pPr>
            <w:r w:rsidRPr="00073732">
              <w:rPr>
                <w:b/>
                <w:sz w:val="16"/>
                <w:szCs w:val="16"/>
              </w:rPr>
              <w:t>Performance measures</w:t>
            </w:r>
          </w:p>
        </w:tc>
        <w:tc>
          <w:tcPr>
            <w:tcW w:w="2977" w:type="dxa"/>
            <w:tcBorders>
              <w:top w:val="double" w:sz="4" w:space="0" w:color="auto"/>
              <w:left w:val="single" w:sz="4" w:space="0" w:color="auto"/>
              <w:bottom w:val="single" w:sz="4" w:space="0" w:color="auto"/>
            </w:tcBorders>
          </w:tcPr>
          <w:p w14:paraId="16C0E1BE" w14:textId="77777777" w:rsidR="00B208C2" w:rsidRPr="00073732" w:rsidRDefault="00B208C2" w:rsidP="00B208C2">
            <w:pPr>
              <w:pStyle w:val="TableTextBase"/>
              <w:rPr>
                <w:b/>
                <w:sz w:val="16"/>
                <w:szCs w:val="16"/>
              </w:rPr>
            </w:pPr>
            <w:r w:rsidRPr="00073732">
              <w:rPr>
                <w:b/>
                <w:sz w:val="16"/>
                <w:szCs w:val="16"/>
              </w:rPr>
              <w:t>Planned Performance Results</w:t>
            </w:r>
          </w:p>
        </w:tc>
      </w:tr>
      <w:tr w:rsidR="00B208C2" w14:paraId="7E63032A" w14:textId="77777777" w:rsidTr="00B208C2">
        <w:trPr>
          <w:cantSplit/>
          <w:trHeight w:val="642"/>
        </w:trPr>
        <w:tc>
          <w:tcPr>
            <w:tcW w:w="1560" w:type="dxa"/>
            <w:tcBorders>
              <w:top w:val="single" w:sz="4" w:space="0" w:color="auto"/>
              <w:bottom w:val="single" w:sz="4" w:space="0" w:color="auto"/>
              <w:right w:val="single" w:sz="4" w:space="0" w:color="auto"/>
            </w:tcBorders>
          </w:tcPr>
          <w:p w14:paraId="3ABCE78F"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7C0C1B55" w14:textId="77777777" w:rsidR="00B208C2" w:rsidRPr="00160C23" w:rsidRDefault="00B208C2" w:rsidP="00B208C2">
            <w:pPr>
              <w:pStyle w:val="TableTextBase"/>
              <w:rPr>
                <w:sz w:val="16"/>
                <w:szCs w:val="16"/>
              </w:rPr>
            </w:pPr>
            <w:r w:rsidRPr="00BE08C4">
              <w:rPr>
                <w:rFonts w:eastAsia="Calibri" w:cs="Arial"/>
                <w:sz w:val="16"/>
                <w:szCs w:val="16"/>
                <w:lang w:eastAsia="en-US"/>
              </w:rPr>
              <w:t>2022–23</w:t>
            </w:r>
          </w:p>
        </w:tc>
        <w:tc>
          <w:tcPr>
            <w:tcW w:w="3118" w:type="dxa"/>
            <w:tcBorders>
              <w:top w:val="single" w:sz="4" w:space="0" w:color="auto"/>
              <w:left w:val="single" w:sz="4" w:space="0" w:color="auto"/>
              <w:bottom w:val="single" w:sz="4" w:space="0" w:color="auto"/>
              <w:right w:val="single" w:sz="4" w:space="0" w:color="auto"/>
            </w:tcBorders>
          </w:tcPr>
          <w:p w14:paraId="778194FF" w14:textId="77777777" w:rsidR="00B208C2" w:rsidRPr="001F7463" w:rsidRDefault="00B208C2" w:rsidP="00B208C2">
            <w:pPr>
              <w:spacing w:before="60" w:after="60" w:line="240" w:lineRule="auto"/>
              <w:contextualSpacing/>
              <w:jc w:val="left"/>
              <w:rPr>
                <w:rFonts w:ascii="Arial" w:eastAsia="Calibri" w:hAnsi="Arial" w:cs="Arial"/>
                <w:sz w:val="16"/>
                <w:szCs w:val="16"/>
                <w:lang w:eastAsia="en-US"/>
              </w:rPr>
            </w:pPr>
            <w:r w:rsidRPr="00A46594">
              <w:rPr>
                <w:rFonts w:ascii="Arial" w:eastAsia="Calibri" w:hAnsi="Arial" w:cs="Arial"/>
                <w:sz w:val="16"/>
                <w:szCs w:val="16"/>
                <w:lang w:eastAsia="en-US"/>
              </w:rPr>
              <w:t>Financial assistance is provided to local government</w:t>
            </w:r>
          </w:p>
        </w:tc>
        <w:tc>
          <w:tcPr>
            <w:tcW w:w="2977" w:type="dxa"/>
            <w:tcBorders>
              <w:top w:val="single" w:sz="4" w:space="0" w:color="auto"/>
              <w:left w:val="single" w:sz="4" w:space="0" w:color="auto"/>
              <w:bottom w:val="single" w:sz="4" w:space="0" w:color="auto"/>
            </w:tcBorders>
          </w:tcPr>
          <w:p w14:paraId="413DE410" w14:textId="77777777" w:rsidR="00B208C2" w:rsidRDefault="00B208C2" w:rsidP="00B208C2">
            <w:pPr>
              <w:pStyle w:val="TableTextBase"/>
              <w:rPr>
                <w:rFonts w:eastAsia="Calibri" w:cs="Arial"/>
                <w:sz w:val="16"/>
                <w:szCs w:val="16"/>
                <w:lang w:eastAsia="en-US"/>
              </w:rPr>
            </w:pPr>
            <w:r w:rsidRPr="00A46594">
              <w:rPr>
                <w:rFonts w:eastAsia="Calibri" w:cs="Arial"/>
                <w:sz w:val="16"/>
                <w:szCs w:val="16"/>
                <w:lang w:eastAsia="en-US"/>
              </w:rPr>
              <w:t xml:space="preserve">Assistance is provided in accordance with the </w:t>
            </w:r>
            <w:r w:rsidRPr="00A46594">
              <w:rPr>
                <w:rFonts w:eastAsia="Calibri" w:cs="Arial"/>
                <w:i/>
                <w:sz w:val="16"/>
                <w:szCs w:val="16"/>
                <w:lang w:eastAsia="en-US"/>
              </w:rPr>
              <w:t>Local Government (Financial Assistance) Act 1995</w:t>
            </w:r>
          </w:p>
        </w:tc>
      </w:tr>
      <w:tr w:rsidR="00B208C2" w14:paraId="46D349A4" w14:textId="77777777" w:rsidTr="00B208C2">
        <w:trPr>
          <w:cantSplit/>
          <w:trHeight w:val="642"/>
        </w:trPr>
        <w:tc>
          <w:tcPr>
            <w:tcW w:w="1560" w:type="dxa"/>
            <w:tcBorders>
              <w:top w:val="single" w:sz="4" w:space="0" w:color="auto"/>
              <w:bottom w:val="single" w:sz="4" w:space="0" w:color="auto"/>
              <w:right w:val="single" w:sz="4" w:space="0" w:color="auto"/>
            </w:tcBorders>
          </w:tcPr>
          <w:p w14:paraId="377D5BCB" w14:textId="77777777" w:rsidR="00B208C2"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5F374633" w14:textId="77777777" w:rsidR="00B208C2" w:rsidRPr="00A46594" w:rsidRDefault="00B208C2" w:rsidP="00B208C2">
            <w:pPr>
              <w:spacing w:before="60" w:after="60" w:line="240" w:lineRule="auto"/>
              <w:contextualSpacing/>
              <w:jc w:val="left"/>
              <w:rPr>
                <w:rFonts w:ascii="Arial" w:eastAsia="Calibri" w:hAnsi="Arial" w:cs="Arial"/>
                <w:sz w:val="16"/>
                <w:szCs w:val="16"/>
                <w:lang w:eastAsia="en-US"/>
              </w:rPr>
            </w:pPr>
            <w:r w:rsidRPr="00A46594">
              <w:rPr>
                <w:rFonts w:ascii="Arial" w:eastAsia="Calibri" w:hAnsi="Arial" w:cs="Arial"/>
                <w:sz w:val="16"/>
                <w:szCs w:val="16"/>
                <w:lang w:eastAsia="en-US"/>
              </w:rPr>
              <w:t>Financial assistance is provided to local government</w:t>
            </w:r>
          </w:p>
        </w:tc>
        <w:tc>
          <w:tcPr>
            <w:tcW w:w="2977" w:type="dxa"/>
            <w:tcBorders>
              <w:top w:val="single" w:sz="4" w:space="0" w:color="auto"/>
              <w:left w:val="single" w:sz="4" w:space="0" w:color="auto"/>
              <w:bottom w:val="single" w:sz="4" w:space="0" w:color="auto"/>
            </w:tcBorders>
          </w:tcPr>
          <w:p w14:paraId="668CE8FE" w14:textId="77777777" w:rsidR="00B208C2" w:rsidRPr="001F7463" w:rsidRDefault="00B208C2" w:rsidP="00B208C2">
            <w:pPr>
              <w:pStyle w:val="TableTextBase"/>
              <w:rPr>
                <w:rFonts w:eastAsia="Calibri" w:cs="Arial"/>
                <w:b/>
                <w:sz w:val="16"/>
                <w:szCs w:val="16"/>
                <w:lang w:eastAsia="en-US"/>
              </w:rPr>
            </w:pPr>
            <w:r w:rsidRPr="00A46594">
              <w:rPr>
                <w:rFonts w:eastAsia="Calibri" w:cs="Arial"/>
                <w:sz w:val="16"/>
                <w:szCs w:val="16"/>
                <w:lang w:eastAsia="en-US"/>
              </w:rPr>
              <w:t xml:space="preserve">Assistance is provided in accordance with the </w:t>
            </w:r>
            <w:r w:rsidRPr="00A46594">
              <w:rPr>
                <w:rFonts w:eastAsia="Calibri" w:cs="Arial"/>
                <w:i/>
                <w:sz w:val="16"/>
                <w:szCs w:val="16"/>
                <w:lang w:eastAsia="en-US"/>
              </w:rPr>
              <w:t>Local Government (Financial Assistance) Act 1995</w:t>
            </w:r>
          </w:p>
        </w:tc>
      </w:tr>
    </w:tbl>
    <w:p w14:paraId="2773205E" w14:textId="07A9C348" w:rsidR="004D329E" w:rsidRDefault="004D329E">
      <w:pPr>
        <w:spacing w:after="0" w:line="240" w:lineRule="auto"/>
        <w:jc w:val="left"/>
        <w:rPr>
          <w:sz w:val="24"/>
        </w:rPr>
      </w:pPr>
      <w:r>
        <w:rPr>
          <w:sz w:val="24"/>
        </w:rPr>
        <w:br w:type="page"/>
      </w:r>
    </w:p>
    <w:p w14:paraId="3D1010D4" w14:textId="77777777" w:rsidR="00B91F3E" w:rsidRPr="00A46594" w:rsidRDefault="00B91F3E" w:rsidP="00B91F3E">
      <w:pPr>
        <w:spacing w:after="0" w:line="240" w:lineRule="auto"/>
        <w:jc w:val="left"/>
        <w:rPr>
          <w:rFonts w:ascii="Calibri" w:eastAsia="Calibri" w:hAnsi="Calibri"/>
          <w:sz w:val="2"/>
          <w:szCs w:val="2"/>
          <w:lang w:eastAsia="en-US"/>
        </w:rPr>
      </w:pPr>
    </w:p>
    <w:p w14:paraId="20FB093B" w14:textId="77777777" w:rsidR="00B91F3E" w:rsidRPr="00A46594" w:rsidRDefault="00B91F3E" w:rsidP="00B91F3E">
      <w:pPr>
        <w:spacing w:after="0" w:line="240" w:lineRule="auto"/>
        <w:jc w:val="left"/>
        <w:rPr>
          <w:rFonts w:ascii="Calibri" w:eastAsia="Calibri" w:hAnsi="Calibri"/>
          <w:sz w:val="2"/>
          <w:szCs w:val="2"/>
          <w:lang w:eastAsia="en-US"/>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5134E8" w14:paraId="72540931" w14:textId="77777777" w:rsidTr="00B208C2">
        <w:trPr>
          <w:trHeight w:val="522"/>
          <w:tblHeader/>
        </w:trPr>
        <w:tc>
          <w:tcPr>
            <w:tcW w:w="7655" w:type="dxa"/>
            <w:gridSpan w:val="3"/>
            <w:shd w:val="clear" w:color="auto" w:fill="F2F2F2"/>
          </w:tcPr>
          <w:p w14:paraId="7D790AEA" w14:textId="77777777" w:rsidR="00B208C2" w:rsidRPr="00EC0B13" w:rsidRDefault="00B208C2" w:rsidP="00B208C2">
            <w:pPr>
              <w:spacing w:before="120" w:after="0" w:line="240" w:lineRule="auto"/>
              <w:jc w:val="left"/>
              <w:rPr>
                <w:rFonts w:ascii="Arial" w:eastAsia="Calibri" w:hAnsi="Arial" w:cs="Arial"/>
                <w:b/>
                <w:sz w:val="18"/>
                <w:szCs w:val="18"/>
                <w:lang w:eastAsia="en-US"/>
              </w:rPr>
            </w:pPr>
            <w:bookmarkStart w:id="37" w:name="Cities3_3"/>
            <w:r w:rsidRPr="007A4613">
              <w:rPr>
                <w:rFonts w:ascii="Arial" w:eastAsia="Calibri" w:hAnsi="Arial" w:cs="Arial"/>
                <w:b/>
                <w:sz w:val="18"/>
                <w:szCs w:val="18"/>
                <w:lang w:eastAsia="en-US"/>
              </w:rPr>
              <w:t>Program 3.</w:t>
            </w:r>
            <w:r w:rsidRPr="00EC0B13">
              <w:rPr>
                <w:rFonts w:ascii="Arial" w:eastAsia="Calibri" w:hAnsi="Arial" w:cs="Arial"/>
                <w:b/>
                <w:sz w:val="18"/>
                <w:szCs w:val="18"/>
                <w:lang w:eastAsia="en-US"/>
              </w:rPr>
              <w:t>3 – Cities</w:t>
            </w:r>
            <w:bookmarkEnd w:id="37"/>
          </w:p>
          <w:p w14:paraId="27A4A4D3" w14:textId="77777777" w:rsidR="00B208C2" w:rsidRPr="005134E8" w:rsidRDefault="00B208C2" w:rsidP="00B208C2">
            <w:pPr>
              <w:pStyle w:val="TableTextLeft"/>
              <w:rPr>
                <w:highlight w:val="yellow"/>
              </w:rPr>
            </w:pPr>
            <w:r w:rsidRPr="007A4613">
              <w:rPr>
                <w:rFonts w:eastAsia="Calibri" w:cs="Arial"/>
                <w:szCs w:val="18"/>
                <w:lang w:eastAsia="en-US"/>
              </w:rPr>
              <w:t>The cities program supports the development of more liveable and productive cities through programs and policies that support jobs and economic growth, manage population pressures and reduce congestion.</w:t>
            </w:r>
          </w:p>
        </w:tc>
      </w:tr>
      <w:tr w:rsidR="00B208C2" w:rsidRPr="00160C23" w14:paraId="5E55E0E1" w14:textId="77777777" w:rsidTr="00B208C2">
        <w:trPr>
          <w:trHeight w:val="174"/>
        </w:trPr>
        <w:tc>
          <w:tcPr>
            <w:tcW w:w="1560" w:type="dxa"/>
            <w:tcBorders>
              <w:bottom w:val="double" w:sz="4" w:space="0" w:color="auto"/>
            </w:tcBorders>
          </w:tcPr>
          <w:p w14:paraId="1CF19523" w14:textId="77777777" w:rsidR="00B208C2" w:rsidRPr="00160C23" w:rsidRDefault="00B208C2" w:rsidP="003F1EC3">
            <w:pPr>
              <w:tabs>
                <w:tab w:val="left" w:pos="709"/>
              </w:tabs>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vertAlign w:val="superscript"/>
                <w:lang w:eastAsia="en-US"/>
              </w:rPr>
              <w:t xml:space="preserve"> </w:t>
            </w:r>
          </w:p>
        </w:tc>
        <w:tc>
          <w:tcPr>
            <w:tcW w:w="6095" w:type="dxa"/>
            <w:gridSpan w:val="2"/>
            <w:tcBorders>
              <w:bottom w:val="double" w:sz="4" w:space="0" w:color="auto"/>
            </w:tcBorders>
          </w:tcPr>
          <w:p w14:paraId="7AF32EC3" w14:textId="77777777" w:rsidR="00B208C2" w:rsidRPr="001F7463" w:rsidRDefault="00B208C2" w:rsidP="003F1EC3">
            <w:pPr>
              <w:numPr>
                <w:ilvl w:val="0"/>
                <w:numId w:val="39"/>
              </w:numPr>
              <w:spacing w:before="60" w:after="60" w:line="240" w:lineRule="auto"/>
              <w:ind w:left="179" w:hanging="218"/>
              <w:jc w:val="left"/>
              <w:rPr>
                <w:rFonts w:ascii="Arial" w:eastAsia="Calibri" w:hAnsi="Arial" w:cs="Arial"/>
                <w:sz w:val="16"/>
                <w:szCs w:val="16"/>
                <w:lang w:eastAsia="en-US"/>
              </w:rPr>
            </w:pPr>
            <w:r w:rsidRPr="00A46594">
              <w:rPr>
                <w:rFonts w:ascii="Arial" w:eastAsia="Calibri" w:hAnsi="Arial" w:cs="Arial"/>
                <w:sz w:val="16"/>
                <w:szCs w:val="16"/>
                <w:lang w:eastAsia="en-US"/>
              </w:rPr>
              <w:t>Advise on and deliver City Deals and Regional Deals</w:t>
            </w:r>
            <w:r>
              <w:rPr>
                <w:rFonts w:ascii="Arial" w:eastAsia="Calibri" w:hAnsi="Arial" w:cs="Arial"/>
                <w:sz w:val="16"/>
                <w:szCs w:val="16"/>
                <w:lang w:eastAsia="en-US"/>
              </w:rPr>
              <w:t xml:space="preserve"> </w:t>
            </w:r>
            <w:r w:rsidRPr="004A535D">
              <w:rPr>
                <w:rFonts w:ascii="Arial" w:eastAsia="Calibri" w:hAnsi="Arial" w:cs="Arial"/>
                <w:sz w:val="16"/>
                <w:szCs w:val="16"/>
                <w:vertAlign w:val="superscript"/>
                <w:lang w:eastAsia="en-US"/>
              </w:rPr>
              <w:t>(</w:t>
            </w:r>
            <w:r>
              <w:rPr>
                <w:rFonts w:ascii="Arial" w:eastAsia="Calibri" w:hAnsi="Arial" w:cs="Arial"/>
                <w:sz w:val="16"/>
                <w:szCs w:val="16"/>
                <w:vertAlign w:val="superscript"/>
                <w:lang w:eastAsia="en-US"/>
              </w:rPr>
              <w:t>a</w:t>
            </w:r>
            <w:r w:rsidRPr="004A535D">
              <w:rPr>
                <w:rFonts w:ascii="Arial" w:eastAsia="Calibri" w:hAnsi="Arial" w:cs="Arial"/>
                <w:sz w:val="16"/>
                <w:szCs w:val="16"/>
                <w:vertAlign w:val="superscript"/>
                <w:lang w:eastAsia="en-US"/>
              </w:rPr>
              <w:t>)</w:t>
            </w:r>
          </w:p>
        </w:tc>
      </w:tr>
      <w:tr w:rsidR="00B208C2" w:rsidRPr="00160C23" w14:paraId="4863836B" w14:textId="77777777" w:rsidTr="00B208C2">
        <w:trPr>
          <w:trHeight w:val="258"/>
        </w:trPr>
        <w:tc>
          <w:tcPr>
            <w:tcW w:w="1560" w:type="dxa"/>
            <w:tcBorders>
              <w:top w:val="double" w:sz="4" w:space="0" w:color="auto"/>
              <w:bottom w:val="single" w:sz="4" w:space="0" w:color="auto"/>
              <w:right w:val="single" w:sz="4" w:space="0" w:color="auto"/>
            </w:tcBorders>
          </w:tcPr>
          <w:p w14:paraId="1FA10343"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F06EDEA"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47E21C46"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5307EA" w14:paraId="3D384A2A" w14:textId="77777777" w:rsidTr="00B208C2">
        <w:trPr>
          <w:cantSplit/>
          <w:trHeight w:val="642"/>
        </w:trPr>
        <w:tc>
          <w:tcPr>
            <w:tcW w:w="1560" w:type="dxa"/>
            <w:tcBorders>
              <w:top w:val="single" w:sz="4" w:space="0" w:color="auto"/>
              <w:bottom w:val="nil"/>
              <w:right w:val="single" w:sz="4" w:space="0" w:color="auto"/>
            </w:tcBorders>
          </w:tcPr>
          <w:p w14:paraId="2CB57F7B" w14:textId="77777777" w:rsidR="00B208C2" w:rsidRPr="00160C23" w:rsidRDefault="00B208C2" w:rsidP="00B208C2">
            <w:pPr>
              <w:pStyle w:val="TableTextBase"/>
              <w:rPr>
                <w:sz w:val="16"/>
                <w:szCs w:val="16"/>
              </w:rPr>
            </w:pPr>
            <w:r w:rsidRPr="00160C23">
              <w:rPr>
                <w:sz w:val="16"/>
                <w:szCs w:val="16"/>
              </w:rPr>
              <w:t xml:space="preserve">Current year </w:t>
            </w:r>
          </w:p>
          <w:p w14:paraId="49E862D5" w14:textId="77777777" w:rsidR="00B208C2" w:rsidRPr="00160C23" w:rsidRDefault="00B208C2" w:rsidP="00B208C2">
            <w:pPr>
              <w:pStyle w:val="TableTextBase"/>
              <w:rPr>
                <w:sz w:val="16"/>
                <w:szCs w:val="16"/>
              </w:rPr>
            </w:pPr>
            <w:r>
              <w:rPr>
                <w:sz w:val="16"/>
                <w:szCs w:val="16"/>
              </w:rPr>
              <w:t>2021–</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7324545A" w14:textId="77777777" w:rsidR="00B208C2" w:rsidRPr="001F7463" w:rsidRDefault="00B208C2" w:rsidP="00B208C2">
            <w:pPr>
              <w:spacing w:before="60" w:after="60" w:line="240" w:lineRule="auto"/>
              <w:contextualSpacing/>
              <w:jc w:val="left"/>
              <w:rPr>
                <w:rFonts w:ascii="Arial" w:hAnsi="Arial" w:cs="Arial"/>
                <w:sz w:val="16"/>
                <w:szCs w:val="16"/>
              </w:rPr>
            </w:pPr>
            <w:r w:rsidRPr="00A46594">
              <w:rPr>
                <w:rFonts w:ascii="Arial" w:eastAsia="Calibri" w:hAnsi="Arial" w:cs="Arial"/>
                <w:sz w:val="16"/>
                <w:szCs w:val="16"/>
                <w:lang w:eastAsia="en-US"/>
              </w:rPr>
              <w:t>Number of City Deal commitments on track to be completed within agreed timeframes</w:t>
            </w:r>
          </w:p>
        </w:tc>
        <w:tc>
          <w:tcPr>
            <w:tcW w:w="2977" w:type="dxa"/>
            <w:tcBorders>
              <w:top w:val="single" w:sz="4" w:space="0" w:color="auto"/>
              <w:left w:val="single" w:sz="4" w:space="0" w:color="auto"/>
              <w:bottom w:val="single" w:sz="4" w:space="0" w:color="auto"/>
            </w:tcBorders>
          </w:tcPr>
          <w:p w14:paraId="53C4EBC4"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100</w:t>
            </w:r>
            <w:r>
              <w:rPr>
                <w:rFonts w:ascii="Arial" w:eastAsia="Calibri" w:hAnsi="Arial" w:cs="Arial"/>
                <w:sz w:val="16"/>
                <w:szCs w:val="16"/>
                <w:lang w:eastAsia="en-US"/>
              </w:rPr>
              <w:t>%</w:t>
            </w:r>
            <w:r w:rsidRPr="00A46594">
              <w:rPr>
                <w:rFonts w:ascii="Arial" w:eastAsia="Calibri" w:hAnsi="Arial" w:cs="Arial"/>
                <w:sz w:val="16"/>
                <w:szCs w:val="16"/>
                <w:lang w:eastAsia="en-US"/>
              </w:rPr>
              <w:t xml:space="preserve"> of projects on track to be completed by their scheduled timeframes</w:t>
            </w:r>
          </w:p>
          <w:p w14:paraId="4495ADC5" w14:textId="77777777" w:rsidR="00B208C2" w:rsidRPr="005307EA"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Target expected to be met</w:t>
            </w:r>
          </w:p>
        </w:tc>
      </w:tr>
      <w:tr w:rsidR="00B208C2" w:rsidRPr="005307EA" w14:paraId="1277FCB7" w14:textId="77777777" w:rsidTr="00B208C2">
        <w:trPr>
          <w:cantSplit/>
          <w:trHeight w:val="642"/>
        </w:trPr>
        <w:tc>
          <w:tcPr>
            <w:tcW w:w="1560" w:type="dxa"/>
            <w:tcBorders>
              <w:top w:val="nil"/>
              <w:bottom w:val="single" w:sz="4" w:space="0" w:color="auto"/>
              <w:right w:val="single" w:sz="4" w:space="0" w:color="auto"/>
            </w:tcBorders>
          </w:tcPr>
          <w:p w14:paraId="338200CE"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D65A69F" w14:textId="77777777" w:rsidR="00B208C2" w:rsidRPr="00DC10D8" w:rsidRDefault="00B208C2" w:rsidP="00B208C2">
            <w:pPr>
              <w:spacing w:before="60" w:after="0" w:line="240" w:lineRule="auto"/>
              <w:jc w:val="left"/>
              <w:rPr>
                <w:rFonts w:ascii="Arial" w:eastAsia="Calibri" w:hAnsi="Arial" w:cs="Arial"/>
                <w:sz w:val="16"/>
                <w:szCs w:val="16"/>
                <w:lang w:eastAsia="en-US"/>
              </w:rPr>
            </w:pPr>
            <w:r w:rsidRPr="00DC10D8">
              <w:rPr>
                <w:rFonts w:ascii="Arial" w:eastAsia="Calibri" w:hAnsi="Arial" w:cs="Arial"/>
                <w:sz w:val="16"/>
                <w:szCs w:val="16"/>
                <w:lang w:eastAsia="en-US"/>
              </w:rPr>
              <w:t>City Deals contributing to city:</w:t>
            </w:r>
          </w:p>
          <w:p w14:paraId="5FB5D5AF" w14:textId="77777777" w:rsidR="00B208C2" w:rsidRPr="00DC10D8" w:rsidRDefault="00B208C2" w:rsidP="00B208C2">
            <w:pPr>
              <w:numPr>
                <w:ilvl w:val="0"/>
                <w:numId w:val="26"/>
              </w:numPr>
              <w:spacing w:before="60" w:after="60" w:line="240" w:lineRule="auto"/>
              <w:ind w:left="284" w:hanging="284"/>
              <w:contextualSpacing/>
              <w:jc w:val="left"/>
              <w:rPr>
                <w:rFonts w:ascii="Arial" w:eastAsia="Calibri" w:hAnsi="Arial" w:cs="Arial"/>
                <w:sz w:val="16"/>
                <w:szCs w:val="16"/>
                <w:lang w:eastAsia="en-US"/>
              </w:rPr>
            </w:pPr>
            <w:r>
              <w:rPr>
                <w:rFonts w:ascii="Arial" w:eastAsia="Calibri" w:hAnsi="Arial" w:cs="Arial"/>
                <w:sz w:val="16"/>
                <w:szCs w:val="16"/>
                <w:lang w:eastAsia="en-US"/>
              </w:rPr>
              <w:t>p</w:t>
            </w:r>
            <w:r w:rsidRPr="00DC10D8">
              <w:rPr>
                <w:rFonts w:ascii="Arial" w:eastAsia="Calibri" w:hAnsi="Arial" w:cs="Arial"/>
                <w:sz w:val="16"/>
                <w:szCs w:val="16"/>
                <w:lang w:eastAsia="en-US"/>
              </w:rPr>
              <w:t>roductivity</w:t>
            </w:r>
          </w:p>
          <w:p w14:paraId="5DD3960E" w14:textId="77777777" w:rsidR="00B208C2" w:rsidRPr="00DC10D8" w:rsidRDefault="00B208C2" w:rsidP="00B208C2">
            <w:pPr>
              <w:numPr>
                <w:ilvl w:val="0"/>
                <w:numId w:val="26"/>
              </w:numPr>
              <w:spacing w:before="60" w:after="60" w:line="240" w:lineRule="auto"/>
              <w:ind w:left="284" w:hanging="284"/>
              <w:contextualSpacing/>
              <w:jc w:val="left"/>
              <w:rPr>
                <w:rFonts w:ascii="Arial" w:eastAsia="Calibri" w:hAnsi="Arial" w:cs="Arial"/>
                <w:sz w:val="16"/>
                <w:szCs w:val="16"/>
                <w:lang w:eastAsia="en-US"/>
              </w:rPr>
            </w:pPr>
            <w:r w:rsidRPr="00DC10D8">
              <w:rPr>
                <w:rFonts w:ascii="Arial" w:eastAsia="Calibri" w:hAnsi="Arial" w:cs="Arial"/>
                <w:sz w:val="16"/>
                <w:szCs w:val="16"/>
                <w:lang w:eastAsia="en-US"/>
              </w:rPr>
              <w:t>liveability</w:t>
            </w:r>
            <w:r>
              <w:rPr>
                <w:rFonts w:ascii="Arial" w:eastAsia="Calibri" w:hAnsi="Arial" w:cs="Arial"/>
                <w:sz w:val="16"/>
                <w:szCs w:val="16"/>
                <w:lang w:eastAsia="en-US"/>
              </w:rPr>
              <w:t xml:space="preserve"> </w:t>
            </w:r>
            <w:r>
              <w:rPr>
                <w:rFonts w:ascii="Arial" w:eastAsia="Calibri" w:hAnsi="Arial" w:cs="Arial"/>
                <w:sz w:val="16"/>
                <w:szCs w:val="16"/>
                <w:vertAlign w:val="superscript"/>
                <w:lang w:eastAsia="en-US"/>
              </w:rPr>
              <w:t>(b</w:t>
            </w:r>
            <w:r w:rsidRPr="004A535D">
              <w:rPr>
                <w:rFonts w:ascii="Arial" w:eastAsia="Calibri" w:hAnsi="Arial"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19307E1D"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In 2021–22, reporting shows improvements in more than 50</w:t>
            </w:r>
            <w:r>
              <w:rPr>
                <w:rFonts w:ascii="Arial" w:eastAsia="Calibri" w:hAnsi="Arial" w:cs="Arial"/>
                <w:sz w:val="16"/>
                <w:szCs w:val="16"/>
                <w:lang w:eastAsia="en-US"/>
              </w:rPr>
              <w:t>%</w:t>
            </w:r>
            <w:r w:rsidRPr="00A46594">
              <w:rPr>
                <w:rFonts w:ascii="Arial" w:eastAsia="Calibri" w:hAnsi="Arial" w:cs="Arial"/>
                <w:sz w:val="16"/>
                <w:szCs w:val="16"/>
                <w:lang w:eastAsia="en-US"/>
              </w:rPr>
              <w:t xml:space="preserve"> of indicators analysed</w:t>
            </w:r>
          </w:p>
          <w:p w14:paraId="7462EF01" w14:textId="77777777" w:rsidR="00B208C2" w:rsidRPr="005307EA" w:rsidRDefault="00B208C2" w:rsidP="00B208C2">
            <w:pPr>
              <w:pStyle w:val="TableTextBase"/>
              <w:rPr>
                <w:sz w:val="16"/>
                <w:szCs w:val="16"/>
              </w:rPr>
            </w:pPr>
            <w:r w:rsidRPr="00A46594">
              <w:rPr>
                <w:rFonts w:eastAsia="Calibri" w:cs="Arial"/>
                <w:sz w:val="16"/>
                <w:szCs w:val="16"/>
                <w:lang w:eastAsia="en-US"/>
              </w:rPr>
              <w:t>Results rely on data not yet published</w:t>
            </w:r>
          </w:p>
        </w:tc>
      </w:tr>
      <w:tr w:rsidR="00B208C2" w:rsidRPr="00160C23" w14:paraId="41A31E6B" w14:textId="77777777" w:rsidTr="00B208C2">
        <w:trPr>
          <w:trHeight w:val="258"/>
        </w:trPr>
        <w:tc>
          <w:tcPr>
            <w:tcW w:w="1560" w:type="dxa"/>
            <w:tcBorders>
              <w:top w:val="double" w:sz="4" w:space="0" w:color="auto"/>
              <w:bottom w:val="single" w:sz="4" w:space="0" w:color="auto"/>
              <w:right w:val="single" w:sz="4" w:space="0" w:color="auto"/>
            </w:tcBorders>
          </w:tcPr>
          <w:p w14:paraId="51DC875D"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1441ED5A"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403B651F" w14:textId="77777777" w:rsidR="00B208C2" w:rsidRPr="00160C23" w:rsidRDefault="00B208C2" w:rsidP="00B208C2">
            <w:pPr>
              <w:pStyle w:val="TableTextBase"/>
              <w:rPr>
                <w:rFonts w:cs="Arial"/>
                <w:b/>
                <w:sz w:val="16"/>
                <w:szCs w:val="16"/>
              </w:rPr>
            </w:pPr>
            <w:r>
              <w:rPr>
                <w:rFonts w:cs="Arial"/>
                <w:b/>
                <w:sz w:val="16"/>
                <w:szCs w:val="16"/>
              </w:rPr>
              <w:t xml:space="preserve">Planned </w:t>
            </w:r>
            <w:r w:rsidRPr="00160C23">
              <w:rPr>
                <w:rFonts w:cs="Arial"/>
                <w:b/>
                <w:sz w:val="16"/>
                <w:szCs w:val="16"/>
              </w:rPr>
              <w:t>Performance Results</w:t>
            </w:r>
          </w:p>
        </w:tc>
      </w:tr>
      <w:tr w:rsidR="00B208C2" w14:paraId="0628E73C" w14:textId="77777777" w:rsidTr="00B208C2">
        <w:trPr>
          <w:cantSplit/>
          <w:trHeight w:val="642"/>
        </w:trPr>
        <w:tc>
          <w:tcPr>
            <w:tcW w:w="1560" w:type="dxa"/>
            <w:tcBorders>
              <w:top w:val="single" w:sz="4" w:space="0" w:color="auto"/>
              <w:bottom w:val="single" w:sz="4" w:space="0" w:color="auto"/>
              <w:right w:val="single" w:sz="4" w:space="0" w:color="auto"/>
            </w:tcBorders>
          </w:tcPr>
          <w:p w14:paraId="29D2C5A4"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15F4E518" w14:textId="77777777" w:rsidR="00B208C2" w:rsidRPr="00160C23" w:rsidRDefault="00B208C2" w:rsidP="00B208C2">
            <w:pPr>
              <w:pStyle w:val="TableTextBase"/>
              <w:rPr>
                <w:sz w:val="16"/>
                <w:szCs w:val="16"/>
              </w:rPr>
            </w:pPr>
            <w:r>
              <w:rPr>
                <w:rFonts w:eastAsia="Calibri" w:cs="Arial"/>
                <w:sz w:val="16"/>
                <w:szCs w:val="16"/>
                <w:lang w:eastAsia="en-US"/>
              </w:rPr>
              <w:t>2022–23</w:t>
            </w:r>
          </w:p>
        </w:tc>
        <w:tc>
          <w:tcPr>
            <w:tcW w:w="3118" w:type="dxa"/>
            <w:tcBorders>
              <w:top w:val="single" w:sz="4" w:space="0" w:color="auto"/>
              <w:left w:val="single" w:sz="4" w:space="0" w:color="auto"/>
              <w:bottom w:val="single" w:sz="4" w:space="0" w:color="auto"/>
              <w:right w:val="single" w:sz="4" w:space="0" w:color="auto"/>
            </w:tcBorders>
          </w:tcPr>
          <w:p w14:paraId="6F058C41" w14:textId="6EDCB779" w:rsidR="00B208C2" w:rsidRPr="001F7463" w:rsidRDefault="00B208C2" w:rsidP="00B208C2">
            <w:pPr>
              <w:spacing w:before="60" w:after="60" w:line="240" w:lineRule="auto"/>
              <w:contextualSpacing/>
              <w:jc w:val="left"/>
              <w:rPr>
                <w:rFonts w:ascii="Arial" w:eastAsia="Calibri" w:hAnsi="Arial" w:cs="Arial"/>
                <w:sz w:val="16"/>
                <w:szCs w:val="16"/>
                <w:lang w:eastAsia="en-US"/>
              </w:rPr>
            </w:pPr>
            <w:r w:rsidRPr="00A46594">
              <w:rPr>
                <w:rFonts w:ascii="Arial" w:eastAsia="Calibri" w:hAnsi="Arial" w:cs="Arial"/>
                <w:i/>
                <w:sz w:val="16"/>
                <w:szCs w:val="16"/>
                <w:lang w:eastAsia="en-US"/>
              </w:rPr>
              <w:t>Number of City and Regional Dea</w:t>
            </w:r>
            <w:r w:rsidR="0056080A">
              <w:rPr>
                <w:rFonts w:ascii="Arial" w:eastAsia="Calibri" w:hAnsi="Arial" w:cs="Arial"/>
                <w:i/>
                <w:sz w:val="16"/>
                <w:szCs w:val="16"/>
                <w:lang w:eastAsia="en-US"/>
              </w:rPr>
              <w:t>l</w:t>
            </w:r>
            <w:r w:rsidRPr="00A46594">
              <w:rPr>
                <w:rFonts w:ascii="Arial" w:eastAsia="Calibri" w:hAnsi="Arial" w:cs="Arial"/>
                <w:i/>
                <w:sz w:val="16"/>
                <w:szCs w:val="16"/>
                <w:lang w:eastAsia="en-US"/>
              </w:rPr>
              <w:t xml:space="preserve"> commitments on track to be completed within agreed timeframes</w:t>
            </w:r>
            <w:r w:rsidR="003F1EC3">
              <w:rPr>
                <w:rFonts w:ascii="Arial" w:eastAsia="Calibri" w:hAnsi="Arial" w:cs="Arial"/>
                <w:i/>
                <w:sz w:val="16"/>
                <w:szCs w:val="16"/>
                <w:lang w:eastAsia="en-US"/>
              </w:rPr>
              <w:t xml:space="preserve"> </w:t>
            </w:r>
            <w:r w:rsidRPr="008908B4">
              <w:rPr>
                <w:rFonts w:ascii="Arial" w:eastAsia="Calibri" w:hAnsi="Arial" w:cs="Arial"/>
                <w:i/>
                <w:sz w:val="16"/>
                <w:szCs w:val="16"/>
                <w:vertAlign w:val="superscript"/>
                <w:lang w:eastAsia="en-US"/>
              </w:rPr>
              <w:t>(c)</w:t>
            </w:r>
            <w:r w:rsidR="003F1EC3">
              <w:rPr>
                <w:rFonts w:ascii="Arial" w:eastAsia="Calibri" w:hAnsi="Arial" w:cs="Arial"/>
                <w:i/>
                <w:sz w:val="16"/>
                <w:szCs w:val="16"/>
                <w:vertAlign w:val="superscript"/>
                <w:lang w:eastAsia="en-US"/>
              </w:rPr>
              <w:t xml:space="preserve"> </w:t>
            </w:r>
            <w:r>
              <w:rPr>
                <w:rFonts w:ascii="Arial" w:eastAsia="Calibri" w:hAnsi="Arial" w:cs="Arial"/>
                <w:i/>
                <w:sz w:val="16"/>
                <w:szCs w:val="16"/>
                <w:vertAlign w:val="superscript"/>
                <w:lang w:eastAsia="en-US"/>
              </w:rPr>
              <w:t>(d)</w:t>
            </w:r>
            <w:r>
              <w:rPr>
                <w:rFonts w:ascii="Arial" w:eastAsia="Calibri" w:hAnsi="Arial" w:cs="Arial"/>
                <w:i/>
                <w:sz w:val="16"/>
                <w:szCs w:val="16"/>
                <w:lang w:eastAsia="en-US"/>
              </w:rPr>
              <w:t xml:space="preserve"> </w:t>
            </w:r>
          </w:p>
        </w:tc>
        <w:tc>
          <w:tcPr>
            <w:tcW w:w="2977" w:type="dxa"/>
            <w:tcBorders>
              <w:top w:val="single" w:sz="4" w:space="0" w:color="auto"/>
              <w:left w:val="single" w:sz="4" w:space="0" w:color="auto"/>
              <w:bottom w:val="single" w:sz="4" w:space="0" w:color="auto"/>
            </w:tcBorders>
          </w:tcPr>
          <w:p w14:paraId="42E27ED7" w14:textId="77777777" w:rsidR="00B208C2" w:rsidRDefault="00B208C2" w:rsidP="00B208C2">
            <w:pPr>
              <w:pStyle w:val="TableTextBase"/>
              <w:rPr>
                <w:rFonts w:eastAsia="Calibri" w:cs="Arial"/>
                <w:sz w:val="16"/>
                <w:szCs w:val="16"/>
                <w:lang w:eastAsia="en-US"/>
              </w:rPr>
            </w:pPr>
            <w:r w:rsidRPr="00A46594">
              <w:rPr>
                <w:rFonts w:eastAsia="Calibri" w:cs="Arial"/>
                <w:sz w:val="16"/>
                <w:szCs w:val="16"/>
                <w:lang w:eastAsia="en-US"/>
              </w:rPr>
              <w:t>100</w:t>
            </w:r>
            <w:r>
              <w:rPr>
                <w:rFonts w:eastAsia="Calibri" w:cs="Arial"/>
                <w:sz w:val="16"/>
                <w:szCs w:val="16"/>
                <w:lang w:eastAsia="en-US"/>
              </w:rPr>
              <w:t>%</w:t>
            </w:r>
            <w:r w:rsidRPr="00A46594">
              <w:rPr>
                <w:rFonts w:eastAsia="Calibri" w:cs="Arial"/>
                <w:sz w:val="16"/>
                <w:szCs w:val="16"/>
                <w:lang w:eastAsia="en-US"/>
              </w:rPr>
              <w:t xml:space="preserve"> of projects on track to be completed by their scheduled timeframes</w:t>
            </w:r>
          </w:p>
        </w:tc>
      </w:tr>
      <w:tr w:rsidR="00B208C2" w14:paraId="05FA988C" w14:textId="77777777" w:rsidTr="00B208C2">
        <w:trPr>
          <w:cantSplit/>
          <w:trHeight w:val="642"/>
        </w:trPr>
        <w:tc>
          <w:tcPr>
            <w:tcW w:w="1560" w:type="dxa"/>
            <w:tcBorders>
              <w:top w:val="single" w:sz="4" w:space="0" w:color="auto"/>
              <w:bottom w:val="single" w:sz="4" w:space="0" w:color="auto"/>
              <w:right w:val="single" w:sz="4" w:space="0" w:color="auto"/>
            </w:tcBorders>
          </w:tcPr>
          <w:p w14:paraId="6A3B9634" w14:textId="77777777" w:rsidR="00B208C2"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0AFE2595" w14:textId="1D031D8A" w:rsidR="00B208C2" w:rsidRPr="00A46594" w:rsidRDefault="00B208C2" w:rsidP="00B208C2">
            <w:pPr>
              <w:spacing w:before="60" w:after="60" w:line="240" w:lineRule="auto"/>
              <w:contextualSpacing/>
              <w:jc w:val="left"/>
              <w:rPr>
                <w:rFonts w:ascii="Arial" w:eastAsia="Calibri" w:hAnsi="Arial" w:cs="Arial"/>
                <w:i/>
                <w:sz w:val="16"/>
                <w:szCs w:val="16"/>
                <w:lang w:eastAsia="en-US"/>
              </w:rPr>
            </w:pPr>
            <w:r w:rsidRPr="00A46594">
              <w:rPr>
                <w:rFonts w:ascii="Arial" w:eastAsia="Calibri" w:hAnsi="Arial" w:cs="Arial"/>
                <w:i/>
                <w:sz w:val="16"/>
                <w:szCs w:val="16"/>
                <w:lang w:eastAsia="en-US"/>
              </w:rPr>
              <w:t>Number of City and Regional Deal commitments on track to be completed within agreed timeframes</w:t>
            </w:r>
            <w:r w:rsidR="003F1EC3">
              <w:rPr>
                <w:rFonts w:ascii="Arial" w:eastAsia="Calibri" w:hAnsi="Arial" w:cs="Arial"/>
                <w:i/>
                <w:sz w:val="16"/>
                <w:szCs w:val="16"/>
                <w:lang w:eastAsia="en-US"/>
              </w:rPr>
              <w:t xml:space="preserve"> </w:t>
            </w:r>
            <w:r w:rsidRPr="008908B4">
              <w:rPr>
                <w:rFonts w:ascii="Arial" w:eastAsia="Calibri" w:hAnsi="Arial" w:cs="Arial"/>
                <w:i/>
                <w:sz w:val="16"/>
                <w:szCs w:val="16"/>
                <w:vertAlign w:val="superscript"/>
                <w:lang w:eastAsia="en-US"/>
              </w:rPr>
              <w:t>(c)</w:t>
            </w:r>
            <w:r>
              <w:rPr>
                <w:rFonts w:ascii="Arial" w:eastAsia="Calibri" w:hAnsi="Arial" w:cs="Arial"/>
                <w:i/>
                <w:sz w:val="16"/>
                <w:szCs w:val="16"/>
                <w:lang w:eastAsia="en-US"/>
              </w:rPr>
              <w:t xml:space="preserve">  </w:t>
            </w:r>
          </w:p>
        </w:tc>
        <w:tc>
          <w:tcPr>
            <w:tcW w:w="2977" w:type="dxa"/>
            <w:tcBorders>
              <w:top w:val="single" w:sz="4" w:space="0" w:color="auto"/>
              <w:left w:val="single" w:sz="4" w:space="0" w:color="auto"/>
              <w:bottom w:val="single" w:sz="4" w:space="0" w:color="auto"/>
            </w:tcBorders>
          </w:tcPr>
          <w:p w14:paraId="52F46CB1" w14:textId="77777777" w:rsidR="00B208C2" w:rsidRPr="001F7463" w:rsidRDefault="00B208C2" w:rsidP="00B208C2">
            <w:pPr>
              <w:pStyle w:val="TableTextBase"/>
              <w:rPr>
                <w:rFonts w:eastAsia="Calibri" w:cs="Arial"/>
                <w:b/>
                <w:sz w:val="16"/>
                <w:szCs w:val="16"/>
                <w:lang w:eastAsia="en-US"/>
              </w:rPr>
            </w:pPr>
            <w:r w:rsidRPr="00A46594">
              <w:rPr>
                <w:rFonts w:eastAsia="Calibri" w:cs="Arial"/>
                <w:sz w:val="16"/>
                <w:szCs w:val="16"/>
                <w:lang w:eastAsia="en-US"/>
              </w:rPr>
              <w:t>100</w:t>
            </w:r>
            <w:r>
              <w:rPr>
                <w:rFonts w:eastAsia="Calibri" w:cs="Arial"/>
                <w:sz w:val="16"/>
                <w:szCs w:val="16"/>
                <w:lang w:eastAsia="en-US"/>
              </w:rPr>
              <w:t>%</w:t>
            </w:r>
            <w:r w:rsidRPr="00A46594">
              <w:rPr>
                <w:rFonts w:eastAsia="Calibri" w:cs="Arial"/>
                <w:sz w:val="16"/>
                <w:szCs w:val="16"/>
                <w:lang w:eastAsia="en-US"/>
              </w:rPr>
              <w:t xml:space="preserve"> of projects on track to be completed by their scheduled timeframes</w:t>
            </w:r>
          </w:p>
        </w:tc>
      </w:tr>
    </w:tbl>
    <w:p w14:paraId="7790C3CF" w14:textId="77777777" w:rsidR="00B208C2" w:rsidRPr="004A535D" w:rsidRDefault="00B208C2" w:rsidP="004F6389">
      <w:pPr>
        <w:pStyle w:val="ListParagraph"/>
        <w:numPr>
          <w:ilvl w:val="0"/>
          <w:numId w:val="57"/>
        </w:numPr>
        <w:spacing w:before="60" w:after="0" w:line="240" w:lineRule="auto"/>
        <w:ind w:left="284" w:hanging="284"/>
        <w:rPr>
          <w:sz w:val="16"/>
          <w:szCs w:val="16"/>
        </w:rPr>
      </w:pPr>
      <w:r w:rsidRPr="004A535D">
        <w:rPr>
          <w:rFonts w:ascii="Arial" w:hAnsi="Arial" w:cs="Arial"/>
          <w:sz w:val="16"/>
          <w:szCs w:val="16"/>
        </w:rPr>
        <w:t>Refers to updated key activity that will be reflected in the 2022–23 Corporate Plan.</w:t>
      </w:r>
    </w:p>
    <w:p w14:paraId="07B4DA9B" w14:textId="77777777" w:rsidR="00B208C2" w:rsidRPr="004A535D" w:rsidRDefault="00B208C2" w:rsidP="004F6389">
      <w:pPr>
        <w:pStyle w:val="ListParagraph"/>
        <w:numPr>
          <w:ilvl w:val="0"/>
          <w:numId w:val="57"/>
        </w:numPr>
        <w:spacing w:after="0" w:line="240" w:lineRule="auto"/>
        <w:ind w:left="284" w:hanging="284"/>
        <w:rPr>
          <w:sz w:val="16"/>
          <w:szCs w:val="16"/>
        </w:rPr>
      </w:pPr>
      <w:r w:rsidRPr="004A535D">
        <w:rPr>
          <w:rFonts w:ascii="Arial" w:hAnsi="Arial" w:cs="Arial"/>
          <w:sz w:val="16"/>
          <w:szCs w:val="16"/>
        </w:rPr>
        <w:t>Final reporting period for this measure. Further details will be included in the 2022–23 Corporate Plan.</w:t>
      </w:r>
    </w:p>
    <w:p w14:paraId="40333045" w14:textId="77777777" w:rsidR="00B208C2" w:rsidRDefault="00B208C2" w:rsidP="004F6389">
      <w:pPr>
        <w:pStyle w:val="ListParagraph"/>
        <w:numPr>
          <w:ilvl w:val="0"/>
          <w:numId w:val="57"/>
        </w:numPr>
        <w:spacing w:after="0" w:line="240" w:lineRule="auto"/>
        <w:ind w:left="284" w:hanging="284"/>
        <w:rPr>
          <w:rFonts w:ascii="Arial" w:hAnsi="Arial" w:cs="Arial"/>
          <w:sz w:val="16"/>
          <w:szCs w:val="16"/>
        </w:rPr>
      </w:pPr>
      <w:r w:rsidRPr="004A535D">
        <w:rPr>
          <w:rFonts w:ascii="Arial" w:hAnsi="Arial" w:cs="Arial"/>
          <w:sz w:val="16"/>
          <w:szCs w:val="16"/>
        </w:rPr>
        <w:t>This measure is linked to Program 3.1 Regional Development and Program 3.3 Cities.</w:t>
      </w:r>
    </w:p>
    <w:p w14:paraId="06CF973E" w14:textId="77777777" w:rsidR="00B208C2" w:rsidRPr="00A7725C" w:rsidRDefault="00B208C2" w:rsidP="004F6389">
      <w:pPr>
        <w:pStyle w:val="ListParagraph"/>
        <w:numPr>
          <w:ilvl w:val="0"/>
          <w:numId w:val="57"/>
        </w:numPr>
        <w:spacing w:after="0" w:line="240" w:lineRule="auto"/>
        <w:ind w:left="284" w:hanging="284"/>
        <w:rPr>
          <w:rFonts w:ascii="Arial" w:hAnsi="Arial" w:cs="Arial"/>
          <w:sz w:val="16"/>
          <w:szCs w:val="16"/>
        </w:rPr>
      </w:pPr>
      <w:r w:rsidRPr="00A7725C">
        <w:rPr>
          <w:rFonts w:ascii="Arial" w:hAnsi="Arial" w:cs="Arial"/>
          <w:sz w:val="16"/>
        </w:rPr>
        <w:t>This 2022–23 measure combines two 2021–22 measures.</w:t>
      </w:r>
    </w:p>
    <w:p w14:paraId="64E9E6A2" w14:textId="77777777" w:rsidR="00B208C2" w:rsidRPr="00A7725C" w:rsidRDefault="00B208C2" w:rsidP="00B208C2">
      <w:pPr>
        <w:spacing w:after="0" w:line="240" w:lineRule="auto"/>
        <w:rPr>
          <w:rFonts w:ascii="Arial" w:hAnsi="Arial" w:cs="Arial"/>
          <w:sz w:val="16"/>
          <w:szCs w:val="16"/>
        </w:rPr>
      </w:pPr>
    </w:p>
    <w:p w14:paraId="05541135" w14:textId="5E349445" w:rsidR="00B91F3E" w:rsidRDefault="00B91F3E" w:rsidP="00B91F3E">
      <w:pPr>
        <w:spacing w:after="160" w:line="259" w:lineRule="auto"/>
        <w:jc w:val="left"/>
        <w:rPr>
          <w:rFonts w:ascii="Arial" w:eastAsia="Calibri" w:hAnsi="Arial" w:cs="Arial"/>
          <w:sz w:val="16"/>
          <w:szCs w:val="16"/>
          <w:lang w:val="en-US" w:eastAsia="en-US"/>
        </w:rPr>
      </w:pPr>
      <w:r>
        <w:rPr>
          <w:rFonts w:ascii="Arial" w:hAnsi="Arial" w:cs="Arial"/>
          <w:sz w:val="16"/>
          <w:szCs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5134E8" w14:paraId="5BE61D30" w14:textId="77777777" w:rsidTr="00B208C2">
        <w:trPr>
          <w:trHeight w:val="522"/>
          <w:tblHeader/>
        </w:trPr>
        <w:tc>
          <w:tcPr>
            <w:tcW w:w="7655" w:type="dxa"/>
            <w:gridSpan w:val="3"/>
            <w:shd w:val="clear" w:color="auto" w:fill="F2F2F2"/>
          </w:tcPr>
          <w:p w14:paraId="79E8E664" w14:textId="77777777" w:rsidR="00B208C2" w:rsidRPr="00EC0B13" w:rsidRDefault="00B208C2" w:rsidP="00B208C2">
            <w:pPr>
              <w:spacing w:before="120" w:after="120" w:line="240" w:lineRule="auto"/>
              <w:jc w:val="left"/>
              <w:rPr>
                <w:rFonts w:ascii="Arial" w:eastAsia="Calibri" w:hAnsi="Arial" w:cs="Arial"/>
                <w:b/>
                <w:sz w:val="18"/>
                <w:szCs w:val="18"/>
                <w:lang w:eastAsia="en-US"/>
              </w:rPr>
            </w:pPr>
            <w:bookmarkStart w:id="38" w:name="NorthernAustralia3_4"/>
            <w:r w:rsidRPr="007A4613">
              <w:rPr>
                <w:rFonts w:ascii="Arial" w:eastAsia="Calibri" w:hAnsi="Arial" w:cs="Arial"/>
                <w:b/>
                <w:sz w:val="18"/>
                <w:szCs w:val="18"/>
                <w:lang w:eastAsia="en-US"/>
              </w:rPr>
              <w:lastRenderedPageBreak/>
              <w:t xml:space="preserve">Program 3.4 </w:t>
            </w:r>
            <w:r w:rsidRPr="00EC0B13">
              <w:rPr>
                <w:rFonts w:ascii="Arial" w:eastAsia="Calibri" w:hAnsi="Arial" w:cs="Arial"/>
                <w:b/>
                <w:sz w:val="18"/>
                <w:szCs w:val="18"/>
                <w:lang w:eastAsia="en-US"/>
              </w:rPr>
              <w:t>– Growing a Stronger Northern Australia Economy</w:t>
            </w:r>
            <w:bookmarkEnd w:id="38"/>
          </w:p>
          <w:p w14:paraId="76DB7360" w14:textId="77777777" w:rsidR="00B208C2" w:rsidRPr="005134E8" w:rsidRDefault="00B208C2" w:rsidP="00B208C2">
            <w:pPr>
              <w:pStyle w:val="TableTextLeft"/>
              <w:rPr>
                <w:highlight w:val="yellow"/>
              </w:rPr>
            </w:pPr>
            <w:r w:rsidRPr="007A4613">
              <w:rPr>
                <w:rFonts w:eastAsia="Calibri" w:cs="Arial"/>
                <w:i/>
                <w:szCs w:val="18"/>
                <w:lang w:eastAsia="en-US"/>
              </w:rPr>
              <w:t>Our North, Our Future: 2021-2026 – Targeted Growth</w:t>
            </w:r>
            <w:r w:rsidRPr="007A4613">
              <w:rPr>
                <w:rFonts w:eastAsia="Calibri" w:cs="Arial"/>
                <w:szCs w:val="18"/>
                <w:lang w:eastAsia="en-US"/>
              </w:rPr>
              <w:t xml:space="preserve"> is the Government's next five-year strategic plan for developing Northern Australia. From 2021-2026 the Government will invest in transformational and enabling projects through a whole-of-government approach, in partnership with state and territory governments.</w:t>
            </w:r>
          </w:p>
        </w:tc>
      </w:tr>
      <w:tr w:rsidR="00B208C2" w:rsidRPr="00160C23" w14:paraId="48083501" w14:textId="77777777" w:rsidTr="00B208C2">
        <w:trPr>
          <w:trHeight w:val="174"/>
        </w:trPr>
        <w:tc>
          <w:tcPr>
            <w:tcW w:w="1560" w:type="dxa"/>
            <w:tcBorders>
              <w:bottom w:val="double" w:sz="4" w:space="0" w:color="auto"/>
            </w:tcBorders>
          </w:tcPr>
          <w:p w14:paraId="25FAA942" w14:textId="77777777" w:rsidR="00B208C2" w:rsidRPr="00160C23" w:rsidRDefault="00B208C2" w:rsidP="00B208C2">
            <w:pPr>
              <w:tabs>
                <w:tab w:val="left" w:pos="709"/>
              </w:tabs>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p>
        </w:tc>
        <w:tc>
          <w:tcPr>
            <w:tcW w:w="6095" w:type="dxa"/>
            <w:gridSpan w:val="2"/>
            <w:tcBorders>
              <w:bottom w:val="double" w:sz="4" w:space="0" w:color="auto"/>
            </w:tcBorders>
          </w:tcPr>
          <w:p w14:paraId="1C3C1542" w14:textId="77777777" w:rsidR="00B208C2" w:rsidRPr="001F7463" w:rsidRDefault="00B208C2" w:rsidP="00B208C2">
            <w:pPr>
              <w:numPr>
                <w:ilvl w:val="0"/>
                <w:numId w:val="39"/>
              </w:numPr>
              <w:spacing w:before="60" w:after="60" w:line="240" w:lineRule="auto"/>
              <w:ind w:left="179" w:hanging="218"/>
              <w:jc w:val="left"/>
              <w:rPr>
                <w:rFonts w:ascii="Arial" w:eastAsia="Calibri" w:hAnsi="Arial" w:cs="Arial"/>
                <w:sz w:val="16"/>
                <w:szCs w:val="16"/>
                <w:lang w:eastAsia="en-US"/>
              </w:rPr>
            </w:pPr>
            <w:r w:rsidRPr="00A46594">
              <w:rPr>
                <w:rFonts w:ascii="Arial" w:eastAsia="Calibri" w:hAnsi="Arial" w:cs="Arial"/>
                <w:sz w:val="16"/>
                <w:szCs w:val="16"/>
                <w:lang w:eastAsia="en-US"/>
              </w:rPr>
              <w:t xml:space="preserve">Progress key initiatives from and monitor whole of government implementation of </w:t>
            </w:r>
            <w:r w:rsidRPr="00A46594">
              <w:rPr>
                <w:rFonts w:ascii="Arial" w:eastAsia="Calibri" w:hAnsi="Arial" w:cs="Arial"/>
                <w:i/>
                <w:sz w:val="16"/>
                <w:szCs w:val="16"/>
                <w:lang w:eastAsia="en-US"/>
              </w:rPr>
              <w:t>Our North, Our Future: 2021-2026</w:t>
            </w:r>
            <w:r w:rsidRPr="008908B4">
              <w:rPr>
                <w:rFonts w:ascii="Arial" w:eastAsia="Calibri" w:hAnsi="Arial" w:cs="Arial"/>
                <w:i/>
                <w:sz w:val="16"/>
                <w:szCs w:val="16"/>
                <w:vertAlign w:val="superscript"/>
                <w:lang w:eastAsia="en-US"/>
              </w:rPr>
              <w:t>(a)</w:t>
            </w:r>
          </w:p>
        </w:tc>
      </w:tr>
      <w:tr w:rsidR="00B208C2" w:rsidRPr="00160C23" w14:paraId="355D3E4C" w14:textId="77777777" w:rsidTr="00B208C2">
        <w:trPr>
          <w:trHeight w:val="258"/>
        </w:trPr>
        <w:tc>
          <w:tcPr>
            <w:tcW w:w="1560" w:type="dxa"/>
            <w:tcBorders>
              <w:top w:val="double" w:sz="4" w:space="0" w:color="auto"/>
              <w:bottom w:val="single" w:sz="4" w:space="0" w:color="auto"/>
              <w:right w:val="single" w:sz="4" w:space="0" w:color="auto"/>
            </w:tcBorders>
          </w:tcPr>
          <w:p w14:paraId="7DE651C2"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7DB7CFC"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A568C9E"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5307EA" w14:paraId="664E3D0E" w14:textId="77777777" w:rsidTr="00B208C2">
        <w:trPr>
          <w:cantSplit/>
          <w:trHeight w:val="642"/>
        </w:trPr>
        <w:tc>
          <w:tcPr>
            <w:tcW w:w="1560" w:type="dxa"/>
            <w:tcBorders>
              <w:top w:val="single" w:sz="4" w:space="0" w:color="auto"/>
              <w:bottom w:val="nil"/>
              <w:right w:val="single" w:sz="4" w:space="0" w:color="auto"/>
            </w:tcBorders>
          </w:tcPr>
          <w:p w14:paraId="552BCC97" w14:textId="77777777" w:rsidR="00B208C2" w:rsidRPr="00160C23" w:rsidRDefault="00B208C2" w:rsidP="00B208C2">
            <w:pPr>
              <w:pStyle w:val="TableTextBase"/>
              <w:rPr>
                <w:sz w:val="16"/>
                <w:szCs w:val="16"/>
              </w:rPr>
            </w:pPr>
            <w:r w:rsidRPr="00160C23">
              <w:rPr>
                <w:sz w:val="16"/>
                <w:szCs w:val="16"/>
              </w:rPr>
              <w:t xml:space="preserve">Current year </w:t>
            </w:r>
          </w:p>
          <w:p w14:paraId="0C5494AD" w14:textId="77777777" w:rsidR="00B208C2" w:rsidRPr="00160C23" w:rsidRDefault="00B208C2" w:rsidP="00B208C2">
            <w:pPr>
              <w:pStyle w:val="TableTextBase"/>
              <w:rPr>
                <w:sz w:val="16"/>
                <w:szCs w:val="16"/>
              </w:rPr>
            </w:pPr>
            <w:r>
              <w:rPr>
                <w:sz w:val="16"/>
                <w:szCs w:val="16"/>
              </w:rPr>
              <w:t>2021–</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23D85FD4" w14:textId="77777777" w:rsidR="00B208C2" w:rsidRPr="001F7463" w:rsidRDefault="00B208C2" w:rsidP="00B208C2">
            <w:pPr>
              <w:spacing w:before="60" w:after="60" w:line="240" w:lineRule="auto"/>
              <w:contextualSpacing/>
              <w:jc w:val="left"/>
              <w:rPr>
                <w:rFonts w:ascii="Arial" w:hAnsi="Arial" w:cs="Arial"/>
                <w:sz w:val="16"/>
                <w:szCs w:val="16"/>
              </w:rPr>
            </w:pPr>
            <w:r w:rsidRPr="00A46594">
              <w:rPr>
                <w:rFonts w:ascii="Arial" w:eastAsia="Calibri" w:hAnsi="Arial" w:cs="Arial"/>
                <w:sz w:val="16"/>
                <w:szCs w:val="16"/>
                <w:lang w:eastAsia="en-US"/>
              </w:rPr>
              <w:t xml:space="preserve">Implementing </w:t>
            </w:r>
            <w:r w:rsidRPr="00A46594">
              <w:rPr>
                <w:rFonts w:ascii="Arial" w:eastAsia="Calibri" w:hAnsi="Arial" w:cs="Arial"/>
                <w:i/>
                <w:sz w:val="16"/>
                <w:szCs w:val="16"/>
                <w:lang w:eastAsia="en-US"/>
              </w:rPr>
              <w:t>Our North, Our Future: 2021</w:t>
            </w:r>
            <w:r w:rsidRPr="00A46594">
              <w:rPr>
                <w:rFonts w:ascii="Arial" w:eastAsia="Calibri" w:hAnsi="Arial" w:cs="Arial"/>
                <w:i/>
                <w:sz w:val="16"/>
                <w:szCs w:val="16"/>
                <w:lang w:eastAsia="en-US"/>
              </w:rPr>
              <w:noBreakHyphen/>
              <w:t>2026</w:t>
            </w:r>
          </w:p>
        </w:tc>
        <w:tc>
          <w:tcPr>
            <w:tcW w:w="2977" w:type="dxa"/>
            <w:tcBorders>
              <w:top w:val="single" w:sz="4" w:space="0" w:color="auto"/>
              <w:left w:val="single" w:sz="4" w:space="0" w:color="auto"/>
              <w:bottom w:val="single" w:sz="4" w:space="0" w:color="auto"/>
            </w:tcBorders>
          </w:tcPr>
          <w:p w14:paraId="3EE11D96" w14:textId="77777777" w:rsidR="00B208C2" w:rsidRPr="00A46594" w:rsidRDefault="00B208C2" w:rsidP="00B208C2">
            <w:pPr>
              <w:spacing w:before="60" w:after="60" w:line="240" w:lineRule="auto"/>
              <w:ind w:right="-12"/>
              <w:jc w:val="left"/>
              <w:rPr>
                <w:rFonts w:ascii="Arial" w:eastAsia="Calibri" w:hAnsi="Arial" w:cs="Arial"/>
                <w:sz w:val="16"/>
                <w:szCs w:val="16"/>
                <w:lang w:eastAsia="en-US"/>
              </w:rPr>
            </w:pPr>
            <w:r w:rsidRPr="00A46594">
              <w:rPr>
                <w:rFonts w:ascii="Arial" w:eastAsia="Calibri" w:hAnsi="Arial" w:cs="Arial"/>
                <w:sz w:val="16"/>
                <w:szCs w:val="16"/>
                <w:lang w:eastAsia="en-US"/>
              </w:rPr>
              <w:t>Implement an evaluation framework which includes identifying indicators and a methodology for performance monitoring, and establishing a baseline</w:t>
            </w:r>
          </w:p>
          <w:p w14:paraId="5D38C79A" w14:textId="77777777" w:rsidR="00B208C2" w:rsidRPr="005307EA"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Target expected to be met</w:t>
            </w:r>
          </w:p>
        </w:tc>
      </w:tr>
      <w:tr w:rsidR="00B208C2" w:rsidRPr="005307EA" w14:paraId="2DE13D62" w14:textId="77777777" w:rsidTr="00B208C2">
        <w:trPr>
          <w:cantSplit/>
          <w:trHeight w:val="642"/>
        </w:trPr>
        <w:tc>
          <w:tcPr>
            <w:tcW w:w="1560" w:type="dxa"/>
            <w:tcBorders>
              <w:top w:val="nil"/>
              <w:bottom w:val="double" w:sz="4" w:space="0" w:color="auto"/>
              <w:right w:val="single" w:sz="4" w:space="0" w:color="auto"/>
            </w:tcBorders>
          </w:tcPr>
          <w:p w14:paraId="62892151"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double" w:sz="4" w:space="0" w:color="auto"/>
              <w:right w:val="single" w:sz="4" w:space="0" w:color="auto"/>
            </w:tcBorders>
          </w:tcPr>
          <w:p w14:paraId="41D01B75"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Impact of projects supported by the Northern Australia Infrastructure Facility (NAIF) during the financial year, indicated through:</w:t>
            </w:r>
          </w:p>
          <w:p w14:paraId="67BA3B15" w14:textId="77777777" w:rsidR="00B208C2" w:rsidRDefault="00B208C2" w:rsidP="00B208C2">
            <w:pPr>
              <w:numPr>
                <w:ilvl w:val="0"/>
                <w:numId w:val="27"/>
              </w:numPr>
              <w:spacing w:before="60" w:after="60" w:line="240" w:lineRule="auto"/>
              <w:ind w:left="284" w:hanging="284"/>
              <w:contextualSpacing/>
              <w:jc w:val="left"/>
              <w:rPr>
                <w:rFonts w:ascii="Arial" w:eastAsia="Calibri" w:hAnsi="Arial" w:cs="Arial"/>
                <w:sz w:val="16"/>
                <w:szCs w:val="16"/>
                <w:lang w:eastAsia="en-US"/>
              </w:rPr>
            </w:pPr>
            <w:r w:rsidRPr="00A46594">
              <w:rPr>
                <w:rFonts w:ascii="Arial" w:eastAsia="Calibri" w:hAnsi="Arial" w:cs="Arial"/>
                <w:sz w:val="16"/>
                <w:szCs w:val="16"/>
                <w:lang w:eastAsia="en-US"/>
              </w:rPr>
              <w:t>Total number of new jobs created</w:t>
            </w:r>
          </w:p>
          <w:p w14:paraId="6E797DD3" w14:textId="77777777" w:rsidR="00B208C2" w:rsidRPr="00F91D65" w:rsidRDefault="00B208C2" w:rsidP="00B208C2">
            <w:pPr>
              <w:numPr>
                <w:ilvl w:val="0"/>
                <w:numId w:val="27"/>
              </w:numPr>
              <w:spacing w:before="60" w:after="60" w:line="240" w:lineRule="auto"/>
              <w:ind w:left="284" w:hanging="284"/>
              <w:contextualSpacing/>
              <w:jc w:val="left"/>
              <w:rPr>
                <w:rFonts w:ascii="Arial" w:eastAsia="Calibri" w:hAnsi="Arial" w:cs="Arial"/>
                <w:sz w:val="16"/>
                <w:szCs w:val="16"/>
                <w:lang w:eastAsia="en-US"/>
              </w:rPr>
            </w:pPr>
            <w:r w:rsidRPr="00F91D65">
              <w:rPr>
                <w:rFonts w:ascii="Arial" w:eastAsia="Calibri" w:hAnsi="Arial" w:cs="Arial"/>
                <w:sz w:val="16"/>
                <w:szCs w:val="16"/>
                <w:lang w:eastAsia="en-US"/>
              </w:rPr>
              <w:t>Total number of new Indigenous jobs created</w:t>
            </w:r>
          </w:p>
        </w:tc>
        <w:tc>
          <w:tcPr>
            <w:tcW w:w="2977" w:type="dxa"/>
            <w:tcBorders>
              <w:top w:val="single" w:sz="4" w:space="0" w:color="auto"/>
              <w:left w:val="single" w:sz="4" w:space="0" w:color="auto"/>
              <w:bottom w:val="double" w:sz="4" w:space="0" w:color="auto"/>
            </w:tcBorders>
          </w:tcPr>
          <w:p w14:paraId="45DD08C1" w14:textId="77777777" w:rsidR="00B208C2" w:rsidRPr="00A46594" w:rsidRDefault="00B208C2" w:rsidP="00B208C2">
            <w:pPr>
              <w:spacing w:before="60" w:after="60" w:line="240" w:lineRule="auto"/>
              <w:ind w:right="-12"/>
              <w:jc w:val="left"/>
              <w:rPr>
                <w:rFonts w:ascii="Arial" w:eastAsia="Calibri" w:hAnsi="Arial" w:cs="Arial"/>
                <w:sz w:val="16"/>
                <w:szCs w:val="16"/>
                <w:lang w:eastAsia="en-US"/>
              </w:rPr>
            </w:pPr>
            <w:r w:rsidRPr="00A46594">
              <w:rPr>
                <w:rFonts w:ascii="Arial" w:eastAsia="Calibri" w:hAnsi="Arial" w:cs="Arial"/>
                <w:sz w:val="16"/>
                <w:szCs w:val="16"/>
                <w:lang w:eastAsia="en-US"/>
              </w:rPr>
              <w:t>Year-on-year increase</w:t>
            </w:r>
          </w:p>
          <w:p w14:paraId="4BA5ACC1" w14:textId="77777777" w:rsidR="00B208C2" w:rsidRPr="005307EA" w:rsidRDefault="00B208C2" w:rsidP="00B208C2">
            <w:pPr>
              <w:pStyle w:val="TableTextBase"/>
              <w:rPr>
                <w:sz w:val="16"/>
                <w:szCs w:val="16"/>
              </w:rPr>
            </w:pPr>
            <w:r w:rsidRPr="00A46594">
              <w:rPr>
                <w:rFonts w:eastAsia="Calibri" w:cs="Arial"/>
                <w:sz w:val="16"/>
                <w:szCs w:val="16"/>
                <w:lang w:eastAsia="en-US"/>
              </w:rPr>
              <w:t>Target expected to be met</w:t>
            </w:r>
          </w:p>
        </w:tc>
      </w:tr>
      <w:tr w:rsidR="00B208C2" w14:paraId="3AF10165" w14:textId="77777777" w:rsidTr="00B208C2">
        <w:trPr>
          <w:cantSplit/>
          <w:trHeight w:val="222"/>
        </w:trPr>
        <w:tc>
          <w:tcPr>
            <w:tcW w:w="1560" w:type="dxa"/>
            <w:tcBorders>
              <w:top w:val="double" w:sz="4" w:space="0" w:color="auto"/>
              <w:bottom w:val="nil"/>
              <w:right w:val="single" w:sz="4" w:space="0" w:color="auto"/>
            </w:tcBorders>
          </w:tcPr>
          <w:p w14:paraId="34FCA734" w14:textId="77777777" w:rsidR="00B208C2" w:rsidRPr="00A7725C" w:rsidRDefault="00B208C2" w:rsidP="00B208C2">
            <w:pPr>
              <w:pStyle w:val="TableTextBase"/>
              <w:rPr>
                <w:b/>
                <w:sz w:val="16"/>
                <w:szCs w:val="16"/>
              </w:rPr>
            </w:pPr>
            <w:r w:rsidRPr="00A7725C">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BA73E1F" w14:textId="77777777" w:rsidR="00B208C2" w:rsidRPr="00A7725C" w:rsidRDefault="00B208C2" w:rsidP="00B208C2">
            <w:pPr>
              <w:pStyle w:val="TableTextBase"/>
              <w:rPr>
                <w:b/>
                <w:sz w:val="16"/>
                <w:szCs w:val="16"/>
              </w:rPr>
            </w:pPr>
            <w:r w:rsidRPr="00A7725C">
              <w:rPr>
                <w:b/>
                <w:sz w:val="16"/>
                <w:szCs w:val="16"/>
              </w:rPr>
              <w:t>Performance measures</w:t>
            </w:r>
          </w:p>
        </w:tc>
        <w:tc>
          <w:tcPr>
            <w:tcW w:w="2977" w:type="dxa"/>
            <w:tcBorders>
              <w:top w:val="double" w:sz="4" w:space="0" w:color="auto"/>
              <w:left w:val="single" w:sz="4" w:space="0" w:color="auto"/>
              <w:bottom w:val="single" w:sz="4" w:space="0" w:color="auto"/>
            </w:tcBorders>
          </w:tcPr>
          <w:p w14:paraId="3A0708FF" w14:textId="366E19F9" w:rsidR="00B208C2" w:rsidRPr="00A46594" w:rsidRDefault="003F1EC3" w:rsidP="00B208C2">
            <w:pPr>
              <w:pStyle w:val="TableTextBase"/>
              <w:rPr>
                <w:rFonts w:eastAsia="Calibri" w:cs="Arial"/>
                <w:sz w:val="16"/>
                <w:szCs w:val="16"/>
                <w:lang w:eastAsia="en-US"/>
              </w:rPr>
            </w:pPr>
            <w:r>
              <w:rPr>
                <w:rFonts w:cs="Arial"/>
                <w:b/>
                <w:sz w:val="16"/>
                <w:szCs w:val="16"/>
              </w:rPr>
              <w:t>Planned</w:t>
            </w:r>
            <w:r w:rsidR="00B208C2" w:rsidRPr="00160C23">
              <w:rPr>
                <w:rFonts w:cs="Arial"/>
                <w:b/>
                <w:sz w:val="16"/>
                <w:szCs w:val="16"/>
              </w:rPr>
              <w:t xml:space="preserve"> Performance Results</w:t>
            </w:r>
          </w:p>
        </w:tc>
      </w:tr>
      <w:tr w:rsidR="00B208C2" w14:paraId="6960AFD0" w14:textId="77777777" w:rsidTr="00B208C2">
        <w:trPr>
          <w:cantSplit/>
          <w:trHeight w:val="642"/>
        </w:trPr>
        <w:tc>
          <w:tcPr>
            <w:tcW w:w="1560" w:type="dxa"/>
            <w:tcBorders>
              <w:top w:val="single" w:sz="4" w:space="0" w:color="auto"/>
              <w:bottom w:val="nil"/>
              <w:right w:val="single" w:sz="4" w:space="0" w:color="auto"/>
            </w:tcBorders>
          </w:tcPr>
          <w:p w14:paraId="4ACF429A"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0C3AEFA8" w14:textId="77777777" w:rsidR="00B208C2" w:rsidRPr="00160C23" w:rsidRDefault="00B208C2" w:rsidP="00B208C2">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4C08AE1D" w14:textId="77777777" w:rsidR="00B208C2" w:rsidRPr="001F7463" w:rsidRDefault="00B208C2" w:rsidP="00B208C2">
            <w:pPr>
              <w:spacing w:before="60" w:after="60" w:line="240" w:lineRule="auto"/>
              <w:contextualSpacing/>
              <w:jc w:val="left"/>
              <w:rPr>
                <w:rFonts w:ascii="Arial" w:eastAsia="Calibri" w:hAnsi="Arial" w:cs="Arial"/>
                <w:sz w:val="16"/>
                <w:szCs w:val="16"/>
                <w:lang w:eastAsia="en-US"/>
              </w:rPr>
            </w:pPr>
            <w:r w:rsidRPr="00A46594">
              <w:rPr>
                <w:rFonts w:ascii="Arial" w:eastAsia="Calibri" w:hAnsi="Arial" w:cs="Arial"/>
                <w:sz w:val="16"/>
                <w:szCs w:val="16"/>
                <w:lang w:eastAsia="en-US"/>
              </w:rPr>
              <w:t xml:space="preserve">Implementing </w:t>
            </w:r>
            <w:r w:rsidRPr="00A46594">
              <w:rPr>
                <w:rFonts w:ascii="Arial" w:eastAsia="Calibri" w:hAnsi="Arial" w:cs="Arial"/>
                <w:i/>
                <w:sz w:val="16"/>
                <w:szCs w:val="16"/>
                <w:lang w:eastAsia="en-US"/>
              </w:rPr>
              <w:t>Our North, Our Future: 2021</w:t>
            </w:r>
            <w:r w:rsidRPr="00A46594">
              <w:rPr>
                <w:rFonts w:ascii="Arial" w:eastAsia="Calibri" w:hAnsi="Arial" w:cs="Arial"/>
                <w:i/>
                <w:sz w:val="16"/>
                <w:szCs w:val="16"/>
                <w:lang w:eastAsia="en-US"/>
              </w:rPr>
              <w:noBreakHyphen/>
              <w:t>2026</w:t>
            </w:r>
          </w:p>
        </w:tc>
        <w:tc>
          <w:tcPr>
            <w:tcW w:w="2977" w:type="dxa"/>
            <w:tcBorders>
              <w:top w:val="single" w:sz="4" w:space="0" w:color="auto"/>
              <w:left w:val="single" w:sz="4" w:space="0" w:color="auto"/>
              <w:bottom w:val="single" w:sz="4" w:space="0" w:color="auto"/>
            </w:tcBorders>
          </w:tcPr>
          <w:p w14:paraId="040C5D37" w14:textId="77777777" w:rsidR="00B208C2" w:rsidRDefault="00B208C2" w:rsidP="00B208C2">
            <w:pPr>
              <w:pStyle w:val="TableTextBase"/>
              <w:rPr>
                <w:rFonts w:eastAsia="Calibri" w:cs="Arial"/>
                <w:sz w:val="16"/>
                <w:szCs w:val="16"/>
                <w:lang w:eastAsia="en-US"/>
              </w:rPr>
            </w:pPr>
            <w:r w:rsidRPr="00A46594">
              <w:rPr>
                <w:rFonts w:eastAsia="Calibri" w:cs="Arial"/>
                <w:sz w:val="16"/>
                <w:szCs w:val="16"/>
                <w:lang w:eastAsia="en-US"/>
              </w:rPr>
              <w:t xml:space="preserve">Progress implementation of key </w:t>
            </w:r>
            <w:r w:rsidRPr="00A46594">
              <w:rPr>
                <w:rFonts w:eastAsia="Calibri" w:cs="Arial"/>
                <w:i/>
                <w:sz w:val="16"/>
                <w:szCs w:val="16"/>
                <w:lang w:eastAsia="en-US"/>
              </w:rPr>
              <w:t>Our North, Our Future: 2021-2026 – Targeted Growth</w:t>
            </w:r>
            <w:r w:rsidRPr="00A46594">
              <w:rPr>
                <w:rFonts w:eastAsia="Calibri" w:cs="Arial"/>
                <w:sz w:val="16"/>
                <w:szCs w:val="16"/>
                <w:lang w:eastAsia="en-US"/>
              </w:rPr>
              <w:t xml:space="preserve"> initiatives: Regions of Growth Master Plans, Northern Australia Programs and Connecting Northern Australia initiatives</w:t>
            </w:r>
          </w:p>
        </w:tc>
      </w:tr>
      <w:tr w:rsidR="00B208C2" w14:paraId="630AB7BD" w14:textId="77777777" w:rsidTr="00B208C2">
        <w:trPr>
          <w:cantSplit/>
          <w:trHeight w:val="642"/>
        </w:trPr>
        <w:tc>
          <w:tcPr>
            <w:tcW w:w="1560" w:type="dxa"/>
            <w:tcBorders>
              <w:top w:val="nil"/>
              <w:bottom w:val="single" w:sz="4" w:space="0" w:color="auto"/>
              <w:right w:val="single" w:sz="4" w:space="0" w:color="auto"/>
            </w:tcBorders>
          </w:tcPr>
          <w:p w14:paraId="3D45BE8A" w14:textId="77777777" w:rsidR="00B208C2" w:rsidRPr="00BE08C4" w:rsidRDefault="00B208C2" w:rsidP="00B208C2">
            <w:pPr>
              <w:spacing w:before="60" w:after="60" w:line="240" w:lineRule="auto"/>
              <w:jc w:val="left"/>
              <w:rPr>
                <w:rFonts w:ascii="Arial" w:eastAsia="Calibri" w:hAnsi="Arial" w:cs="Arial"/>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14:paraId="37AB9744"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Impact of projects supported by the Northern Australia Infrastructure Facility (NAIF) during the financial year, indicated through:</w:t>
            </w:r>
          </w:p>
          <w:p w14:paraId="4CD6CB18" w14:textId="77777777" w:rsidR="00B208C2" w:rsidRDefault="00B208C2" w:rsidP="00B208C2">
            <w:pPr>
              <w:numPr>
                <w:ilvl w:val="0"/>
                <w:numId w:val="52"/>
              </w:numPr>
              <w:spacing w:before="60" w:after="60" w:line="240" w:lineRule="auto"/>
              <w:ind w:left="284" w:hanging="284"/>
              <w:contextualSpacing/>
              <w:jc w:val="left"/>
              <w:rPr>
                <w:rFonts w:ascii="Arial" w:eastAsia="Calibri" w:hAnsi="Arial" w:cs="Arial"/>
                <w:sz w:val="16"/>
                <w:szCs w:val="16"/>
                <w:lang w:eastAsia="en-US"/>
              </w:rPr>
            </w:pPr>
            <w:r w:rsidRPr="00A46594">
              <w:rPr>
                <w:rFonts w:ascii="Arial" w:eastAsia="Calibri" w:hAnsi="Arial" w:cs="Arial"/>
                <w:sz w:val="16"/>
                <w:szCs w:val="16"/>
                <w:lang w:eastAsia="en-US"/>
              </w:rPr>
              <w:t>Total number of new jobs created</w:t>
            </w:r>
          </w:p>
          <w:p w14:paraId="673A24D1" w14:textId="77777777" w:rsidR="00B208C2" w:rsidRPr="00F91D65" w:rsidRDefault="00B208C2" w:rsidP="00B208C2">
            <w:pPr>
              <w:numPr>
                <w:ilvl w:val="0"/>
                <w:numId w:val="52"/>
              </w:numPr>
              <w:spacing w:before="60" w:after="60" w:line="240" w:lineRule="auto"/>
              <w:ind w:left="284" w:hanging="284"/>
              <w:contextualSpacing/>
              <w:jc w:val="left"/>
              <w:rPr>
                <w:rFonts w:ascii="Arial" w:eastAsia="Calibri" w:hAnsi="Arial" w:cs="Arial"/>
                <w:sz w:val="16"/>
                <w:szCs w:val="16"/>
                <w:lang w:eastAsia="en-US"/>
              </w:rPr>
            </w:pPr>
            <w:r w:rsidRPr="00F91D65">
              <w:rPr>
                <w:rFonts w:ascii="Arial" w:eastAsia="Calibri" w:hAnsi="Arial" w:cs="Arial"/>
                <w:sz w:val="16"/>
                <w:szCs w:val="16"/>
                <w:lang w:eastAsia="en-US"/>
              </w:rPr>
              <w:t>Total number of new Indigenous jobs created</w:t>
            </w:r>
          </w:p>
        </w:tc>
        <w:tc>
          <w:tcPr>
            <w:tcW w:w="2977" w:type="dxa"/>
            <w:tcBorders>
              <w:top w:val="single" w:sz="4" w:space="0" w:color="auto"/>
              <w:left w:val="single" w:sz="4" w:space="0" w:color="auto"/>
              <w:bottom w:val="single" w:sz="4" w:space="0" w:color="auto"/>
            </w:tcBorders>
          </w:tcPr>
          <w:p w14:paraId="3CA3629B" w14:textId="77777777" w:rsidR="00B208C2" w:rsidRDefault="00B208C2" w:rsidP="00B208C2">
            <w:pPr>
              <w:pStyle w:val="TableTextBase"/>
              <w:rPr>
                <w:rFonts w:eastAsia="Calibri" w:cs="Arial"/>
                <w:sz w:val="16"/>
                <w:szCs w:val="16"/>
                <w:lang w:eastAsia="en-US"/>
              </w:rPr>
            </w:pPr>
            <w:r w:rsidRPr="00A46594">
              <w:rPr>
                <w:rFonts w:eastAsia="Calibri" w:cs="Arial"/>
                <w:sz w:val="16"/>
                <w:szCs w:val="16"/>
                <w:lang w:eastAsia="en-US"/>
              </w:rPr>
              <w:t>Year-on-year increase</w:t>
            </w:r>
          </w:p>
        </w:tc>
      </w:tr>
      <w:tr w:rsidR="00B208C2" w14:paraId="004974F5" w14:textId="77777777" w:rsidTr="00B208C2">
        <w:trPr>
          <w:cantSplit/>
          <w:trHeight w:val="642"/>
        </w:trPr>
        <w:tc>
          <w:tcPr>
            <w:tcW w:w="1560" w:type="dxa"/>
            <w:vMerge w:val="restart"/>
            <w:tcBorders>
              <w:top w:val="single" w:sz="4" w:space="0" w:color="auto"/>
              <w:right w:val="single" w:sz="4" w:space="0" w:color="auto"/>
            </w:tcBorders>
          </w:tcPr>
          <w:p w14:paraId="2D37A8ED"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4B5848B7"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 xml:space="preserve">Implementing </w:t>
            </w:r>
            <w:r w:rsidRPr="00A46594">
              <w:rPr>
                <w:rFonts w:ascii="Arial" w:eastAsia="Calibri" w:hAnsi="Arial" w:cs="Arial"/>
                <w:i/>
                <w:sz w:val="16"/>
                <w:szCs w:val="16"/>
                <w:lang w:eastAsia="en-US"/>
              </w:rPr>
              <w:t>Our North, Our Future: 2021</w:t>
            </w:r>
            <w:r w:rsidRPr="00A46594">
              <w:rPr>
                <w:rFonts w:ascii="Arial" w:eastAsia="Calibri" w:hAnsi="Arial" w:cs="Arial"/>
                <w:i/>
                <w:sz w:val="16"/>
                <w:szCs w:val="16"/>
                <w:lang w:eastAsia="en-US"/>
              </w:rPr>
              <w:noBreakHyphen/>
              <w:t>2026</w:t>
            </w:r>
          </w:p>
        </w:tc>
        <w:tc>
          <w:tcPr>
            <w:tcW w:w="2977" w:type="dxa"/>
            <w:tcBorders>
              <w:top w:val="single" w:sz="4" w:space="0" w:color="auto"/>
              <w:left w:val="single" w:sz="4" w:space="0" w:color="auto"/>
              <w:bottom w:val="single" w:sz="4" w:space="0" w:color="auto"/>
            </w:tcBorders>
          </w:tcPr>
          <w:p w14:paraId="14EA6C4D" w14:textId="77777777" w:rsidR="00B208C2" w:rsidRPr="001F7463" w:rsidRDefault="00B208C2" w:rsidP="00B208C2">
            <w:pPr>
              <w:pStyle w:val="TableTextBase"/>
              <w:rPr>
                <w:rFonts w:eastAsia="Calibri" w:cs="Arial"/>
                <w:b/>
                <w:sz w:val="16"/>
                <w:szCs w:val="16"/>
                <w:lang w:eastAsia="en-US"/>
              </w:rPr>
            </w:pPr>
            <w:r w:rsidRPr="00A46594">
              <w:rPr>
                <w:rFonts w:eastAsia="Calibri" w:cs="Arial"/>
                <w:sz w:val="16"/>
                <w:szCs w:val="16"/>
                <w:lang w:eastAsia="en-US"/>
              </w:rPr>
              <w:t>Forward targets to be set following implementation of monitoring, evaluation and reporting framework in late 2021–22</w:t>
            </w:r>
          </w:p>
        </w:tc>
      </w:tr>
      <w:tr w:rsidR="00B208C2" w14:paraId="4E6381A4" w14:textId="77777777" w:rsidTr="00B208C2">
        <w:trPr>
          <w:cantSplit/>
          <w:trHeight w:val="642"/>
        </w:trPr>
        <w:tc>
          <w:tcPr>
            <w:tcW w:w="1560" w:type="dxa"/>
            <w:vMerge/>
            <w:tcBorders>
              <w:bottom w:val="single" w:sz="4" w:space="0" w:color="auto"/>
              <w:right w:val="single" w:sz="4" w:space="0" w:color="auto"/>
            </w:tcBorders>
          </w:tcPr>
          <w:p w14:paraId="4D208E52" w14:textId="4EF3AA93" w:rsidR="00B208C2" w:rsidRPr="00BE08C4" w:rsidRDefault="00B208C2" w:rsidP="00B208C2">
            <w:pPr>
              <w:spacing w:before="60" w:after="60" w:line="240" w:lineRule="auto"/>
              <w:jc w:val="left"/>
              <w:rPr>
                <w:rFonts w:ascii="Arial" w:eastAsia="Calibri" w:hAnsi="Arial" w:cs="Arial"/>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14:paraId="7500B0A2"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Impact of projects supported by the Northern Australia Infrastructure Facility (NAIF) during the financial year, indicated through:</w:t>
            </w:r>
          </w:p>
          <w:p w14:paraId="368536AE" w14:textId="77777777" w:rsidR="00B208C2" w:rsidRPr="008908B4" w:rsidRDefault="00B208C2" w:rsidP="009E60A3">
            <w:pPr>
              <w:pStyle w:val="ListParagraph"/>
              <w:numPr>
                <w:ilvl w:val="0"/>
                <w:numId w:val="228"/>
              </w:numPr>
              <w:spacing w:before="60" w:after="60" w:line="240" w:lineRule="auto"/>
              <w:ind w:left="324" w:hanging="284"/>
              <w:rPr>
                <w:rFonts w:ascii="Arial" w:hAnsi="Arial" w:cs="Arial"/>
                <w:sz w:val="16"/>
                <w:szCs w:val="16"/>
              </w:rPr>
            </w:pPr>
            <w:r w:rsidRPr="008908B4">
              <w:rPr>
                <w:rFonts w:ascii="Arial" w:hAnsi="Arial" w:cs="Arial"/>
                <w:sz w:val="16"/>
                <w:szCs w:val="16"/>
              </w:rPr>
              <w:t>Total number of new jobs created</w:t>
            </w:r>
          </w:p>
          <w:p w14:paraId="2F8F868E" w14:textId="77777777" w:rsidR="00B208C2" w:rsidRPr="008908B4" w:rsidRDefault="00B208C2" w:rsidP="009E60A3">
            <w:pPr>
              <w:pStyle w:val="ListParagraph"/>
              <w:numPr>
                <w:ilvl w:val="0"/>
                <w:numId w:val="228"/>
              </w:numPr>
              <w:spacing w:before="60" w:after="60" w:line="240" w:lineRule="auto"/>
              <w:ind w:left="324" w:hanging="284"/>
              <w:rPr>
                <w:rFonts w:ascii="Arial" w:hAnsi="Arial" w:cs="Arial"/>
                <w:sz w:val="16"/>
                <w:szCs w:val="16"/>
              </w:rPr>
            </w:pPr>
            <w:r w:rsidRPr="008908B4">
              <w:rPr>
                <w:rFonts w:ascii="Arial" w:hAnsi="Arial" w:cs="Arial"/>
                <w:sz w:val="16"/>
                <w:szCs w:val="16"/>
              </w:rPr>
              <w:t>Total number of new Indigenous jobs created</w:t>
            </w:r>
          </w:p>
        </w:tc>
        <w:tc>
          <w:tcPr>
            <w:tcW w:w="2977" w:type="dxa"/>
            <w:tcBorders>
              <w:top w:val="single" w:sz="4" w:space="0" w:color="auto"/>
              <w:left w:val="single" w:sz="4" w:space="0" w:color="auto"/>
              <w:bottom w:val="single" w:sz="4" w:space="0" w:color="auto"/>
            </w:tcBorders>
          </w:tcPr>
          <w:p w14:paraId="3029CB28" w14:textId="77777777" w:rsidR="00B208C2" w:rsidRPr="001F7463" w:rsidRDefault="00B208C2" w:rsidP="00B208C2">
            <w:pPr>
              <w:pStyle w:val="TableTextBase"/>
              <w:rPr>
                <w:rFonts w:eastAsia="Calibri" w:cs="Arial"/>
                <w:b/>
                <w:sz w:val="16"/>
                <w:szCs w:val="16"/>
                <w:lang w:eastAsia="en-US"/>
              </w:rPr>
            </w:pPr>
            <w:r w:rsidRPr="008908B4">
              <w:rPr>
                <w:rFonts w:eastAsia="Calibri" w:cs="Arial"/>
                <w:sz w:val="16"/>
                <w:szCs w:val="16"/>
                <w:lang w:eastAsia="en-US"/>
              </w:rPr>
              <w:t>Year-on-year</w:t>
            </w:r>
            <w:r w:rsidRPr="00A46594">
              <w:rPr>
                <w:rFonts w:eastAsia="Calibri" w:cs="Arial"/>
                <w:sz w:val="16"/>
                <w:szCs w:val="16"/>
                <w:lang w:eastAsia="en-US"/>
              </w:rPr>
              <w:t xml:space="preserve"> increase</w:t>
            </w:r>
          </w:p>
        </w:tc>
      </w:tr>
    </w:tbl>
    <w:p w14:paraId="4AA7809F" w14:textId="77777777" w:rsidR="00B208C2" w:rsidRDefault="00B208C2" w:rsidP="00B208C2">
      <w:pPr>
        <w:pStyle w:val="ChartandTableFootnoteAlpha"/>
        <w:numPr>
          <w:ilvl w:val="0"/>
          <w:numId w:val="0"/>
        </w:numPr>
        <w:spacing w:before="60"/>
        <w:ind w:left="284" w:hanging="284"/>
      </w:pPr>
      <w:r w:rsidRPr="006C6EDF">
        <w:t xml:space="preserve">New or modified performance measures that reflect new or materially changed programs are shown in </w:t>
      </w:r>
      <w:r w:rsidRPr="00E824FB">
        <w:rPr>
          <w:i/>
        </w:rPr>
        <w:t>italics</w:t>
      </w:r>
      <w:r w:rsidRPr="006C6EDF">
        <w:t xml:space="preserve">. </w:t>
      </w:r>
    </w:p>
    <w:p w14:paraId="16FE292F" w14:textId="77777777" w:rsidR="00B208C2" w:rsidRPr="0069390B" w:rsidRDefault="00B208C2" w:rsidP="00B208C2">
      <w:pPr>
        <w:pStyle w:val="ChartandTableFootnoteAlpha"/>
        <w:numPr>
          <w:ilvl w:val="0"/>
          <w:numId w:val="0"/>
        </w:numPr>
        <w:ind w:left="284" w:hanging="284"/>
        <w:rPr>
          <w:sz w:val="18"/>
        </w:rPr>
      </w:pPr>
      <w:r>
        <w:rPr>
          <w:rFonts w:cs="Arial"/>
          <w:szCs w:val="14"/>
        </w:rPr>
        <w:t xml:space="preserve">(a) </w:t>
      </w:r>
      <w:r w:rsidRPr="0069390B">
        <w:rPr>
          <w:rFonts w:cs="Arial"/>
          <w:szCs w:val="14"/>
        </w:rPr>
        <w:t>Refers to updated key activity that will be reflected in the 2022–23 Corporate Plan.</w:t>
      </w:r>
    </w:p>
    <w:p w14:paraId="390C764A" w14:textId="7AC0BD52" w:rsidR="00B91F3E" w:rsidRDefault="00B91F3E" w:rsidP="00B91F3E">
      <w:pPr>
        <w:spacing w:after="160" w:line="259" w:lineRule="auto"/>
        <w:jc w:val="left"/>
        <w:rPr>
          <w:rFonts w:ascii="Arial" w:hAnsi="Arial"/>
          <w:sz w:val="16"/>
        </w:rPr>
      </w:pPr>
      <w:r>
        <w:br w:type="page"/>
      </w:r>
    </w:p>
    <w:p w14:paraId="2E22D3BE" w14:textId="77777777" w:rsidR="00B91F3E" w:rsidRPr="00C000B8" w:rsidRDefault="00B91F3E" w:rsidP="00C000B8">
      <w:pPr>
        <w:pStyle w:val="Heading3-DITRDC"/>
      </w:pPr>
      <w:bookmarkStart w:id="39" w:name="_Toc99295951"/>
      <w:r w:rsidRPr="00C000B8">
        <w:lastRenderedPageBreak/>
        <w:t xml:space="preserve">2.4 </w:t>
      </w:r>
      <w:r w:rsidRPr="00C000B8">
        <w:tab/>
        <w:t>Budgeted expenses and performance for Outcome 4</w:t>
      </w:r>
      <w:bookmarkEnd w:id="3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B91F3E" w:rsidRPr="005E6F2B" w14:paraId="773C27CD" w14:textId="77777777" w:rsidTr="00F96D8A">
        <w:tc>
          <w:tcPr>
            <w:tcW w:w="7677" w:type="dxa"/>
            <w:shd w:val="clear" w:color="auto" w:fill="E6E6E6"/>
          </w:tcPr>
          <w:p w14:paraId="0921F838" w14:textId="77777777" w:rsidR="00B91F3E" w:rsidRPr="005E6F2B" w:rsidRDefault="00B91F3E" w:rsidP="00F96D8A">
            <w:pPr>
              <w:pStyle w:val="TableColumnHeadingLeft"/>
            </w:pPr>
            <w:r w:rsidRPr="00F862B3">
              <w:t xml:space="preserve">Outcome </w:t>
            </w:r>
            <w:r>
              <w:t>4</w:t>
            </w:r>
            <w:r w:rsidRPr="00F862B3">
              <w:t xml:space="preserve">: </w:t>
            </w:r>
            <w:r w:rsidRPr="00842923">
              <w:t>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59CFCACC" w14:textId="77777777" w:rsidR="00B91F3E" w:rsidRPr="005E6F2B" w:rsidRDefault="00B91F3E" w:rsidP="00B91F3E">
      <w:pPr>
        <w:pStyle w:val="NoSpacing"/>
      </w:pPr>
    </w:p>
    <w:p w14:paraId="6C013C8D" w14:textId="77777777" w:rsidR="00B91F3E" w:rsidRPr="00302493" w:rsidRDefault="00B91F3E" w:rsidP="00B91F3E">
      <w:pPr>
        <w:pStyle w:val="Heading5"/>
        <w:rPr>
          <w:b/>
        </w:rPr>
      </w:pPr>
      <w:r w:rsidRPr="00302493">
        <w:rPr>
          <w:b/>
        </w:rPr>
        <w:t>Budgeted expenses for Outcome 4</w:t>
      </w:r>
    </w:p>
    <w:p w14:paraId="067CCBA3" w14:textId="1B731397" w:rsidR="00B91F3E" w:rsidRDefault="00B91F3E" w:rsidP="00B91F3E">
      <w:pPr>
        <w:jc w:val="left"/>
      </w:pPr>
      <w:r w:rsidRPr="00950281">
        <w:t xml:space="preserve">This table shows how much the </w:t>
      </w:r>
      <w:r w:rsidR="003C4CC6">
        <w:t>Department</w:t>
      </w:r>
      <w:r w:rsidRPr="00950281">
        <w:t xml:space="preserve"> intends to spend (on an accrual basis) on achieving the outcome, broken down by program, as well as by </w:t>
      </w:r>
      <w:r w:rsidR="00665295">
        <w:t>a</w:t>
      </w:r>
      <w:r w:rsidRPr="00950281">
        <w:t>dministered an</w:t>
      </w:r>
      <w:r>
        <w:t xml:space="preserve">d </w:t>
      </w:r>
      <w:r w:rsidR="00665295">
        <w:t>d</w:t>
      </w:r>
      <w:r w:rsidR="003C4CC6">
        <w:t>epartment</w:t>
      </w:r>
      <w:r>
        <w:t>al funding sources.</w:t>
      </w:r>
    </w:p>
    <w:p w14:paraId="7C9CDA98" w14:textId="77777777" w:rsidR="00B91F3E" w:rsidRDefault="00B91F3E" w:rsidP="00B91F3E">
      <w:pPr>
        <w:spacing w:after="0"/>
        <w:rPr>
          <w:rFonts w:ascii="Arial" w:hAnsi="Arial" w:cs="Arial"/>
          <w:b/>
        </w:rPr>
      </w:pPr>
      <w:r w:rsidRPr="00302493">
        <w:rPr>
          <w:rFonts w:ascii="Arial" w:hAnsi="Arial" w:cs="Arial"/>
          <w:b/>
        </w:rPr>
        <w:t>Table 2.</w:t>
      </w:r>
      <w:r>
        <w:rPr>
          <w:rFonts w:ascii="Arial" w:hAnsi="Arial" w:cs="Arial"/>
          <w:b/>
        </w:rPr>
        <w:t>4</w:t>
      </w:r>
      <w:r w:rsidRPr="00302493">
        <w:rPr>
          <w:rFonts w:ascii="Arial" w:hAnsi="Arial" w:cs="Arial"/>
          <w:b/>
        </w:rPr>
        <w:t xml:space="preserve">.1: Budgeted expenses for Outcome </w:t>
      </w:r>
      <w:r>
        <w:rPr>
          <w:rFonts w:ascii="Arial" w:hAnsi="Arial" w:cs="Arial"/>
          <w:b/>
        </w:rPr>
        <w:t>4</w:t>
      </w:r>
    </w:p>
    <w:tbl>
      <w:tblPr>
        <w:tblW w:w="0" w:type="auto"/>
        <w:tblLayout w:type="fixed"/>
        <w:tblLook w:val="04A0" w:firstRow="1" w:lastRow="0" w:firstColumn="1" w:lastColumn="0" w:noHBand="0" w:noVBand="1"/>
      </w:tblPr>
      <w:tblGrid>
        <w:gridCol w:w="3402"/>
        <w:gridCol w:w="886"/>
        <w:gridCol w:w="815"/>
        <w:gridCol w:w="851"/>
        <w:gridCol w:w="850"/>
        <w:gridCol w:w="851"/>
      </w:tblGrid>
      <w:tr w:rsidR="00B91F3E" w:rsidRPr="00B620AD" w14:paraId="4DF8BCF7" w14:textId="77777777" w:rsidTr="00F96D8A">
        <w:trPr>
          <w:trHeight w:val="204"/>
        </w:trPr>
        <w:tc>
          <w:tcPr>
            <w:tcW w:w="3402" w:type="dxa"/>
            <w:tcBorders>
              <w:top w:val="single" w:sz="4" w:space="0" w:color="auto"/>
              <w:left w:val="nil"/>
              <w:bottom w:val="single" w:sz="4" w:space="0" w:color="auto"/>
              <w:right w:val="nil"/>
            </w:tcBorders>
            <w:shd w:val="clear" w:color="auto" w:fill="auto"/>
            <w:noWrap/>
            <w:vAlign w:val="bottom"/>
            <w:hideMark/>
          </w:tcPr>
          <w:p w14:paraId="287AE3C5" w14:textId="77777777" w:rsidR="00B91F3E" w:rsidRPr="00B620AD" w:rsidRDefault="00B91F3E" w:rsidP="00F96D8A">
            <w:pPr>
              <w:spacing w:after="0" w:line="240" w:lineRule="auto"/>
              <w:jc w:val="left"/>
              <w:rPr>
                <w:rFonts w:ascii="Arial" w:hAnsi="Arial" w:cs="Arial"/>
                <w:sz w:val="15"/>
                <w:szCs w:val="15"/>
              </w:rPr>
            </w:pPr>
            <w:r w:rsidRPr="00B620AD">
              <w:rPr>
                <w:rFonts w:ascii="Arial" w:hAnsi="Arial" w:cs="Arial"/>
                <w:sz w:val="15"/>
                <w:szCs w:val="15"/>
              </w:rPr>
              <w:t> </w:t>
            </w:r>
          </w:p>
        </w:tc>
        <w:tc>
          <w:tcPr>
            <w:tcW w:w="886" w:type="dxa"/>
            <w:tcBorders>
              <w:top w:val="single" w:sz="4" w:space="0" w:color="auto"/>
              <w:left w:val="nil"/>
              <w:bottom w:val="single" w:sz="4" w:space="0" w:color="auto"/>
              <w:right w:val="nil"/>
            </w:tcBorders>
            <w:shd w:val="clear" w:color="auto" w:fill="auto"/>
            <w:vAlign w:val="bottom"/>
            <w:hideMark/>
          </w:tcPr>
          <w:p w14:paraId="0D80BB6F" w14:textId="77777777" w:rsidR="00B91F3E" w:rsidRPr="00B620AD" w:rsidRDefault="00B91F3E" w:rsidP="00F96D8A">
            <w:pPr>
              <w:spacing w:after="0" w:line="240" w:lineRule="auto"/>
              <w:jc w:val="right"/>
              <w:rPr>
                <w:rFonts w:ascii="Arial" w:hAnsi="Arial" w:cs="Arial"/>
                <w:sz w:val="15"/>
                <w:szCs w:val="15"/>
              </w:rPr>
            </w:pPr>
            <w:r w:rsidRPr="00B620AD">
              <w:rPr>
                <w:rFonts w:ascii="Arial" w:hAnsi="Arial" w:cs="Arial"/>
                <w:sz w:val="15"/>
                <w:szCs w:val="15"/>
              </w:rPr>
              <w:t>2021-22</w:t>
            </w:r>
            <w:r w:rsidRPr="00B620AD">
              <w:rPr>
                <w:rFonts w:ascii="Arial" w:hAnsi="Arial" w:cs="Arial"/>
                <w:sz w:val="15"/>
                <w:szCs w:val="15"/>
              </w:rPr>
              <w:br/>
              <w:t>Estimated  actual</w:t>
            </w:r>
            <w:r w:rsidRPr="00B620AD">
              <w:rPr>
                <w:rFonts w:ascii="Arial" w:hAnsi="Arial" w:cs="Arial"/>
                <w:sz w:val="15"/>
                <w:szCs w:val="15"/>
              </w:rPr>
              <w:br/>
              <w:t>$'000</w:t>
            </w:r>
          </w:p>
        </w:tc>
        <w:tc>
          <w:tcPr>
            <w:tcW w:w="815" w:type="dxa"/>
            <w:tcBorders>
              <w:top w:val="single" w:sz="4" w:space="0" w:color="auto"/>
              <w:left w:val="nil"/>
              <w:bottom w:val="single" w:sz="4" w:space="0" w:color="auto"/>
              <w:right w:val="nil"/>
            </w:tcBorders>
            <w:shd w:val="clear" w:color="000000" w:fill="E6E6E6"/>
            <w:vAlign w:val="bottom"/>
            <w:hideMark/>
          </w:tcPr>
          <w:p w14:paraId="1EA35403" w14:textId="77777777" w:rsidR="00B91F3E" w:rsidRPr="00B620AD" w:rsidRDefault="00B91F3E" w:rsidP="00F96D8A">
            <w:pPr>
              <w:spacing w:after="0" w:line="240" w:lineRule="auto"/>
              <w:jc w:val="right"/>
              <w:rPr>
                <w:rFonts w:ascii="Arial" w:hAnsi="Arial" w:cs="Arial"/>
                <w:sz w:val="15"/>
                <w:szCs w:val="15"/>
              </w:rPr>
            </w:pPr>
            <w:r w:rsidRPr="00B620AD">
              <w:rPr>
                <w:rFonts w:ascii="Arial" w:hAnsi="Arial" w:cs="Arial"/>
                <w:sz w:val="15"/>
                <w:szCs w:val="15"/>
              </w:rPr>
              <w:t>2022-23</w:t>
            </w:r>
            <w:r w:rsidRPr="00B620AD">
              <w:rPr>
                <w:rFonts w:ascii="Arial" w:hAnsi="Arial" w:cs="Arial"/>
                <w:sz w:val="15"/>
                <w:szCs w:val="15"/>
              </w:rPr>
              <w:br/>
              <w:t xml:space="preserve"> Budget</w:t>
            </w:r>
            <w:r w:rsidRPr="00B620AD">
              <w:rPr>
                <w:rFonts w:ascii="Arial" w:hAnsi="Arial" w:cs="Arial"/>
                <w:sz w:val="15"/>
                <w:szCs w:val="15"/>
              </w:rPr>
              <w:br/>
              <w:t xml:space="preserve">                                      $'000</w:t>
            </w:r>
          </w:p>
        </w:tc>
        <w:tc>
          <w:tcPr>
            <w:tcW w:w="851" w:type="dxa"/>
            <w:tcBorders>
              <w:top w:val="single" w:sz="4" w:space="0" w:color="auto"/>
              <w:left w:val="nil"/>
              <w:bottom w:val="single" w:sz="4" w:space="0" w:color="auto"/>
              <w:right w:val="nil"/>
            </w:tcBorders>
            <w:shd w:val="clear" w:color="auto" w:fill="auto"/>
            <w:vAlign w:val="bottom"/>
            <w:hideMark/>
          </w:tcPr>
          <w:p w14:paraId="7ADAC3E3" w14:textId="77777777" w:rsidR="00B91F3E" w:rsidRPr="00B620AD" w:rsidRDefault="00B91F3E" w:rsidP="00F96D8A">
            <w:pPr>
              <w:spacing w:after="0" w:line="240" w:lineRule="auto"/>
              <w:jc w:val="right"/>
              <w:rPr>
                <w:rFonts w:ascii="Arial" w:hAnsi="Arial" w:cs="Arial"/>
                <w:sz w:val="15"/>
                <w:szCs w:val="15"/>
              </w:rPr>
            </w:pPr>
            <w:r w:rsidRPr="00B620AD">
              <w:rPr>
                <w:rFonts w:ascii="Arial" w:hAnsi="Arial" w:cs="Arial"/>
                <w:sz w:val="15"/>
                <w:szCs w:val="15"/>
              </w:rPr>
              <w:t>2023-24</w:t>
            </w:r>
            <w:r w:rsidRPr="00B620AD">
              <w:rPr>
                <w:rFonts w:ascii="Arial" w:hAnsi="Arial" w:cs="Arial"/>
                <w:sz w:val="15"/>
                <w:szCs w:val="15"/>
              </w:rPr>
              <w:br/>
              <w:t>Forward estimate</w:t>
            </w:r>
            <w:r w:rsidRPr="00B620AD">
              <w:rPr>
                <w:rFonts w:ascii="Arial" w:hAnsi="Arial" w:cs="Arial"/>
                <w:sz w:val="15"/>
                <w:szCs w:val="15"/>
              </w:rPr>
              <w:br/>
              <w:t>$'000</w:t>
            </w:r>
          </w:p>
        </w:tc>
        <w:tc>
          <w:tcPr>
            <w:tcW w:w="850" w:type="dxa"/>
            <w:tcBorders>
              <w:top w:val="single" w:sz="4" w:space="0" w:color="auto"/>
              <w:left w:val="nil"/>
              <w:bottom w:val="single" w:sz="4" w:space="0" w:color="auto"/>
              <w:right w:val="nil"/>
            </w:tcBorders>
            <w:shd w:val="clear" w:color="auto" w:fill="auto"/>
            <w:vAlign w:val="bottom"/>
            <w:hideMark/>
          </w:tcPr>
          <w:p w14:paraId="3599E2A3" w14:textId="77777777" w:rsidR="00B91F3E" w:rsidRPr="00B620AD" w:rsidRDefault="00B91F3E" w:rsidP="00F96D8A">
            <w:pPr>
              <w:spacing w:after="0" w:line="240" w:lineRule="auto"/>
              <w:jc w:val="right"/>
              <w:rPr>
                <w:rFonts w:ascii="Arial" w:hAnsi="Arial" w:cs="Arial"/>
                <w:sz w:val="15"/>
                <w:szCs w:val="15"/>
              </w:rPr>
            </w:pPr>
            <w:r w:rsidRPr="00B620AD">
              <w:rPr>
                <w:rFonts w:ascii="Arial" w:hAnsi="Arial" w:cs="Arial"/>
                <w:sz w:val="15"/>
                <w:szCs w:val="15"/>
              </w:rPr>
              <w:t>2024-25</w:t>
            </w:r>
            <w:r w:rsidRPr="00B620AD">
              <w:rPr>
                <w:rFonts w:ascii="Arial" w:hAnsi="Arial" w:cs="Arial"/>
                <w:sz w:val="15"/>
                <w:szCs w:val="15"/>
              </w:rPr>
              <w:br/>
              <w:t>Forward estimate</w:t>
            </w:r>
            <w:r w:rsidRPr="00B620AD">
              <w:rPr>
                <w:rFonts w:ascii="Arial" w:hAnsi="Arial" w:cs="Arial"/>
                <w:sz w:val="15"/>
                <w:szCs w:val="15"/>
              </w:rPr>
              <w:br/>
              <w:t>$'000</w:t>
            </w:r>
          </w:p>
        </w:tc>
        <w:tc>
          <w:tcPr>
            <w:tcW w:w="851" w:type="dxa"/>
            <w:tcBorders>
              <w:top w:val="single" w:sz="4" w:space="0" w:color="auto"/>
              <w:left w:val="nil"/>
              <w:bottom w:val="single" w:sz="4" w:space="0" w:color="auto"/>
              <w:right w:val="nil"/>
            </w:tcBorders>
            <w:shd w:val="clear" w:color="auto" w:fill="auto"/>
            <w:vAlign w:val="bottom"/>
            <w:hideMark/>
          </w:tcPr>
          <w:p w14:paraId="6B9854C3" w14:textId="77777777" w:rsidR="00B91F3E" w:rsidRPr="00B620AD" w:rsidRDefault="00B91F3E" w:rsidP="00F96D8A">
            <w:pPr>
              <w:spacing w:after="0" w:line="240" w:lineRule="auto"/>
              <w:jc w:val="right"/>
              <w:rPr>
                <w:rFonts w:ascii="Arial" w:hAnsi="Arial" w:cs="Arial"/>
                <w:sz w:val="15"/>
                <w:szCs w:val="15"/>
              </w:rPr>
            </w:pPr>
            <w:r w:rsidRPr="00B620AD">
              <w:rPr>
                <w:rFonts w:ascii="Arial" w:hAnsi="Arial" w:cs="Arial"/>
                <w:sz w:val="15"/>
                <w:szCs w:val="15"/>
              </w:rPr>
              <w:t>2025-26</w:t>
            </w:r>
            <w:r w:rsidRPr="00B620AD">
              <w:rPr>
                <w:rFonts w:ascii="Arial" w:hAnsi="Arial" w:cs="Arial"/>
                <w:sz w:val="15"/>
                <w:szCs w:val="15"/>
              </w:rPr>
              <w:br/>
              <w:t>Forward estimate</w:t>
            </w:r>
            <w:r w:rsidRPr="00B620AD">
              <w:rPr>
                <w:rFonts w:ascii="Arial" w:hAnsi="Arial" w:cs="Arial"/>
                <w:sz w:val="15"/>
                <w:szCs w:val="15"/>
              </w:rPr>
              <w:br/>
              <w:t>$'000</w:t>
            </w:r>
          </w:p>
        </w:tc>
      </w:tr>
      <w:tr w:rsidR="00B91F3E" w:rsidRPr="00B620AD" w14:paraId="7547E7B1" w14:textId="77777777" w:rsidTr="00F96D8A">
        <w:trPr>
          <w:trHeight w:val="204"/>
        </w:trPr>
        <w:tc>
          <w:tcPr>
            <w:tcW w:w="3402" w:type="dxa"/>
            <w:tcBorders>
              <w:top w:val="nil"/>
              <w:left w:val="nil"/>
              <w:bottom w:val="single" w:sz="4" w:space="0" w:color="auto"/>
              <w:right w:val="nil"/>
            </w:tcBorders>
            <w:shd w:val="clear" w:color="000000" w:fill="E6E6E6"/>
            <w:noWrap/>
            <w:vAlign w:val="bottom"/>
            <w:hideMark/>
          </w:tcPr>
          <w:p w14:paraId="5A7640F2" w14:textId="1E58C612" w:rsidR="00B91F3E" w:rsidRPr="00747426" w:rsidRDefault="00020C9D" w:rsidP="00F96D8A">
            <w:pPr>
              <w:spacing w:after="0" w:line="240" w:lineRule="auto"/>
              <w:jc w:val="left"/>
              <w:rPr>
                <w:rFonts w:ascii="Arial" w:hAnsi="Arial" w:cs="Arial"/>
                <w:b/>
                <w:bCs/>
                <w:sz w:val="16"/>
                <w:szCs w:val="16"/>
              </w:rPr>
            </w:pPr>
            <w:r w:rsidRPr="00747426">
              <w:rPr>
                <w:rFonts w:ascii="Arial" w:hAnsi="Arial" w:cs="Arial"/>
                <w:b/>
                <w:bCs/>
                <w:sz w:val="16"/>
                <w:szCs w:val="16"/>
              </w:rPr>
              <w:t>Program 4.1: Services to T</w:t>
            </w:r>
            <w:r w:rsidR="00B91F3E" w:rsidRPr="00747426">
              <w:rPr>
                <w:rFonts w:ascii="Arial" w:hAnsi="Arial" w:cs="Arial"/>
                <w:b/>
                <w:bCs/>
                <w:sz w:val="16"/>
                <w:szCs w:val="16"/>
              </w:rPr>
              <w:t>erritories</w:t>
            </w:r>
          </w:p>
        </w:tc>
        <w:tc>
          <w:tcPr>
            <w:tcW w:w="886" w:type="dxa"/>
            <w:tcBorders>
              <w:top w:val="nil"/>
              <w:left w:val="nil"/>
              <w:bottom w:val="single" w:sz="4" w:space="0" w:color="auto"/>
              <w:right w:val="nil"/>
            </w:tcBorders>
            <w:shd w:val="clear" w:color="000000" w:fill="E6E6E6"/>
            <w:noWrap/>
            <w:vAlign w:val="bottom"/>
            <w:hideMark/>
          </w:tcPr>
          <w:p w14:paraId="05A66F5D" w14:textId="77777777" w:rsidR="00B91F3E" w:rsidRPr="00B620AD" w:rsidRDefault="00B91F3E" w:rsidP="00F96D8A">
            <w:pPr>
              <w:spacing w:after="0" w:line="240" w:lineRule="auto"/>
              <w:jc w:val="right"/>
              <w:rPr>
                <w:rFonts w:ascii="Arial" w:hAnsi="Arial" w:cs="Arial"/>
                <w:sz w:val="15"/>
                <w:szCs w:val="15"/>
              </w:rPr>
            </w:pPr>
          </w:p>
        </w:tc>
        <w:tc>
          <w:tcPr>
            <w:tcW w:w="815" w:type="dxa"/>
            <w:tcBorders>
              <w:top w:val="nil"/>
              <w:left w:val="nil"/>
              <w:bottom w:val="single" w:sz="4" w:space="0" w:color="auto"/>
              <w:right w:val="nil"/>
            </w:tcBorders>
            <w:shd w:val="clear" w:color="000000" w:fill="E6E6E6"/>
            <w:noWrap/>
            <w:vAlign w:val="bottom"/>
            <w:hideMark/>
          </w:tcPr>
          <w:p w14:paraId="5D0B0864" w14:textId="77777777" w:rsidR="00B91F3E" w:rsidRPr="00B620AD" w:rsidRDefault="00B91F3E" w:rsidP="00F96D8A">
            <w:pPr>
              <w:spacing w:after="0" w:line="240" w:lineRule="auto"/>
              <w:jc w:val="right"/>
              <w:rPr>
                <w:rFonts w:ascii="Arial" w:hAnsi="Arial" w:cs="Arial"/>
                <w:sz w:val="15"/>
                <w:szCs w:val="15"/>
              </w:rPr>
            </w:pPr>
          </w:p>
        </w:tc>
        <w:tc>
          <w:tcPr>
            <w:tcW w:w="851" w:type="dxa"/>
            <w:tcBorders>
              <w:top w:val="nil"/>
              <w:left w:val="nil"/>
              <w:bottom w:val="single" w:sz="4" w:space="0" w:color="auto"/>
              <w:right w:val="nil"/>
            </w:tcBorders>
            <w:shd w:val="clear" w:color="000000" w:fill="E6E6E6"/>
            <w:noWrap/>
            <w:vAlign w:val="bottom"/>
            <w:hideMark/>
          </w:tcPr>
          <w:p w14:paraId="0B4DDAB8" w14:textId="77777777" w:rsidR="00B91F3E" w:rsidRPr="00B620AD" w:rsidRDefault="00B91F3E" w:rsidP="00F96D8A">
            <w:pPr>
              <w:spacing w:after="0" w:line="240" w:lineRule="auto"/>
              <w:jc w:val="right"/>
              <w:rPr>
                <w:rFonts w:ascii="Arial" w:hAnsi="Arial" w:cs="Arial"/>
                <w:sz w:val="15"/>
                <w:szCs w:val="15"/>
              </w:rPr>
            </w:pPr>
          </w:p>
        </w:tc>
        <w:tc>
          <w:tcPr>
            <w:tcW w:w="850" w:type="dxa"/>
            <w:tcBorders>
              <w:top w:val="nil"/>
              <w:left w:val="nil"/>
              <w:bottom w:val="single" w:sz="4" w:space="0" w:color="auto"/>
              <w:right w:val="nil"/>
            </w:tcBorders>
            <w:shd w:val="clear" w:color="000000" w:fill="E6E6E6"/>
            <w:noWrap/>
            <w:vAlign w:val="bottom"/>
            <w:hideMark/>
          </w:tcPr>
          <w:p w14:paraId="44CC7805" w14:textId="77777777" w:rsidR="00B91F3E" w:rsidRPr="00B620AD" w:rsidRDefault="00B91F3E" w:rsidP="00F96D8A">
            <w:pPr>
              <w:spacing w:after="0" w:line="240" w:lineRule="auto"/>
              <w:jc w:val="right"/>
              <w:rPr>
                <w:rFonts w:ascii="Arial" w:hAnsi="Arial" w:cs="Arial"/>
                <w:sz w:val="15"/>
                <w:szCs w:val="15"/>
              </w:rPr>
            </w:pPr>
          </w:p>
        </w:tc>
        <w:tc>
          <w:tcPr>
            <w:tcW w:w="851" w:type="dxa"/>
            <w:tcBorders>
              <w:top w:val="nil"/>
              <w:left w:val="nil"/>
              <w:bottom w:val="single" w:sz="4" w:space="0" w:color="auto"/>
              <w:right w:val="nil"/>
            </w:tcBorders>
            <w:shd w:val="clear" w:color="000000" w:fill="E6E6E6"/>
            <w:noWrap/>
            <w:vAlign w:val="bottom"/>
            <w:hideMark/>
          </w:tcPr>
          <w:p w14:paraId="732533FA" w14:textId="77777777" w:rsidR="00B91F3E" w:rsidRPr="00B620AD" w:rsidRDefault="00B91F3E" w:rsidP="00F96D8A">
            <w:pPr>
              <w:spacing w:after="0" w:line="240" w:lineRule="auto"/>
              <w:jc w:val="right"/>
              <w:rPr>
                <w:rFonts w:ascii="Arial" w:hAnsi="Arial" w:cs="Arial"/>
                <w:sz w:val="15"/>
                <w:szCs w:val="15"/>
              </w:rPr>
            </w:pPr>
          </w:p>
        </w:tc>
      </w:tr>
      <w:tr w:rsidR="00B91F3E" w:rsidRPr="00B620AD" w14:paraId="0C7795E1" w14:textId="77777777" w:rsidTr="00F96D8A">
        <w:trPr>
          <w:trHeight w:val="204"/>
        </w:trPr>
        <w:tc>
          <w:tcPr>
            <w:tcW w:w="3402" w:type="dxa"/>
            <w:tcBorders>
              <w:top w:val="nil"/>
              <w:left w:val="nil"/>
              <w:bottom w:val="nil"/>
              <w:right w:val="nil"/>
            </w:tcBorders>
            <w:shd w:val="clear" w:color="auto" w:fill="auto"/>
            <w:noWrap/>
            <w:vAlign w:val="bottom"/>
            <w:hideMark/>
          </w:tcPr>
          <w:p w14:paraId="62906477" w14:textId="77777777" w:rsidR="00B91F3E" w:rsidRPr="00665295" w:rsidRDefault="00B91F3E" w:rsidP="00F96D8A">
            <w:pPr>
              <w:spacing w:after="0" w:line="240" w:lineRule="auto"/>
              <w:jc w:val="left"/>
              <w:rPr>
                <w:rFonts w:ascii="Arial" w:hAnsi="Arial" w:cs="Arial"/>
                <w:sz w:val="16"/>
                <w:szCs w:val="16"/>
              </w:rPr>
            </w:pPr>
            <w:r w:rsidRPr="00665295">
              <w:rPr>
                <w:rFonts w:ascii="Arial" w:hAnsi="Arial" w:cs="Arial"/>
                <w:sz w:val="16"/>
                <w:szCs w:val="16"/>
              </w:rPr>
              <w:t>Administered expenses</w:t>
            </w:r>
          </w:p>
        </w:tc>
        <w:tc>
          <w:tcPr>
            <w:tcW w:w="886" w:type="dxa"/>
            <w:tcBorders>
              <w:top w:val="nil"/>
              <w:left w:val="nil"/>
              <w:bottom w:val="nil"/>
              <w:right w:val="nil"/>
            </w:tcBorders>
            <w:shd w:val="clear" w:color="auto" w:fill="auto"/>
            <w:noWrap/>
            <w:vAlign w:val="bottom"/>
            <w:hideMark/>
          </w:tcPr>
          <w:p w14:paraId="586B0A1D" w14:textId="77777777" w:rsidR="00B91F3E" w:rsidRPr="00665295" w:rsidRDefault="00B91F3E" w:rsidP="00F96D8A">
            <w:pPr>
              <w:spacing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1D6FCF0F"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56721BA" w14:textId="77777777" w:rsidR="00B91F3E" w:rsidRPr="00665295"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085CE03"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83D2314" w14:textId="77777777" w:rsidR="00B91F3E" w:rsidRPr="00665295" w:rsidRDefault="00B91F3E" w:rsidP="00F96D8A">
            <w:pPr>
              <w:spacing w:after="0" w:line="240" w:lineRule="auto"/>
              <w:jc w:val="right"/>
              <w:rPr>
                <w:rFonts w:ascii="Arial" w:hAnsi="Arial" w:cs="Arial"/>
                <w:sz w:val="16"/>
                <w:szCs w:val="16"/>
              </w:rPr>
            </w:pPr>
          </w:p>
        </w:tc>
      </w:tr>
      <w:tr w:rsidR="00D929B7" w:rsidRPr="00B620AD" w14:paraId="396E6616" w14:textId="77777777" w:rsidTr="00F96D8A">
        <w:trPr>
          <w:trHeight w:val="204"/>
        </w:trPr>
        <w:tc>
          <w:tcPr>
            <w:tcW w:w="3402" w:type="dxa"/>
            <w:tcBorders>
              <w:top w:val="nil"/>
              <w:left w:val="nil"/>
              <w:bottom w:val="nil"/>
              <w:right w:val="nil"/>
            </w:tcBorders>
            <w:shd w:val="clear" w:color="auto" w:fill="auto"/>
            <w:vAlign w:val="bottom"/>
            <w:hideMark/>
          </w:tcPr>
          <w:p w14:paraId="62BD8385" w14:textId="77777777"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Ordinary Annual Services (Appropriation Act No. 1 and Bill No. 3)</w:t>
            </w:r>
          </w:p>
        </w:tc>
        <w:tc>
          <w:tcPr>
            <w:tcW w:w="886" w:type="dxa"/>
            <w:tcBorders>
              <w:top w:val="nil"/>
              <w:left w:val="nil"/>
              <w:bottom w:val="nil"/>
              <w:right w:val="nil"/>
            </w:tcBorders>
            <w:shd w:val="clear" w:color="auto" w:fill="auto"/>
            <w:noWrap/>
            <w:vAlign w:val="bottom"/>
            <w:hideMark/>
          </w:tcPr>
          <w:p w14:paraId="1B6B7AA8" w14:textId="3798A55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214,981 </w:t>
            </w:r>
          </w:p>
        </w:tc>
        <w:tc>
          <w:tcPr>
            <w:tcW w:w="815" w:type="dxa"/>
            <w:tcBorders>
              <w:top w:val="nil"/>
              <w:left w:val="nil"/>
              <w:bottom w:val="nil"/>
              <w:right w:val="nil"/>
            </w:tcBorders>
            <w:shd w:val="clear" w:color="000000" w:fill="E6E6E6"/>
            <w:noWrap/>
            <w:vAlign w:val="bottom"/>
            <w:hideMark/>
          </w:tcPr>
          <w:p w14:paraId="054D43BF" w14:textId="64E13572"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193,064 </w:t>
            </w:r>
          </w:p>
        </w:tc>
        <w:tc>
          <w:tcPr>
            <w:tcW w:w="851" w:type="dxa"/>
            <w:tcBorders>
              <w:top w:val="nil"/>
              <w:left w:val="nil"/>
              <w:bottom w:val="nil"/>
              <w:right w:val="nil"/>
            </w:tcBorders>
            <w:shd w:val="clear" w:color="auto" w:fill="auto"/>
            <w:noWrap/>
            <w:vAlign w:val="bottom"/>
            <w:hideMark/>
          </w:tcPr>
          <w:p w14:paraId="002C9928" w14:textId="6D215FBA"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187,089 </w:t>
            </w:r>
          </w:p>
        </w:tc>
        <w:tc>
          <w:tcPr>
            <w:tcW w:w="850" w:type="dxa"/>
            <w:tcBorders>
              <w:top w:val="nil"/>
              <w:left w:val="nil"/>
              <w:bottom w:val="nil"/>
              <w:right w:val="nil"/>
            </w:tcBorders>
            <w:shd w:val="clear" w:color="auto" w:fill="auto"/>
            <w:noWrap/>
            <w:vAlign w:val="bottom"/>
            <w:hideMark/>
          </w:tcPr>
          <w:p w14:paraId="49FC51CC" w14:textId="3C2C666C"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185,749 </w:t>
            </w:r>
          </w:p>
        </w:tc>
        <w:tc>
          <w:tcPr>
            <w:tcW w:w="851" w:type="dxa"/>
            <w:tcBorders>
              <w:top w:val="nil"/>
              <w:left w:val="nil"/>
              <w:bottom w:val="nil"/>
              <w:right w:val="nil"/>
            </w:tcBorders>
            <w:shd w:val="clear" w:color="auto" w:fill="auto"/>
            <w:noWrap/>
            <w:vAlign w:val="bottom"/>
            <w:hideMark/>
          </w:tcPr>
          <w:p w14:paraId="6FDAD6C6" w14:textId="60C08C3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178,744 </w:t>
            </w:r>
          </w:p>
        </w:tc>
      </w:tr>
      <w:tr w:rsidR="00D929B7" w:rsidRPr="00B620AD" w14:paraId="4B85A680" w14:textId="77777777" w:rsidTr="00F96D8A">
        <w:trPr>
          <w:trHeight w:val="204"/>
        </w:trPr>
        <w:tc>
          <w:tcPr>
            <w:tcW w:w="3402" w:type="dxa"/>
            <w:tcBorders>
              <w:top w:val="nil"/>
              <w:left w:val="nil"/>
              <w:bottom w:val="nil"/>
              <w:right w:val="nil"/>
            </w:tcBorders>
            <w:shd w:val="clear" w:color="auto" w:fill="auto"/>
            <w:noWrap/>
            <w:vAlign w:val="bottom"/>
            <w:hideMark/>
          </w:tcPr>
          <w:p w14:paraId="5B4F3315" w14:textId="77777777"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Special Accounts</w:t>
            </w:r>
          </w:p>
        </w:tc>
        <w:tc>
          <w:tcPr>
            <w:tcW w:w="886" w:type="dxa"/>
            <w:tcBorders>
              <w:top w:val="nil"/>
              <w:left w:val="nil"/>
              <w:bottom w:val="nil"/>
              <w:right w:val="nil"/>
            </w:tcBorders>
            <w:shd w:val="clear" w:color="auto" w:fill="auto"/>
            <w:noWrap/>
            <w:vAlign w:val="bottom"/>
            <w:hideMark/>
          </w:tcPr>
          <w:p w14:paraId="08678559" w14:textId="77777777" w:rsidR="00D929B7" w:rsidRPr="00665295" w:rsidRDefault="00D929B7" w:rsidP="00D929B7">
            <w:pPr>
              <w:spacing w:after="0" w:line="240" w:lineRule="auto"/>
              <w:ind w:firstLineChars="100" w:firstLine="160"/>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06735D36" w14:textId="55D1047C"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2CB84BC" w14:textId="77777777" w:rsidR="00D929B7" w:rsidRPr="00665295" w:rsidRDefault="00D929B7" w:rsidP="00D929B7">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4AFE8E8" w14:textId="77777777" w:rsidR="00D929B7" w:rsidRPr="00665295" w:rsidRDefault="00D929B7" w:rsidP="00D929B7">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B86C023" w14:textId="77777777" w:rsidR="00D929B7" w:rsidRPr="00665295" w:rsidRDefault="00D929B7" w:rsidP="00D929B7">
            <w:pPr>
              <w:spacing w:after="0" w:line="240" w:lineRule="auto"/>
              <w:jc w:val="right"/>
              <w:rPr>
                <w:rFonts w:ascii="Arial" w:hAnsi="Arial" w:cs="Arial"/>
                <w:sz w:val="16"/>
                <w:szCs w:val="16"/>
              </w:rPr>
            </w:pPr>
          </w:p>
        </w:tc>
      </w:tr>
      <w:tr w:rsidR="00D929B7" w:rsidRPr="00B620AD" w14:paraId="7020D42E" w14:textId="77777777" w:rsidTr="00F96D8A">
        <w:trPr>
          <w:trHeight w:val="204"/>
        </w:trPr>
        <w:tc>
          <w:tcPr>
            <w:tcW w:w="3402" w:type="dxa"/>
            <w:tcBorders>
              <w:top w:val="nil"/>
              <w:left w:val="nil"/>
              <w:bottom w:val="nil"/>
              <w:right w:val="nil"/>
            </w:tcBorders>
            <w:shd w:val="clear" w:color="auto" w:fill="auto"/>
            <w:vAlign w:val="bottom"/>
            <w:hideMark/>
          </w:tcPr>
          <w:p w14:paraId="615167A5" w14:textId="77777777" w:rsidR="00D929B7" w:rsidRPr="00665295" w:rsidRDefault="00D929B7" w:rsidP="00D929B7">
            <w:pPr>
              <w:spacing w:after="0" w:line="240" w:lineRule="auto"/>
              <w:ind w:left="227"/>
              <w:jc w:val="left"/>
              <w:rPr>
                <w:rFonts w:ascii="Arial" w:hAnsi="Arial" w:cs="Arial"/>
                <w:sz w:val="16"/>
                <w:szCs w:val="16"/>
              </w:rPr>
            </w:pPr>
            <w:r w:rsidRPr="00665295">
              <w:rPr>
                <w:rFonts w:ascii="Arial" w:hAnsi="Arial" w:cs="Arial"/>
                <w:sz w:val="16"/>
                <w:szCs w:val="16"/>
              </w:rPr>
              <w:t>Christmas Island Phosphate Mining Rehabilitation Special Account 2016</w:t>
            </w:r>
          </w:p>
        </w:tc>
        <w:tc>
          <w:tcPr>
            <w:tcW w:w="886" w:type="dxa"/>
            <w:tcBorders>
              <w:top w:val="nil"/>
              <w:left w:val="nil"/>
              <w:bottom w:val="nil"/>
              <w:right w:val="nil"/>
            </w:tcBorders>
            <w:shd w:val="clear" w:color="auto" w:fill="auto"/>
            <w:noWrap/>
            <w:vAlign w:val="bottom"/>
            <w:hideMark/>
          </w:tcPr>
          <w:p w14:paraId="0B021B68" w14:textId="4BB63EE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1,200 </w:t>
            </w:r>
          </w:p>
        </w:tc>
        <w:tc>
          <w:tcPr>
            <w:tcW w:w="815" w:type="dxa"/>
            <w:tcBorders>
              <w:top w:val="nil"/>
              <w:left w:val="nil"/>
              <w:bottom w:val="nil"/>
              <w:right w:val="nil"/>
            </w:tcBorders>
            <w:shd w:val="clear" w:color="000000" w:fill="E6E6E6"/>
            <w:noWrap/>
            <w:vAlign w:val="bottom"/>
            <w:hideMark/>
          </w:tcPr>
          <w:p w14:paraId="6AE21EEC" w14:textId="25C94AEC"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1,200 </w:t>
            </w:r>
          </w:p>
        </w:tc>
        <w:tc>
          <w:tcPr>
            <w:tcW w:w="851" w:type="dxa"/>
            <w:tcBorders>
              <w:top w:val="nil"/>
              <w:left w:val="nil"/>
              <w:bottom w:val="nil"/>
              <w:right w:val="nil"/>
            </w:tcBorders>
            <w:shd w:val="clear" w:color="auto" w:fill="auto"/>
            <w:noWrap/>
            <w:vAlign w:val="bottom"/>
            <w:hideMark/>
          </w:tcPr>
          <w:p w14:paraId="7FC94223" w14:textId="1B4DE9D3"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1,200 </w:t>
            </w:r>
          </w:p>
        </w:tc>
        <w:tc>
          <w:tcPr>
            <w:tcW w:w="850" w:type="dxa"/>
            <w:tcBorders>
              <w:top w:val="nil"/>
              <w:left w:val="nil"/>
              <w:bottom w:val="nil"/>
              <w:right w:val="nil"/>
            </w:tcBorders>
            <w:shd w:val="clear" w:color="auto" w:fill="auto"/>
            <w:noWrap/>
            <w:vAlign w:val="bottom"/>
            <w:hideMark/>
          </w:tcPr>
          <w:p w14:paraId="66FB2309" w14:textId="5E14D5CB"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1,200 </w:t>
            </w:r>
          </w:p>
        </w:tc>
        <w:tc>
          <w:tcPr>
            <w:tcW w:w="851" w:type="dxa"/>
            <w:tcBorders>
              <w:top w:val="nil"/>
              <w:left w:val="nil"/>
              <w:bottom w:val="nil"/>
              <w:right w:val="nil"/>
            </w:tcBorders>
            <w:shd w:val="clear" w:color="auto" w:fill="auto"/>
            <w:noWrap/>
            <w:vAlign w:val="bottom"/>
            <w:hideMark/>
          </w:tcPr>
          <w:p w14:paraId="4B7C06E1" w14:textId="10F4D752"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1,200 </w:t>
            </w:r>
          </w:p>
        </w:tc>
      </w:tr>
      <w:tr w:rsidR="00D929B7" w:rsidRPr="00B620AD" w14:paraId="7E421632" w14:textId="77777777" w:rsidTr="00F96D8A">
        <w:trPr>
          <w:trHeight w:val="204"/>
        </w:trPr>
        <w:tc>
          <w:tcPr>
            <w:tcW w:w="3402" w:type="dxa"/>
            <w:tcBorders>
              <w:top w:val="nil"/>
              <w:left w:val="nil"/>
              <w:bottom w:val="nil"/>
              <w:right w:val="nil"/>
            </w:tcBorders>
            <w:shd w:val="clear" w:color="auto" w:fill="auto"/>
            <w:vAlign w:val="bottom"/>
            <w:hideMark/>
          </w:tcPr>
          <w:p w14:paraId="3678DEE0" w14:textId="77777777" w:rsidR="00D929B7" w:rsidRPr="00665295" w:rsidRDefault="00D929B7" w:rsidP="00D929B7">
            <w:pPr>
              <w:spacing w:after="0" w:line="240" w:lineRule="auto"/>
              <w:ind w:left="227"/>
              <w:jc w:val="left"/>
              <w:rPr>
                <w:rFonts w:ascii="Arial" w:hAnsi="Arial" w:cs="Arial"/>
                <w:sz w:val="16"/>
                <w:szCs w:val="16"/>
              </w:rPr>
            </w:pPr>
            <w:r w:rsidRPr="00665295">
              <w:rPr>
                <w:rFonts w:ascii="Arial" w:hAnsi="Arial" w:cs="Arial"/>
                <w:sz w:val="16"/>
                <w:szCs w:val="16"/>
              </w:rPr>
              <w:t>Indian Ocean Territories Special Account 2014</w:t>
            </w:r>
          </w:p>
        </w:tc>
        <w:tc>
          <w:tcPr>
            <w:tcW w:w="886" w:type="dxa"/>
            <w:tcBorders>
              <w:top w:val="nil"/>
              <w:left w:val="nil"/>
              <w:bottom w:val="nil"/>
              <w:right w:val="nil"/>
            </w:tcBorders>
            <w:shd w:val="clear" w:color="auto" w:fill="auto"/>
            <w:noWrap/>
            <w:vAlign w:val="bottom"/>
            <w:hideMark/>
          </w:tcPr>
          <w:p w14:paraId="560AFC15" w14:textId="284890F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17,006 </w:t>
            </w:r>
          </w:p>
        </w:tc>
        <w:tc>
          <w:tcPr>
            <w:tcW w:w="815" w:type="dxa"/>
            <w:tcBorders>
              <w:top w:val="nil"/>
              <w:left w:val="nil"/>
              <w:bottom w:val="nil"/>
              <w:right w:val="nil"/>
            </w:tcBorders>
            <w:shd w:val="clear" w:color="000000" w:fill="E6E6E6"/>
            <w:noWrap/>
            <w:vAlign w:val="bottom"/>
            <w:hideMark/>
          </w:tcPr>
          <w:p w14:paraId="7E75A11E" w14:textId="2C5C15D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17,515 </w:t>
            </w:r>
          </w:p>
        </w:tc>
        <w:tc>
          <w:tcPr>
            <w:tcW w:w="851" w:type="dxa"/>
            <w:tcBorders>
              <w:top w:val="nil"/>
              <w:left w:val="nil"/>
              <w:bottom w:val="nil"/>
              <w:right w:val="nil"/>
            </w:tcBorders>
            <w:shd w:val="clear" w:color="auto" w:fill="auto"/>
            <w:noWrap/>
            <w:vAlign w:val="bottom"/>
            <w:hideMark/>
          </w:tcPr>
          <w:p w14:paraId="01B306E5" w14:textId="7F211505"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17,769 </w:t>
            </w:r>
          </w:p>
        </w:tc>
        <w:tc>
          <w:tcPr>
            <w:tcW w:w="850" w:type="dxa"/>
            <w:tcBorders>
              <w:top w:val="nil"/>
              <w:left w:val="nil"/>
              <w:bottom w:val="nil"/>
              <w:right w:val="nil"/>
            </w:tcBorders>
            <w:shd w:val="clear" w:color="auto" w:fill="auto"/>
            <w:noWrap/>
            <w:vAlign w:val="bottom"/>
            <w:hideMark/>
          </w:tcPr>
          <w:p w14:paraId="4C1C3092" w14:textId="5F914ACF"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17,915 </w:t>
            </w:r>
          </w:p>
        </w:tc>
        <w:tc>
          <w:tcPr>
            <w:tcW w:w="851" w:type="dxa"/>
            <w:tcBorders>
              <w:top w:val="nil"/>
              <w:left w:val="nil"/>
              <w:bottom w:val="nil"/>
              <w:right w:val="nil"/>
            </w:tcBorders>
            <w:shd w:val="clear" w:color="auto" w:fill="auto"/>
            <w:noWrap/>
            <w:vAlign w:val="bottom"/>
            <w:hideMark/>
          </w:tcPr>
          <w:p w14:paraId="70801F6A" w14:textId="02C16C4C"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17,065 </w:t>
            </w:r>
          </w:p>
        </w:tc>
      </w:tr>
      <w:tr w:rsidR="00D929B7" w:rsidRPr="00B620AD" w14:paraId="2500490D" w14:textId="77777777" w:rsidTr="00F96D8A">
        <w:trPr>
          <w:trHeight w:val="204"/>
        </w:trPr>
        <w:tc>
          <w:tcPr>
            <w:tcW w:w="3402" w:type="dxa"/>
            <w:tcBorders>
              <w:top w:val="nil"/>
              <w:left w:val="nil"/>
              <w:bottom w:val="nil"/>
              <w:right w:val="nil"/>
            </w:tcBorders>
            <w:shd w:val="clear" w:color="auto" w:fill="auto"/>
            <w:vAlign w:val="bottom"/>
            <w:hideMark/>
          </w:tcPr>
          <w:p w14:paraId="485A838F" w14:textId="77777777" w:rsidR="00D929B7" w:rsidRPr="00665295" w:rsidRDefault="00D929B7" w:rsidP="00D929B7">
            <w:pPr>
              <w:spacing w:after="0" w:line="240" w:lineRule="auto"/>
              <w:ind w:left="227"/>
              <w:jc w:val="left"/>
              <w:rPr>
                <w:rFonts w:ascii="Arial" w:hAnsi="Arial" w:cs="Arial"/>
                <w:sz w:val="16"/>
                <w:szCs w:val="16"/>
              </w:rPr>
            </w:pPr>
            <w:r w:rsidRPr="00665295">
              <w:rPr>
                <w:rFonts w:ascii="Arial" w:hAnsi="Arial" w:cs="Arial"/>
                <w:sz w:val="16"/>
                <w:szCs w:val="16"/>
              </w:rPr>
              <w:t>Jervis Bay Territory Special Account 2014</w:t>
            </w:r>
          </w:p>
        </w:tc>
        <w:tc>
          <w:tcPr>
            <w:tcW w:w="886" w:type="dxa"/>
            <w:tcBorders>
              <w:top w:val="nil"/>
              <w:left w:val="nil"/>
              <w:bottom w:val="nil"/>
              <w:right w:val="nil"/>
            </w:tcBorders>
            <w:shd w:val="clear" w:color="auto" w:fill="auto"/>
            <w:noWrap/>
            <w:vAlign w:val="bottom"/>
            <w:hideMark/>
          </w:tcPr>
          <w:p w14:paraId="5375E77B" w14:textId="0F50362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1,219 </w:t>
            </w:r>
          </w:p>
        </w:tc>
        <w:tc>
          <w:tcPr>
            <w:tcW w:w="815" w:type="dxa"/>
            <w:tcBorders>
              <w:top w:val="nil"/>
              <w:left w:val="nil"/>
              <w:bottom w:val="nil"/>
              <w:right w:val="nil"/>
            </w:tcBorders>
            <w:shd w:val="clear" w:color="000000" w:fill="E6E6E6"/>
            <w:noWrap/>
            <w:vAlign w:val="bottom"/>
            <w:hideMark/>
          </w:tcPr>
          <w:p w14:paraId="6D3E2E0D" w14:textId="176237F5"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1,219 </w:t>
            </w:r>
          </w:p>
        </w:tc>
        <w:tc>
          <w:tcPr>
            <w:tcW w:w="851" w:type="dxa"/>
            <w:tcBorders>
              <w:top w:val="nil"/>
              <w:left w:val="nil"/>
              <w:bottom w:val="nil"/>
              <w:right w:val="nil"/>
            </w:tcBorders>
            <w:shd w:val="clear" w:color="auto" w:fill="auto"/>
            <w:noWrap/>
            <w:vAlign w:val="bottom"/>
            <w:hideMark/>
          </w:tcPr>
          <w:p w14:paraId="057996CC" w14:textId="39CBEE4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1,219 </w:t>
            </w:r>
          </w:p>
        </w:tc>
        <w:tc>
          <w:tcPr>
            <w:tcW w:w="850" w:type="dxa"/>
            <w:tcBorders>
              <w:top w:val="nil"/>
              <w:left w:val="nil"/>
              <w:bottom w:val="nil"/>
              <w:right w:val="nil"/>
            </w:tcBorders>
            <w:shd w:val="clear" w:color="auto" w:fill="auto"/>
            <w:noWrap/>
            <w:vAlign w:val="bottom"/>
            <w:hideMark/>
          </w:tcPr>
          <w:p w14:paraId="249ABD25" w14:textId="4B2CD3D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1,219 </w:t>
            </w:r>
          </w:p>
        </w:tc>
        <w:tc>
          <w:tcPr>
            <w:tcW w:w="851" w:type="dxa"/>
            <w:tcBorders>
              <w:top w:val="nil"/>
              <w:left w:val="nil"/>
              <w:bottom w:val="nil"/>
              <w:right w:val="nil"/>
            </w:tcBorders>
            <w:shd w:val="clear" w:color="auto" w:fill="auto"/>
            <w:noWrap/>
            <w:vAlign w:val="bottom"/>
            <w:hideMark/>
          </w:tcPr>
          <w:p w14:paraId="5F56EE49" w14:textId="60C581A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1,219 </w:t>
            </w:r>
          </w:p>
        </w:tc>
      </w:tr>
      <w:tr w:rsidR="00D929B7" w:rsidRPr="00B620AD" w14:paraId="63EC3408" w14:textId="77777777" w:rsidTr="00F96D8A">
        <w:trPr>
          <w:trHeight w:val="204"/>
        </w:trPr>
        <w:tc>
          <w:tcPr>
            <w:tcW w:w="3402" w:type="dxa"/>
            <w:tcBorders>
              <w:top w:val="nil"/>
              <w:left w:val="nil"/>
              <w:right w:val="nil"/>
            </w:tcBorders>
            <w:shd w:val="clear" w:color="auto" w:fill="auto"/>
            <w:vAlign w:val="bottom"/>
            <w:hideMark/>
          </w:tcPr>
          <w:p w14:paraId="16FF4C18" w14:textId="77A1E0FC"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 xml:space="preserve">Expenses not requiring appropriation in the Budget year </w:t>
            </w:r>
            <w:r w:rsidRPr="00665295">
              <w:rPr>
                <w:rFonts w:ascii="Arial" w:hAnsi="Arial" w:cs="Arial"/>
                <w:sz w:val="16"/>
                <w:szCs w:val="16"/>
                <w:vertAlign w:val="superscript"/>
              </w:rPr>
              <w:t>(a)</w:t>
            </w:r>
          </w:p>
        </w:tc>
        <w:tc>
          <w:tcPr>
            <w:tcW w:w="886" w:type="dxa"/>
            <w:tcBorders>
              <w:top w:val="nil"/>
              <w:left w:val="nil"/>
              <w:bottom w:val="nil"/>
              <w:right w:val="nil"/>
            </w:tcBorders>
            <w:shd w:val="clear" w:color="auto" w:fill="auto"/>
            <w:noWrap/>
            <w:vAlign w:val="bottom"/>
            <w:hideMark/>
          </w:tcPr>
          <w:p w14:paraId="5B16FC6C" w14:textId="00FEABA8"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57,832 </w:t>
            </w:r>
          </w:p>
        </w:tc>
        <w:tc>
          <w:tcPr>
            <w:tcW w:w="815" w:type="dxa"/>
            <w:tcBorders>
              <w:top w:val="nil"/>
              <w:left w:val="nil"/>
              <w:bottom w:val="nil"/>
              <w:right w:val="nil"/>
            </w:tcBorders>
            <w:shd w:val="clear" w:color="000000" w:fill="E6E6E6"/>
            <w:noWrap/>
            <w:vAlign w:val="bottom"/>
            <w:hideMark/>
          </w:tcPr>
          <w:p w14:paraId="1BDEB4EC" w14:textId="751A1524"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37,168 </w:t>
            </w:r>
          </w:p>
        </w:tc>
        <w:tc>
          <w:tcPr>
            <w:tcW w:w="851" w:type="dxa"/>
            <w:tcBorders>
              <w:top w:val="nil"/>
              <w:left w:val="nil"/>
              <w:bottom w:val="nil"/>
              <w:right w:val="nil"/>
            </w:tcBorders>
            <w:shd w:val="clear" w:color="auto" w:fill="auto"/>
            <w:noWrap/>
            <w:vAlign w:val="bottom"/>
            <w:hideMark/>
          </w:tcPr>
          <w:p w14:paraId="49CF749C" w14:textId="0B0A5B1C"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36,859 </w:t>
            </w:r>
          </w:p>
        </w:tc>
        <w:tc>
          <w:tcPr>
            <w:tcW w:w="850" w:type="dxa"/>
            <w:tcBorders>
              <w:top w:val="nil"/>
              <w:left w:val="nil"/>
              <w:bottom w:val="nil"/>
              <w:right w:val="nil"/>
            </w:tcBorders>
            <w:shd w:val="clear" w:color="auto" w:fill="auto"/>
            <w:noWrap/>
            <w:vAlign w:val="bottom"/>
            <w:hideMark/>
          </w:tcPr>
          <w:p w14:paraId="36B96B53" w14:textId="2794761C"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36,859 </w:t>
            </w:r>
          </w:p>
        </w:tc>
        <w:tc>
          <w:tcPr>
            <w:tcW w:w="851" w:type="dxa"/>
            <w:tcBorders>
              <w:top w:val="nil"/>
              <w:left w:val="nil"/>
              <w:bottom w:val="nil"/>
              <w:right w:val="nil"/>
            </w:tcBorders>
            <w:shd w:val="clear" w:color="auto" w:fill="auto"/>
            <w:noWrap/>
            <w:vAlign w:val="bottom"/>
            <w:hideMark/>
          </w:tcPr>
          <w:p w14:paraId="02572327" w14:textId="2B8262A4"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36,859 </w:t>
            </w:r>
          </w:p>
        </w:tc>
      </w:tr>
      <w:tr w:rsidR="00D929B7" w:rsidRPr="00B620AD" w14:paraId="60B4EB95" w14:textId="77777777" w:rsidTr="00F96D8A">
        <w:trPr>
          <w:trHeight w:val="204"/>
        </w:trPr>
        <w:tc>
          <w:tcPr>
            <w:tcW w:w="3402" w:type="dxa"/>
            <w:tcBorders>
              <w:top w:val="nil"/>
              <w:left w:val="nil"/>
              <w:bottom w:val="single" w:sz="4" w:space="0" w:color="auto"/>
              <w:right w:val="nil"/>
            </w:tcBorders>
            <w:shd w:val="clear" w:color="auto" w:fill="auto"/>
            <w:noWrap/>
            <w:vAlign w:val="bottom"/>
            <w:hideMark/>
          </w:tcPr>
          <w:p w14:paraId="7794FED5" w14:textId="77777777" w:rsidR="00D929B7" w:rsidRPr="00665295" w:rsidRDefault="00D929B7" w:rsidP="00D929B7">
            <w:pPr>
              <w:spacing w:after="0" w:line="240" w:lineRule="auto"/>
              <w:jc w:val="left"/>
              <w:rPr>
                <w:rFonts w:ascii="Arial" w:hAnsi="Arial" w:cs="Arial"/>
                <w:b/>
                <w:bCs/>
                <w:sz w:val="16"/>
                <w:szCs w:val="16"/>
              </w:rPr>
            </w:pPr>
            <w:r w:rsidRPr="00665295">
              <w:rPr>
                <w:rFonts w:ascii="Arial" w:hAnsi="Arial" w:cs="Arial"/>
                <w:b/>
                <w:bCs/>
                <w:sz w:val="16"/>
                <w:szCs w:val="16"/>
              </w:rPr>
              <w:t>Total expenses for Program 4.1</w:t>
            </w:r>
          </w:p>
        </w:tc>
        <w:tc>
          <w:tcPr>
            <w:tcW w:w="886" w:type="dxa"/>
            <w:tcBorders>
              <w:top w:val="single" w:sz="4" w:space="0" w:color="auto"/>
              <w:left w:val="nil"/>
              <w:bottom w:val="single" w:sz="4" w:space="0" w:color="auto"/>
              <w:right w:val="nil"/>
            </w:tcBorders>
            <w:shd w:val="clear" w:color="auto" w:fill="auto"/>
            <w:noWrap/>
            <w:vAlign w:val="bottom"/>
            <w:hideMark/>
          </w:tcPr>
          <w:p w14:paraId="2A011FC0" w14:textId="0E0717C8"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815" w:type="dxa"/>
            <w:tcBorders>
              <w:top w:val="single" w:sz="4" w:space="0" w:color="auto"/>
              <w:left w:val="nil"/>
              <w:bottom w:val="single" w:sz="4" w:space="0" w:color="auto"/>
              <w:right w:val="nil"/>
            </w:tcBorders>
            <w:shd w:val="clear" w:color="000000" w:fill="E6E6E6"/>
            <w:noWrap/>
            <w:vAlign w:val="bottom"/>
            <w:hideMark/>
          </w:tcPr>
          <w:p w14:paraId="082BD1A9" w14:textId="386CCC1A"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250,166 </w:t>
            </w:r>
          </w:p>
        </w:tc>
        <w:tc>
          <w:tcPr>
            <w:tcW w:w="851" w:type="dxa"/>
            <w:tcBorders>
              <w:top w:val="single" w:sz="4" w:space="0" w:color="auto"/>
              <w:left w:val="nil"/>
              <w:bottom w:val="single" w:sz="4" w:space="0" w:color="auto"/>
              <w:right w:val="nil"/>
            </w:tcBorders>
            <w:shd w:val="clear" w:color="auto" w:fill="auto"/>
            <w:noWrap/>
            <w:vAlign w:val="bottom"/>
            <w:hideMark/>
          </w:tcPr>
          <w:p w14:paraId="1416E9C2" w14:textId="3E1F8D41"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244,136 </w:t>
            </w:r>
          </w:p>
        </w:tc>
        <w:tc>
          <w:tcPr>
            <w:tcW w:w="850" w:type="dxa"/>
            <w:tcBorders>
              <w:top w:val="single" w:sz="4" w:space="0" w:color="auto"/>
              <w:left w:val="nil"/>
              <w:bottom w:val="single" w:sz="4" w:space="0" w:color="auto"/>
              <w:right w:val="nil"/>
            </w:tcBorders>
            <w:shd w:val="clear" w:color="auto" w:fill="auto"/>
            <w:noWrap/>
            <w:vAlign w:val="bottom"/>
            <w:hideMark/>
          </w:tcPr>
          <w:p w14:paraId="4E127524" w14:textId="13539007"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242,942 </w:t>
            </w:r>
          </w:p>
        </w:tc>
        <w:tc>
          <w:tcPr>
            <w:tcW w:w="851" w:type="dxa"/>
            <w:tcBorders>
              <w:top w:val="single" w:sz="4" w:space="0" w:color="auto"/>
              <w:left w:val="nil"/>
              <w:bottom w:val="single" w:sz="4" w:space="0" w:color="auto"/>
              <w:right w:val="nil"/>
            </w:tcBorders>
            <w:shd w:val="clear" w:color="auto" w:fill="auto"/>
            <w:noWrap/>
            <w:vAlign w:val="bottom"/>
            <w:hideMark/>
          </w:tcPr>
          <w:p w14:paraId="3524D2BA" w14:textId="4AA5DCE4"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235,087 </w:t>
            </w:r>
          </w:p>
        </w:tc>
      </w:tr>
      <w:tr w:rsidR="00020C9D" w:rsidRPr="00B620AD" w14:paraId="6CDE0E78" w14:textId="77777777" w:rsidTr="005F5D68">
        <w:trPr>
          <w:trHeight w:val="204"/>
        </w:trPr>
        <w:tc>
          <w:tcPr>
            <w:tcW w:w="7655" w:type="dxa"/>
            <w:gridSpan w:val="6"/>
            <w:tcBorders>
              <w:top w:val="single" w:sz="4" w:space="0" w:color="auto"/>
              <w:left w:val="nil"/>
              <w:bottom w:val="single" w:sz="4" w:space="0" w:color="auto"/>
              <w:right w:val="nil"/>
            </w:tcBorders>
            <w:shd w:val="clear" w:color="000000" w:fill="E6E6E6"/>
            <w:noWrap/>
            <w:vAlign w:val="bottom"/>
            <w:hideMark/>
          </w:tcPr>
          <w:p w14:paraId="3E0BFC62" w14:textId="40B061A9" w:rsidR="00020C9D" w:rsidRPr="00665295" w:rsidRDefault="00020C9D" w:rsidP="00020C9D">
            <w:pPr>
              <w:spacing w:after="0" w:line="240" w:lineRule="auto"/>
              <w:jc w:val="left"/>
              <w:rPr>
                <w:rFonts w:ascii="Arial" w:hAnsi="Arial" w:cs="Arial"/>
                <w:sz w:val="16"/>
                <w:szCs w:val="16"/>
              </w:rPr>
            </w:pPr>
            <w:r w:rsidRPr="00665295">
              <w:rPr>
                <w:rFonts w:ascii="Arial" w:hAnsi="Arial" w:cs="Arial"/>
                <w:b/>
                <w:bCs/>
                <w:sz w:val="16"/>
                <w:szCs w:val="16"/>
              </w:rPr>
              <w:t>Program 4.2 Program Support for Outcome 4</w:t>
            </w:r>
          </w:p>
        </w:tc>
      </w:tr>
      <w:tr w:rsidR="00B91F3E" w:rsidRPr="00B620AD" w14:paraId="25FA3FBC" w14:textId="77777777" w:rsidTr="00F96D8A">
        <w:trPr>
          <w:trHeight w:val="204"/>
        </w:trPr>
        <w:tc>
          <w:tcPr>
            <w:tcW w:w="3402" w:type="dxa"/>
            <w:tcBorders>
              <w:top w:val="nil"/>
              <w:left w:val="nil"/>
              <w:bottom w:val="nil"/>
              <w:right w:val="nil"/>
            </w:tcBorders>
            <w:shd w:val="clear" w:color="auto" w:fill="auto"/>
            <w:noWrap/>
            <w:vAlign w:val="bottom"/>
            <w:hideMark/>
          </w:tcPr>
          <w:p w14:paraId="1DDE0DC1" w14:textId="1958C6F4" w:rsidR="00B91F3E" w:rsidRPr="00665295" w:rsidRDefault="003C4CC6" w:rsidP="00F96D8A">
            <w:pPr>
              <w:spacing w:after="0" w:line="240" w:lineRule="auto"/>
              <w:jc w:val="left"/>
              <w:rPr>
                <w:rFonts w:ascii="Arial" w:hAnsi="Arial" w:cs="Arial"/>
                <w:sz w:val="16"/>
                <w:szCs w:val="16"/>
              </w:rPr>
            </w:pPr>
            <w:r w:rsidRPr="00665295">
              <w:rPr>
                <w:rFonts w:ascii="Arial" w:hAnsi="Arial" w:cs="Arial"/>
                <w:sz w:val="16"/>
                <w:szCs w:val="16"/>
              </w:rPr>
              <w:t>Department</w:t>
            </w:r>
            <w:r w:rsidR="00B91F3E" w:rsidRPr="00665295">
              <w:rPr>
                <w:rFonts w:ascii="Arial" w:hAnsi="Arial" w:cs="Arial"/>
                <w:sz w:val="16"/>
                <w:szCs w:val="16"/>
              </w:rPr>
              <w:t>al expenses</w:t>
            </w:r>
          </w:p>
        </w:tc>
        <w:tc>
          <w:tcPr>
            <w:tcW w:w="886" w:type="dxa"/>
            <w:tcBorders>
              <w:top w:val="nil"/>
              <w:left w:val="nil"/>
              <w:bottom w:val="nil"/>
              <w:right w:val="nil"/>
            </w:tcBorders>
            <w:shd w:val="clear" w:color="auto" w:fill="auto"/>
            <w:noWrap/>
            <w:vAlign w:val="bottom"/>
            <w:hideMark/>
          </w:tcPr>
          <w:p w14:paraId="6AC257D6" w14:textId="77777777" w:rsidR="00B91F3E" w:rsidRPr="00665295" w:rsidRDefault="00B91F3E" w:rsidP="00F96D8A">
            <w:pPr>
              <w:spacing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3CB0ABD2"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0BC7386" w14:textId="77777777" w:rsidR="00B91F3E" w:rsidRPr="00665295"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8A8CC86"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EBAF949" w14:textId="77777777" w:rsidR="00B91F3E" w:rsidRPr="00665295" w:rsidRDefault="00B91F3E" w:rsidP="00F96D8A">
            <w:pPr>
              <w:spacing w:after="0" w:line="240" w:lineRule="auto"/>
              <w:jc w:val="right"/>
              <w:rPr>
                <w:rFonts w:ascii="Arial" w:hAnsi="Arial" w:cs="Arial"/>
                <w:sz w:val="16"/>
                <w:szCs w:val="16"/>
              </w:rPr>
            </w:pPr>
          </w:p>
        </w:tc>
      </w:tr>
      <w:tr w:rsidR="00D929B7" w:rsidRPr="00B620AD" w14:paraId="12532492" w14:textId="77777777" w:rsidTr="00F96D8A">
        <w:trPr>
          <w:trHeight w:val="204"/>
        </w:trPr>
        <w:tc>
          <w:tcPr>
            <w:tcW w:w="3402" w:type="dxa"/>
            <w:tcBorders>
              <w:top w:val="nil"/>
              <w:left w:val="nil"/>
              <w:bottom w:val="nil"/>
              <w:right w:val="nil"/>
            </w:tcBorders>
            <w:shd w:val="clear" w:color="auto" w:fill="auto"/>
            <w:vAlign w:val="bottom"/>
            <w:hideMark/>
          </w:tcPr>
          <w:p w14:paraId="0C6BDD73" w14:textId="7740F6F2"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Departmental appropriation</w:t>
            </w:r>
          </w:p>
        </w:tc>
        <w:tc>
          <w:tcPr>
            <w:tcW w:w="886" w:type="dxa"/>
            <w:tcBorders>
              <w:top w:val="nil"/>
              <w:left w:val="nil"/>
              <w:bottom w:val="nil"/>
              <w:right w:val="nil"/>
            </w:tcBorders>
            <w:shd w:val="clear" w:color="auto" w:fill="auto"/>
            <w:noWrap/>
            <w:vAlign w:val="bottom"/>
            <w:hideMark/>
          </w:tcPr>
          <w:p w14:paraId="211B4990" w14:textId="30C421B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31,165 </w:t>
            </w:r>
          </w:p>
        </w:tc>
        <w:tc>
          <w:tcPr>
            <w:tcW w:w="815" w:type="dxa"/>
            <w:tcBorders>
              <w:top w:val="nil"/>
              <w:left w:val="nil"/>
              <w:bottom w:val="nil"/>
              <w:right w:val="nil"/>
            </w:tcBorders>
            <w:shd w:val="clear" w:color="auto" w:fill="E6E6E6"/>
            <w:noWrap/>
            <w:vAlign w:val="bottom"/>
            <w:hideMark/>
          </w:tcPr>
          <w:p w14:paraId="2EE1E96A" w14:textId="02BF2500"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33,474 </w:t>
            </w:r>
          </w:p>
        </w:tc>
        <w:tc>
          <w:tcPr>
            <w:tcW w:w="851" w:type="dxa"/>
            <w:tcBorders>
              <w:top w:val="nil"/>
              <w:left w:val="nil"/>
              <w:bottom w:val="nil"/>
              <w:right w:val="nil"/>
            </w:tcBorders>
            <w:shd w:val="clear" w:color="auto" w:fill="auto"/>
            <w:noWrap/>
            <w:vAlign w:val="bottom"/>
            <w:hideMark/>
          </w:tcPr>
          <w:p w14:paraId="2BC441A7" w14:textId="324BB2A7"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31,597 </w:t>
            </w:r>
          </w:p>
        </w:tc>
        <w:tc>
          <w:tcPr>
            <w:tcW w:w="850" w:type="dxa"/>
            <w:tcBorders>
              <w:top w:val="nil"/>
              <w:left w:val="nil"/>
              <w:bottom w:val="nil"/>
              <w:right w:val="nil"/>
            </w:tcBorders>
            <w:shd w:val="clear" w:color="auto" w:fill="auto"/>
            <w:noWrap/>
            <w:vAlign w:val="bottom"/>
            <w:hideMark/>
          </w:tcPr>
          <w:p w14:paraId="23177BB6" w14:textId="41DC52DA"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28,051 </w:t>
            </w:r>
          </w:p>
        </w:tc>
        <w:tc>
          <w:tcPr>
            <w:tcW w:w="851" w:type="dxa"/>
            <w:tcBorders>
              <w:top w:val="nil"/>
              <w:left w:val="nil"/>
              <w:bottom w:val="nil"/>
              <w:right w:val="nil"/>
            </w:tcBorders>
            <w:shd w:val="clear" w:color="auto" w:fill="auto"/>
            <w:noWrap/>
            <w:vAlign w:val="bottom"/>
            <w:hideMark/>
          </w:tcPr>
          <w:p w14:paraId="56F1B900" w14:textId="480167C5"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28,054 </w:t>
            </w:r>
          </w:p>
        </w:tc>
      </w:tr>
      <w:tr w:rsidR="00D929B7" w:rsidRPr="00B620AD" w14:paraId="5E96A1BE" w14:textId="77777777" w:rsidTr="00F96D8A">
        <w:trPr>
          <w:trHeight w:val="204"/>
        </w:trPr>
        <w:tc>
          <w:tcPr>
            <w:tcW w:w="3402" w:type="dxa"/>
            <w:tcBorders>
              <w:top w:val="nil"/>
              <w:left w:val="nil"/>
              <w:bottom w:val="nil"/>
              <w:right w:val="nil"/>
            </w:tcBorders>
            <w:shd w:val="clear" w:color="auto" w:fill="auto"/>
            <w:vAlign w:val="bottom"/>
            <w:hideMark/>
          </w:tcPr>
          <w:p w14:paraId="1AAEBA47" w14:textId="3F8B15D5"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 xml:space="preserve">s74 external revenues </w:t>
            </w:r>
            <w:r w:rsidRPr="00665295">
              <w:rPr>
                <w:rFonts w:ascii="Arial" w:hAnsi="Arial" w:cs="Arial"/>
                <w:sz w:val="16"/>
                <w:szCs w:val="16"/>
                <w:vertAlign w:val="superscript"/>
              </w:rPr>
              <w:t>(b)</w:t>
            </w:r>
          </w:p>
        </w:tc>
        <w:tc>
          <w:tcPr>
            <w:tcW w:w="886" w:type="dxa"/>
            <w:tcBorders>
              <w:top w:val="nil"/>
              <w:left w:val="nil"/>
              <w:bottom w:val="nil"/>
              <w:right w:val="nil"/>
            </w:tcBorders>
            <w:shd w:val="clear" w:color="auto" w:fill="auto"/>
            <w:noWrap/>
            <w:vAlign w:val="bottom"/>
            <w:hideMark/>
          </w:tcPr>
          <w:p w14:paraId="3C2CE2FA" w14:textId="2F9FFF5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889 </w:t>
            </w:r>
          </w:p>
        </w:tc>
        <w:tc>
          <w:tcPr>
            <w:tcW w:w="815" w:type="dxa"/>
            <w:tcBorders>
              <w:top w:val="nil"/>
              <w:left w:val="nil"/>
              <w:bottom w:val="nil"/>
              <w:right w:val="nil"/>
            </w:tcBorders>
            <w:shd w:val="clear" w:color="auto" w:fill="E6E6E6"/>
            <w:noWrap/>
            <w:vAlign w:val="bottom"/>
            <w:hideMark/>
          </w:tcPr>
          <w:p w14:paraId="210C589B" w14:textId="3618DF73"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791 </w:t>
            </w:r>
          </w:p>
        </w:tc>
        <w:tc>
          <w:tcPr>
            <w:tcW w:w="851" w:type="dxa"/>
            <w:tcBorders>
              <w:top w:val="nil"/>
              <w:left w:val="nil"/>
              <w:bottom w:val="nil"/>
              <w:right w:val="nil"/>
            </w:tcBorders>
            <w:shd w:val="clear" w:color="auto" w:fill="auto"/>
            <w:noWrap/>
            <w:vAlign w:val="bottom"/>
            <w:hideMark/>
          </w:tcPr>
          <w:p w14:paraId="71AFE63B" w14:textId="205219F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975 </w:t>
            </w:r>
          </w:p>
        </w:tc>
        <w:tc>
          <w:tcPr>
            <w:tcW w:w="850" w:type="dxa"/>
            <w:tcBorders>
              <w:top w:val="nil"/>
              <w:left w:val="nil"/>
              <w:bottom w:val="nil"/>
              <w:right w:val="nil"/>
            </w:tcBorders>
            <w:shd w:val="clear" w:color="auto" w:fill="auto"/>
            <w:noWrap/>
            <w:vAlign w:val="bottom"/>
            <w:hideMark/>
          </w:tcPr>
          <w:p w14:paraId="042060EB" w14:textId="296B8FF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993 </w:t>
            </w:r>
          </w:p>
        </w:tc>
        <w:tc>
          <w:tcPr>
            <w:tcW w:w="851" w:type="dxa"/>
            <w:tcBorders>
              <w:top w:val="nil"/>
              <w:left w:val="nil"/>
              <w:bottom w:val="nil"/>
              <w:right w:val="nil"/>
            </w:tcBorders>
            <w:shd w:val="clear" w:color="auto" w:fill="auto"/>
            <w:noWrap/>
            <w:vAlign w:val="bottom"/>
            <w:hideMark/>
          </w:tcPr>
          <w:p w14:paraId="6932D808" w14:textId="5C3D368A"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1,015 </w:t>
            </w:r>
          </w:p>
        </w:tc>
      </w:tr>
      <w:tr w:rsidR="00D929B7" w:rsidRPr="00B620AD" w14:paraId="7E726B50" w14:textId="77777777" w:rsidTr="00F96D8A">
        <w:trPr>
          <w:trHeight w:val="204"/>
        </w:trPr>
        <w:tc>
          <w:tcPr>
            <w:tcW w:w="3402" w:type="dxa"/>
            <w:tcBorders>
              <w:top w:val="nil"/>
              <w:left w:val="nil"/>
              <w:right w:val="nil"/>
            </w:tcBorders>
            <w:shd w:val="clear" w:color="auto" w:fill="auto"/>
            <w:vAlign w:val="bottom"/>
            <w:hideMark/>
          </w:tcPr>
          <w:p w14:paraId="53C7D302" w14:textId="1924651F"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 xml:space="preserve">Expenses not requiring appropriation in the Budget year </w:t>
            </w:r>
            <w:r w:rsidRPr="00665295">
              <w:rPr>
                <w:rFonts w:ascii="Arial" w:hAnsi="Arial" w:cs="Arial"/>
                <w:sz w:val="16"/>
                <w:szCs w:val="16"/>
                <w:vertAlign w:val="superscript"/>
              </w:rPr>
              <w:t>(c)</w:t>
            </w:r>
          </w:p>
        </w:tc>
        <w:tc>
          <w:tcPr>
            <w:tcW w:w="886" w:type="dxa"/>
            <w:tcBorders>
              <w:top w:val="nil"/>
              <w:left w:val="nil"/>
              <w:bottom w:val="nil"/>
              <w:right w:val="nil"/>
            </w:tcBorders>
            <w:shd w:val="clear" w:color="auto" w:fill="auto"/>
            <w:noWrap/>
            <w:vAlign w:val="bottom"/>
            <w:hideMark/>
          </w:tcPr>
          <w:p w14:paraId="33F6DD87" w14:textId="5757932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599 </w:t>
            </w:r>
          </w:p>
        </w:tc>
        <w:tc>
          <w:tcPr>
            <w:tcW w:w="815" w:type="dxa"/>
            <w:tcBorders>
              <w:top w:val="nil"/>
              <w:left w:val="nil"/>
              <w:bottom w:val="nil"/>
              <w:right w:val="nil"/>
            </w:tcBorders>
            <w:shd w:val="clear" w:color="auto" w:fill="E6E6E6"/>
            <w:noWrap/>
            <w:vAlign w:val="bottom"/>
            <w:hideMark/>
          </w:tcPr>
          <w:p w14:paraId="209D49CE" w14:textId="7CFD8176"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569 </w:t>
            </w:r>
          </w:p>
        </w:tc>
        <w:tc>
          <w:tcPr>
            <w:tcW w:w="851" w:type="dxa"/>
            <w:tcBorders>
              <w:top w:val="nil"/>
              <w:left w:val="nil"/>
              <w:bottom w:val="nil"/>
              <w:right w:val="nil"/>
            </w:tcBorders>
            <w:shd w:val="clear" w:color="auto" w:fill="auto"/>
            <w:noWrap/>
            <w:vAlign w:val="bottom"/>
            <w:hideMark/>
          </w:tcPr>
          <w:p w14:paraId="4D251B6F" w14:textId="0B59F89A"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630 </w:t>
            </w:r>
          </w:p>
        </w:tc>
        <w:tc>
          <w:tcPr>
            <w:tcW w:w="850" w:type="dxa"/>
            <w:tcBorders>
              <w:top w:val="nil"/>
              <w:left w:val="nil"/>
              <w:bottom w:val="nil"/>
              <w:right w:val="nil"/>
            </w:tcBorders>
            <w:shd w:val="clear" w:color="auto" w:fill="auto"/>
            <w:noWrap/>
            <w:vAlign w:val="bottom"/>
            <w:hideMark/>
          </w:tcPr>
          <w:p w14:paraId="239A42A0" w14:textId="267B8BB9"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320 </w:t>
            </w:r>
          </w:p>
        </w:tc>
        <w:tc>
          <w:tcPr>
            <w:tcW w:w="851" w:type="dxa"/>
            <w:tcBorders>
              <w:top w:val="nil"/>
              <w:left w:val="nil"/>
              <w:bottom w:val="nil"/>
              <w:right w:val="nil"/>
            </w:tcBorders>
            <w:shd w:val="clear" w:color="auto" w:fill="auto"/>
            <w:noWrap/>
            <w:vAlign w:val="bottom"/>
            <w:hideMark/>
          </w:tcPr>
          <w:p w14:paraId="6FFAAAAC" w14:textId="1FAA8EA1"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327 </w:t>
            </w:r>
          </w:p>
        </w:tc>
      </w:tr>
      <w:tr w:rsidR="00D929B7" w:rsidRPr="00B620AD" w14:paraId="6CFDED0C" w14:textId="77777777" w:rsidTr="00F96D8A">
        <w:trPr>
          <w:trHeight w:val="204"/>
        </w:trPr>
        <w:tc>
          <w:tcPr>
            <w:tcW w:w="3402" w:type="dxa"/>
            <w:tcBorders>
              <w:top w:val="nil"/>
              <w:left w:val="nil"/>
              <w:bottom w:val="single" w:sz="4" w:space="0" w:color="auto"/>
              <w:right w:val="nil"/>
            </w:tcBorders>
            <w:shd w:val="clear" w:color="auto" w:fill="auto"/>
            <w:noWrap/>
            <w:vAlign w:val="bottom"/>
            <w:hideMark/>
          </w:tcPr>
          <w:p w14:paraId="068BCC62" w14:textId="77777777" w:rsidR="00D929B7" w:rsidRPr="00665295" w:rsidRDefault="00D929B7" w:rsidP="00D929B7">
            <w:pPr>
              <w:spacing w:after="0" w:line="240" w:lineRule="auto"/>
              <w:jc w:val="left"/>
              <w:rPr>
                <w:rFonts w:ascii="Arial" w:hAnsi="Arial" w:cs="Arial"/>
                <w:b/>
                <w:bCs/>
                <w:sz w:val="16"/>
                <w:szCs w:val="16"/>
              </w:rPr>
            </w:pPr>
            <w:r w:rsidRPr="00665295">
              <w:rPr>
                <w:rFonts w:ascii="Arial" w:hAnsi="Arial" w:cs="Arial"/>
                <w:b/>
                <w:bCs/>
                <w:sz w:val="16"/>
                <w:szCs w:val="16"/>
              </w:rPr>
              <w:t>Total expenses for Program 4.2</w:t>
            </w:r>
          </w:p>
        </w:tc>
        <w:tc>
          <w:tcPr>
            <w:tcW w:w="886" w:type="dxa"/>
            <w:tcBorders>
              <w:top w:val="single" w:sz="4" w:space="0" w:color="auto"/>
              <w:left w:val="nil"/>
              <w:bottom w:val="single" w:sz="4" w:space="0" w:color="auto"/>
              <w:right w:val="nil"/>
            </w:tcBorders>
            <w:shd w:val="clear" w:color="auto" w:fill="auto"/>
            <w:noWrap/>
            <w:vAlign w:val="bottom"/>
            <w:hideMark/>
          </w:tcPr>
          <w:p w14:paraId="3C2C89DE" w14:textId="2B55DB5E"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32,653 </w:t>
            </w:r>
          </w:p>
        </w:tc>
        <w:tc>
          <w:tcPr>
            <w:tcW w:w="815" w:type="dxa"/>
            <w:tcBorders>
              <w:top w:val="single" w:sz="4" w:space="0" w:color="auto"/>
              <w:left w:val="nil"/>
              <w:bottom w:val="single" w:sz="4" w:space="0" w:color="auto"/>
              <w:right w:val="nil"/>
            </w:tcBorders>
            <w:shd w:val="clear" w:color="000000" w:fill="E6E6E6"/>
            <w:noWrap/>
            <w:vAlign w:val="bottom"/>
            <w:hideMark/>
          </w:tcPr>
          <w:p w14:paraId="13B1E151" w14:textId="3D0435D5"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34,834 </w:t>
            </w:r>
          </w:p>
        </w:tc>
        <w:tc>
          <w:tcPr>
            <w:tcW w:w="851" w:type="dxa"/>
            <w:tcBorders>
              <w:top w:val="single" w:sz="4" w:space="0" w:color="auto"/>
              <w:left w:val="nil"/>
              <w:bottom w:val="single" w:sz="4" w:space="0" w:color="auto"/>
              <w:right w:val="nil"/>
            </w:tcBorders>
            <w:shd w:val="clear" w:color="auto" w:fill="auto"/>
            <w:noWrap/>
            <w:vAlign w:val="bottom"/>
            <w:hideMark/>
          </w:tcPr>
          <w:p w14:paraId="2A1DA7D6" w14:textId="2A7ECCA0"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33,202 </w:t>
            </w:r>
          </w:p>
        </w:tc>
        <w:tc>
          <w:tcPr>
            <w:tcW w:w="850" w:type="dxa"/>
            <w:tcBorders>
              <w:top w:val="single" w:sz="4" w:space="0" w:color="auto"/>
              <w:left w:val="nil"/>
              <w:bottom w:val="single" w:sz="4" w:space="0" w:color="auto"/>
              <w:right w:val="nil"/>
            </w:tcBorders>
            <w:shd w:val="clear" w:color="auto" w:fill="auto"/>
            <w:noWrap/>
            <w:vAlign w:val="bottom"/>
            <w:hideMark/>
          </w:tcPr>
          <w:p w14:paraId="4EBC7430" w14:textId="1B70BB07"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29,364 </w:t>
            </w:r>
          </w:p>
        </w:tc>
        <w:tc>
          <w:tcPr>
            <w:tcW w:w="851" w:type="dxa"/>
            <w:tcBorders>
              <w:top w:val="single" w:sz="4" w:space="0" w:color="auto"/>
              <w:left w:val="nil"/>
              <w:bottom w:val="single" w:sz="4" w:space="0" w:color="auto"/>
              <w:right w:val="nil"/>
            </w:tcBorders>
            <w:shd w:val="clear" w:color="auto" w:fill="auto"/>
            <w:noWrap/>
            <w:vAlign w:val="bottom"/>
            <w:hideMark/>
          </w:tcPr>
          <w:p w14:paraId="2EC23F2A" w14:textId="46BEC63A"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29,396 </w:t>
            </w:r>
          </w:p>
        </w:tc>
      </w:tr>
      <w:tr w:rsidR="00B91F3E" w:rsidRPr="00B620AD" w14:paraId="2C11F820" w14:textId="77777777" w:rsidTr="00F96D8A">
        <w:trPr>
          <w:trHeight w:val="204"/>
        </w:trPr>
        <w:tc>
          <w:tcPr>
            <w:tcW w:w="3402" w:type="dxa"/>
            <w:tcBorders>
              <w:top w:val="single" w:sz="4" w:space="0" w:color="auto"/>
              <w:left w:val="nil"/>
              <w:bottom w:val="single" w:sz="4" w:space="0" w:color="auto"/>
              <w:right w:val="nil"/>
            </w:tcBorders>
            <w:shd w:val="clear" w:color="000000" w:fill="E6E6E6"/>
            <w:noWrap/>
            <w:vAlign w:val="bottom"/>
            <w:hideMark/>
          </w:tcPr>
          <w:p w14:paraId="647BC770" w14:textId="77777777" w:rsidR="00B91F3E" w:rsidRPr="00665295" w:rsidRDefault="00B91F3E" w:rsidP="00F96D8A">
            <w:pPr>
              <w:spacing w:after="0" w:line="240" w:lineRule="auto"/>
              <w:jc w:val="left"/>
              <w:rPr>
                <w:rFonts w:ascii="Arial" w:hAnsi="Arial" w:cs="Arial"/>
                <w:b/>
                <w:bCs/>
                <w:sz w:val="16"/>
                <w:szCs w:val="16"/>
              </w:rPr>
            </w:pPr>
            <w:r w:rsidRPr="00665295">
              <w:rPr>
                <w:rFonts w:ascii="Arial" w:hAnsi="Arial" w:cs="Arial"/>
                <w:b/>
                <w:bCs/>
                <w:sz w:val="16"/>
                <w:szCs w:val="16"/>
              </w:rPr>
              <w:t>Outcome 4 Totals by appropriation type</w:t>
            </w:r>
          </w:p>
        </w:tc>
        <w:tc>
          <w:tcPr>
            <w:tcW w:w="886" w:type="dxa"/>
            <w:tcBorders>
              <w:top w:val="nil"/>
              <w:left w:val="nil"/>
              <w:bottom w:val="single" w:sz="4" w:space="0" w:color="auto"/>
              <w:right w:val="nil"/>
            </w:tcBorders>
            <w:shd w:val="clear" w:color="000000" w:fill="E6E6E6"/>
            <w:noWrap/>
            <w:vAlign w:val="bottom"/>
            <w:hideMark/>
          </w:tcPr>
          <w:p w14:paraId="7B9F0B0C" w14:textId="77777777" w:rsidR="00B91F3E" w:rsidRPr="00665295" w:rsidRDefault="00B91F3E" w:rsidP="00F96D8A">
            <w:pPr>
              <w:spacing w:after="0" w:line="240" w:lineRule="auto"/>
              <w:jc w:val="right"/>
              <w:rPr>
                <w:rFonts w:ascii="Arial" w:hAnsi="Arial" w:cs="Arial"/>
                <w:sz w:val="16"/>
                <w:szCs w:val="16"/>
              </w:rPr>
            </w:pPr>
          </w:p>
        </w:tc>
        <w:tc>
          <w:tcPr>
            <w:tcW w:w="815" w:type="dxa"/>
            <w:tcBorders>
              <w:top w:val="nil"/>
              <w:left w:val="nil"/>
              <w:bottom w:val="single" w:sz="4" w:space="0" w:color="auto"/>
              <w:right w:val="nil"/>
            </w:tcBorders>
            <w:shd w:val="clear" w:color="000000" w:fill="E6E6E6"/>
            <w:noWrap/>
            <w:vAlign w:val="bottom"/>
            <w:hideMark/>
          </w:tcPr>
          <w:p w14:paraId="1F77B2C3"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single" w:sz="4" w:space="0" w:color="auto"/>
              <w:right w:val="nil"/>
            </w:tcBorders>
            <w:shd w:val="clear" w:color="000000" w:fill="E6E6E6"/>
            <w:noWrap/>
            <w:vAlign w:val="bottom"/>
            <w:hideMark/>
          </w:tcPr>
          <w:p w14:paraId="4E11AFCA" w14:textId="77777777" w:rsidR="00B91F3E" w:rsidRPr="00665295" w:rsidRDefault="00B91F3E" w:rsidP="00F96D8A">
            <w:pPr>
              <w:spacing w:after="0" w:line="240" w:lineRule="auto"/>
              <w:jc w:val="right"/>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1791C721"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single" w:sz="4" w:space="0" w:color="auto"/>
              <w:right w:val="nil"/>
            </w:tcBorders>
            <w:shd w:val="clear" w:color="000000" w:fill="E6E6E6"/>
            <w:noWrap/>
            <w:vAlign w:val="bottom"/>
            <w:hideMark/>
          </w:tcPr>
          <w:p w14:paraId="4E91024C" w14:textId="77777777" w:rsidR="00B91F3E" w:rsidRPr="00665295" w:rsidRDefault="00B91F3E" w:rsidP="00F96D8A">
            <w:pPr>
              <w:spacing w:after="0" w:line="240" w:lineRule="auto"/>
              <w:jc w:val="right"/>
              <w:rPr>
                <w:rFonts w:ascii="Arial" w:hAnsi="Arial" w:cs="Arial"/>
                <w:sz w:val="16"/>
                <w:szCs w:val="16"/>
              </w:rPr>
            </w:pPr>
          </w:p>
        </w:tc>
      </w:tr>
      <w:tr w:rsidR="00B91F3E" w:rsidRPr="00B620AD" w14:paraId="4E1F66D0" w14:textId="77777777" w:rsidTr="00F96D8A">
        <w:trPr>
          <w:trHeight w:val="204"/>
        </w:trPr>
        <w:tc>
          <w:tcPr>
            <w:tcW w:w="3402" w:type="dxa"/>
            <w:tcBorders>
              <w:top w:val="nil"/>
              <w:left w:val="nil"/>
              <w:bottom w:val="nil"/>
              <w:right w:val="nil"/>
            </w:tcBorders>
            <w:shd w:val="clear" w:color="auto" w:fill="auto"/>
            <w:noWrap/>
            <w:vAlign w:val="bottom"/>
            <w:hideMark/>
          </w:tcPr>
          <w:p w14:paraId="4868A749" w14:textId="77777777" w:rsidR="00B91F3E" w:rsidRPr="00665295" w:rsidRDefault="00B91F3E" w:rsidP="00F96D8A">
            <w:pPr>
              <w:spacing w:after="0" w:line="240" w:lineRule="auto"/>
              <w:jc w:val="left"/>
              <w:rPr>
                <w:rFonts w:ascii="Arial" w:hAnsi="Arial" w:cs="Arial"/>
                <w:sz w:val="16"/>
                <w:szCs w:val="16"/>
              </w:rPr>
            </w:pPr>
            <w:r w:rsidRPr="00665295">
              <w:rPr>
                <w:rFonts w:ascii="Arial" w:hAnsi="Arial" w:cs="Arial"/>
                <w:sz w:val="16"/>
                <w:szCs w:val="16"/>
              </w:rPr>
              <w:t>Administered expenses</w:t>
            </w:r>
          </w:p>
        </w:tc>
        <w:tc>
          <w:tcPr>
            <w:tcW w:w="886" w:type="dxa"/>
            <w:tcBorders>
              <w:top w:val="nil"/>
              <w:left w:val="nil"/>
              <w:bottom w:val="nil"/>
              <w:right w:val="nil"/>
            </w:tcBorders>
            <w:shd w:val="clear" w:color="auto" w:fill="auto"/>
            <w:noWrap/>
            <w:vAlign w:val="bottom"/>
            <w:hideMark/>
          </w:tcPr>
          <w:p w14:paraId="71E6762E" w14:textId="77777777" w:rsidR="00B91F3E" w:rsidRPr="00665295" w:rsidRDefault="00B91F3E" w:rsidP="00F96D8A">
            <w:pPr>
              <w:spacing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3150BAAC"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1162AFC" w14:textId="77777777" w:rsidR="00B91F3E" w:rsidRPr="00665295" w:rsidRDefault="00B91F3E" w:rsidP="00F96D8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A7BB87F" w14:textId="77777777" w:rsidR="00B91F3E" w:rsidRPr="00665295" w:rsidRDefault="00B91F3E" w:rsidP="00F96D8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761CDC3" w14:textId="77777777" w:rsidR="00B91F3E" w:rsidRPr="00665295" w:rsidRDefault="00B91F3E" w:rsidP="00F96D8A">
            <w:pPr>
              <w:spacing w:after="0" w:line="240" w:lineRule="auto"/>
              <w:jc w:val="right"/>
              <w:rPr>
                <w:rFonts w:ascii="Arial" w:hAnsi="Arial" w:cs="Arial"/>
                <w:sz w:val="16"/>
                <w:szCs w:val="16"/>
              </w:rPr>
            </w:pPr>
          </w:p>
        </w:tc>
      </w:tr>
      <w:tr w:rsidR="00D929B7" w:rsidRPr="00B620AD" w14:paraId="5FCA4846" w14:textId="77777777" w:rsidTr="00F96D8A">
        <w:trPr>
          <w:trHeight w:val="204"/>
        </w:trPr>
        <w:tc>
          <w:tcPr>
            <w:tcW w:w="3402" w:type="dxa"/>
            <w:tcBorders>
              <w:top w:val="nil"/>
              <w:left w:val="nil"/>
              <w:bottom w:val="nil"/>
              <w:right w:val="nil"/>
            </w:tcBorders>
            <w:shd w:val="clear" w:color="auto" w:fill="auto"/>
            <w:vAlign w:val="bottom"/>
            <w:hideMark/>
          </w:tcPr>
          <w:p w14:paraId="25B82383" w14:textId="77777777"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Ordinary Annual Services (Appropriation Act No. 1 and Bill No. 3)</w:t>
            </w:r>
          </w:p>
        </w:tc>
        <w:tc>
          <w:tcPr>
            <w:tcW w:w="886" w:type="dxa"/>
            <w:tcBorders>
              <w:top w:val="nil"/>
              <w:left w:val="nil"/>
              <w:bottom w:val="nil"/>
              <w:right w:val="nil"/>
            </w:tcBorders>
            <w:shd w:val="clear" w:color="auto" w:fill="auto"/>
            <w:noWrap/>
            <w:vAlign w:val="bottom"/>
            <w:hideMark/>
          </w:tcPr>
          <w:p w14:paraId="24372C49" w14:textId="7BD5E476"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214,981 </w:t>
            </w:r>
          </w:p>
        </w:tc>
        <w:tc>
          <w:tcPr>
            <w:tcW w:w="815" w:type="dxa"/>
            <w:tcBorders>
              <w:top w:val="nil"/>
              <w:left w:val="nil"/>
              <w:bottom w:val="nil"/>
              <w:right w:val="nil"/>
            </w:tcBorders>
            <w:shd w:val="clear" w:color="000000" w:fill="E6E6E6"/>
            <w:noWrap/>
            <w:vAlign w:val="bottom"/>
            <w:hideMark/>
          </w:tcPr>
          <w:p w14:paraId="73AAC23C" w14:textId="4125D5DF"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193,064 </w:t>
            </w:r>
          </w:p>
        </w:tc>
        <w:tc>
          <w:tcPr>
            <w:tcW w:w="851" w:type="dxa"/>
            <w:tcBorders>
              <w:top w:val="nil"/>
              <w:left w:val="nil"/>
              <w:bottom w:val="nil"/>
              <w:right w:val="nil"/>
            </w:tcBorders>
            <w:shd w:val="clear" w:color="auto" w:fill="auto"/>
            <w:noWrap/>
            <w:vAlign w:val="bottom"/>
            <w:hideMark/>
          </w:tcPr>
          <w:p w14:paraId="78EA7034" w14:textId="5B2E752A"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187,089 </w:t>
            </w:r>
          </w:p>
        </w:tc>
        <w:tc>
          <w:tcPr>
            <w:tcW w:w="850" w:type="dxa"/>
            <w:tcBorders>
              <w:top w:val="nil"/>
              <w:left w:val="nil"/>
              <w:bottom w:val="nil"/>
              <w:right w:val="nil"/>
            </w:tcBorders>
            <w:shd w:val="clear" w:color="auto" w:fill="auto"/>
            <w:noWrap/>
            <w:vAlign w:val="bottom"/>
            <w:hideMark/>
          </w:tcPr>
          <w:p w14:paraId="54DF7732" w14:textId="7A129F95"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185,749 </w:t>
            </w:r>
          </w:p>
        </w:tc>
        <w:tc>
          <w:tcPr>
            <w:tcW w:w="851" w:type="dxa"/>
            <w:tcBorders>
              <w:top w:val="nil"/>
              <w:left w:val="nil"/>
              <w:bottom w:val="nil"/>
              <w:right w:val="nil"/>
            </w:tcBorders>
            <w:shd w:val="clear" w:color="auto" w:fill="auto"/>
            <w:noWrap/>
            <w:vAlign w:val="bottom"/>
            <w:hideMark/>
          </w:tcPr>
          <w:p w14:paraId="1BECA031" w14:textId="6EFB831A"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178,744 </w:t>
            </w:r>
          </w:p>
        </w:tc>
      </w:tr>
      <w:tr w:rsidR="00D929B7" w:rsidRPr="00B620AD" w14:paraId="14130C79" w14:textId="77777777" w:rsidTr="00F96D8A">
        <w:trPr>
          <w:trHeight w:val="204"/>
        </w:trPr>
        <w:tc>
          <w:tcPr>
            <w:tcW w:w="3402" w:type="dxa"/>
            <w:tcBorders>
              <w:top w:val="nil"/>
              <w:left w:val="nil"/>
              <w:bottom w:val="nil"/>
              <w:right w:val="nil"/>
            </w:tcBorders>
            <w:shd w:val="clear" w:color="auto" w:fill="auto"/>
            <w:noWrap/>
            <w:vAlign w:val="bottom"/>
            <w:hideMark/>
          </w:tcPr>
          <w:p w14:paraId="6E43826A" w14:textId="77777777"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Special Accounts</w:t>
            </w:r>
          </w:p>
        </w:tc>
        <w:tc>
          <w:tcPr>
            <w:tcW w:w="886" w:type="dxa"/>
            <w:tcBorders>
              <w:top w:val="nil"/>
              <w:left w:val="nil"/>
              <w:bottom w:val="nil"/>
              <w:right w:val="nil"/>
            </w:tcBorders>
            <w:shd w:val="clear" w:color="auto" w:fill="auto"/>
            <w:noWrap/>
            <w:vAlign w:val="bottom"/>
            <w:hideMark/>
          </w:tcPr>
          <w:p w14:paraId="2EEF064F" w14:textId="01BCE689"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19,425 </w:t>
            </w:r>
          </w:p>
        </w:tc>
        <w:tc>
          <w:tcPr>
            <w:tcW w:w="815" w:type="dxa"/>
            <w:tcBorders>
              <w:top w:val="nil"/>
              <w:left w:val="nil"/>
              <w:bottom w:val="nil"/>
              <w:right w:val="nil"/>
            </w:tcBorders>
            <w:shd w:val="clear" w:color="000000" w:fill="E6E6E6"/>
            <w:noWrap/>
            <w:vAlign w:val="bottom"/>
            <w:hideMark/>
          </w:tcPr>
          <w:p w14:paraId="22D1CA76" w14:textId="53F4D172"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19,934 </w:t>
            </w:r>
          </w:p>
        </w:tc>
        <w:tc>
          <w:tcPr>
            <w:tcW w:w="851" w:type="dxa"/>
            <w:tcBorders>
              <w:top w:val="nil"/>
              <w:left w:val="nil"/>
              <w:bottom w:val="nil"/>
              <w:right w:val="nil"/>
            </w:tcBorders>
            <w:shd w:val="clear" w:color="auto" w:fill="auto"/>
            <w:noWrap/>
            <w:vAlign w:val="bottom"/>
            <w:hideMark/>
          </w:tcPr>
          <w:p w14:paraId="6550C876" w14:textId="00376CCE"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20,188 </w:t>
            </w:r>
          </w:p>
        </w:tc>
        <w:tc>
          <w:tcPr>
            <w:tcW w:w="850" w:type="dxa"/>
            <w:tcBorders>
              <w:top w:val="nil"/>
              <w:left w:val="nil"/>
              <w:bottom w:val="nil"/>
              <w:right w:val="nil"/>
            </w:tcBorders>
            <w:shd w:val="clear" w:color="auto" w:fill="auto"/>
            <w:noWrap/>
            <w:vAlign w:val="bottom"/>
            <w:hideMark/>
          </w:tcPr>
          <w:p w14:paraId="67274E87" w14:textId="1B9F2753"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20,334 </w:t>
            </w:r>
          </w:p>
        </w:tc>
        <w:tc>
          <w:tcPr>
            <w:tcW w:w="851" w:type="dxa"/>
            <w:tcBorders>
              <w:top w:val="nil"/>
              <w:left w:val="nil"/>
              <w:bottom w:val="nil"/>
              <w:right w:val="nil"/>
            </w:tcBorders>
            <w:shd w:val="clear" w:color="auto" w:fill="auto"/>
            <w:noWrap/>
            <w:vAlign w:val="bottom"/>
            <w:hideMark/>
          </w:tcPr>
          <w:p w14:paraId="69FC6DF4" w14:textId="7A2A6646"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19,484 </w:t>
            </w:r>
          </w:p>
        </w:tc>
      </w:tr>
      <w:tr w:rsidR="00D929B7" w:rsidRPr="00B620AD" w14:paraId="7D713A15" w14:textId="77777777" w:rsidTr="00F96D8A">
        <w:trPr>
          <w:trHeight w:val="204"/>
        </w:trPr>
        <w:tc>
          <w:tcPr>
            <w:tcW w:w="3402" w:type="dxa"/>
            <w:tcBorders>
              <w:top w:val="nil"/>
              <w:left w:val="nil"/>
              <w:right w:val="nil"/>
            </w:tcBorders>
            <w:shd w:val="clear" w:color="auto" w:fill="auto"/>
            <w:vAlign w:val="bottom"/>
            <w:hideMark/>
          </w:tcPr>
          <w:p w14:paraId="39D247D6" w14:textId="1E4A6CD0" w:rsidR="00D929B7" w:rsidRPr="00665295" w:rsidRDefault="00D929B7" w:rsidP="00D929B7">
            <w:pPr>
              <w:spacing w:after="0" w:line="240" w:lineRule="auto"/>
              <w:ind w:left="113"/>
              <w:jc w:val="left"/>
              <w:rPr>
                <w:rFonts w:ascii="Arial" w:hAnsi="Arial" w:cs="Arial"/>
                <w:sz w:val="16"/>
                <w:szCs w:val="16"/>
              </w:rPr>
            </w:pPr>
            <w:r w:rsidRPr="00665295">
              <w:rPr>
                <w:rFonts w:ascii="Arial" w:hAnsi="Arial" w:cs="Arial"/>
                <w:sz w:val="16"/>
                <w:szCs w:val="16"/>
              </w:rPr>
              <w:t xml:space="preserve">Expenses not requiring appropriation in the Budget year </w:t>
            </w:r>
            <w:r w:rsidRPr="00665295">
              <w:rPr>
                <w:rFonts w:ascii="Arial" w:hAnsi="Arial" w:cs="Arial"/>
                <w:sz w:val="16"/>
                <w:szCs w:val="16"/>
                <w:vertAlign w:val="superscript"/>
              </w:rPr>
              <w:t>(a)</w:t>
            </w:r>
          </w:p>
        </w:tc>
        <w:tc>
          <w:tcPr>
            <w:tcW w:w="886" w:type="dxa"/>
            <w:tcBorders>
              <w:top w:val="nil"/>
              <w:left w:val="nil"/>
              <w:bottom w:val="nil"/>
              <w:right w:val="nil"/>
            </w:tcBorders>
            <w:shd w:val="clear" w:color="auto" w:fill="auto"/>
            <w:noWrap/>
            <w:vAlign w:val="bottom"/>
            <w:hideMark/>
          </w:tcPr>
          <w:p w14:paraId="531ABA54" w14:textId="40EDA1F2"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57,832 </w:t>
            </w:r>
          </w:p>
        </w:tc>
        <w:tc>
          <w:tcPr>
            <w:tcW w:w="815" w:type="dxa"/>
            <w:tcBorders>
              <w:top w:val="nil"/>
              <w:left w:val="nil"/>
              <w:bottom w:val="nil"/>
              <w:right w:val="nil"/>
            </w:tcBorders>
            <w:shd w:val="clear" w:color="000000" w:fill="E6E6E6"/>
            <w:noWrap/>
            <w:vAlign w:val="bottom"/>
            <w:hideMark/>
          </w:tcPr>
          <w:p w14:paraId="436AFD56" w14:textId="4E63DF6F"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37,168 </w:t>
            </w:r>
          </w:p>
        </w:tc>
        <w:tc>
          <w:tcPr>
            <w:tcW w:w="851" w:type="dxa"/>
            <w:tcBorders>
              <w:top w:val="nil"/>
              <w:left w:val="nil"/>
              <w:bottom w:val="nil"/>
              <w:right w:val="nil"/>
            </w:tcBorders>
            <w:shd w:val="clear" w:color="auto" w:fill="auto"/>
            <w:noWrap/>
            <w:vAlign w:val="bottom"/>
            <w:hideMark/>
          </w:tcPr>
          <w:p w14:paraId="7A859764" w14:textId="7E2D00B4"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36,859 </w:t>
            </w:r>
          </w:p>
        </w:tc>
        <w:tc>
          <w:tcPr>
            <w:tcW w:w="850" w:type="dxa"/>
            <w:tcBorders>
              <w:top w:val="nil"/>
              <w:left w:val="nil"/>
              <w:bottom w:val="nil"/>
              <w:right w:val="nil"/>
            </w:tcBorders>
            <w:shd w:val="clear" w:color="auto" w:fill="auto"/>
            <w:noWrap/>
            <w:vAlign w:val="bottom"/>
            <w:hideMark/>
          </w:tcPr>
          <w:p w14:paraId="720DDEA5" w14:textId="2FD7A648"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36,859 </w:t>
            </w:r>
          </w:p>
        </w:tc>
        <w:tc>
          <w:tcPr>
            <w:tcW w:w="851" w:type="dxa"/>
            <w:tcBorders>
              <w:top w:val="nil"/>
              <w:left w:val="nil"/>
              <w:bottom w:val="nil"/>
              <w:right w:val="nil"/>
            </w:tcBorders>
            <w:shd w:val="clear" w:color="auto" w:fill="auto"/>
            <w:noWrap/>
            <w:vAlign w:val="bottom"/>
            <w:hideMark/>
          </w:tcPr>
          <w:p w14:paraId="192361F2" w14:textId="11345F58" w:rsidR="00D929B7" w:rsidRPr="00665295" w:rsidRDefault="00D929B7" w:rsidP="00D929B7">
            <w:pPr>
              <w:spacing w:after="0" w:line="240" w:lineRule="auto"/>
              <w:jc w:val="right"/>
              <w:rPr>
                <w:rFonts w:ascii="Arial" w:hAnsi="Arial" w:cs="Arial"/>
                <w:sz w:val="16"/>
                <w:szCs w:val="16"/>
              </w:rPr>
            </w:pPr>
            <w:r>
              <w:rPr>
                <w:rFonts w:ascii="Arial" w:hAnsi="Arial" w:cs="Arial"/>
                <w:sz w:val="16"/>
                <w:szCs w:val="16"/>
              </w:rPr>
              <w:t xml:space="preserve">36,859 </w:t>
            </w:r>
          </w:p>
        </w:tc>
      </w:tr>
      <w:tr w:rsidR="00D929B7" w:rsidRPr="00B620AD" w14:paraId="297908F3" w14:textId="77777777" w:rsidTr="00F96D8A">
        <w:trPr>
          <w:trHeight w:val="204"/>
        </w:trPr>
        <w:tc>
          <w:tcPr>
            <w:tcW w:w="3402" w:type="dxa"/>
            <w:tcBorders>
              <w:top w:val="nil"/>
              <w:left w:val="nil"/>
              <w:bottom w:val="single" w:sz="4" w:space="0" w:color="auto"/>
              <w:right w:val="nil"/>
            </w:tcBorders>
            <w:shd w:val="clear" w:color="auto" w:fill="auto"/>
            <w:vAlign w:val="bottom"/>
            <w:hideMark/>
          </w:tcPr>
          <w:p w14:paraId="7BCE282B" w14:textId="685A4AA8" w:rsidR="00D929B7" w:rsidRPr="00665295" w:rsidRDefault="00D929B7" w:rsidP="00747426">
            <w:pPr>
              <w:spacing w:after="0" w:line="240" w:lineRule="auto"/>
              <w:jc w:val="left"/>
              <w:rPr>
                <w:rFonts w:ascii="Arial" w:hAnsi="Arial" w:cs="Arial"/>
                <w:b/>
                <w:bCs/>
                <w:sz w:val="16"/>
                <w:szCs w:val="16"/>
              </w:rPr>
            </w:pPr>
            <w:r w:rsidRPr="00665295">
              <w:rPr>
                <w:rFonts w:ascii="Arial" w:hAnsi="Arial" w:cs="Arial"/>
                <w:b/>
                <w:bCs/>
                <w:sz w:val="16"/>
                <w:szCs w:val="16"/>
              </w:rPr>
              <w:t>Total Administered expenses</w:t>
            </w:r>
          </w:p>
        </w:tc>
        <w:tc>
          <w:tcPr>
            <w:tcW w:w="886" w:type="dxa"/>
            <w:tcBorders>
              <w:top w:val="single" w:sz="4" w:space="0" w:color="auto"/>
              <w:left w:val="nil"/>
              <w:bottom w:val="single" w:sz="4" w:space="0" w:color="auto"/>
              <w:right w:val="nil"/>
            </w:tcBorders>
            <w:shd w:val="clear" w:color="auto" w:fill="auto"/>
            <w:noWrap/>
            <w:vAlign w:val="bottom"/>
            <w:hideMark/>
          </w:tcPr>
          <w:p w14:paraId="2EE7F33B" w14:textId="57E93B8D"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815" w:type="dxa"/>
            <w:tcBorders>
              <w:top w:val="single" w:sz="4" w:space="0" w:color="auto"/>
              <w:left w:val="nil"/>
              <w:bottom w:val="single" w:sz="4" w:space="0" w:color="auto"/>
              <w:right w:val="nil"/>
            </w:tcBorders>
            <w:shd w:val="clear" w:color="000000" w:fill="E6E6E6"/>
            <w:noWrap/>
            <w:vAlign w:val="bottom"/>
            <w:hideMark/>
          </w:tcPr>
          <w:p w14:paraId="136AF0C8" w14:textId="3F68A1B0"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250,166 </w:t>
            </w:r>
          </w:p>
        </w:tc>
        <w:tc>
          <w:tcPr>
            <w:tcW w:w="851" w:type="dxa"/>
            <w:tcBorders>
              <w:top w:val="single" w:sz="4" w:space="0" w:color="auto"/>
              <w:left w:val="nil"/>
              <w:bottom w:val="single" w:sz="4" w:space="0" w:color="auto"/>
              <w:right w:val="nil"/>
            </w:tcBorders>
            <w:shd w:val="clear" w:color="auto" w:fill="auto"/>
            <w:noWrap/>
            <w:vAlign w:val="bottom"/>
            <w:hideMark/>
          </w:tcPr>
          <w:p w14:paraId="08A3F40A" w14:textId="732B7338"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244,136 </w:t>
            </w:r>
          </w:p>
        </w:tc>
        <w:tc>
          <w:tcPr>
            <w:tcW w:w="850" w:type="dxa"/>
            <w:tcBorders>
              <w:top w:val="single" w:sz="4" w:space="0" w:color="auto"/>
              <w:left w:val="nil"/>
              <w:bottom w:val="single" w:sz="4" w:space="0" w:color="auto"/>
              <w:right w:val="nil"/>
            </w:tcBorders>
            <w:shd w:val="clear" w:color="auto" w:fill="auto"/>
            <w:noWrap/>
            <w:vAlign w:val="bottom"/>
            <w:hideMark/>
          </w:tcPr>
          <w:p w14:paraId="14D5CCC5" w14:textId="6B47FCAD"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242,942 </w:t>
            </w:r>
          </w:p>
        </w:tc>
        <w:tc>
          <w:tcPr>
            <w:tcW w:w="851" w:type="dxa"/>
            <w:tcBorders>
              <w:top w:val="single" w:sz="4" w:space="0" w:color="auto"/>
              <w:left w:val="nil"/>
              <w:bottom w:val="single" w:sz="4" w:space="0" w:color="auto"/>
              <w:right w:val="nil"/>
            </w:tcBorders>
            <w:shd w:val="clear" w:color="auto" w:fill="auto"/>
            <w:noWrap/>
            <w:vAlign w:val="bottom"/>
            <w:hideMark/>
          </w:tcPr>
          <w:p w14:paraId="691D70B0" w14:textId="2034849D" w:rsidR="00D929B7" w:rsidRPr="00665295"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235,087 </w:t>
            </w:r>
          </w:p>
        </w:tc>
      </w:tr>
    </w:tbl>
    <w:p w14:paraId="2359132B" w14:textId="77777777" w:rsidR="00B91F3E" w:rsidRDefault="00B91F3E" w:rsidP="00B91F3E">
      <w:pPr>
        <w:pStyle w:val="TableHeading"/>
        <w:rPr>
          <w:lang w:val="en-AU"/>
        </w:rPr>
      </w:pPr>
      <w:r>
        <w:br w:type="page"/>
      </w:r>
      <w:r>
        <w:lastRenderedPageBreak/>
        <w:t>Table 2.</w:t>
      </w:r>
      <w:r>
        <w:rPr>
          <w:lang w:val="en-GB"/>
        </w:rPr>
        <w:t>4</w:t>
      </w:r>
      <w:r>
        <w:t xml:space="preserve">.1: Budgeted expenses for Outcome </w:t>
      </w:r>
      <w:r>
        <w:rPr>
          <w:lang w:val="en-GB"/>
        </w:rPr>
        <w:t>4</w:t>
      </w:r>
      <w:r>
        <w:rPr>
          <w:lang w:val="en-AU"/>
        </w:rPr>
        <w:t xml:space="preserve"> (continued)</w:t>
      </w:r>
    </w:p>
    <w:tbl>
      <w:tblPr>
        <w:tblW w:w="7716" w:type="dxa"/>
        <w:tblLayout w:type="fixed"/>
        <w:tblLook w:val="04A0" w:firstRow="1" w:lastRow="0" w:firstColumn="1" w:lastColumn="0" w:noHBand="0" w:noVBand="1"/>
      </w:tblPr>
      <w:tblGrid>
        <w:gridCol w:w="2835"/>
        <w:gridCol w:w="993"/>
        <w:gridCol w:w="996"/>
        <w:gridCol w:w="938"/>
        <w:gridCol w:w="58"/>
        <w:gridCol w:w="919"/>
        <w:gridCol w:w="77"/>
        <w:gridCol w:w="839"/>
        <w:gridCol w:w="61"/>
      </w:tblGrid>
      <w:tr w:rsidR="00B91F3E" w:rsidRPr="0011116F" w14:paraId="01C66EAE" w14:textId="77777777" w:rsidTr="005535E1">
        <w:trPr>
          <w:trHeight w:val="204"/>
        </w:trPr>
        <w:tc>
          <w:tcPr>
            <w:tcW w:w="2835" w:type="dxa"/>
            <w:tcBorders>
              <w:top w:val="single" w:sz="4" w:space="0" w:color="auto"/>
              <w:left w:val="nil"/>
              <w:bottom w:val="nil"/>
              <w:right w:val="nil"/>
            </w:tcBorders>
            <w:shd w:val="clear" w:color="auto" w:fill="auto"/>
            <w:noWrap/>
            <w:vAlign w:val="bottom"/>
            <w:hideMark/>
          </w:tcPr>
          <w:p w14:paraId="2B4117A3" w14:textId="77777777" w:rsidR="00B91F3E" w:rsidRPr="0011116F" w:rsidRDefault="00B91F3E" w:rsidP="00F96D8A">
            <w:pPr>
              <w:spacing w:after="0" w:line="240" w:lineRule="auto"/>
              <w:jc w:val="left"/>
              <w:rPr>
                <w:rFonts w:ascii="Times New Roman" w:hAnsi="Times New Roman"/>
                <w:sz w:val="24"/>
                <w:szCs w:val="24"/>
              </w:rPr>
            </w:pPr>
          </w:p>
        </w:tc>
        <w:tc>
          <w:tcPr>
            <w:tcW w:w="993" w:type="dxa"/>
            <w:tcBorders>
              <w:top w:val="single" w:sz="4" w:space="0" w:color="auto"/>
              <w:left w:val="nil"/>
              <w:bottom w:val="single" w:sz="4" w:space="0" w:color="auto"/>
              <w:right w:val="nil"/>
            </w:tcBorders>
            <w:shd w:val="clear" w:color="auto" w:fill="auto"/>
            <w:vAlign w:val="bottom"/>
            <w:hideMark/>
          </w:tcPr>
          <w:p w14:paraId="7B3498D6"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2021-22 Actual expenses $'000</w:t>
            </w:r>
          </w:p>
        </w:tc>
        <w:tc>
          <w:tcPr>
            <w:tcW w:w="996" w:type="dxa"/>
            <w:tcBorders>
              <w:top w:val="single" w:sz="4" w:space="0" w:color="auto"/>
              <w:left w:val="nil"/>
              <w:bottom w:val="single" w:sz="4" w:space="0" w:color="auto"/>
              <w:right w:val="nil"/>
            </w:tcBorders>
            <w:shd w:val="clear" w:color="000000" w:fill="E6E6E6"/>
            <w:vAlign w:val="bottom"/>
            <w:hideMark/>
          </w:tcPr>
          <w:p w14:paraId="2BD834AB"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2022-23 Revised estimate $'000</w:t>
            </w:r>
          </w:p>
        </w:tc>
        <w:tc>
          <w:tcPr>
            <w:tcW w:w="938" w:type="dxa"/>
            <w:tcBorders>
              <w:top w:val="single" w:sz="4" w:space="0" w:color="auto"/>
              <w:left w:val="nil"/>
              <w:bottom w:val="single" w:sz="4" w:space="0" w:color="auto"/>
              <w:right w:val="nil"/>
            </w:tcBorders>
            <w:shd w:val="clear" w:color="auto" w:fill="auto"/>
            <w:vAlign w:val="bottom"/>
            <w:hideMark/>
          </w:tcPr>
          <w:p w14:paraId="20693F64"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2023-24 Forward estimate $'000</w:t>
            </w:r>
          </w:p>
        </w:tc>
        <w:tc>
          <w:tcPr>
            <w:tcW w:w="977" w:type="dxa"/>
            <w:gridSpan w:val="2"/>
            <w:tcBorders>
              <w:top w:val="single" w:sz="4" w:space="0" w:color="auto"/>
              <w:left w:val="nil"/>
              <w:bottom w:val="single" w:sz="4" w:space="0" w:color="auto"/>
              <w:right w:val="nil"/>
            </w:tcBorders>
            <w:shd w:val="clear" w:color="auto" w:fill="auto"/>
            <w:vAlign w:val="bottom"/>
            <w:hideMark/>
          </w:tcPr>
          <w:p w14:paraId="00B1ACCF"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2024-25 Forward estimate $'000</w:t>
            </w:r>
          </w:p>
        </w:tc>
        <w:tc>
          <w:tcPr>
            <w:tcW w:w="977" w:type="dxa"/>
            <w:gridSpan w:val="3"/>
            <w:tcBorders>
              <w:top w:val="single" w:sz="4" w:space="0" w:color="auto"/>
              <w:left w:val="nil"/>
              <w:bottom w:val="single" w:sz="4" w:space="0" w:color="auto"/>
              <w:right w:val="nil"/>
            </w:tcBorders>
            <w:shd w:val="clear" w:color="auto" w:fill="auto"/>
            <w:vAlign w:val="bottom"/>
            <w:hideMark/>
          </w:tcPr>
          <w:p w14:paraId="3B3F2DA2"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2025-26 Forward estimate $'000</w:t>
            </w:r>
          </w:p>
        </w:tc>
      </w:tr>
      <w:tr w:rsidR="00B91F3E" w:rsidRPr="0011116F" w14:paraId="588E9A24" w14:textId="77777777" w:rsidTr="005535E1">
        <w:trPr>
          <w:gridAfter w:val="1"/>
          <w:wAfter w:w="61" w:type="dxa"/>
          <w:trHeight w:val="204"/>
        </w:trPr>
        <w:tc>
          <w:tcPr>
            <w:tcW w:w="2835" w:type="dxa"/>
            <w:tcBorders>
              <w:top w:val="nil"/>
              <w:left w:val="nil"/>
              <w:bottom w:val="nil"/>
              <w:right w:val="nil"/>
            </w:tcBorders>
            <w:shd w:val="clear" w:color="auto" w:fill="auto"/>
            <w:noWrap/>
            <w:vAlign w:val="bottom"/>
            <w:hideMark/>
          </w:tcPr>
          <w:p w14:paraId="3490CB73" w14:textId="6D972BAD" w:rsidR="00B91F3E" w:rsidRPr="0011116F" w:rsidRDefault="003C4CC6" w:rsidP="00F96D8A">
            <w:pPr>
              <w:spacing w:after="0" w:line="240" w:lineRule="auto"/>
              <w:jc w:val="left"/>
              <w:rPr>
                <w:rFonts w:ascii="Arial" w:hAnsi="Arial" w:cs="Arial"/>
                <w:sz w:val="16"/>
                <w:szCs w:val="16"/>
              </w:rPr>
            </w:pPr>
            <w:r>
              <w:rPr>
                <w:rFonts w:ascii="Arial" w:hAnsi="Arial" w:cs="Arial"/>
                <w:sz w:val="16"/>
                <w:szCs w:val="16"/>
              </w:rPr>
              <w:t>Department</w:t>
            </w:r>
            <w:r w:rsidR="00B91F3E" w:rsidRPr="0011116F">
              <w:rPr>
                <w:rFonts w:ascii="Arial" w:hAnsi="Arial" w:cs="Arial"/>
                <w:sz w:val="16"/>
                <w:szCs w:val="16"/>
              </w:rPr>
              <w:t>al expenses</w:t>
            </w:r>
          </w:p>
        </w:tc>
        <w:tc>
          <w:tcPr>
            <w:tcW w:w="993" w:type="dxa"/>
            <w:tcBorders>
              <w:top w:val="nil"/>
              <w:left w:val="nil"/>
              <w:bottom w:val="nil"/>
              <w:right w:val="nil"/>
            </w:tcBorders>
            <w:shd w:val="clear" w:color="auto" w:fill="auto"/>
            <w:noWrap/>
            <w:vAlign w:val="bottom"/>
            <w:hideMark/>
          </w:tcPr>
          <w:p w14:paraId="31D9C423" w14:textId="77777777" w:rsidR="00B91F3E" w:rsidRPr="0011116F" w:rsidRDefault="00B91F3E" w:rsidP="00F96D8A">
            <w:pPr>
              <w:spacing w:after="0" w:line="240" w:lineRule="auto"/>
              <w:jc w:val="right"/>
              <w:rPr>
                <w:rFonts w:ascii="Arial" w:hAnsi="Arial" w:cs="Arial"/>
                <w:sz w:val="16"/>
                <w:szCs w:val="16"/>
              </w:rPr>
            </w:pPr>
          </w:p>
        </w:tc>
        <w:tc>
          <w:tcPr>
            <w:tcW w:w="996" w:type="dxa"/>
            <w:tcBorders>
              <w:top w:val="nil"/>
              <w:left w:val="nil"/>
              <w:bottom w:val="nil"/>
              <w:right w:val="nil"/>
            </w:tcBorders>
            <w:shd w:val="clear" w:color="000000" w:fill="E6E6E6"/>
            <w:noWrap/>
            <w:vAlign w:val="bottom"/>
            <w:hideMark/>
          </w:tcPr>
          <w:p w14:paraId="0A463687" w14:textId="77777777" w:rsidR="00B91F3E" w:rsidRPr="0011116F"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42A69B48" w14:textId="77777777" w:rsidR="00B91F3E" w:rsidRPr="0011116F"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0C9FE284" w14:textId="77777777" w:rsidR="00B91F3E" w:rsidRPr="0011116F" w:rsidRDefault="00B91F3E" w:rsidP="00F96D8A">
            <w:pPr>
              <w:spacing w:after="0" w:line="240" w:lineRule="auto"/>
              <w:jc w:val="right"/>
              <w:rPr>
                <w:rFonts w:ascii="Times New Roman" w:hAnsi="Times New Roman"/>
                <w:sz w:val="16"/>
                <w:szCs w:val="16"/>
              </w:rPr>
            </w:pPr>
          </w:p>
        </w:tc>
        <w:tc>
          <w:tcPr>
            <w:tcW w:w="839" w:type="dxa"/>
            <w:tcBorders>
              <w:top w:val="nil"/>
              <w:left w:val="nil"/>
              <w:bottom w:val="nil"/>
              <w:right w:val="nil"/>
            </w:tcBorders>
            <w:shd w:val="clear" w:color="auto" w:fill="auto"/>
            <w:noWrap/>
            <w:vAlign w:val="bottom"/>
            <w:hideMark/>
          </w:tcPr>
          <w:p w14:paraId="6CC18EC2" w14:textId="77777777" w:rsidR="00B91F3E" w:rsidRPr="0011116F" w:rsidRDefault="00B91F3E" w:rsidP="00F96D8A">
            <w:pPr>
              <w:spacing w:after="0" w:line="240" w:lineRule="auto"/>
              <w:jc w:val="right"/>
              <w:rPr>
                <w:rFonts w:ascii="Times New Roman" w:hAnsi="Times New Roman"/>
                <w:sz w:val="16"/>
                <w:szCs w:val="16"/>
              </w:rPr>
            </w:pPr>
          </w:p>
        </w:tc>
      </w:tr>
      <w:tr w:rsidR="00D929B7" w:rsidRPr="0011116F" w14:paraId="71E56AC0" w14:textId="77777777" w:rsidTr="005535E1">
        <w:trPr>
          <w:gridAfter w:val="1"/>
          <w:wAfter w:w="61" w:type="dxa"/>
          <w:trHeight w:val="204"/>
        </w:trPr>
        <w:tc>
          <w:tcPr>
            <w:tcW w:w="2835" w:type="dxa"/>
            <w:tcBorders>
              <w:top w:val="nil"/>
              <w:left w:val="nil"/>
              <w:bottom w:val="nil"/>
              <w:right w:val="nil"/>
            </w:tcBorders>
            <w:shd w:val="clear" w:color="auto" w:fill="auto"/>
            <w:vAlign w:val="bottom"/>
            <w:hideMark/>
          </w:tcPr>
          <w:p w14:paraId="71BC460B" w14:textId="7AFBBE9A" w:rsidR="00D929B7" w:rsidRPr="0011116F" w:rsidRDefault="00D929B7" w:rsidP="00D929B7">
            <w:pPr>
              <w:spacing w:after="0" w:line="240" w:lineRule="auto"/>
              <w:ind w:left="113"/>
              <w:jc w:val="left"/>
              <w:rPr>
                <w:rFonts w:ascii="Arial" w:hAnsi="Arial" w:cs="Arial"/>
                <w:sz w:val="16"/>
                <w:szCs w:val="16"/>
              </w:rPr>
            </w:pPr>
            <w:r>
              <w:rPr>
                <w:rFonts w:ascii="Arial" w:hAnsi="Arial" w:cs="Arial"/>
                <w:sz w:val="16"/>
                <w:szCs w:val="16"/>
              </w:rPr>
              <w:t>Department</w:t>
            </w:r>
            <w:r w:rsidRPr="0011116F">
              <w:rPr>
                <w:rFonts w:ascii="Arial" w:hAnsi="Arial" w:cs="Arial"/>
                <w:sz w:val="16"/>
                <w:szCs w:val="16"/>
              </w:rPr>
              <w:t>al appropriation</w:t>
            </w:r>
          </w:p>
        </w:tc>
        <w:tc>
          <w:tcPr>
            <w:tcW w:w="993" w:type="dxa"/>
            <w:tcBorders>
              <w:top w:val="nil"/>
              <w:left w:val="nil"/>
              <w:bottom w:val="nil"/>
              <w:right w:val="nil"/>
            </w:tcBorders>
            <w:shd w:val="clear" w:color="auto" w:fill="auto"/>
            <w:noWrap/>
            <w:vAlign w:val="bottom"/>
            <w:hideMark/>
          </w:tcPr>
          <w:p w14:paraId="5ED81492" w14:textId="4ED3784F"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31,165 </w:t>
            </w:r>
          </w:p>
        </w:tc>
        <w:tc>
          <w:tcPr>
            <w:tcW w:w="996" w:type="dxa"/>
            <w:tcBorders>
              <w:top w:val="nil"/>
              <w:left w:val="nil"/>
              <w:bottom w:val="nil"/>
              <w:right w:val="nil"/>
            </w:tcBorders>
            <w:shd w:val="clear" w:color="000000" w:fill="E6E6E6"/>
            <w:noWrap/>
            <w:vAlign w:val="bottom"/>
            <w:hideMark/>
          </w:tcPr>
          <w:p w14:paraId="229A198E" w14:textId="2839AF0C"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33,474 </w:t>
            </w:r>
          </w:p>
        </w:tc>
        <w:tc>
          <w:tcPr>
            <w:tcW w:w="996" w:type="dxa"/>
            <w:gridSpan w:val="2"/>
            <w:tcBorders>
              <w:top w:val="nil"/>
              <w:left w:val="nil"/>
              <w:bottom w:val="nil"/>
              <w:right w:val="nil"/>
            </w:tcBorders>
            <w:shd w:val="clear" w:color="auto" w:fill="auto"/>
            <w:noWrap/>
            <w:vAlign w:val="bottom"/>
            <w:hideMark/>
          </w:tcPr>
          <w:p w14:paraId="0CD32160" w14:textId="588DEAF0"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31,597 </w:t>
            </w:r>
          </w:p>
        </w:tc>
        <w:tc>
          <w:tcPr>
            <w:tcW w:w="996" w:type="dxa"/>
            <w:gridSpan w:val="2"/>
            <w:tcBorders>
              <w:top w:val="nil"/>
              <w:left w:val="nil"/>
              <w:bottom w:val="nil"/>
              <w:right w:val="nil"/>
            </w:tcBorders>
            <w:shd w:val="clear" w:color="auto" w:fill="auto"/>
            <w:noWrap/>
            <w:vAlign w:val="bottom"/>
            <w:hideMark/>
          </w:tcPr>
          <w:p w14:paraId="1AB4099D" w14:textId="2270D201"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28,051 </w:t>
            </w:r>
          </w:p>
        </w:tc>
        <w:tc>
          <w:tcPr>
            <w:tcW w:w="839" w:type="dxa"/>
            <w:tcBorders>
              <w:top w:val="nil"/>
              <w:left w:val="nil"/>
              <w:bottom w:val="nil"/>
              <w:right w:val="nil"/>
            </w:tcBorders>
            <w:shd w:val="clear" w:color="auto" w:fill="auto"/>
            <w:noWrap/>
            <w:vAlign w:val="bottom"/>
            <w:hideMark/>
          </w:tcPr>
          <w:p w14:paraId="07E1862F" w14:textId="5D41E308"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28,054 </w:t>
            </w:r>
          </w:p>
        </w:tc>
      </w:tr>
      <w:tr w:rsidR="00D929B7" w:rsidRPr="0011116F" w14:paraId="6115E7A1" w14:textId="77777777" w:rsidTr="005535E1">
        <w:trPr>
          <w:gridAfter w:val="1"/>
          <w:wAfter w:w="61" w:type="dxa"/>
          <w:trHeight w:val="204"/>
        </w:trPr>
        <w:tc>
          <w:tcPr>
            <w:tcW w:w="2835" w:type="dxa"/>
            <w:tcBorders>
              <w:top w:val="nil"/>
              <w:left w:val="nil"/>
              <w:bottom w:val="nil"/>
              <w:right w:val="nil"/>
            </w:tcBorders>
            <w:shd w:val="clear" w:color="auto" w:fill="auto"/>
            <w:vAlign w:val="bottom"/>
            <w:hideMark/>
          </w:tcPr>
          <w:p w14:paraId="093D3201" w14:textId="450091D2" w:rsidR="00D929B7" w:rsidRPr="0011116F" w:rsidRDefault="00D929B7" w:rsidP="00AC4BC5">
            <w:pPr>
              <w:spacing w:after="0" w:line="240" w:lineRule="auto"/>
              <w:ind w:left="113"/>
              <w:jc w:val="left"/>
              <w:rPr>
                <w:rFonts w:ascii="Arial" w:hAnsi="Arial" w:cs="Arial"/>
                <w:sz w:val="16"/>
                <w:szCs w:val="16"/>
              </w:rPr>
            </w:pPr>
            <w:r w:rsidRPr="0011116F">
              <w:rPr>
                <w:rFonts w:ascii="Arial" w:hAnsi="Arial" w:cs="Arial"/>
                <w:sz w:val="16"/>
                <w:szCs w:val="16"/>
              </w:rPr>
              <w:t xml:space="preserve">s74 </w:t>
            </w:r>
            <w:r w:rsidR="00AC4BC5">
              <w:rPr>
                <w:rFonts w:ascii="Arial" w:hAnsi="Arial" w:cs="Arial"/>
                <w:sz w:val="16"/>
                <w:szCs w:val="16"/>
              </w:rPr>
              <w:t>external revenues</w:t>
            </w:r>
            <w:r w:rsidRPr="0011116F">
              <w:rPr>
                <w:rFonts w:ascii="Arial" w:hAnsi="Arial" w:cs="Arial"/>
                <w:sz w:val="16"/>
                <w:szCs w:val="16"/>
              </w:rPr>
              <w:t xml:space="preserve"> </w:t>
            </w:r>
            <w:r w:rsidRPr="00163B6B">
              <w:rPr>
                <w:rFonts w:ascii="Arial" w:hAnsi="Arial" w:cs="Arial"/>
                <w:sz w:val="16"/>
                <w:szCs w:val="16"/>
                <w:vertAlign w:val="superscript"/>
              </w:rPr>
              <w:t>(</w:t>
            </w:r>
            <w:r>
              <w:rPr>
                <w:rFonts w:ascii="Arial" w:hAnsi="Arial" w:cs="Arial"/>
                <w:sz w:val="16"/>
                <w:szCs w:val="16"/>
                <w:vertAlign w:val="superscript"/>
              </w:rPr>
              <w:t>b</w:t>
            </w:r>
            <w:r w:rsidRPr="00163B6B">
              <w:rPr>
                <w:rFonts w:ascii="Arial" w:hAnsi="Arial" w:cs="Arial"/>
                <w:sz w:val="16"/>
                <w:szCs w:val="16"/>
                <w:vertAlign w:val="superscript"/>
              </w:rPr>
              <w:t>)</w:t>
            </w:r>
          </w:p>
        </w:tc>
        <w:tc>
          <w:tcPr>
            <w:tcW w:w="993" w:type="dxa"/>
            <w:tcBorders>
              <w:top w:val="nil"/>
              <w:left w:val="nil"/>
              <w:bottom w:val="nil"/>
              <w:right w:val="nil"/>
            </w:tcBorders>
            <w:shd w:val="clear" w:color="auto" w:fill="auto"/>
            <w:noWrap/>
            <w:vAlign w:val="bottom"/>
            <w:hideMark/>
          </w:tcPr>
          <w:p w14:paraId="0BB3F35C" w14:textId="40FBF570"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889 </w:t>
            </w:r>
          </w:p>
        </w:tc>
        <w:tc>
          <w:tcPr>
            <w:tcW w:w="996" w:type="dxa"/>
            <w:tcBorders>
              <w:top w:val="nil"/>
              <w:left w:val="nil"/>
              <w:bottom w:val="nil"/>
              <w:right w:val="nil"/>
            </w:tcBorders>
            <w:shd w:val="clear" w:color="000000" w:fill="E6E6E6"/>
            <w:noWrap/>
            <w:vAlign w:val="bottom"/>
            <w:hideMark/>
          </w:tcPr>
          <w:p w14:paraId="118BBD3B" w14:textId="2CE22388"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791 </w:t>
            </w:r>
          </w:p>
        </w:tc>
        <w:tc>
          <w:tcPr>
            <w:tcW w:w="996" w:type="dxa"/>
            <w:gridSpan w:val="2"/>
            <w:tcBorders>
              <w:top w:val="nil"/>
              <w:left w:val="nil"/>
              <w:bottom w:val="nil"/>
              <w:right w:val="nil"/>
            </w:tcBorders>
            <w:shd w:val="clear" w:color="auto" w:fill="auto"/>
            <w:noWrap/>
            <w:vAlign w:val="bottom"/>
            <w:hideMark/>
          </w:tcPr>
          <w:p w14:paraId="38E74BBD" w14:textId="2FF0D35C"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975 </w:t>
            </w:r>
          </w:p>
        </w:tc>
        <w:tc>
          <w:tcPr>
            <w:tcW w:w="996" w:type="dxa"/>
            <w:gridSpan w:val="2"/>
            <w:tcBorders>
              <w:top w:val="nil"/>
              <w:left w:val="nil"/>
              <w:bottom w:val="nil"/>
              <w:right w:val="nil"/>
            </w:tcBorders>
            <w:shd w:val="clear" w:color="auto" w:fill="auto"/>
            <w:noWrap/>
            <w:vAlign w:val="bottom"/>
            <w:hideMark/>
          </w:tcPr>
          <w:p w14:paraId="1C515A31" w14:textId="4054F1BE"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993 </w:t>
            </w:r>
          </w:p>
        </w:tc>
        <w:tc>
          <w:tcPr>
            <w:tcW w:w="839" w:type="dxa"/>
            <w:tcBorders>
              <w:top w:val="nil"/>
              <w:left w:val="nil"/>
              <w:bottom w:val="nil"/>
              <w:right w:val="nil"/>
            </w:tcBorders>
            <w:shd w:val="clear" w:color="auto" w:fill="auto"/>
            <w:noWrap/>
            <w:vAlign w:val="bottom"/>
            <w:hideMark/>
          </w:tcPr>
          <w:p w14:paraId="77FDDD0B" w14:textId="22BBB5CE"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1,015 </w:t>
            </w:r>
          </w:p>
        </w:tc>
      </w:tr>
      <w:tr w:rsidR="00D929B7" w:rsidRPr="0011116F" w14:paraId="3307D0AB" w14:textId="77777777" w:rsidTr="005535E1">
        <w:trPr>
          <w:gridAfter w:val="1"/>
          <w:wAfter w:w="61" w:type="dxa"/>
          <w:trHeight w:val="204"/>
        </w:trPr>
        <w:tc>
          <w:tcPr>
            <w:tcW w:w="2835" w:type="dxa"/>
            <w:tcBorders>
              <w:top w:val="nil"/>
              <w:left w:val="nil"/>
              <w:bottom w:val="nil"/>
              <w:right w:val="nil"/>
            </w:tcBorders>
            <w:shd w:val="clear" w:color="auto" w:fill="auto"/>
            <w:vAlign w:val="bottom"/>
            <w:hideMark/>
          </w:tcPr>
          <w:p w14:paraId="2063F66A" w14:textId="505587C5" w:rsidR="00D929B7" w:rsidRPr="0011116F" w:rsidRDefault="00D929B7" w:rsidP="00D929B7">
            <w:pPr>
              <w:spacing w:after="0" w:line="240" w:lineRule="auto"/>
              <w:ind w:left="113"/>
              <w:jc w:val="left"/>
              <w:rPr>
                <w:rFonts w:ascii="Arial" w:hAnsi="Arial" w:cs="Arial"/>
                <w:sz w:val="16"/>
                <w:szCs w:val="16"/>
              </w:rPr>
            </w:pPr>
            <w:r w:rsidRPr="0011116F">
              <w:rPr>
                <w:rFonts w:ascii="Arial" w:hAnsi="Arial" w:cs="Arial"/>
                <w:sz w:val="16"/>
                <w:szCs w:val="16"/>
              </w:rPr>
              <w:t xml:space="preserve">Expenses not requiring appropriation in the Budget year </w:t>
            </w:r>
            <w:r w:rsidRPr="00163B6B">
              <w:rPr>
                <w:rFonts w:ascii="Arial" w:hAnsi="Arial" w:cs="Arial"/>
                <w:sz w:val="16"/>
                <w:szCs w:val="16"/>
                <w:vertAlign w:val="superscript"/>
              </w:rPr>
              <w:t>(</w:t>
            </w:r>
            <w:r>
              <w:rPr>
                <w:rFonts w:ascii="Arial" w:hAnsi="Arial" w:cs="Arial"/>
                <w:sz w:val="16"/>
                <w:szCs w:val="16"/>
                <w:vertAlign w:val="superscript"/>
              </w:rPr>
              <w:t>c</w:t>
            </w:r>
            <w:r w:rsidRPr="00163B6B">
              <w:rPr>
                <w:rFonts w:ascii="Arial" w:hAnsi="Arial" w:cs="Arial"/>
                <w:sz w:val="16"/>
                <w:szCs w:val="16"/>
                <w:vertAlign w:val="superscript"/>
              </w:rPr>
              <w:t>)</w:t>
            </w:r>
          </w:p>
        </w:tc>
        <w:tc>
          <w:tcPr>
            <w:tcW w:w="993" w:type="dxa"/>
            <w:tcBorders>
              <w:top w:val="nil"/>
              <w:left w:val="nil"/>
              <w:bottom w:val="nil"/>
              <w:right w:val="nil"/>
            </w:tcBorders>
            <w:shd w:val="clear" w:color="auto" w:fill="auto"/>
            <w:noWrap/>
            <w:vAlign w:val="bottom"/>
            <w:hideMark/>
          </w:tcPr>
          <w:p w14:paraId="35F0FBB4" w14:textId="58A05E74"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599 </w:t>
            </w:r>
          </w:p>
        </w:tc>
        <w:tc>
          <w:tcPr>
            <w:tcW w:w="996" w:type="dxa"/>
            <w:tcBorders>
              <w:top w:val="nil"/>
              <w:left w:val="nil"/>
              <w:bottom w:val="nil"/>
              <w:right w:val="nil"/>
            </w:tcBorders>
            <w:shd w:val="clear" w:color="000000" w:fill="E6E6E6"/>
            <w:noWrap/>
            <w:vAlign w:val="bottom"/>
            <w:hideMark/>
          </w:tcPr>
          <w:p w14:paraId="78F4EEE5" w14:textId="12FFC0AA"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569 </w:t>
            </w:r>
          </w:p>
        </w:tc>
        <w:tc>
          <w:tcPr>
            <w:tcW w:w="996" w:type="dxa"/>
            <w:gridSpan w:val="2"/>
            <w:tcBorders>
              <w:top w:val="nil"/>
              <w:left w:val="nil"/>
              <w:bottom w:val="nil"/>
              <w:right w:val="nil"/>
            </w:tcBorders>
            <w:shd w:val="clear" w:color="auto" w:fill="auto"/>
            <w:noWrap/>
            <w:vAlign w:val="bottom"/>
            <w:hideMark/>
          </w:tcPr>
          <w:p w14:paraId="677DC478" w14:textId="1ED0E13B"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630 </w:t>
            </w:r>
          </w:p>
        </w:tc>
        <w:tc>
          <w:tcPr>
            <w:tcW w:w="996" w:type="dxa"/>
            <w:gridSpan w:val="2"/>
            <w:tcBorders>
              <w:top w:val="nil"/>
              <w:left w:val="nil"/>
              <w:bottom w:val="nil"/>
              <w:right w:val="nil"/>
            </w:tcBorders>
            <w:shd w:val="clear" w:color="auto" w:fill="auto"/>
            <w:noWrap/>
            <w:vAlign w:val="bottom"/>
            <w:hideMark/>
          </w:tcPr>
          <w:p w14:paraId="5EE72468" w14:textId="6B7A08DE"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320 </w:t>
            </w:r>
          </w:p>
        </w:tc>
        <w:tc>
          <w:tcPr>
            <w:tcW w:w="839" w:type="dxa"/>
            <w:tcBorders>
              <w:top w:val="nil"/>
              <w:left w:val="nil"/>
              <w:bottom w:val="nil"/>
              <w:right w:val="nil"/>
            </w:tcBorders>
            <w:shd w:val="clear" w:color="auto" w:fill="auto"/>
            <w:noWrap/>
            <w:vAlign w:val="bottom"/>
            <w:hideMark/>
          </w:tcPr>
          <w:p w14:paraId="646C8A70" w14:textId="47A4E8CB" w:rsidR="00D929B7" w:rsidRPr="0011116F" w:rsidRDefault="00D929B7" w:rsidP="00D929B7">
            <w:pPr>
              <w:spacing w:after="0" w:line="240" w:lineRule="auto"/>
              <w:jc w:val="right"/>
              <w:rPr>
                <w:rFonts w:ascii="Arial" w:hAnsi="Arial" w:cs="Arial"/>
                <w:sz w:val="16"/>
                <w:szCs w:val="16"/>
              </w:rPr>
            </w:pPr>
            <w:r>
              <w:rPr>
                <w:rFonts w:ascii="Arial" w:hAnsi="Arial" w:cs="Arial"/>
                <w:sz w:val="16"/>
                <w:szCs w:val="16"/>
              </w:rPr>
              <w:t xml:space="preserve">327 </w:t>
            </w:r>
          </w:p>
        </w:tc>
      </w:tr>
      <w:tr w:rsidR="00D929B7" w:rsidRPr="0011116F" w14:paraId="51A46319" w14:textId="77777777" w:rsidTr="005535E1">
        <w:trPr>
          <w:gridAfter w:val="1"/>
          <w:wAfter w:w="61" w:type="dxa"/>
          <w:trHeight w:val="204"/>
        </w:trPr>
        <w:tc>
          <w:tcPr>
            <w:tcW w:w="2835" w:type="dxa"/>
            <w:tcBorders>
              <w:top w:val="nil"/>
              <w:left w:val="nil"/>
              <w:right w:val="nil"/>
            </w:tcBorders>
            <w:shd w:val="clear" w:color="auto" w:fill="auto"/>
            <w:vAlign w:val="bottom"/>
            <w:hideMark/>
          </w:tcPr>
          <w:p w14:paraId="4DDCEBC3" w14:textId="7D95A6D3" w:rsidR="00D929B7" w:rsidRPr="0011116F" w:rsidRDefault="00D929B7" w:rsidP="00747426">
            <w:pPr>
              <w:spacing w:after="0" w:line="240" w:lineRule="auto"/>
              <w:jc w:val="left"/>
              <w:rPr>
                <w:rFonts w:ascii="Arial" w:hAnsi="Arial" w:cs="Arial"/>
                <w:b/>
                <w:bCs/>
                <w:sz w:val="16"/>
                <w:szCs w:val="16"/>
              </w:rPr>
            </w:pPr>
            <w:r w:rsidRPr="0011116F">
              <w:rPr>
                <w:rFonts w:ascii="Arial" w:hAnsi="Arial" w:cs="Arial"/>
                <w:b/>
                <w:bCs/>
                <w:sz w:val="16"/>
                <w:szCs w:val="16"/>
              </w:rPr>
              <w:t xml:space="preserve">Total </w:t>
            </w:r>
            <w:r>
              <w:rPr>
                <w:rFonts w:ascii="Arial" w:hAnsi="Arial" w:cs="Arial"/>
                <w:b/>
                <w:bCs/>
                <w:sz w:val="16"/>
                <w:szCs w:val="16"/>
              </w:rPr>
              <w:t>Department</w:t>
            </w:r>
            <w:r w:rsidRPr="0011116F">
              <w:rPr>
                <w:rFonts w:ascii="Arial" w:hAnsi="Arial" w:cs="Arial"/>
                <w:b/>
                <w:bCs/>
                <w:sz w:val="16"/>
                <w:szCs w:val="16"/>
              </w:rPr>
              <w:t>al expenses</w:t>
            </w:r>
          </w:p>
        </w:tc>
        <w:tc>
          <w:tcPr>
            <w:tcW w:w="993" w:type="dxa"/>
            <w:tcBorders>
              <w:top w:val="single" w:sz="4" w:space="0" w:color="auto"/>
              <w:left w:val="nil"/>
              <w:bottom w:val="single" w:sz="4" w:space="0" w:color="auto"/>
              <w:right w:val="nil"/>
            </w:tcBorders>
            <w:shd w:val="clear" w:color="auto" w:fill="auto"/>
            <w:noWrap/>
            <w:vAlign w:val="bottom"/>
            <w:hideMark/>
          </w:tcPr>
          <w:p w14:paraId="2F4D8829" w14:textId="7D5FEAB9"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32,653 </w:t>
            </w:r>
          </w:p>
        </w:tc>
        <w:tc>
          <w:tcPr>
            <w:tcW w:w="996" w:type="dxa"/>
            <w:tcBorders>
              <w:top w:val="single" w:sz="4" w:space="0" w:color="auto"/>
              <w:left w:val="nil"/>
              <w:bottom w:val="single" w:sz="4" w:space="0" w:color="auto"/>
              <w:right w:val="nil"/>
            </w:tcBorders>
            <w:shd w:val="clear" w:color="000000" w:fill="E6E6E6"/>
            <w:noWrap/>
            <w:vAlign w:val="bottom"/>
            <w:hideMark/>
          </w:tcPr>
          <w:p w14:paraId="4C6D4B16" w14:textId="582CB6F6"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34,834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7E65BB1" w14:textId="6473C7AD"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33,202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7B5860D3" w14:textId="0C0BB7C2"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29,364 </w:t>
            </w:r>
          </w:p>
        </w:tc>
        <w:tc>
          <w:tcPr>
            <w:tcW w:w="839" w:type="dxa"/>
            <w:tcBorders>
              <w:top w:val="single" w:sz="4" w:space="0" w:color="auto"/>
              <w:left w:val="nil"/>
              <w:bottom w:val="single" w:sz="4" w:space="0" w:color="auto"/>
              <w:right w:val="nil"/>
            </w:tcBorders>
            <w:shd w:val="clear" w:color="auto" w:fill="auto"/>
            <w:noWrap/>
            <w:vAlign w:val="bottom"/>
            <w:hideMark/>
          </w:tcPr>
          <w:p w14:paraId="08878274" w14:textId="529BAEC9"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29,396 </w:t>
            </w:r>
          </w:p>
        </w:tc>
      </w:tr>
      <w:tr w:rsidR="00D929B7" w:rsidRPr="0011116F" w14:paraId="19E81760" w14:textId="77777777" w:rsidTr="005535E1">
        <w:trPr>
          <w:gridAfter w:val="1"/>
          <w:wAfter w:w="61" w:type="dxa"/>
          <w:trHeight w:val="204"/>
        </w:trPr>
        <w:tc>
          <w:tcPr>
            <w:tcW w:w="2835" w:type="dxa"/>
            <w:tcBorders>
              <w:top w:val="nil"/>
              <w:left w:val="nil"/>
              <w:bottom w:val="single" w:sz="4" w:space="0" w:color="auto"/>
              <w:right w:val="nil"/>
            </w:tcBorders>
            <w:shd w:val="clear" w:color="auto" w:fill="auto"/>
            <w:noWrap/>
            <w:vAlign w:val="bottom"/>
            <w:hideMark/>
          </w:tcPr>
          <w:p w14:paraId="2A7A9072" w14:textId="77777777" w:rsidR="00D929B7" w:rsidRPr="0011116F" w:rsidRDefault="00D929B7" w:rsidP="00D929B7">
            <w:pPr>
              <w:spacing w:after="0" w:line="240" w:lineRule="auto"/>
              <w:jc w:val="left"/>
              <w:rPr>
                <w:rFonts w:ascii="Arial" w:hAnsi="Arial" w:cs="Arial"/>
                <w:b/>
                <w:bCs/>
                <w:sz w:val="16"/>
                <w:szCs w:val="16"/>
              </w:rPr>
            </w:pPr>
            <w:r w:rsidRPr="0011116F">
              <w:rPr>
                <w:rFonts w:ascii="Arial" w:hAnsi="Arial" w:cs="Arial"/>
                <w:b/>
                <w:bCs/>
                <w:sz w:val="16"/>
                <w:szCs w:val="16"/>
              </w:rPr>
              <w:t>Total expenses for Outcome 4</w:t>
            </w:r>
          </w:p>
        </w:tc>
        <w:tc>
          <w:tcPr>
            <w:tcW w:w="993" w:type="dxa"/>
            <w:tcBorders>
              <w:top w:val="nil"/>
              <w:left w:val="nil"/>
              <w:bottom w:val="single" w:sz="4" w:space="0" w:color="auto"/>
              <w:right w:val="nil"/>
            </w:tcBorders>
            <w:shd w:val="clear" w:color="auto" w:fill="auto"/>
            <w:noWrap/>
            <w:vAlign w:val="bottom"/>
            <w:hideMark/>
          </w:tcPr>
          <w:p w14:paraId="3B044180" w14:textId="76F56EFB"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324,891 </w:t>
            </w:r>
          </w:p>
        </w:tc>
        <w:tc>
          <w:tcPr>
            <w:tcW w:w="996" w:type="dxa"/>
            <w:tcBorders>
              <w:top w:val="nil"/>
              <w:left w:val="nil"/>
              <w:bottom w:val="single" w:sz="4" w:space="0" w:color="auto"/>
              <w:right w:val="nil"/>
            </w:tcBorders>
            <w:shd w:val="clear" w:color="000000" w:fill="E6E6E6"/>
            <w:noWrap/>
            <w:vAlign w:val="bottom"/>
            <w:hideMark/>
          </w:tcPr>
          <w:p w14:paraId="2D51AE68" w14:textId="2965BDEB"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285,000 </w:t>
            </w:r>
          </w:p>
        </w:tc>
        <w:tc>
          <w:tcPr>
            <w:tcW w:w="996" w:type="dxa"/>
            <w:gridSpan w:val="2"/>
            <w:tcBorders>
              <w:top w:val="nil"/>
              <w:left w:val="nil"/>
              <w:bottom w:val="single" w:sz="4" w:space="0" w:color="auto"/>
              <w:right w:val="nil"/>
            </w:tcBorders>
            <w:shd w:val="clear" w:color="auto" w:fill="auto"/>
            <w:noWrap/>
            <w:vAlign w:val="bottom"/>
            <w:hideMark/>
          </w:tcPr>
          <w:p w14:paraId="319C9CA1" w14:textId="3E05A098"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277,338 </w:t>
            </w:r>
          </w:p>
        </w:tc>
        <w:tc>
          <w:tcPr>
            <w:tcW w:w="996" w:type="dxa"/>
            <w:gridSpan w:val="2"/>
            <w:tcBorders>
              <w:top w:val="nil"/>
              <w:left w:val="nil"/>
              <w:bottom w:val="single" w:sz="4" w:space="0" w:color="auto"/>
              <w:right w:val="nil"/>
            </w:tcBorders>
            <w:shd w:val="clear" w:color="auto" w:fill="auto"/>
            <w:noWrap/>
            <w:vAlign w:val="bottom"/>
            <w:hideMark/>
          </w:tcPr>
          <w:p w14:paraId="6031A5F3" w14:textId="76F33657"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272,306 </w:t>
            </w:r>
          </w:p>
        </w:tc>
        <w:tc>
          <w:tcPr>
            <w:tcW w:w="839" w:type="dxa"/>
            <w:tcBorders>
              <w:top w:val="nil"/>
              <w:left w:val="nil"/>
              <w:bottom w:val="single" w:sz="4" w:space="0" w:color="auto"/>
              <w:right w:val="nil"/>
            </w:tcBorders>
            <w:shd w:val="clear" w:color="auto" w:fill="auto"/>
            <w:noWrap/>
            <w:vAlign w:val="bottom"/>
            <w:hideMark/>
          </w:tcPr>
          <w:p w14:paraId="6BB856D5" w14:textId="0B5529C8" w:rsidR="00D929B7" w:rsidRPr="0011116F" w:rsidRDefault="00D929B7" w:rsidP="00D929B7">
            <w:pPr>
              <w:spacing w:after="0" w:line="240" w:lineRule="auto"/>
              <w:jc w:val="right"/>
              <w:rPr>
                <w:rFonts w:ascii="Arial" w:hAnsi="Arial" w:cs="Arial"/>
                <w:b/>
                <w:bCs/>
                <w:sz w:val="16"/>
                <w:szCs w:val="16"/>
              </w:rPr>
            </w:pPr>
            <w:r>
              <w:rPr>
                <w:rFonts w:ascii="Arial" w:hAnsi="Arial" w:cs="Arial"/>
                <w:b/>
                <w:bCs/>
                <w:sz w:val="16"/>
                <w:szCs w:val="16"/>
              </w:rPr>
              <w:t xml:space="preserve">264,483 </w:t>
            </w:r>
          </w:p>
        </w:tc>
      </w:tr>
    </w:tbl>
    <w:p w14:paraId="77D58A39" w14:textId="77777777" w:rsidR="00B91F3E" w:rsidRPr="00417875" w:rsidRDefault="00B91F3E" w:rsidP="00B91F3E">
      <w:pPr>
        <w:spacing w:after="0"/>
        <w:rPr>
          <w:rFonts w:ascii="Arial" w:hAnsi="Arial" w:cs="Arial"/>
          <w:sz w:val="12"/>
        </w:rPr>
      </w:pPr>
    </w:p>
    <w:tbl>
      <w:tblPr>
        <w:tblW w:w="0" w:type="auto"/>
        <w:tblLayout w:type="fixed"/>
        <w:tblLook w:val="04A0" w:firstRow="1" w:lastRow="0" w:firstColumn="1" w:lastColumn="0" w:noHBand="0" w:noVBand="1"/>
      </w:tblPr>
      <w:tblGrid>
        <w:gridCol w:w="2694"/>
        <w:gridCol w:w="1134"/>
        <w:gridCol w:w="996"/>
      </w:tblGrid>
      <w:tr w:rsidR="00B91F3E" w:rsidRPr="0011116F" w14:paraId="13953177" w14:textId="77777777" w:rsidTr="00F96D8A">
        <w:trPr>
          <w:trHeight w:val="204"/>
        </w:trPr>
        <w:tc>
          <w:tcPr>
            <w:tcW w:w="2694" w:type="dxa"/>
            <w:tcBorders>
              <w:top w:val="single" w:sz="4" w:space="0" w:color="auto"/>
              <w:left w:val="nil"/>
              <w:bottom w:val="nil"/>
              <w:right w:val="nil"/>
            </w:tcBorders>
            <w:shd w:val="clear" w:color="auto" w:fill="auto"/>
            <w:noWrap/>
            <w:vAlign w:val="bottom"/>
            <w:hideMark/>
          </w:tcPr>
          <w:p w14:paraId="5624B06E" w14:textId="77777777" w:rsidR="00B91F3E" w:rsidRPr="0011116F" w:rsidRDefault="00B91F3E" w:rsidP="00F96D8A">
            <w:pPr>
              <w:spacing w:after="0" w:line="240" w:lineRule="auto"/>
              <w:ind w:firstLineChars="100" w:firstLine="160"/>
              <w:jc w:val="left"/>
              <w:rPr>
                <w:rFonts w:ascii="Arial" w:hAnsi="Arial" w:cs="Arial"/>
                <w:sz w:val="16"/>
                <w:szCs w:val="16"/>
              </w:rPr>
            </w:pPr>
            <w:r w:rsidRPr="0011116F">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bottom"/>
            <w:hideMark/>
          </w:tcPr>
          <w:p w14:paraId="58915263"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2021-22</w:t>
            </w:r>
          </w:p>
        </w:tc>
        <w:tc>
          <w:tcPr>
            <w:tcW w:w="996" w:type="dxa"/>
            <w:tcBorders>
              <w:top w:val="single" w:sz="4" w:space="0" w:color="auto"/>
              <w:left w:val="nil"/>
              <w:bottom w:val="single" w:sz="4" w:space="0" w:color="auto"/>
              <w:right w:val="nil"/>
            </w:tcBorders>
            <w:shd w:val="clear" w:color="000000" w:fill="E6E6E6"/>
            <w:noWrap/>
            <w:vAlign w:val="bottom"/>
            <w:hideMark/>
          </w:tcPr>
          <w:p w14:paraId="5A12856B" w14:textId="77777777" w:rsidR="00B91F3E" w:rsidRPr="0011116F" w:rsidRDefault="00B91F3E" w:rsidP="00F96D8A">
            <w:pPr>
              <w:spacing w:after="0" w:line="240" w:lineRule="auto"/>
              <w:ind w:hanging="40"/>
              <w:jc w:val="right"/>
              <w:rPr>
                <w:rFonts w:ascii="Arial" w:hAnsi="Arial" w:cs="Arial"/>
                <w:sz w:val="16"/>
                <w:szCs w:val="16"/>
              </w:rPr>
            </w:pPr>
            <w:r w:rsidRPr="0011116F">
              <w:rPr>
                <w:rFonts w:ascii="Arial" w:hAnsi="Arial" w:cs="Arial"/>
                <w:sz w:val="16"/>
                <w:szCs w:val="16"/>
              </w:rPr>
              <w:t>2022-23</w:t>
            </w:r>
          </w:p>
        </w:tc>
      </w:tr>
      <w:tr w:rsidR="00B91F3E" w:rsidRPr="0011116F" w14:paraId="3FD88337"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5D9762AB" w14:textId="77777777" w:rsidR="00B91F3E" w:rsidRPr="0011116F" w:rsidRDefault="00B91F3E" w:rsidP="00F96D8A">
            <w:pPr>
              <w:spacing w:after="0" w:line="240" w:lineRule="auto"/>
              <w:jc w:val="left"/>
              <w:rPr>
                <w:rFonts w:ascii="Arial" w:hAnsi="Arial" w:cs="Arial"/>
                <w:b/>
                <w:bCs/>
                <w:sz w:val="16"/>
                <w:szCs w:val="16"/>
              </w:rPr>
            </w:pPr>
            <w:r w:rsidRPr="0011116F">
              <w:rPr>
                <w:rFonts w:ascii="Arial" w:hAnsi="Arial" w:cs="Arial"/>
                <w:b/>
                <w:bCs/>
                <w:sz w:val="16"/>
                <w:szCs w:val="16"/>
              </w:rPr>
              <w:t>Average staffing level (number)</w:t>
            </w:r>
          </w:p>
        </w:tc>
        <w:tc>
          <w:tcPr>
            <w:tcW w:w="1134" w:type="dxa"/>
            <w:tcBorders>
              <w:top w:val="single" w:sz="4" w:space="0" w:color="auto"/>
              <w:left w:val="nil"/>
              <w:bottom w:val="single" w:sz="4" w:space="0" w:color="auto"/>
              <w:right w:val="nil"/>
            </w:tcBorders>
            <w:shd w:val="clear" w:color="auto" w:fill="auto"/>
            <w:noWrap/>
            <w:vAlign w:val="bottom"/>
            <w:hideMark/>
          </w:tcPr>
          <w:p w14:paraId="13B11C0E" w14:textId="707B9B78" w:rsidR="00B91F3E" w:rsidRPr="0011116F" w:rsidRDefault="005535E1" w:rsidP="005535E1">
            <w:pPr>
              <w:spacing w:after="0" w:line="240" w:lineRule="auto"/>
              <w:jc w:val="right"/>
              <w:rPr>
                <w:rFonts w:ascii="Arial" w:hAnsi="Arial" w:cs="Arial"/>
                <w:sz w:val="16"/>
                <w:szCs w:val="16"/>
              </w:rPr>
            </w:pPr>
            <w:r>
              <w:rPr>
                <w:rFonts w:ascii="Arial" w:hAnsi="Arial" w:cs="Arial"/>
                <w:sz w:val="16"/>
                <w:szCs w:val="16"/>
              </w:rPr>
              <w:t>125</w:t>
            </w:r>
          </w:p>
        </w:tc>
        <w:tc>
          <w:tcPr>
            <w:tcW w:w="996" w:type="dxa"/>
            <w:tcBorders>
              <w:top w:val="single" w:sz="4" w:space="0" w:color="auto"/>
              <w:left w:val="nil"/>
              <w:bottom w:val="single" w:sz="4" w:space="0" w:color="auto"/>
              <w:right w:val="nil"/>
            </w:tcBorders>
            <w:shd w:val="clear" w:color="auto" w:fill="E6E6E6"/>
            <w:noWrap/>
            <w:vAlign w:val="bottom"/>
            <w:hideMark/>
          </w:tcPr>
          <w:p w14:paraId="0C8E0813" w14:textId="77777777" w:rsidR="00B91F3E" w:rsidRPr="0011116F" w:rsidRDefault="00B91F3E" w:rsidP="00F96D8A">
            <w:pPr>
              <w:spacing w:after="0" w:line="240" w:lineRule="auto"/>
              <w:jc w:val="right"/>
              <w:rPr>
                <w:rFonts w:ascii="Arial" w:hAnsi="Arial" w:cs="Arial"/>
                <w:sz w:val="16"/>
                <w:szCs w:val="16"/>
              </w:rPr>
            </w:pPr>
            <w:r w:rsidRPr="0011116F">
              <w:rPr>
                <w:rFonts w:ascii="Arial" w:hAnsi="Arial" w:cs="Arial"/>
                <w:sz w:val="16"/>
                <w:szCs w:val="16"/>
              </w:rPr>
              <w:t>125</w:t>
            </w:r>
          </w:p>
        </w:tc>
      </w:tr>
    </w:tbl>
    <w:p w14:paraId="48887063" w14:textId="77777777" w:rsidR="00B91F3E" w:rsidRPr="00FE1AA7" w:rsidRDefault="00B91F3E" w:rsidP="004F6389">
      <w:pPr>
        <w:pStyle w:val="ListParagraph"/>
        <w:numPr>
          <w:ilvl w:val="0"/>
          <w:numId w:val="46"/>
        </w:numPr>
        <w:spacing w:before="60" w:after="0" w:line="240" w:lineRule="auto"/>
        <w:ind w:left="284" w:hanging="284"/>
        <w:rPr>
          <w:rFonts w:ascii="Arial" w:hAnsi="Arial" w:cs="Arial"/>
          <w:sz w:val="16"/>
          <w:szCs w:val="16"/>
          <w:lang w:val="x-none" w:eastAsia="x-none"/>
        </w:rPr>
      </w:pPr>
      <w:r w:rsidRPr="00FE1AA7">
        <w:rPr>
          <w:rFonts w:ascii="Arial" w:hAnsi="Arial" w:cs="Arial"/>
          <w:sz w:val="16"/>
          <w:szCs w:val="16"/>
          <w:lang w:val="x-none" w:eastAsia="x-none"/>
        </w:rPr>
        <w:t>Administered ‘Expenses not requiring appropriation in the Budget year’ comprises expenses relating to accruals, payments made from prior year appropriations and other non–cash expenses.</w:t>
      </w:r>
    </w:p>
    <w:p w14:paraId="354C51B8" w14:textId="77777777" w:rsidR="00B91F3E" w:rsidRPr="00FE1AA7" w:rsidRDefault="00B91F3E" w:rsidP="004F6389">
      <w:pPr>
        <w:pStyle w:val="ListParagraph"/>
        <w:numPr>
          <w:ilvl w:val="0"/>
          <w:numId w:val="46"/>
        </w:numPr>
        <w:spacing w:after="0" w:line="240" w:lineRule="auto"/>
        <w:ind w:left="284" w:hanging="284"/>
        <w:rPr>
          <w:rFonts w:ascii="Arial" w:hAnsi="Arial" w:cs="Arial"/>
          <w:sz w:val="16"/>
          <w:szCs w:val="16"/>
        </w:rPr>
      </w:pPr>
      <w:r w:rsidRPr="00FE1AA7">
        <w:rPr>
          <w:rFonts w:ascii="Arial" w:hAnsi="Arial" w:cs="Arial"/>
          <w:sz w:val="16"/>
          <w:szCs w:val="16"/>
          <w:lang w:val="x-none" w:eastAsia="x-none"/>
        </w:rPr>
        <w:t>Estimated expenses incurred in relation to receipts retained under section 74 of the PGPA Act.</w:t>
      </w:r>
    </w:p>
    <w:p w14:paraId="4BE7CBD2" w14:textId="07D0974F" w:rsidR="00B91F3E" w:rsidRDefault="003C4CC6" w:rsidP="004F6389">
      <w:pPr>
        <w:pStyle w:val="ListParagraph"/>
        <w:numPr>
          <w:ilvl w:val="0"/>
          <w:numId w:val="46"/>
        </w:numPr>
        <w:spacing w:after="0" w:line="240" w:lineRule="auto"/>
        <w:ind w:left="284" w:hanging="284"/>
        <w:rPr>
          <w:rFonts w:ascii="Arial" w:hAnsi="Arial" w:cs="Arial"/>
          <w:sz w:val="16"/>
          <w:szCs w:val="16"/>
        </w:rPr>
      </w:pPr>
      <w:r>
        <w:rPr>
          <w:rFonts w:ascii="Arial" w:hAnsi="Arial" w:cs="Arial"/>
          <w:sz w:val="16"/>
          <w:szCs w:val="16"/>
        </w:rPr>
        <w:t>Department</w:t>
      </w:r>
      <w:r w:rsidR="00B91F3E" w:rsidRPr="00FE1AA7">
        <w:rPr>
          <w:rFonts w:ascii="Arial" w:hAnsi="Arial" w:cs="Arial"/>
          <w:sz w:val="16"/>
          <w:szCs w:val="16"/>
        </w:rPr>
        <w:t>al ‘Expenses not requiring appropriation in the Budget year’ is made up of depreciation and amortisation expenses and expenses that are reduced by associated receipts.</w:t>
      </w:r>
      <w:r w:rsidR="00B91F3E">
        <w:rPr>
          <w:rFonts w:ascii="Arial" w:hAnsi="Arial" w:cs="Arial"/>
          <w:sz w:val="16"/>
          <w:szCs w:val="16"/>
        </w:rPr>
        <w:t xml:space="preserve"> </w:t>
      </w:r>
    </w:p>
    <w:p w14:paraId="3E432481" w14:textId="0C092F41" w:rsidR="00B91F3E" w:rsidRPr="00FE1AA7" w:rsidRDefault="00B91F3E" w:rsidP="00A119F8">
      <w:pPr>
        <w:spacing w:before="240" w:after="0"/>
        <w:rPr>
          <w:b/>
          <w:color w:val="000000" w:themeColor="text1"/>
        </w:rPr>
      </w:pPr>
      <w:r w:rsidRPr="00B166C6">
        <w:rPr>
          <w:rStyle w:val="TableHeadingChar"/>
        </w:rPr>
        <w:t>Table 2.</w:t>
      </w:r>
      <w:r>
        <w:rPr>
          <w:rStyle w:val="TableHeadingChar"/>
          <w:lang w:val="en-GB"/>
        </w:rPr>
        <w:t>4</w:t>
      </w:r>
      <w:r w:rsidRPr="00B166C6">
        <w:rPr>
          <w:rStyle w:val="TableHeadingChar"/>
        </w:rPr>
        <w:t xml:space="preserve">.2: Program components of Outcome </w:t>
      </w:r>
      <w:r>
        <w:rPr>
          <w:rStyle w:val="TableHeadingChar"/>
          <w:lang w:val="en-GB"/>
        </w:rPr>
        <w:t>4</w:t>
      </w:r>
    </w:p>
    <w:tbl>
      <w:tblPr>
        <w:tblW w:w="7735" w:type="dxa"/>
        <w:tblLayout w:type="fixed"/>
        <w:tblLook w:val="04A0" w:firstRow="1" w:lastRow="0" w:firstColumn="1" w:lastColumn="0" w:noHBand="0" w:noVBand="1"/>
      </w:tblPr>
      <w:tblGrid>
        <w:gridCol w:w="2694"/>
        <w:gridCol w:w="1134"/>
        <w:gridCol w:w="976"/>
        <w:gridCol w:w="977"/>
        <w:gridCol w:w="977"/>
        <w:gridCol w:w="977"/>
      </w:tblGrid>
      <w:tr w:rsidR="00B91F3E" w:rsidRPr="001E5C8D" w14:paraId="1281C32D" w14:textId="77777777" w:rsidTr="00A119F8">
        <w:trPr>
          <w:trHeight w:val="204"/>
        </w:trPr>
        <w:tc>
          <w:tcPr>
            <w:tcW w:w="2694" w:type="dxa"/>
            <w:tcBorders>
              <w:top w:val="single" w:sz="4" w:space="0" w:color="auto"/>
              <w:left w:val="nil"/>
              <w:bottom w:val="single" w:sz="4" w:space="0" w:color="auto"/>
              <w:right w:val="nil"/>
            </w:tcBorders>
            <w:shd w:val="clear" w:color="auto" w:fill="auto"/>
            <w:noWrap/>
            <w:vAlign w:val="bottom"/>
            <w:hideMark/>
          </w:tcPr>
          <w:p w14:paraId="30DC3E82" w14:textId="77777777" w:rsidR="00B91F3E" w:rsidRPr="001E5C8D" w:rsidRDefault="00B91F3E" w:rsidP="00F96D8A">
            <w:pPr>
              <w:spacing w:after="0" w:line="240" w:lineRule="auto"/>
              <w:jc w:val="left"/>
              <w:rPr>
                <w:rFonts w:ascii="Arial" w:hAnsi="Arial" w:cs="Arial"/>
                <w:sz w:val="16"/>
                <w:szCs w:val="16"/>
              </w:rPr>
            </w:pPr>
            <w:r w:rsidRPr="001E5C8D">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14:paraId="0C56CC4F" w14:textId="77777777" w:rsidR="00B91F3E" w:rsidRPr="001E5C8D" w:rsidRDefault="00B91F3E" w:rsidP="00F96D8A">
            <w:pPr>
              <w:spacing w:after="0" w:line="240" w:lineRule="auto"/>
              <w:jc w:val="right"/>
              <w:rPr>
                <w:rFonts w:ascii="Arial" w:hAnsi="Arial" w:cs="Arial"/>
                <w:sz w:val="16"/>
                <w:szCs w:val="16"/>
              </w:rPr>
            </w:pPr>
            <w:r w:rsidRPr="001E5C8D">
              <w:rPr>
                <w:rFonts w:ascii="Arial" w:hAnsi="Arial" w:cs="Arial"/>
                <w:sz w:val="16"/>
                <w:szCs w:val="16"/>
              </w:rPr>
              <w:t>2021-22</w:t>
            </w:r>
            <w:r w:rsidRPr="001E5C8D">
              <w:rPr>
                <w:rFonts w:ascii="Arial" w:hAnsi="Arial" w:cs="Arial"/>
                <w:sz w:val="16"/>
                <w:szCs w:val="16"/>
              </w:rPr>
              <w:br/>
              <w:t>Estimated  actual</w:t>
            </w:r>
            <w:r w:rsidRPr="001E5C8D">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000000" w:fill="E6E6E6"/>
            <w:vAlign w:val="bottom"/>
            <w:hideMark/>
          </w:tcPr>
          <w:p w14:paraId="78E8A652" w14:textId="77777777" w:rsidR="00B91F3E" w:rsidRPr="001E5C8D" w:rsidRDefault="00B91F3E" w:rsidP="00F96D8A">
            <w:pPr>
              <w:spacing w:after="0" w:line="240" w:lineRule="auto"/>
              <w:jc w:val="right"/>
              <w:rPr>
                <w:rFonts w:ascii="Arial" w:hAnsi="Arial" w:cs="Arial"/>
                <w:sz w:val="16"/>
                <w:szCs w:val="16"/>
              </w:rPr>
            </w:pPr>
            <w:r w:rsidRPr="001E5C8D">
              <w:rPr>
                <w:rFonts w:ascii="Arial" w:hAnsi="Arial" w:cs="Arial"/>
                <w:sz w:val="16"/>
                <w:szCs w:val="16"/>
              </w:rPr>
              <w:t>2022-23</w:t>
            </w:r>
            <w:r w:rsidRPr="001E5C8D">
              <w:rPr>
                <w:rFonts w:ascii="Arial" w:hAnsi="Arial" w:cs="Arial"/>
                <w:sz w:val="16"/>
                <w:szCs w:val="16"/>
              </w:rPr>
              <w:br/>
              <w:t xml:space="preserve"> Budget</w:t>
            </w:r>
            <w:r w:rsidRPr="001E5C8D">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10419DC4" w14:textId="77777777" w:rsidR="00B91F3E" w:rsidRPr="001E5C8D" w:rsidRDefault="00B91F3E" w:rsidP="00F96D8A">
            <w:pPr>
              <w:spacing w:after="0" w:line="240" w:lineRule="auto"/>
              <w:jc w:val="right"/>
              <w:rPr>
                <w:rFonts w:ascii="Arial" w:hAnsi="Arial" w:cs="Arial"/>
                <w:sz w:val="16"/>
                <w:szCs w:val="16"/>
              </w:rPr>
            </w:pPr>
            <w:r w:rsidRPr="001E5C8D">
              <w:rPr>
                <w:rFonts w:ascii="Arial" w:hAnsi="Arial" w:cs="Arial"/>
                <w:sz w:val="16"/>
                <w:szCs w:val="16"/>
              </w:rPr>
              <w:t>2023-24</w:t>
            </w:r>
            <w:r w:rsidRPr="001E5C8D">
              <w:rPr>
                <w:rFonts w:ascii="Arial" w:hAnsi="Arial" w:cs="Arial"/>
                <w:sz w:val="16"/>
                <w:szCs w:val="16"/>
              </w:rPr>
              <w:br/>
              <w:t>Forward estimate</w:t>
            </w:r>
            <w:r w:rsidRPr="001E5C8D">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404E12FD" w14:textId="77777777" w:rsidR="00B91F3E" w:rsidRPr="001E5C8D" w:rsidRDefault="00B91F3E" w:rsidP="00F96D8A">
            <w:pPr>
              <w:spacing w:after="0" w:line="240" w:lineRule="auto"/>
              <w:jc w:val="right"/>
              <w:rPr>
                <w:rFonts w:ascii="Arial" w:hAnsi="Arial" w:cs="Arial"/>
                <w:sz w:val="16"/>
                <w:szCs w:val="16"/>
              </w:rPr>
            </w:pPr>
            <w:r w:rsidRPr="001E5C8D">
              <w:rPr>
                <w:rFonts w:ascii="Arial" w:hAnsi="Arial" w:cs="Arial"/>
                <w:sz w:val="16"/>
                <w:szCs w:val="16"/>
              </w:rPr>
              <w:t>2024-25</w:t>
            </w:r>
            <w:r w:rsidRPr="001E5C8D">
              <w:rPr>
                <w:rFonts w:ascii="Arial" w:hAnsi="Arial" w:cs="Arial"/>
                <w:sz w:val="16"/>
                <w:szCs w:val="16"/>
              </w:rPr>
              <w:br/>
              <w:t>Forward estimate</w:t>
            </w:r>
            <w:r w:rsidRPr="001E5C8D">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0E3B42E3" w14:textId="77777777" w:rsidR="00B91F3E" w:rsidRPr="001E5C8D" w:rsidRDefault="00B91F3E" w:rsidP="00F96D8A">
            <w:pPr>
              <w:spacing w:after="0" w:line="240" w:lineRule="auto"/>
              <w:jc w:val="right"/>
              <w:rPr>
                <w:rFonts w:ascii="Arial" w:hAnsi="Arial" w:cs="Arial"/>
                <w:sz w:val="16"/>
                <w:szCs w:val="16"/>
              </w:rPr>
            </w:pPr>
            <w:r w:rsidRPr="001E5C8D">
              <w:rPr>
                <w:rFonts w:ascii="Arial" w:hAnsi="Arial" w:cs="Arial"/>
                <w:sz w:val="16"/>
                <w:szCs w:val="16"/>
              </w:rPr>
              <w:t>2025-26</w:t>
            </w:r>
            <w:r w:rsidRPr="001E5C8D">
              <w:rPr>
                <w:rFonts w:ascii="Arial" w:hAnsi="Arial" w:cs="Arial"/>
                <w:sz w:val="16"/>
                <w:szCs w:val="16"/>
              </w:rPr>
              <w:br/>
              <w:t>Forward estimate</w:t>
            </w:r>
            <w:r w:rsidRPr="001E5C8D">
              <w:rPr>
                <w:rFonts w:ascii="Arial" w:hAnsi="Arial" w:cs="Arial"/>
                <w:sz w:val="16"/>
                <w:szCs w:val="16"/>
              </w:rPr>
              <w:br/>
              <w:t>$'000</w:t>
            </w:r>
          </w:p>
        </w:tc>
      </w:tr>
      <w:tr w:rsidR="00020C9D" w:rsidRPr="001E5C8D" w14:paraId="6DEDBC2D" w14:textId="77777777" w:rsidTr="00A119F8">
        <w:trPr>
          <w:trHeight w:val="204"/>
        </w:trPr>
        <w:tc>
          <w:tcPr>
            <w:tcW w:w="7735" w:type="dxa"/>
            <w:gridSpan w:val="6"/>
            <w:tcBorders>
              <w:top w:val="single" w:sz="4" w:space="0" w:color="auto"/>
              <w:left w:val="nil"/>
              <w:bottom w:val="single" w:sz="4" w:space="0" w:color="auto"/>
              <w:right w:val="nil"/>
            </w:tcBorders>
            <w:shd w:val="clear" w:color="000000" w:fill="E6E6E6"/>
            <w:noWrap/>
            <w:vAlign w:val="bottom"/>
            <w:hideMark/>
          </w:tcPr>
          <w:p w14:paraId="6CC8C9AC" w14:textId="30A66630" w:rsidR="00020C9D" w:rsidRPr="001E5C8D" w:rsidRDefault="00020C9D" w:rsidP="00020C9D">
            <w:pPr>
              <w:spacing w:after="0" w:line="240" w:lineRule="auto"/>
              <w:jc w:val="left"/>
              <w:rPr>
                <w:rFonts w:ascii="Arial" w:hAnsi="Arial" w:cs="Arial"/>
                <w:sz w:val="16"/>
                <w:szCs w:val="16"/>
              </w:rPr>
            </w:pPr>
            <w:r w:rsidRPr="001E5C8D">
              <w:rPr>
                <w:rFonts w:ascii="Arial" w:hAnsi="Arial" w:cs="Arial"/>
                <w:b/>
                <w:bCs/>
                <w:sz w:val="16"/>
                <w:szCs w:val="16"/>
              </w:rPr>
              <w:t>Components for Prog</w:t>
            </w:r>
            <w:r>
              <w:rPr>
                <w:rFonts w:ascii="Arial" w:hAnsi="Arial" w:cs="Arial"/>
                <w:b/>
                <w:bCs/>
                <w:sz w:val="16"/>
                <w:szCs w:val="16"/>
              </w:rPr>
              <w:t>ram 4.1: Services to Territories</w:t>
            </w:r>
            <w:r w:rsidRPr="001E5C8D">
              <w:rPr>
                <w:rFonts w:ascii="Arial" w:hAnsi="Arial" w:cs="Arial"/>
                <w:sz w:val="16"/>
                <w:szCs w:val="16"/>
              </w:rPr>
              <w:t> </w:t>
            </w:r>
          </w:p>
        </w:tc>
      </w:tr>
      <w:tr w:rsidR="00B91F3E" w:rsidRPr="001E5C8D" w14:paraId="65A502D0" w14:textId="77777777" w:rsidTr="00A119F8">
        <w:trPr>
          <w:trHeight w:val="204"/>
        </w:trPr>
        <w:tc>
          <w:tcPr>
            <w:tcW w:w="2694" w:type="dxa"/>
            <w:tcBorders>
              <w:top w:val="nil"/>
              <w:left w:val="nil"/>
              <w:bottom w:val="nil"/>
              <w:right w:val="nil"/>
            </w:tcBorders>
            <w:shd w:val="clear" w:color="auto" w:fill="auto"/>
            <w:noWrap/>
            <w:vAlign w:val="bottom"/>
            <w:hideMark/>
          </w:tcPr>
          <w:p w14:paraId="5458EB61" w14:textId="77777777" w:rsidR="00B91F3E" w:rsidRPr="001E5C8D" w:rsidRDefault="00B91F3E" w:rsidP="00F96D8A">
            <w:pPr>
              <w:spacing w:after="0" w:line="240" w:lineRule="auto"/>
              <w:jc w:val="left"/>
              <w:rPr>
                <w:rFonts w:ascii="Arial" w:hAnsi="Arial" w:cs="Arial"/>
                <w:sz w:val="16"/>
                <w:szCs w:val="16"/>
              </w:rPr>
            </w:pPr>
            <w:r w:rsidRPr="001E5C8D">
              <w:rPr>
                <w:rFonts w:ascii="Arial" w:hAnsi="Arial" w:cs="Arial"/>
                <w:sz w:val="16"/>
                <w:szCs w:val="16"/>
              </w:rPr>
              <w:t>Administered expenses</w:t>
            </w:r>
          </w:p>
        </w:tc>
        <w:tc>
          <w:tcPr>
            <w:tcW w:w="1134" w:type="dxa"/>
            <w:tcBorders>
              <w:top w:val="nil"/>
              <w:left w:val="nil"/>
              <w:bottom w:val="nil"/>
              <w:right w:val="nil"/>
            </w:tcBorders>
            <w:shd w:val="clear" w:color="auto" w:fill="auto"/>
            <w:noWrap/>
            <w:vAlign w:val="bottom"/>
            <w:hideMark/>
          </w:tcPr>
          <w:p w14:paraId="724ACAC4" w14:textId="77777777" w:rsidR="00B91F3E" w:rsidRPr="001E5C8D"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3A51BBF0" w14:textId="77777777" w:rsidR="00B91F3E" w:rsidRPr="001E5C8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CA3AE0B" w14:textId="77777777" w:rsidR="00B91F3E" w:rsidRPr="001E5C8D"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E58BD40" w14:textId="77777777" w:rsidR="00B91F3E" w:rsidRPr="001E5C8D"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0D6137C4" w14:textId="77777777" w:rsidR="00B91F3E" w:rsidRPr="001E5C8D" w:rsidRDefault="00B91F3E" w:rsidP="00F96D8A">
            <w:pPr>
              <w:spacing w:after="0" w:line="240" w:lineRule="auto"/>
              <w:jc w:val="right"/>
              <w:rPr>
                <w:rFonts w:ascii="Times New Roman" w:hAnsi="Times New Roman"/>
                <w:sz w:val="16"/>
                <w:szCs w:val="16"/>
              </w:rPr>
            </w:pPr>
          </w:p>
        </w:tc>
      </w:tr>
      <w:tr w:rsidR="002671DF" w:rsidRPr="001E5C8D" w14:paraId="50D20CD4" w14:textId="77777777" w:rsidTr="00A119F8">
        <w:trPr>
          <w:trHeight w:val="204"/>
        </w:trPr>
        <w:tc>
          <w:tcPr>
            <w:tcW w:w="2694" w:type="dxa"/>
            <w:tcBorders>
              <w:top w:val="nil"/>
              <w:left w:val="nil"/>
              <w:bottom w:val="nil"/>
              <w:right w:val="nil"/>
            </w:tcBorders>
            <w:shd w:val="clear" w:color="auto" w:fill="auto"/>
            <w:vAlign w:val="bottom"/>
            <w:hideMark/>
          </w:tcPr>
          <w:p w14:paraId="0669D0A4"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 xml:space="preserve">ACT Government - national capital functions </w:t>
            </w:r>
          </w:p>
        </w:tc>
        <w:tc>
          <w:tcPr>
            <w:tcW w:w="1134" w:type="dxa"/>
            <w:tcBorders>
              <w:top w:val="nil"/>
              <w:left w:val="nil"/>
              <w:bottom w:val="nil"/>
              <w:right w:val="nil"/>
            </w:tcBorders>
            <w:shd w:val="clear" w:color="auto" w:fill="auto"/>
            <w:noWrap/>
            <w:vAlign w:val="bottom"/>
            <w:hideMark/>
          </w:tcPr>
          <w:p w14:paraId="2475C659" w14:textId="320D3849"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1,992 </w:t>
            </w:r>
          </w:p>
        </w:tc>
        <w:tc>
          <w:tcPr>
            <w:tcW w:w="976" w:type="dxa"/>
            <w:tcBorders>
              <w:top w:val="nil"/>
              <w:left w:val="nil"/>
              <w:bottom w:val="nil"/>
              <w:right w:val="nil"/>
            </w:tcBorders>
            <w:shd w:val="clear" w:color="000000" w:fill="E6E6E6"/>
            <w:noWrap/>
            <w:vAlign w:val="bottom"/>
            <w:hideMark/>
          </w:tcPr>
          <w:p w14:paraId="55470299" w14:textId="4D6643C8"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2,026 </w:t>
            </w:r>
          </w:p>
        </w:tc>
        <w:tc>
          <w:tcPr>
            <w:tcW w:w="977" w:type="dxa"/>
            <w:tcBorders>
              <w:top w:val="nil"/>
              <w:left w:val="nil"/>
              <w:bottom w:val="nil"/>
              <w:right w:val="nil"/>
            </w:tcBorders>
            <w:shd w:val="clear" w:color="auto" w:fill="auto"/>
            <w:noWrap/>
            <w:vAlign w:val="bottom"/>
            <w:hideMark/>
          </w:tcPr>
          <w:p w14:paraId="203B7F40" w14:textId="1545AE34"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2,057 </w:t>
            </w:r>
          </w:p>
        </w:tc>
        <w:tc>
          <w:tcPr>
            <w:tcW w:w="977" w:type="dxa"/>
            <w:tcBorders>
              <w:top w:val="nil"/>
              <w:left w:val="nil"/>
              <w:bottom w:val="nil"/>
              <w:right w:val="nil"/>
            </w:tcBorders>
            <w:shd w:val="clear" w:color="auto" w:fill="auto"/>
            <w:noWrap/>
            <w:vAlign w:val="bottom"/>
            <w:hideMark/>
          </w:tcPr>
          <w:p w14:paraId="258D81A9" w14:textId="721BFAF3"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2,085 </w:t>
            </w:r>
          </w:p>
        </w:tc>
        <w:tc>
          <w:tcPr>
            <w:tcW w:w="977" w:type="dxa"/>
            <w:tcBorders>
              <w:top w:val="nil"/>
              <w:left w:val="nil"/>
              <w:bottom w:val="nil"/>
              <w:right w:val="nil"/>
            </w:tcBorders>
            <w:shd w:val="clear" w:color="auto" w:fill="auto"/>
            <w:noWrap/>
            <w:vAlign w:val="bottom"/>
            <w:hideMark/>
          </w:tcPr>
          <w:p w14:paraId="40B3E7D7" w14:textId="14CB89B7"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2,116 </w:t>
            </w:r>
          </w:p>
        </w:tc>
      </w:tr>
      <w:tr w:rsidR="002671DF" w:rsidRPr="001E5C8D" w14:paraId="2C33CEF5" w14:textId="77777777" w:rsidTr="00A119F8">
        <w:trPr>
          <w:trHeight w:val="204"/>
        </w:trPr>
        <w:tc>
          <w:tcPr>
            <w:tcW w:w="2694" w:type="dxa"/>
            <w:tcBorders>
              <w:top w:val="nil"/>
              <w:left w:val="nil"/>
              <w:bottom w:val="nil"/>
              <w:right w:val="nil"/>
            </w:tcBorders>
            <w:shd w:val="clear" w:color="auto" w:fill="auto"/>
            <w:vAlign w:val="bottom"/>
            <w:hideMark/>
          </w:tcPr>
          <w:p w14:paraId="2543062C"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Depreciation and Amortisation</w:t>
            </w:r>
          </w:p>
        </w:tc>
        <w:tc>
          <w:tcPr>
            <w:tcW w:w="1134" w:type="dxa"/>
            <w:tcBorders>
              <w:top w:val="nil"/>
              <w:left w:val="nil"/>
              <w:bottom w:val="nil"/>
              <w:right w:val="nil"/>
            </w:tcBorders>
            <w:shd w:val="clear" w:color="auto" w:fill="auto"/>
            <w:noWrap/>
            <w:vAlign w:val="bottom"/>
            <w:hideMark/>
          </w:tcPr>
          <w:p w14:paraId="175081B4" w14:textId="3E7763FA"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42,251 </w:t>
            </w:r>
          </w:p>
        </w:tc>
        <w:tc>
          <w:tcPr>
            <w:tcW w:w="976" w:type="dxa"/>
            <w:tcBorders>
              <w:top w:val="nil"/>
              <w:left w:val="nil"/>
              <w:bottom w:val="nil"/>
              <w:right w:val="nil"/>
            </w:tcBorders>
            <w:shd w:val="clear" w:color="000000" w:fill="E6E6E6"/>
            <w:noWrap/>
            <w:vAlign w:val="bottom"/>
            <w:hideMark/>
          </w:tcPr>
          <w:p w14:paraId="068CA751" w14:textId="7E15F31C"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37,168 </w:t>
            </w:r>
          </w:p>
        </w:tc>
        <w:tc>
          <w:tcPr>
            <w:tcW w:w="977" w:type="dxa"/>
            <w:tcBorders>
              <w:top w:val="nil"/>
              <w:left w:val="nil"/>
              <w:bottom w:val="nil"/>
              <w:right w:val="nil"/>
            </w:tcBorders>
            <w:shd w:val="clear" w:color="auto" w:fill="auto"/>
            <w:noWrap/>
            <w:vAlign w:val="bottom"/>
            <w:hideMark/>
          </w:tcPr>
          <w:p w14:paraId="5CFB887E" w14:textId="7EFBC319"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36,859 </w:t>
            </w:r>
          </w:p>
        </w:tc>
        <w:tc>
          <w:tcPr>
            <w:tcW w:w="977" w:type="dxa"/>
            <w:tcBorders>
              <w:top w:val="nil"/>
              <w:left w:val="nil"/>
              <w:bottom w:val="nil"/>
              <w:right w:val="nil"/>
            </w:tcBorders>
            <w:shd w:val="clear" w:color="auto" w:fill="auto"/>
            <w:noWrap/>
            <w:vAlign w:val="bottom"/>
            <w:hideMark/>
          </w:tcPr>
          <w:p w14:paraId="38B04136" w14:textId="7B6F68BE"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36,859 </w:t>
            </w:r>
          </w:p>
        </w:tc>
        <w:tc>
          <w:tcPr>
            <w:tcW w:w="977" w:type="dxa"/>
            <w:tcBorders>
              <w:top w:val="nil"/>
              <w:left w:val="nil"/>
              <w:bottom w:val="nil"/>
              <w:right w:val="nil"/>
            </w:tcBorders>
            <w:shd w:val="clear" w:color="auto" w:fill="auto"/>
            <w:noWrap/>
            <w:vAlign w:val="bottom"/>
            <w:hideMark/>
          </w:tcPr>
          <w:p w14:paraId="5CC27C9F" w14:textId="6548A9C6"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36,859 </w:t>
            </w:r>
          </w:p>
        </w:tc>
      </w:tr>
      <w:tr w:rsidR="002671DF" w:rsidRPr="001E5C8D" w14:paraId="697B2A37" w14:textId="77777777" w:rsidTr="00A119F8">
        <w:trPr>
          <w:trHeight w:val="204"/>
        </w:trPr>
        <w:tc>
          <w:tcPr>
            <w:tcW w:w="2694" w:type="dxa"/>
            <w:tcBorders>
              <w:top w:val="nil"/>
              <w:left w:val="nil"/>
              <w:bottom w:val="nil"/>
              <w:right w:val="nil"/>
            </w:tcBorders>
            <w:shd w:val="clear" w:color="auto" w:fill="auto"/>
            <w:vAlign w:val="bottom"/>
            <w:hideMark/>
          </w:tcPr>
          <w:p w14:paraId="5A9755C2"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 xml:space="preserve">Norfolk Island - Commonwealth </w:t>
            </w:r>
            <w:r>
              <w:rPr>
                <w:rFonts w:ascii="Arial" w:hAnsi="Arial" w:cs="Arial"/>
                <w:sz w:val="16"/>
                <w:szCs w:val="16"/>
              </w:rPr>
              <w:t>a</w:t>
            </w:r>
            <w:r w:rsidRPr="001E5C8D">
              <w:rPr>
                <w:rFonts w:ascii="Arial" w:hAnsi="Arial" w:cs="Arial"/>
                <w:sz w:val="16"/>
                <w:szCs w:val="16"/>
              </w:rPr>
              <w:t>dministration</w:t>
            </w:r>
          </w:p>
        </w:tc>
        <w:tc>
          <w:tcPr>
            <w:tcW w:w="1134" w:type="dxa"/>
            <w:tcBorders>
              <w:top w:val="nil"/>
              <w:left w:val="nil"/>
              <w:bottom w:val="nil"/>
              <w:right w:val="nil"/>
            </w:tcBorders>
            <w:shd w:val="clear" w:color="auto" w:fill="auto"/>
            <w:noWrap/>
            <w:vAlign w:val="bottom"/>
            <w:hideMark/>
          </w:tcPr>
          <w:p w14:paraId="7AC1DBA0" w14:textId="10D51810"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1,108 </w:t>
            </w:r>
          </w:p>
        </w:tc>
        <w:tc>
          <w:tcPr>
            <w:tcW w:w="976" w:type="dxa"/>
            <w:tcBorders>
              <w:top w:val="nil"/>
              <w:left w:val="nil"/>
              <w:bottom w:val="nil"/>
              <w:right w:val="nil"/>
            </w:tcBorders>
            <w:shd w:val="clear" w:color="000000" w:fill="E6E6E6"/>
            <w:noWrap/>
            <w:vAlign w:val="bottom"/>
            <w:hideMark/>
          </w:tcPr>
          <w:p w14:paraId="7A137565" w14:textId="1E719FA5"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1,127 </w:t>
            </w:r>
          </w:p>
        </w:tc>
        <w:tc>
          <w:tcPr>
            <w:tcW w:w="977" w:type="dxa"/>
            <w:tcBorders>
              <w:top w:val="nil"/>
              <w:left w:val="nil"/>
              <w:bottom w:val="nil"/>
              <w:right w:val="nil"/>
            </w:tcBorders>
            <w:shd w:val="clear" w:color="auto" w:fill="auto"/>
            <w:noWrap/>
            <w:vAlign w:val="bottom"/>
            <w:hideMark/>
          </w:tcPr>
          <w:p w14:paraId="578B8FA9" w14:textId="7298B23A"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1,143 </w:t>
            </w:r>
          </w:p>
        </w:tc>
        <w:tc>
          <w:tcPr>
            <w:tcW w:w="977" w:type="dxa"/>
            <w:tcBorders>
              <w:top w:val="nil"/>
              <w:left w:val="nil"/>
              <w:bottom w:val="nil"/>
              <w:right w:val="nil"/>
            </w:tcBorders>
            <w:shd w:val="clear" w:color="auto" w:fill="auto"/>
            <w:noWrap/>
            <w:vAlign w:val="bottom"/>
            <w:hideMark/>
          </w:tcPr>
          <w:p w14:paraId="20133CDC" w14:textId="2C5BABE3"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1,160 </w:t>
            </w:r>
          </w:p>
        </w:tc>
        <w:tc>
          <w:tcPr>
            <w:tcW w:w="977" w:type="dxa"/>
            <w:tcBorders>
              <w:top w:val="nil"/>
              <w:left w:val="nil"/>
              <w:bottom w:val="nil"/>
              <w:right w:val="nil"/>
            </w:tcBorders>
            <w:shd w:val="clear" w:color="auto" w:fill="auto"/>
            <w:noWrap/>
            <w:vAlign w:val="bottom"/>
            <w:hideMark/>
          </w:tcPr>
          <w:p w14:paraId="1D127E12" w14:textId="03BEE85E"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1,177 </w:t>
            </w:r>
          </w:p>
        </w:tc>
      </w:tr>
      <w:tr w:rsidR="002671DF" w:rsidRPr="001E5C8D" w14:paraId="2027CF95" w14:textId="77777777" w:rsidTr="00A119F8">
        <w:trPr>
          <w:trHeight w:val="204"/>
        </w:trPr>
        <w:tc>
          <w:tcPr>
            <w:tcW w:w="2694" w:type="dxa"/>
            <w:tcBorders>
              <w:top w:val="nil"/>
              <w:left w:val="nil"/>
              <w:bottom w:val="nil"/>
              <w:right w:val="nil"/>
            </w:tcBorders>
            <w:shd w:val="clear" w:color="auto" w:fill="auto"/>
            <w:vAlign w:val="bottom"/>
            <w:hideMark/>
          </w:tcPr>
          <w:p w14:paraId="350F6A3B"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Norfolk Island - Kingston and Arthur's Vale historic area</w:t>
            </w:r>
          </w:p>
        </w:tc>
        <w:tc>
          <w:tcPr>
            <w:tcW w:w="1134" w:type="dxa"/>
            <w:tcBorders>
              <w:top w:val="nil"/>
              <w:left w:val="nil"/>
              <w:bottom w:val="nil"/>
              <w:right w:val="nil"/>
            </w:tcBorders>
            <w:shd w:val="clear" w:color="auto" w:fill="auto"/>
            <w:noWrap/>
            <w:vAlign w:val="bottom"/>
            <w:hideMark/>
          </w:tcPr>
          <w:p w14:paraId="2B6B22A4" w14:textId="6A070018"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2,899 </w:t>
            </w:r>
          </w:p>
        </w:tc>
        <w:tc>
          <w:tcPr>
            <w:tcW w:w="976" w:type="dxa"/>
            <w:tcBorders>
              <w:top w:val="nil"/>
              <w:left w:val="nil"/>
              <w:bottom w:val="nil"/>
              <w:right w:val="nil"/>
            </w:tcBorders>
            <w:shd w:val="clear" w:color="000000" w:fill="E6E6E6"/>
            <w:noWrap/>
            <w:vAlign w:val="bottom"/>
            <w:hideMark/>
          </w:tcPr>
          <w:p w14:paraId="481CB2D0" w14:textId="4E3B6A74"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2,743 </w:t>
            </w:r>
          </w:p>
        </w:tc>
        <w:tc>
          <w:tcPr>
            <w:tcW w:w="977" w:type="dxa"/>
            <w:tcBorders>
              <w:top w:val="nil"/>
              <w:left w:val="nil"/>
              <w:bottom w:val="nil"/>
              <w:right w:val="nil"/>
            </w:tcBorders>
            <w:shd w:val="clear" w:color="auto" w:fill="auto"/>
            <w:noWrap/>
            <w:vAlign w:val="bottom"/>
            <w:hideMark/>
          </w:tcPr>
          <w:p w14:paraId="1004A91C" w14:textId="526AB142"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2,800 </w:t>
            </w:r>
          </w:p>
        </w:tc>
        <w:tc>
          <w:tcPr>
            <w:tcW w:w="977" w:type="dxa"/>
            <w:tcBorders>
              <w:top w:val="nil"/>
              <w:left w:val="nil"/>
              <w:bottom w:val="nil"/>
              <w:right w:val="nil"/>
            </w:tcBorders>
            <w:shd w:val="clear" w:color="auto" w:fill="auto"/>
            <w:noWrap/>
            <w:vAlign w:val="bottom"/>
            <w:hideMark/>
          </w:tcPr>
          <w:p w14:paraId="1DD85EF5" w14:textId="5EDD03D8"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2,840 </w:t>
            </w:r>
          </w:p>
        </w:tc>
        <w:tc>
          <w:tcPr>
            <w:tcW w:w="977" w:type="dxa"/>
            <w:tcBorders>
              <w:top w:val="nil"/>
              <w:left w:val="nil"/>
              <w:bottom w:val="nil"/>
              <w:right w:val="nil"/>
            </w:tcBorders>
            <w:shd w:val="clear" w:color="auto" w:fill="auto"/>
            <w:noWrap/>
            <w:vAlign w:val="bottom"/>
            <w:hideMark/>
          </w:tcPr>
          <w:p w14:paraId="10BF90EF" w14:textId="144C7E9B"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2,884 </w:t>
            </w:r>
          </w:p>
        </w:tc>
      </w:tr>
      <w:tr w:rsidR="002671DF" w:rsidRPr="001E5C8D" w14:paraId="4A5CCC91" w14:textId="77777777" w:rsidTr="00A119F8">
        <w:trPr>
          <w:trHeight w:val="204"/>
        </w:trPr>
        <w:tc>
          <w:tcPr>
            <w:tcW w:w="2694" w:type="dxa"/>
            <w:tcBorders>
              <w:top w:val="nil"/>
              <w:left w:val="nil"/>
              <w:bottom w:val="nil"/>
              <w:right w:val="nil"/>
            </w:tcBorders>
            <w:shd w:val="clear" w:color="auto" w:fill="auto"/>
            <w:vAlign w:val="bottom"/>
            <w:hideMark/>
          </w:tcPr>
          <w:p w14:paraId="325347CB"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Office of Administrator, Northern Territory</w:t>
            </w:r>
          </w:p>
        </w:tc>
        <w:tc>
          <w:tcPr>
            <w:tcW w:w="1134" w:type="dxa"/>
            <w:tcBorders>
              <w:top w:val="nil"/>
              <w:left w:val="nil"/>
              <w:bottom w:val="nil"/>
              <w:right w:val="nil"/>
            </w:tcBorders>
            <w:shd w:val="clear" w:color="auto" w:fill="auto"/>
            <w:noWrap/>
            <w:vAlign w:val="bottom"/>
            <w:hideMark/>
          </w:tcPr>
          <w:p w14:paraId="3FF60738" w14:textId="3B5AAB13"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429 </w:t>
            </w:r>
          </w:p>
        </w:tc>
        <w:tc>
          <w:tcPr>
            <w:tcW w:w="976" w:type="dxa"/>
            <w:tcBorders>
              <w:top w:val="nil"/>
              <w:left w:val="nil"/>
              <w:bottom w:val="nil"/>
              <w:right w:val="nil"/>
            </w:tcBorders>
            <w:shd w:val="clear" w:color="000000" w:fill="E6E6E6"/>
            <w:noWrap/>
            <w:vAlign w:val="bottom"/>
            <w:hideMark/>
          </w:tcPr>
          <w:p w14:paraId="5C7FCC54" w14:textId="634DDC7A"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437 </w:t>
            </w:r>
          </w:p>
        </w:tc>
        <w:tc>
          <w:tcPr>
            <w:tcW w:w="977" w:type="dxa"/>
            <w:tcBorders>
              <w:top w:val="nil"/>
              <w:left w:val="nil"/>
              <w:bottom w:val="nil"/>
              <w:right w:val="nil"/>
            </w:tcBorders>
            <w:shd w:val="clear" w:color="auto" w:fill="auto"/>
            <w:noWrap/>
            <w:vAlign w:val="bottom"/>
            <w:hideMark/>
          </w:tcPr>
          <w:p w14:paraId="2DCE9C51" w14:textId="31852CCF"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443 </w:t>
            </w:r>
          </w:p>
        </w:tc>
        <w:tc>
          <w:tcPr>
            <w:tcW w:w="977" w:type="dxa"/>
            <w:tcBorders>
              <w:top w:val="nil"/>
              <w:left w:val="nil"/>
              <w:bottom w:val="nil"/>
              <w:right w:val="nil"/>
            </w:tcBorders>
            <w:shd w:val="clear" w:color="auto" w:fill="auto"/>
            <w:noWrap/>
            <w:vAlign w:val="bottom"/>
            <w:hideMark/>
          </w:tcPr>
          <w:p w14:paraId="6A4F952F" w14:textId="044EFE5E"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450 </w:t>
            </w:r>
          </w:p>
        </w:tc>
        <w:tc>
          <w:tcPr>
            <w:tcW w:w="977" w:type="dxa"/>
            <w:tcBorders>
              <w:top w:val="nil"/>
              <w:left w:val="nil"/>
              <w:bottom w:val="nil"/>
              <w:right w:val="nil"/>
            </w:tcBorders>
            <w:shd w:val="clear" w:color="auto" w:fill="auto"/>
            <w:noWrap/>
            <w:vAlign w:val="bottom"/>
            <w:hideMark/>
          </w:tcPr>
          <w:p w14:paraId="0A1B0A0A" w14:textId="256C05D7"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456 </w:t>
            </w:r>
          </w:p>
        </w:tc>
      </w:tr>
      <w:tr w:rsidR="002671DF" w:rsidRPr="001E5C8D" w14:paraId="36564B78" w14:textId="77777777" w:rsidTr="00A119F8">
        <w:trPr>
          <w:trHeight w:val="204"/>
        </w:trPr>
        <w:tc>
          <w:tcPr>
            <w:tcW w:w="2694" w:type="dxa"/>
            <w:tcBorders>
              <w:top w:val="nil"/>
              <w:left w:val="nil"/>
              <w:bottom w:val="nil"/>
              <w:right w:val="nil"/>
            </w:tcBorders>
            <w:shd w:val="clear" w:color="auto" w:fill="auto"/>
            <w:vAlign w:val="bottom"/>
            <w:hideMark/>
          </w:tcPr>
          <w:p w14:paraId="6520B396"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 xml:space="preserve">Services to Indian Ocean Territories </w:t>
            </w:r>
            <w:r w:rsidRPr="008F18E2">
              <w:rPr>
                <w:rFonts w:ascii="Arial" w:hAnsi="Arial" w:cs="Arial"/>
                <w:sz w:val="16"/>
                <w:szCs w:val="16"/>
                <w:vertAlign w:val="superscript"/>
              </w:rPr>
              <w:t>(a)</w:t>
            </w:r>
          </w:p>
        </w:tc>
        <w:tc>
          <w:tcPr>
            <w:tcW w:w="1134" w:type="dxa"/>
            <w:tcBorders>
              <w:top w:val="nil"/>
              <w:left w:val="nil"/>
              <w:bottom w:val="nil"/>
              <w:right w:val="nil"/>
            </w:tcBorders>
            <w:shd w:val="clear" w:color="auto" w:fill="auto"/>
            <w:noWrap/>
            <w:vAlign w:val="bottom"/>
            <w:hideMark/>
          </w:tcPr>
          <w:p w14:paraId="32966453" w14:textId="035000DD"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128,564 </w:t>
            </w:r>
          </w:p>
        </w:tc>
        <w:tc>
          <w:tcPr>
            <w:tcW w:w="976" w:type="dxa"/>
            <w:tcBorders>
              <w:top w:val="nil"/>
              <w:left w:val="nil"/>
              <w:bottom w:val="nil"/>
              <w:right w:val="nil"/>
            </w:tcBorders>
            <w:shd w:val="clear" w:color="000000" w:fill="E6E6E6"/>
            <w:noWrap/>
            <w:vAlign w:val="bottom"/>
            <w:hideMark/>
          </w:tcPr>
          <w:p w14:paraId="4E938E08" w14:textId="71295D13"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97,904 </w:t>
            </w:r>
          </w:p>
        </w:tc>
        <w:tc>
          <w:tcPr>
            <w:tcW w:w="977" w:type="dxa"/>
            <w:tcBorders>
              <w:top w:val="nil"/>
              <w:left w:val="nil"/>
              <w:bottom w:val="nil"/>
              <w:right w:val="nil"/>
            </w:tcBorders>
            <w:shd w:val="clear" w:color="auto" w:fill="auto"/>
            <w:noWrap/>
            <w:vAlign w:val="bottom"/>
            <w:hideMark/>
          </w:tcPr>
          <w:p w14:paraId="0DBCA67F" w14:textId="0B9CAC11"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100,176 </w:t>
            </w:r>
          </w:p>
        </w:tc>
        <w:tc>
          <w:tcPr>
            <w:tcW w:w="977" w:type="dxa"/>
            <w:tcBorders>
              <w:top w:val="nil"/>
              <w:left w:val="nil"/>
              <w:bottom w:val="nil"/>
              <w:right w:val="nil"/>
            </w:tcBorders>
            <w:shd w:val="clear" w:color="auto" w:fill="auto"/>
            <w:noWrap/>
            <w:vAlign w:val="bottom"/>
            <w:hideMark/>
          </w:tcPr>
          <w:p w14:paraId="194C0498" w14:textId="4EC9B5B2"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102,451 </w:t>
            </w:r>
          </w:p>
        </w:tc>
        <w:tc>
          <w:tcPr>
            <w:tcW w:w="977" w:type="dxa"/>
            <w:tcBorders>
              <w:top w:val="nil"/>
              <w:left w:val="nil"/>
              <w:bottom w:val="nil"/>
              <w:right w:val="nil"/>
            </w:tcBorders>
            <w:shd w:val="clear" w:color="auto" w:fill="auto"/>
            <w:noWrap/>
            <w:vAlign w:val="bottom"/>
            <w:hideMark/>
          </w:tcPr>
          <w:p w14:paraId="14590660" w14:textId="27DE975B"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103,987 </w:t>
            </w:r>
          </w:p>
        </w:tc>
      </w:tr>
      <w:tr w:rsidR="002671DF" w:rsidRPr="001E5C8D" w14:paraId="5FECBA7B" w14:textId="77777777" w:rsidTr="00A119F8">
        <w:trPr>
          <w:trHeight w:val="204"/>
        </w:trPr>
        <w:tc>
          <w:tcPr>
            <w:tcW w:w="2694" w:type="dxa"/>
            <w:tcBorders>
              <w:top w:val="nil"/>
              <w:left w:val="nil"/>
              <w:bottom w:val="nil"/>
              <w:right w:val="nil"/>
            </w:tcBorders>
            <w:shd w:val="clear" w:color="auto" w:fill="auto"/>
            <w:vAlign w:val="bottom"/>
            <w:hideMark/>
          </w:tcPr>
          <w:p w14:paraId="279A1615"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Services to Jervis Bay Territory</w:t>
            </w:r>
            <w:r>
              <w:rPr>
                <w:rFonts w:ascii="Arial" w:hAnsi="Arial" w:cs="Arial"/>
                <w:sz w:val="16"/>
                <w:szCs w:val="16"/>
              </w:rPr>
              <w:t> </w:t>
            </w:r>
            <w:r w:rsidRPr="00665295">
              <w:rPr>
                <w:rFonts w:ascii="Arial" w:hAnsi="Arial" w:cs="Arial"/>
                <w:sz w:val="16"/>
                <w:szCs w:val="16"/>
                <w:vertAlign w:val="superscript"/>
              </w:rPr>
              <w:t>(b)</w:t>
            </w:r>
          </w:p>
        </w:tc>
        <w:tc>
          <w:tcPr>
            <w:tcW w:w="1134" w:type="dxa"/>
            <w:tcBorders>
              <w:top w:val="nil"/>
              <w:left w:val="nil"/>
              <w:bottom w:val="nil"/>
              <w:right w:val="nil"/>
            </w:tcBorders>
            <w:shd w:val="clear" w:color="auto" w:fill="auto"/>
            <w:noWrap/>
            <w:vAlign w:val="bottom"/>
            <w:hideMark/>
          </w:tcPr>
          <w:p w14:paraId="5D4DF526" w14:textId="2D704FFF"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6,929 </w:t>
            </w:r>
          </w:p>
        </w:tc>
        <w:tc>
          <w:tcPr>
            <w:tcW w:w="976" w:type="dxa"/>
            <w:tcBorders>
              <w:top w:val="nil"/>
              <w:left w:val="nil"/>
              <w:bottom w:val="nil"/>
              <w:right w:val="nil"/>
            </w:tcBorders>
            <w:shd w:val="clear" w:color="000000" w:fill="E6E6E6"/>
            <w:noWrap/>
            <w:vAlign w:val="bottom"/>
            <w:hideMark/>
          </w:tcPr>
          <w:p w14:paraId="12C2A4A0" w14:textId="183120A5"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7,221 </w:t>
            </w:r>
          </w:p>
        </w:tc>
        <w:tc>
          <w:tcPr>
            <w:tcW w:w="977" w:type="dxa"/>
            <w:tcBorders>
              <w:top w:val="nil"/>
              <w:left w:val="nil"/>
              <w:bottom w:val="nil"/>
              <w:right w:val="nil"/>
            </w:tcBorders>
            <w:shd w:val="clear" w:color="auto" w:fill="auto"/>
            <w:noWrap/>
            <w:vAlign w:val="bottom"/>
            <w:hideMark/>
          </w:tcPr>
          <w:p w14:paraId="50323E3A" w14:textId="29017473"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7,405 </w:t>
            </w:r>
          </w:p>
        </w:tc>
        <w:tc>
          <w:tcPr>
            <w:tcW w:w="977" w:type="dxa"/>
            <w:tcBorders>
              <w:top w:val="nil"/>
              <w:left w:val="nil"/>
              <w:bottom w:val="nil"/>
              <w:right w:val="nil"/>
            </w:tcBorders>
            <w:shd w:val="clear" w:color="auto" w:fill="auto"/>
            <w:noWrap/>
            <w:vAlign w:val="bottom"/>
            <w:hideMark/>
          </w:tcPr>
          <w:p w14:paraId="328A2870" w14:textId="3B79E545"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5,780 </w:t>
            </w:r>
          </w:p>
        </w:tc>
        <w:tc>
          <w:tcPr>
            <w:tcW w:w="977" w:type="dxa"/>
            <w:tcBorders>
              <w:top w:val="nil"/>
              <w:left w:val="nil"/>
              <w:bottom w:val="nil"/>
              <w:right w:val="nil"/>
            </w:tcBorders>
            <w:shd w:val="clear" w:color="auto" w:fill="auto"/>
            <w:noWrap/>
            <w:vAlign w:val="bottom"/>
            <w:hideMark/>
          </w:tcPr>
          <w:p w14:paraId="793E23B4" w14:textId="711720B7"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5,867 </w:t>
            </w:r>
          </w:p>
        </w:tc>
      </w:tr>
      <w:tr w:rsidR="002671DF" w:rsidRPr="001E5C8D" w14:paraId="079635FA" w14:textId="77777777" w:rsidTr="00A119F8">
        <w:trPr>
          <w:trHeight w:val="204"/>
        </w:trPr>
        <w:tc>
          <w:tcPr>
            <w:tcW w:w="2694" w:type="dxa"/>
            <w:tcBorders>
              <w:top w:val="nil"/>
              <w:left w:val="nil"/>
              <w:bottom w:val="nil"/>
              <w:right w:val="nil"/>
            </w:tcBorders>
            <w:shd w:val="clear" w:color="auto" w:fill="auto"/>
            <w:vAlign w:val="bottom"/>
            <w:hideMark/>
          </w:tcPr>
          <w:p w14:paraId="17BAF7E6"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Services to Norfolk Island</w:t>
            </w:r>
          </w:p>
        </w:tc>
        <w:tc>
          <w:tcPr>
            <w:tcW w:w="1134" w:type="dxa"/>
            <w:tcBorders>
              <w:top w:val="nil"/>
              <w:left w:val="nil"/>
              <w:bottom w:val="nil"/>
              <w:right w:val="nil"/>
            </w:tcBorders>
            <w:shd w:val="clear" w:color="auto" w:fill="auto"/>
            <w:noWrap/>
            <w:vAlign w:val="bottom"/>
            <w:hideMark/>
          </w:tcPr>
          <w:p w14:paraId="7AC4E5A7" w14:textId="35BD91DF"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88,641 </w:t>
            </w:r>
          </w:p>
        </w:tc>
        <w:tc>
          <w:tcPr>
            <w:tcW w:w="976" w:type="dxa"/>
            <w:tcBorders>
              <w:top w:val="nil"/>
              <w:left w:val="nil"/>
              <w:bottom w:val="nil"/>
              <w:right w:val="nil"/>
            </w:tcBorders>
            <w:shd w:val="clear" w:color="000000" w:fill="E6E6E6"/>
            <w:noWrap/>
            <w:vAlign w:val="bottom"/>
            <w:hideMark/>
          </w:tcPr>
          <w:p w14:paraId="6EAB3339" w14:textId="2E45A660"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81,606 </w:t>
            </w:r>
          </w:p>
        </w:tc>
        <w:tc>
          <w:tcPr>
            <w:tcW w:w="977" w:type="dxa"/>
            <w:tcBorders>
              <w:top w:val="nil"/>
              <w:left w:val="nil"/>
              <w:bottom w:val="nil"/>
              <w:right w:val="nil"/>
            </w:tcBorders>
            <w:shd w:val="clear" w:color="auto" w:fill="auto"/>
            <w:noWrap/>
            <w:vAlign w:val="bottom"/>
            <w:hideMark/>
          </w:tcPr>
          <w:p w14:paraId="38D8FFC7" w14:textId="19B3BA56"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73,065 </w:t>
            </w:r>
          </w:p>
        </w:tc>
        <w:tc>
          <w:tcPr>
            <w:tcW w:w="977" w:type="dxa"/>
            <w:tcBorders>
              <w:top w:val="nil"/>
              <w:left w:val="nil"/>
              <w:bottom w:val="nil"/>
              <w:right w:val="nil"/>
            </w:tcBorders>
            <w:shd w:val="clear" w:color="auto" w:fill="auto"/>
            <w:noWrap/>
            <w:vAlign w:val="bottom"/>
            <w:hideMark/>
          </w:tcPr>
          <w:p w14:paraId="77D948AF" w14:textId="650A024C"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70,983 </w:t>
            </w:r>
          </w:p>
        </w:tc>
        <w:tc>
          <w:tcPr>
            <w:tcW w:w="977" w:type="dxa"/>
            <w:tcBorders>
              <w:top w:val="nil"/>
              <w:left w:val="nil"/>
              <w:bottom w:val="nil"/>
              <w:right w:val="nil"/>
            </w:tcBorders>
            <w:shd w:val="clear" w:color="auto" w:fill="auto"/>
            <w:noWrap/>
            <w:vAlign w:val="bottom"/>
            <w:hideMark/>
          </w:tcPr>
          <w:p w14:paraId="65C66825" w14:textId="45328736"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62,257 </w:t>
            </w:r>
          </w:p>
        </w:tc>
      </w:tr>
      <w:tr w:rsidR="002671DF" w:rsidRPr="001E5C8D" w14:paraId="027D5E91" w14:textId="77777777" w:rsidTr="00A119F8">
        <w:trPr>
          <w:trHeight w:val="204"/>
        </w:trPr>
        <w:tc>
          <w:tcPr>
            <w:tcW w:w="2694" w:type="dxa"/>
            <w:tcBorders>
              <w:top w:val="nil"/>
              <w:left w:val="nil"/>
              <w:bottom w:val="nil"/>
              <w:right w:val="nil"/>
            </w:tcBorders>
            <w:shd w:val="clear" w:color="auto" w:fill="auto"/>
            <w:noWrap/>
            <w:vAlign w:val="bottom"/>
            <w:hideMark/>
          </w:tcPr>
          <w:p w14:paraId="28A165D4" w14:textId="77777777" w:rsidR="002671DF" w:rsidRPr="001E5C8D" w:rsidRDefault="002671DF" w:rsidP="002671DF">
            <w:pPr>
              <w:spacing w:after="0" w:line="240" w:lineRule="auto"/>
              <w:jc w:val="left"/>
              <w:rPr>
                <w:rFonts w:ascii="Arial" w:hAnsi="Arial" w:cs="Arial"/>
                <w:sz w:val="16"/>
                <w:szCs w:val="16"/>
              </w:rPr>
            </w:pPr>
            <w:r w:rsidRPr="001E5C8D">
              <w:rPr>
                <w:rFonts w:ascii="Arial" w:hAnsi="Arial" w:cs="Arial"/>
                <w:sz w:val="16"/>
                <w:szCs w:val="16"/>
              </w:rPr>
              <w:t>Special Accounts</w:t>
            </w:r>
          </w:p>
        </w:tc>
        <w:tc>
          <w:tcPr>
            <w:tcW w:w="1134" w:type="dxa"/>
            <w:tcBorders>
              <w:top w:val="nil"/>
              <w:left w:val="nil"/>
              <w:bottom w:val="nil"/>
              <w:right w:val="nil"/>
            </w:tcBorders>
            <w:shd w:val="clear" w:color="auto" w:fill="auto"/>
            <w:noWrap/>
            <w:vAlign w:val="bottom"/>
            <w:hideMark/>
          </w:tcPr>
          <w:p w14:paraId="52CC3DB9" w14:textId="77777777" w:rsidR="002671DF" w:rsidRPr="001E5C8D" w:rsidRDefault="002671DF" w:rsidP="002671DF">
            <w:pPr>
              <w:spacing w:after="0" w:line="240" w:lineRule="auto"/>
              <w:ind w:firstLineChars="100" w:firstLine="160"/>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0068B588" w14:textId="3E7A0B11"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4C08D548" w14:textId="77777777" w:rsidR="002671DF" w:rsidRPr="001E5C8D" w:rsidRDefault="002671DF" w:rsidP="002671DF">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9EB11D0" w14:textId="77777777" w:rsidR="002671DF" w:rsidRPr="001E5C8D" w:rsidRDefault="002671DF" w:rsidP="002671DF">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1A171495" w14:textId="77777777" w:rsidR="002671DF" w:rsidRPr="001E5C8D" w:rsidRDefault="002671DF" w:rsidP="002671DF">
            <w:pPr>
              <w:spacing w:after="0" w:line="240" w:lineRule="auto"/>
              <w:jc w:val="right"/>
              <w:rPr>
                <w:rFonts w:ascii="Times New Roman" w:hAnsi="Times New Roman"/>
                <w:sz w:val="16"/>
                <w:szCs w:val="16"/>
              </w:rPr>
            </w:pPr>
          </w:p>
        </w:tc>
      </w:tr>
      <w:tr w:rsidR="002671DF" w:rsidRPr="001E5C8D" w14:paraId="7A7221B0" w14:textId="77777777" w:rsidTr="00A119F8">
        <w:trPr>
          <w:trHeight w:val="204"/>
        </w:trPr>
        <w:tc>
          <w:tcPr>
            <w:tcW w:w="2694" w:type="dxa"/>
            <w:tcBorders>
              <w:top w:val="nil"/>
              <w:left w:val="nil"/>
              <w:bottom w:val="nil"/>
              <w:right w:val="nil"/>
            </w:tcBorders>
            <w:shd w:val="clear" w:color="auto" w:fill="auto"/>
            <w:vAlign w:val="bottom"/>
            <w:hideMark/>
          </w:tcPr>
          <w:p w14:paraId="1EA18A43"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 xml:space="preserve">Christmas Island </w:t>
            </w:r>
            <w:r>
              <w:rPr>
                <w:rFonts w:ascii="Arial" w:hAnsi="Arial" w:cs="Arial"/>
                <w:sz w:val="16"/>
                <w:szCs w:val="16"/>
              </w:rPr>
              <w:t xml:space="preserve">Phosphate Mining Rehabilitation </w:t>
            </w:r>
            <w:r w:rsidRPr="001E5C8D">
              <w:rPr>
                <w:rFonts w:ascii="Arial" w:hAnsi="Arial" w:cs="Arial"/>
                <w:sz w:val="16"/>
                <w:szCs w:val="16"/>
              </w:rPr>
              <w:t>Special Account 2016</w:t>
            </w:r>
          </w:p>
        </w:tc>
        <w:tc>
          <w:tcPr>
            <w:tcW w:w="1134" w:type="dxa"/>
            <w:tcBorders>
              <w:top w:val="nil"/>
              <w:left w:val="nil"/>
              <w:bottom w:val="nil"/>
              <w:right w:val="nil"/>
            </w:tcBorders>
            <w:shd w:val="clear" w:color="auto" w:fill="auto"/>
            <w:noWrap/>
            <w:vAlign w:val="bottom"/>
            <w:hideMark/>
          </w:tcPr>
          <w:p w14:paraId="3641FEEA" w14:textId="16EBCE6B"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1,200 </w:t>
            </w:r>
          </w:p>
        </w:tc>
        <w:tc>
          <w:tcPr>
            <w:tcW w:w="976" w:type="dxa"/>
            <w:tcBorders>
              <w:top w:val="nil"/>
              <w:left w:val="nil"/>
              <w:bottom w:val="nil"/>
              <w:right w:val="nil"/>
            </w:tcBorders>
            <w:shd w:val="clear" w:color="000000" w:fill="E6E6E6"/>
            <w:noWrap/>
            <w:vAlign w:val="bottom"/>
            <w:hideMark/>
          </w:tcPr>
          <w:p w14:paraId="1CDD27EF" w14:textId="04228A2D"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6B51B5E4" w14:textId="0878DD89"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38BBE344" w14:textId="2ACDECFD"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1B0A6FDD" w14:textId="3CB037D6"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1,200 </w:t>
            </w:r>
          </w:p>
        </w:tc>
      </w:tr>
      <w:tr w:rsidR="002671DF" w:rsidRPr="001E5C8D" w14:paraId="7E08EF88" w14:textId="77777777" w:rsidTr="00A119F8">
        <w:trPr>
          <w:trHeight w:val="204"/>
        </w:trPr>
        <w:tc>
          <w:tcPr>
            <w:tcW w:w="2694" w:type="dxa"/>
            <w:tcBorders>
              <w:top w:val="nil"/>
              <w:left w:val="nil"/>
              <w:bottom w:val="nil"/>
              <w:right w:val="nil"/>
            </w:tcBorders>
            <w:shd w:val="clear" w:color="auto" w:fill="auto"/>
            <w:vAlign w:val="bottom"/>
            <w:hideMark/>
          </w:tcPr>
          <w:p w14:paraId="078343D1"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Indian Ocean Territories Special Account 2014</w:t>
            </w:r>
          </w:p>
        </w:tc>
        <w:tc>
          <w:tcPr>
            <w:tcW w:w="1134" w:type="dxa"/>
            <w:tcBorders>
              <w:top w:val="nil"/>
              <w:left w:val="nil"/>
              <w:bottom w:val="nil"/>
              <w:right w:val="nil"/>
            </w:tcBorders>
            <w:shd w:val="clear" w:color="auto" w:fill="auto"/>
            <w:noWrap/>
            <w:vAlign w:val="bottom"/>
            <w:hideMark/>
          </w:tcPr>
          <w:p w14:paraId="51CD6B89" w14:textId="6C60FE67"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17,006 </w:t>
            </w:r>
          </w:p>
        </w:tc>
        <w:tc>
          <w:tcPr>
            <w:tcW w:w="976" w:type="dxa"/>
            <w:tcBorders>
              <w:top w:val="nil"/>
              <w:left w:val="nil"/>
              <w:bottom w:val="nil"/>
              <w:right w:val="nil"/>
            </w:tcBorders>
            <w:shd w:val="clear" w:color="000000" w:fill="E6E6E6"/>
            <w:noWrap/>
            <w:vAlign w:val="bottom"/>
            <w:hideMark/>
          </w:tcPr>
          <w:p w14:paraId="50A352F7" w14:textId="617573F5"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17,515 </w:t>
            </w:r>
          </w:p>
        </w:tc>
        <w:tc>
          <w:tcPr>
            <w:tcW w:w="977" w:type="dxa"/>
            <w:tcBorders>
              <w:top w:val="nil"/>
              <w:left w:val="nil"/>
              <w:bottom w:val="nil"/>
              <w:right w:val="nil"/>
            </w:tcBorders>
            <w:shd w:val="clear" w:color="auto" w:fill="auto"/>
            <w:noWrap/>
            <w:vAlign w:val="bottom"/>
            <w:hideMark/>
          </w:tcPr>
          <w:p w14:paraId="24B2B2A9" w14:textId="61A3D482"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17,769 </w:t>
            </w:r>
          </w:p>
        </w:tc>
        <w:tc>
          <w:tcPr>
            <w:tcW w:w="977" w:type="dxa"/>
            <w:tcBorders>
              <w:top w:val="nil"/>
              <w:left w:val="nil"/>
              <w:bottom w:val="nil"/>
              <w:right w:val="nil"/>
            </w:tcBorders>
            <w:shd w:val="clear" w:color="auto" w:fill="auto"/>
            <w:noWrap/>
            <w:vAlign w:val="bottom"/>
            <w:hideMark/>
          </w:tcPr>
          <w:p w14:paraId="767CCA91" w14:textId="0CAB662D"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17,915 </w:t>
            </w:r>
          </w:p>
        </w:tc>
        <w:tc>
          <w:tcPr>
            <w:tcW w:w="977" w:type="dxa"/>
            <w:tcBorders>
              <w:top w:val="nil"/>
              <w:left w:val="nil"/>
              <w:bottom w:val="nil"/>
              <w:right w:val="nil"/>
            </w:tcBorders>
            <w:shd w:val="clear" w:color="auto" w:fill="auto"/>
            <w:noWrap/>
            <w:vAlign w:val="bottom"/>
            <w:hideMark/>
          </w:tcPr>
          <w:p w14:paraId="2C742054" w14:textId="6D89F4CD"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17,065 </w:t>
            </w:r>
          </w:p>
        </w:tc>
      </w:tr>
      <w:tr w:rsidR="002671DF" w:rsidRPr="001E5C8D" w14:paraId="3EAF2771" w14:textId="77777777" w:rsidTr="00A119F8">
        <w:trPr>
          <w:trHeight w:val="204"/>
        </w:trPr>
        <w:tc>
          <w:tcPr>
            <w:tcW w:w="2694" w:type="dxa"/>
            <w:tcBorders>
              <w:top w:val="nil"/>
              <w:left w:val="nil"/>
              <w:right w:val="nil"/>
            </w:tcBorders>
            <w:shd w:val="clear" w:color="auto" w:fill="auto"/>
            <w:vAlign w:val="bottom"/>
            <w:hideMark/>
          </w:tcPr>
          <w:p w14:paraId="37DA3D60" w14:textId="77777777" w:rsidR="002671DF" w:rsidRPr="001E5C8D" w:rsidRDefault="002671DF" w:rsidP="002671DF">
            <w:pPr>
              <w:spacing w:after="0" w:line="240" w:lineRule="auto"/>
              <w:ind w:left="113"/>
              <w:jc w:val="left"/>
              <w:rPr>
                <w:rFonts w:ascii="Arial" w:hAnsi="Arial" w:cs="Arial"/>
                <w:sz w:val="16"/>
                <w:szCs w:val="16"/>
              </w:rPr>
            </w:pPr>
            <w:r w:rsidRPr="001E5C8D">
              <w:rPr>
                <w:rFonts w:ascii="Arial" w:hAnsi="Arial" w:cs="Arial"/>
                <w:sz w:val="16"/>
                <w:szCs w:val="16"/>
              </w:rPr>
              <w:t>Jervis Bay Territory Special Account 2014</w:t>
            </w:r>
          </w:p>
        </w:tc>
        <w:tc>
          <w:tcPr>
            <w:tcW w:w="1134" w:type="dxa"/>
            <w:tcBorders>
              <w:top w:val="nil"/>
              <w:left w:val="nil"/>
              <w:bottom w:val="nil"/>
              <w:right w:val="nil"/>
            </w:tcBorders>
            <w:shd w:val="clear" w:color="auto" w:fill="auto"/>
            <w:noWrap/>
            <w:vAlign w:val="bottom"/>
            <w:hideMark/>
          </w:tcPr>
          <w:p w14:paraId="4A716736" w14:textId="5BB682A6"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1,219 </w:t>
            </w:r>
          </w:p>
        </w:tc>
        <w:tc>
          <w:tcPr>
            <w:tcW w:w="976" w:type="dxa"/>
            <w:tcBorders>
              <w:top w:val="nil"/>
              <w:left w:val="nil"/>
              <w:bottom w:val="nil"/>
              <w:right w:val="nil"/>
            </w:tcBorders>
            <w:shd w:val="clear" w:color="000000" w:fill="E6E6E6"/>
            <w:noWrap/>
            <w:vAlign w:val="bottom"/>
            <w:hideMark/>
          </w:tcPr>
          <w:p w14:paraId="7B916C90" w14:textId="50865728"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14FECA60" w14:textId="0C1807F0"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0DA6744F" w14:textId="2D57470E"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45C8AD5A" w14:textId="2928A286" w:rsidR="002671DF" w:rsidRPr="001E5C8D" w:rsidRDefault="002671DF" w:rsidP="002671DF">
            <w:pPr>
              <w:spacing w:after="0" w:line="240" w:lineRule="auto"/>
              <w:jc w:val="right"/>
              <w:rPr>
                <w:rFonts w:ascii="Arial" w:hAnsi="Arial" w:cs="Arial"/>
                <w:sz w:val="16"/>
                <w:szCs w:val="16"/>
              </w:rPr>
            </w:pPr>
            <w:r>
              <w:rPr>
                <w:rFonts w:ascii="Arial" w:hAnsi="Arial" w:cs="Arial"/>
                <w:sz w:val="16"/>
                <w:szCs w:val="16"/>
              </w:rPr>
              <w:t xml:space="preserve">1,219 </w:t>
            </w:r>
          </w:p>
        </w:tc>
      </w:tr>
      <w:tr w:rsidR="002671DF" w:rsidRPr="00FE1AA7" w14:paraId="574E6362" w14:textId="77777777" w:rsidTr="00A119F8">
        <w:trPr>
          <w:trHeight w:val="204"/>
        </w:trPr>
        <w:tc>
          <w:tcPr>
            <w:tcW w:w="2694" w:type="dxa"/>
            <w:tcBorders>
              <w:top w:val="nil"/>
              <w:left w:val="nil"/>
              <w:bottom w:val="single" w:sz="4" w:space="0" w:color="auto"/>
              <w:right w:val="nil"/>
            </w:tcBorders>
            <w:shd w:val="clear" w:color="auto" w:fill="auto"/>
            <w:noWrap/>
            <w:vAlign w:val="bottom"/>
            <w:hideMark/>
          </w:tcPr>
          <w:p w14:paraId="6088FA68" w14:textId="77777777" w:rsidR="002671DF" w:rsidRPr="00FE1AA7" w:rsidRDefault="002671DF" w:rsidP="002671DF">
            <w:pPr>
              <w:spacing w:after="0" w:line="240" w:lineRule="auto"/>
              <w:jc w:val="left"/>
              <w:rPr>
                <w:rFonts w:ascii="Arial" w:hAnsi="Arial" w:cs="Arial"/>
                <w:b/>
                <w:bCs/>
                <w:sz w:val="16"/>
                <w:szCs w:val="16"/>
              </w:rPr>
            </w:pPr>
            <w:r w:rsidRPr="00FE1AA7">
              <w:rPr>
                <w:rFonts w:ascii="Arial" w:hAnsi="Arial" w:cs="Arial"/>
                <w:b/>
                <w:bCs/>
                <w:sz w:val="16"/>
                <w:szCs w:val="16"/>
              </w:rPr>
              <w:t>Total expenses for Program 4.1</w:t>
            </w:r>
          </w:p>
        </w:tc>
        <w:tc>
          <w:tcPr>
            <w:tcW w:w="1134" w:type="dxa"/>
            <w:tcBorders>
              <w:top w:val="single" w:sz="4" w:space="0" w:color="auto"/>
              <w:left w:val="nil"/>
              <w:bottom w:val="single" w:sz="4" w:space="0" w:color="auto"/>
              <w:right w:val="nil"/>
            </w:tcBorders>
            <w:shd w:val="clear" w:color="auto" w:fill="auto"/>
            <w:noWrap/>
            <w:vAlign w:val="bottom"/>
            <w:hideMark/>
          </w:tcPr>
          <w:p w14:paraId="01FB5841" w14:textId="02C5035A" w:rsidR="002671DF" w:rsidRPr="00FE1AA7" w:rsidRDefault="002671DF" w:rsidP="002671DF">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976" w:type="dxa"/>
            <w:tcBorders>
              <w:top w:val="single" w:sz="4" w:space="0" w:color="auto"/>
              <w:left w:val="nil"/>
              <w:bottom w:val="single" w:sz="4" w:space="0" w:color="auto"/>
              <w:right w:val="nil"/>
            </w:tcBorders>
            <w:shd w:val="clear" w:color="000000" w:fill="E6E6E6"/>
            <w:noWrap/>
            <w:vAlign w:val="bottom"/>
            <w:hideMark/>
          </w:tcPr>
          <w:p w14:paraId="22755B61" w14:textId="354F4122" w:rsidR="002671DF" w:rsidRPr="00FE1AA7" w:rsidRDefault="002671DF" w:rsidP="002671DF">
            <w:pPr>
              <w:spacing w:after="0" w:line="240" w:lineRule="auto"/>
              <w:jc w:val="right"/>
              <w:rPr>
                <w:rFonts w:ascii="Arial" w:hAnsi="Arial" w:cs="Arial"/>
                <w:b/>
                <w:bCs/>
                <w:sz w:val="16"/>
                <w:szCs w:val="16"/>
              </w:rPr>
            </w:pPr>
            <w:r>
              <w:rPr>
                <w:rFonts w:ascii="Arial" w:hAnsi="Arial" w:cs="Arial"/>
                <w:b/>
                <w:bCs/>
                <w:sz w:val="16"/>
                <w:szCs w:val="16"/>
              </w:rPr>
              <w:t xml:space="preserve">250,166 </w:t>
            </w:r>
          </w:p>
        </w:tc>
        <w:tc>
          <w:tcPr>
            <w:tcW w:w="977" w:type="dxa"/>
            <w:tcBorders>
              <w:top w:val="single" w:sz="4" w:space="0" w:color="auto"/>
              <w:left w:val="nil"/>
              <w:bottom w:val="single" w:sz="4" w:space="0" w:color="auto"/>
              <w:right w:val="nil"/>
            </w:tcBorders>
            <w:shd w:val="clear" w:color="auto" w:fill="auto"/>
            <w:noWrap/>
            <w:vAlign w:val="bottom"/>
            <w:hideMark/>
          </w:tcPr>
          <w:p w14:paraId="0B3F60B3" w14:textId="7418C65F" w:rsidR="002671DF" w:rsidRPr="00FE1AA7" w:rsidRDefault="002671DF" w:rsidP="002671DF">
            <w:pPr>
              <w:spacing w:after="0" w:line="240" w:lineRule="auto"/>
              <w:jc w:val="right"/>
              <w:rPr>
                <w:rFonts w:ascii="Arial" w:hAnsi="Arial" w:cs="Arial"/>
                <w:b/>
                <w:bCs/>
                <w:sz w:val="16"/>
                <w:szCs w:val="16"/>
              </w:rPr>
            </w:pPr>
            <w:r>
              <w:rPr>
                <w:rFonts w:ascii="Arial" w:hAnsi="Arial" w:cs="Arial"/>
                <w:b/>
                <w:bCs/>
                <w:sz w:val="16"/>
                <w:szCs w:val="16"/>
              </w:rPr>
              <w:t xml:space="preserve">244,136 </w:t>
            </w:r>
          </w:p>
        </w:tc>
        <w:tc>
          <w:tcPr>
            <w:tcW w:w="977" w:type="dxa"/>
            <w:tcBorders>
              <w:top w:val="single" w:sz="4" w:space="0" w:color="auto"/>
              <w:left w:val="nil"/>
              <w:bottom w:val="single" w:sz="4" w:space="0" w:color="auto"/>
              <w:right w:val="nil"/>
            </w:tcBorders>
            <w:shd w:val="clear" w:color="auto" w:fill="auto"/>
            <w:noWrap/>
            <w:vAlign w:val="bottom"/>
            <w:hideMark/>
          </w:tcPr>
          <w:p w14:paraId="196D6FF2" w14:textId="2965CDF0" w:rsidR="002671DF" w:rsidRPr="00FE1AA7" w:rsidRDefault="002671DF" w:rsidP="002671DF">
            <w:pPr>
              <w:spacing w:after="0" w:line="240" w:lineRule="auto"/>
              <w:jc w:val="right"/>
              <w:rPr>
                <w:rFonts w:ascii="Arial" w:hAnsi="Arial" w:cs="Arial"/>
                <w:b/>
                <w:bCs/>
                <w:sz w:val="16"/>
                <w:szCs w:val="16"/>
              </w:rPr>
            </w:pPr>
            <w:r>
              <w:rPr>
                <w:rFonts w:ascii="Arial" w:hAnsi="Arial" w:cs="Arial"/>
                <w:b/>
                <w:bCs/>
                <w:sz w:val="16"/>
                <w:szCs w:val="16"/>
              </w:rPr>
              <w:t xml:space="preserve">242,942 </w:t>
            </w:r>
          </w:p>
        </w:tc>
        <w:tc>
          <w:tcPr>
            <w:tcW w:w="977" w:type="dxa"/>
            <w:tcBorders>
              <w:top w:val="single" w:sz="4" w:space="0" w:color="auto"/>
              <w:left w:val="nil"/>
              <w:bottom w:val="single" w:sz="4" w:space="0" w:color="auto"/>
              <w:right w:val="nil"/>
            </w:tcBorders>
            <w:shd w:val="clear" w:color="auto" w:fill="auto"/>
            <w:noWrap/>
            <w:vAlign w:val="bottom"/>
            <w:hideMark/>
          </w:tcPr>
          <w:p w14:paraId="166C643E" w14:textId="548D1D71" w:rsidR="002671DF" w:rsidRPr="00FE1AA7" w:rsidRDefault="002671DF" w:rsidP="002671DF">
            <w:pPr>
              <w:spacing w:after="0" w:line="240" w:lineRule="auto"/>
              <w:jc w:val="right"/>
              <w:rPr>
                <w:rFonts w:ascii="Arial" w:hAnsi="Arial" w:cs="Arial"/>
                <w:b/>
                <w:bCs/>
                <w:sz w:val="16"/>
                <w:szCs w:val="16"/>
              </w:rPr>
            </w:pPr>
            <w:r>
              <w:rPr>
                <w:rFonts w:ascii="Arial" w:hAnsi="Arial" w:cs="Arial"/>
                <w:b/>
                <w:bCs/>
                <w:sz w:val="16"/>
                <w:szCs w:val="16"/>
              </w:rPr>
              <w:t xml:space="preserve">235,087 </w:t>
            </w:r>
          </w:p>
        </w:tc>
      </w:tr>
    </w:tbl>
    <w:p w14:paraId="75477DAA" w14:textId="77777777" w:rsidR="00B91F3E" w:rsidRPr="00FE1AA7" w:rsidRDefault="00B91F3E" w:rsidP="00747426">
      <w:pPr>
        <w:pStyle w:val="TableHeading"/>
        <w:numPr>
          <w:ilvl w:val="0"/>
          <w:numId w:val="47"/>
        </w:numPr>
        <w:spacing w:before="60" w:after="0"/>
        <w:ind w:left="284" w:hanging="284"/>
        <w:rPr>
          <w:rFonts w:cs="Arial"/>
          <w:b w:val="0"/>
          <w:sz w:val="16"/>
          <w:szCs w:val="16"/>
          <w:lang w:val="en-US"/>
        </w:rPr>
      </w:pPr>
      <w:r w:rsidRPr="00FE1AA7">
        <w:rPr>
          <w:rFonts w:cs="Arial"/>
          <w:b w:val="0"/>
          <w:sz w:val="16"/>
          <w:szCs w:val="16"/>
          <w:lang w:val="en-US"/>
        </w:rPr>
        <w:t>See also expenses associated with the Indian Ocean Territories Special Account 2014.</w:t>
      </w:r>
    </w:p>
    <w:p w14:paraId="52ACE582" w14:textId="77777777" w:rsidR="00B91F3E" w:rsidRPr="00FE1AA7" w:rsidRDefault="00B91F3E" w:rsidP="00747426">
      <w:pPr>
        <w:pStyle w:val="TableGraphic"/>
        <w:numPr>
          <w:ilvl w:val="0"/>
          <w:numId w:val="47"/>
        </w:numPr>
        <w:ind w:left="284" w:hanging="284"/>
        <w:rPr>
          <w:rFonts w:ascii="Arial" w:hAnsi="Arial" w:cs="Arial"/>
          <w:sz w:val="16"/>
          <w:szCs w:val="16"/>
          <w:lang w:val="en-US" w:eastAsia="x-none"/>
        </w:rPr>
      </w:pPr>
      <w:r w:rsidRPr="00FE1AA7">
        <w:rPr>
          <w:rFonts w:ascii="Arial" w:hAnsi="Arial" w:cs="Arial"/>
          <w:sz w:val="16"/>
          <w:szCs w:val="16"/>
          <w:lang w:val="en-US" w:eastAsia="x-none"/>
        </w:rPr>
        <w:t>See also expenses associated with the Jervis Bay Territory Special Account 2014.</w:t>
      </w:r>
    </w:p>
    <w:p w14:paraId="4DED84B7" w14:textId="77777777" w:rsidR="00B91F3E" w:rsidRPr="00F71634" w:rsidRDefault="00B91F3E" w:rsidP="00B91F3E">
      <w:pPr>
        <w:pStyle w:val="TableHeading"/>
      </w:pPr>
      <w:r>
        <w:rPr>
          <w:highlight w:val="yellow"/>
          <w:lang w:val="en-US"/>
        </w:rPr>
        <w:br w:type="page"/>
      </w:r>
      <w:r w:rsidRPr="00F71634">
        <w:lastRenderedPageBreak/>
        <w:t>Table 2.</w:t>
      </w:r>
      <w:r>
        <w:rPr>
          <w:lang w:val="en-GB"/>
        </w:rPr>
        <w:t>4</w:t>
      </w:r>
      <w:r w:rsidRPr="00F71634">
        <w:t xml:space="preserve">.3: Performance </w:t>
      </w:r>
      <w:r>
        <w:rPr>
          <w:lang w:val="en-AU"/>
        </w:rPr>
        <w:t>measure</w:t>
      </w:r>
      <w:r>
        <w:t xml:space="preserve"> for Outcome 4</w:t>
      </w:r>
    </w:p>
    <w:p w14:paraId="2C094E2D" w14:textId="77777777" w:rsidR="00B91F3E" w:rsidRDefault="00B91F3E" w:rsidP="00B91F3E">
      <w:pPr>
        <w:jc w:val="left"/>
      </w:pPr>
      <w:r w:rsidRPr="001B2F81">
        <w:t>Table 2.</w:t>
      </w:r>
      <w:r>
        <w:t>4</w:t>
      </w:r>
      <w:r w:rsidRPr="001B2F81">
        <w:t>.</w:t>
      </w:r>
      <w:r>
        <w:t>3</w:t>
      </w:r>
      <w:r w:rsidRPr="001B2F81">
        <w:t xml:space="preserve"> details the performance measures for each program associated with Outcome</w:t>
      </w:r>
      <w:r>
        <w:t> 4</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1B2F81" w14:paraId="13EF955A" w14:textId="77777777" w:rsidTr="00B208C2">
        <w:trPr>
          <w:trHeight w:val="569"/>
          <w:tblHeader/>
        </w:trPr>
        <w:tc>
          <w:tcPr>
            <w:tcW w:w="7655" w:type="dxa"/>
            <w:gridSpan w:val="3"/>
            <w:shd w:val="clear" w:color="auto" w:fill="F2F2F2"/>
          </w:tcPr>
          <w:p w14:paraId="0615F89F" w14:textId="77777777" w:rsidR="00B208C2" w:rsidRPr="00740BC4" w:rsidRDefault="00B208C2" w:rsidP="00B208C2">
            <w:pPr>
              <w:spacing w:before="60" w:after="60" w:line="240" w:lineRule="auto"/>
              <w:jc w:val="left"/>
              <w:rPr>
                <w:rFonts w:ascii="Arial" w:hAnsi="Arial" w:cs="Arial"/>
                <w:highlight w:val="yellow"/>
              </w:rPr>
            </w:pPr>
            <w:r w:rsidRPr="00740BC4">
              <w:rPr>
                <w:rFonts w:ascii="Arial" w:eastAsia="Calibri" w:hAnsi="Arial" w:cs="Arial"/>
                <w:b/>
                <w:lang w:eastAsia="en-US"/>
              </w:rPr>
              <w:t xml:space="preserve">Outcome 4 </w:t>
            </w:r>
            <w:r w:rsidRPr="00740BC4">
              <w:rPr>
                <w:rFonts w:ascii="Arial" w:eastAsia="Calibri" w:hAnsi="Arial" w:cs="Arial"/>
                <w:lang w:eastAsia="en-US"/>
              </w:rPr>
              <w:t>– Good governance and service delivery in the Australian territories including through the maintenance and improvement of the laws and services for non-self-governing territories, and the overarching legislative framework for self</w:t>
            </w:r>
            <w:r w:rsidRPr="00740BC4">
              <w:rPr>
                <w:rFonts w:ascii="Arial" w:eastAsia="Calibri" w:hAnsi="Arial" w:cs="Arial"/>
                <w:lang w:eastAsia="en-US"/>
              </w:rPr>
              <w:noBreakHyphen/>
              <w:t>governing territories</w:t>
            </w:r>
          </w:p>
        </w:tc>
      </w:tr>
      <w:tr w:rsidR="00B208C2" w:rsidRPr="001B2F81" w14:paraId="5630A506" w14:textId="77777777" w:rsidTr="00B208C2">
        <w:trPr>
          <w:trHeight w:val="522"/>
          <w:tblHeader/>
        </w:trPr>
        <w:tc>
          <w:tcPr>
            <w:tcW w:w="7655" w:type="dxa"/>
            <w:gridSpan w:val="3"/>
            <w:shd w:val="clear" w:color="auto" w:fill="F2F2F2"/>
          </w:tcPr>
          <w:p w14:paraId="694149E7" w14:textId="77777777" w:rsidR="00B208C2" w:rsidRPr="0027724F" w:rsidRDefault="00B208C2" w:rsidP="00B208C2">
            <w:pPr>
              <w:spacing w:before="60" w:after="0" w:line="240" w:lineRule="auto"/>
              <w:jc w:val="left"/>
              <w:rPr>
                <w:rFonts w:ascii="Arial" w:eastAsia="Calibri" w:hAnsi="Arial" w:cs="Arial"/>
                <w:sz w:val="18"/>
                <w:szCs w:val="18"/>
                <w:lang w:eastAsia="en-US"/>
              </w:rPr>
            </w:pPr>
            <w:bookmarkStart w:id="40" w:name="Territories4_1"/>
            <w:r w:rsidRPr="0027724F">
              <w:rPr>
                <w:rFonts w:ascii="Arial" w:eastAsia="Calibri" w:hAnsi="Arial" w:cs="Arial"/>
                <w:b/>
                <w:sz w:val="18"/>
                <w:szCs w:val="18"/>
                <w:lang w:eastAsia="en-US"/>
              </w:rPr>
              <w:t>Program 4.</w:t>
            </w:r>
            <w:r w:rsidRPr="00740BC4">
              <w:rPr>
                <w:rFonts w:ascii="Arial" w:eastAsia="Calibri" w:hAnsi="Arial" w:cs="Arial"/>
                <w:b/>
                <w:sz w:val="18"/>
                <w:szCs w:val="18"/>
                <w:lang w:eastAsia="en-US"/>
              </w:rPr>
              <w:t>1 – Services to Territories</w:t>
            </w:r>
            <w:bookmarkEnd w:id="40"/>
          </w:p>
          <w:p w14:paraId="08BD0334" w14:textId="77777777" w:rsidR="00B208C2" w:rsidRPr="005134E8" w:rsidRDefault="00B208C2" w:rsidP="00B208C2">
            <w:pPr>
              <w:pStyle w:val="TableTextLeft"/>
              <w:rPr>
                <w:highlight w:val="yellow"/>
              </w:rPr>
            </w:pPr>
            <w:r w:rsidRPr="0027724F">
              <w:rPr>
                <w:rFonts w:eastAsia="Calibri" w:cs="Arial"/>
                <w:szCs w:val="18"/>
                <w:lang w:eastAsia="en-US"/>
              </w:rPr>
              <w:t>The services to territories program provides good governance and service delivery in the Australian territories, including through the maintenance and improvement of the laws and services for non-self-governing territories, and the overarching legislative framework for self-governing territories.</w:t>
            </w:r>
          </w:p>
        </w:tc>
      </w:tr>
      <w:tr w:rsidR="00B208C2" w:rsidRPr="001B2F81" w14:paraId="5567E479" w14:textId="77777777" w:rsidTr="00B208C2">
        <w:trPr>
          <w:trHeight w:val="694"/>
        </w:trPr>
        <w:tc>
          <w:tcPr>
            <w:tcW w:w="1560" w:type="dxa"/>
            <w:tcBorders>
              <w:bottom w:val="double" w:sz="4" w:space="0" w:color="auto"/>
            </w:tcBorders>
          </w:tcPr>
          <w:p w14:paraId="2337CDCB" w14:textId="77777777" w:rsidR="00B208C2" w:rsidRPr="00160C23" w:rsidRDefault="00B208C2" w:rsidP="00B208C2">
            <w:pPr>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p>
        </w:tc>
        <w:tc>
          <w:tcPr>
            <w:tcW w:w="6095" w:type="dxa"/>
            <w:gridSpan w:val="2"/>
            <w:tcBorders>
              <w:bottom w:val="double" w:sz="4" w:space="0" w:color="auto"/>
            </w:tcBorders>
          </w:tcPr>
          <w:p w14:paraId="2EDEACD4" w14:textId="77777777" w:rsidR="00B208C2" w:rsidRPr="0027724F" w:rsidRDefault="00B208C2" w:rsidP="00B208C2">
            <w:pPr>
              <w:numPr>
                <w:ilvl w:val="0"/>
                <w:numId w:val="39"/>
              </w:numPr>
              <w:spacing w:before="60" w:after="60" w:line="240" w:lineRule="auto"/>
              <w:ind w:left="179" w:hanging="218"/>
              <w:jc w:val="left"/>
              <w:rPr>
                <w:rFonts w:ascii="Arial" w:hAnsi="Arial" w:cs="Arial"/>
                <w:sz w:val="16"/>
                <w:szCs w:val="16"/>
              </w:rPr>
            </w:pPr>
            <w:r w:rsidRPr="0027724F">
              <w:rPr>
                <w:rFonts w:ascii="Arial" w:hAnsi="Arial" w:cs="Arial"/>
                <w:sz w:val="16"/>
                <w:szCs w:val="16"/>
              </w:rPr>
              <w:t xml:space="preserve">Provide essential infrastructure and fund and deliver services to residents of Norfolk Island, Christmas Island, the Cocos (Keeling) Islands and the Jervis Bay </w:t>
            </w:r>
            <w:r w:rsidRPr="00740BC4">
              <w:rPr>
                <w:rFonts w:ascii="Arial" w:eastAsia="Calibri" w:hAnsi="Arial" w:cs="Arial"/>
                <w:sz w:val="16"/>
                <w:szCs w:val="16"/>
                <w:lang w:eastAsia="en-US"/>
              </w:rPr>
              <w:t>Territory</w:t>
            </w:r>
            <w:r w:rsidRPr="0027724F">
              <w:rPr>
                <w:rFonts w:ascii="Arial" w:hAnsi="Arial" w:cs="Arial"/>
                <w:sz w:val="16"/>
                <w:szCs w:val="16"/>
              </w:rPr>
              <w:t xml:space="preserve"> </w:t>
            </w:r>
          </w:p>
          <w:p w14:paraId="2F9910D1" w14:textId="77777777" w:rsidR="00B208C2" w:rsidRPr="0027724F" w:rsidRDefault="00B208C2" w:rsidP="00B208C2">
            <w:pPr>
              <w:numPr>
                <w:ilvl w:val="0"/>
                <w:numId w:val="39"/>
              </w:numPr>
              <w:spacing w:before="60" w:after="60" w:line="240" w:lineRule="auto"/>
              <w:ind w:left="179" w:hanging="218"/>
              <w:jc w:val="left"/>
              <w:rPr>
                <w:rFonts w:ascii="Arial" w:hAnsi="Arial" w:cs="Arial"/>
                <w:sz w:val="16"/>
                <w:szCs w:val="16"/>
              </w:rPr>
            </w:pPr>
            <w:r w:rsidRPr="00740BC4">
              <w:rPr>
                <w:rFonts w:ascii="Arial" w:eastAsia="Calibri" w:hAnsi="Arial" w:cs="Arial"/>
                <w:sz w:val="16"/>
                <w:szCs w:val="16"/>
                <w:lang w:eastAsia="en-US"/>
              </w:rPr>
              <w:t>Administer</w:t>
            </w:r>
            <w:r w:rsidRPr="0027724F">
              <w:rPr>
                <w:rFonts w:ascii="Arial" w:hAnsi="Arial" w:cs="Arial"/>
                <w:sz w:val="16"/>
                <w:szCs w:val="16"/>
              </w:rPr>
              <w:t xml:space="preserve"> the Ashmore and Cartier Islands and the Coral Sea Island Territories, and manage national interests in the ACT and NT</w:t>
            </w:r>
          </w:p>
          <w:p w14:paraId="1E26E690" w14:textId="77777777" w:rsidR="00B208C2" w:rsidRPr="0027724F" w:rsidRDefault="00B208C2" w:rsidP="00B208C2">
            <w:pPr>
              <w:numPr>
                <w:ilvl w:val="0"/>
                <w:numId w:val="39"/>
              </w:numPr>
              <w:spacing w:before="60" w:after="60" w:line="240" w:lineRule="auto"/>
              <w:ind w:left="179" w:hanging="218"/>
              <w:jc w:val="left"/>
              <w:rPr>
                <w:rFonts w:ascii="Arial" w:hAnsi="Arial" w:cs="Arial"/>
                <w:sz w:val="16"/>
                <w:szCs w:val="16"/>
              </w:rPr>
            </w:pPr>
            <w:r w:rsidRPr="0027724F">
              <w:rPr>
                <w:rFonts w:ascii="Arial" w:hAnsi="Arial" w:cs="Arial"/>
                <w:sz w:val="16"/>
                <w:szCs w:val="16"/>
              </w:rPr>
              <w:t xml:space="preserve">Improve the legislative frameworks in the Territories, to optimise governance </w:t>
            </w:r>
            <w:r w:rsidRPr="00740BC4">
              <w:rPr>
                <w:rFonts w:ascii="Arial" w:eastAsia="Calibri" w:hAnsi="Arial" w:cs="Arial"/>
                <w:sz w:val="16"/>
                <w:szCs w:val="16"/>
                <w:lang w:eastAsia="en-US"/>
              </w:rPr>
              <w:t>arrangements</w:t>
            </w:r>
            <w:r w:rsidRPr="0027724F">
              <w:rPr>
                <w:rFonts w:ascii="Arial" w:hAnsi="Arial" w:cs="Arial"/>
                <w:sz w:val="16"/>
                <w:szCs w:val="16"/>
              </w:rPr>
              <w:t xml:space="preserve"> and to support changes in the service delivery landscape</w:t>
            </w:r>
          </w:p>
        </w:tc>
      </w:tr>
      <w:tr w:rsidR="00B208C2" w:rsidRPr="001B2F81" w14:paraId="428302EF" w14:textId="77777777" w:rsidTr="00B208C2">
        <w:trPr>
          <w:trHeight w:val="258"/>
        </w:trPr>
        <w:tc>
          <w:tcPr>
            <w:tcW w:w="1560" w:type="dxa"/>
            <w:tcBorders>
              <w:top w:val="double" w:sz="4" w:space="0" w:color="auto"/>
              <w:bottom w:val="single" w:sz="4" w:space="0" w:color="auto"/>
              <w:right w:val="single" w:sz="4" w:space="0" w:color="auto"/>
            </w:tcBorders>
          </w:tcPr>
          <w:p w14:paraId="0DB4DEB6"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ED09D0B"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5425A049"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1B2F81" w14:paraId="4B1559CE" w14:textId="77777777" w:rsidTr="00B208C2">
        <w:trPr>
          <w:cantSplit/>
          <w:trHeight w:val="642"/>
        </w:trPr>
        <w:tc>
          <w:tcPr>
            <w:tcW w:w="1560" w:type="dxa"/>
            <w:tcBorders>
              <w:top w:val="single" w:sz="4" w:space="0" w:color="auto"/>
              <w:bottom w:val="nil"/>
              <w:right w:val="single" w:sz="4" w:space="0" w:color="auto"/>
            </w:tcBorders>
          </w:tcPr>
          <w:p w14:paraId="371472AD" w14:textId="77777777" w:rsidR="00B208C2" w:rsidRPr="00160C23" w:rsidRDefault="00B208C2" w:rsidP="00B208C2">
            <w:pPr>
              <w:pStyle w:val="TableTextBase"/>
              <w:rPr>
                <w:sz w:val="16"/>
                <w:szCs w:val="16"/>
              </w:rPr>
            </w:pPr>
            <w:r w:rsidRPr="00160C23">
              <w:rPr>
                <w:sz w:val="16"/>
                <w:szCs w:val="16"/>
              </w:rPr>
              <w:t xml:space="preserve">Current year </w:t>
            </w:r>
          </w:p>
          <w:p w14:paraId="2680273F" w14:textId="77777777" w:rsidR="00B208C2" w:rsidRPr="00160C23" w:rsidRDefault="00B208C2" w:rsidP="00B208C2">
            <w:pPr>
              <w:pStyle w:val="TableTextBase"/>
              <w:rPr>
                <w:sz w:val="16"/>
                <w:szCs w:val="16"/>
              </w:rPr>
            </w:pPr>
            <w:r>
              <w:rPr>
                <w:sz w:val="16"/>
                <w:szCs w:val="16"/>
              </w:rPr>
              <w:t>2021–</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1D6E71E8" w14:textId="77777777" w:rsidR="00B208C2" w:rsidRPr="005307EA" w:rsidRDefault="00B208C2" w:rsidP="00B208C2">
            <w:pPr>
              <w:pStyle w:val="TableTextBase"/>
              <w:rPr>
                <w:sz w:val="16"/>
                <w:szCs w:val="16"/>
              </w:rPr>
            </w:pPr>
            <w:r w:rsidRPr="00A46594">
              <w:rPr>
                <w:rFonts w:eastAsia="Calibri" w:cs="Arial"/>
                <w:sz w:val="16"/>
                <w:szCs w:val="16"/>
                <w:lang w:eastAsia="en-US"/>
              </w:rPr>
              <w:t>Commonwealth legal and governance frameworks in Australia’s territories are appropriate for the protection and wellbeing of the communities</w:t>
            </w:r>
          </w:p>
        </w:tc>
        <w:tc>
          <w:tcPr>
            <w:tcW w:w="2977" w:type="dxa"/>
            <w:tcBorders>
              <w:top w:val="single" w:sz="4" w:space="0" w:color="auto"/>
              <w:left w:val="single" w:sz="4" w:space="0" w:color="auto"/>
              <w:bottom w:val="single" w:sz="4" w:space="0" w:color="auto"/>
            </w:tcBorders>
          </w:tcPr>
          <w:p w14:paraId="311498D7"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Legal and governance frameworks are improved each financial year to be increasingly comparable to other Australian jurisdictions, with territory-specific modifications as necessary</w:t>
            </w:r>
          </w:p>
          <w:p w14:paraId="7E38357C"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Target met</w:t>
            </w:r>
          </w:p>
          <w:p w14:paraId="4D68DDE4" w14:textId="77777777" w:rsidR="00B208C2" w:rsidRPr="005307EA" w:rsidRDefault="00B208C2" w:rsidP="00B208C2">
            <w:pPr>
              <w:tabs>
                <w:tab w:val="left" w:pos="204"/>
                <w:tab w:val="left" w:pos="396"/>
              </w:tabs>
              <w:spacing w:after="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Legal and governance frameworks are in place, and are being modified where necessary</w:t>
            </w:r>
          </w:p>
        </w:tc>
      </w:tr>
      <w:tr w:rsidR="00B208C2" w:rsidRPr="001B2F81" w14:paraId="50FB26F7" w14:textId="77777777" w:rsidTr="00B208C2">
        <w:trPr>
          <w:cantSplit/>
          <w:trHeight w:val="642"/>
        </w:trPr>
        <w:tc>
          <w:tcPr>
            <w:tcW w:w="1560" w:type="dxa"/>
            <w:tcBorders>
              <w:top w:val="nil"/>
              <w:bottom w:val="single" w:sz="4" w:space="0" w:color="auto"/>
              <w:right w:val="single" w:sz="4" w:space="0" w:color="auto"/>
            </w:tcBorders>
          </w:tcPr>
          <w:p w14:paraId="0D2315D8"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609C96D" w14:textId="77777777" w:rsidR="00B208C2" w:rsidRPr="005307EA" w:rsidRDefault="00B208C2" w:rsidP="00B208C2">
            <w:pPr>
              <w:pStyle w:val="TableTextBase"/>
              <w:rPr>
                <w:sz w:val="16"/>
                <w:szCs w:val="16"/>
              </w:rPr>
            </w:pPr>
            <w:r w:rsidRPr="00A46594">
              <w:rPr>
                <w:rFonts w:eastAsia="Calibri" w:cs="Arial"/>
                <w:sz w:val="16"/>
                <w:szCs w:val="16"/>
                <w:lang w:eastAsia="en-US"/>
              </w:rPr>
              <w:t>Communities in the external territories and Jervis Bay Territory have comparable services and essential infrastructure to mainland Australia</w:t>
            </w:r>
          </w:p>
        </w:tc>
        <w:tc>
          <w:tcPr>
            <w:tcW w:w="2977" w:type="dxa"/>
            <w:tcBorders>
              <w:top w:val="single" w:sz="4" w:space="0" w:color="auto"/>
              <w:left w:val="single" w:sz="4" w:space="0" w:color="auto"/>
              <w:bottom w:val="single" w:sz="4" w:space="0" w:color="auto"/>
            </w:tcBorders>
          </w:tcPr>
          <w:p w14:paraId="108118CB"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 xml:space="preserve">Service delivery arrangements and contracts each financial year deliver comparable services and essential infrastructure to mainland Australia </w:t>
            </w:r>
          </w:p>
          <w:p w14:paraId="43A0CE15" w14:textId="77777777" w:rsidR="00B208C2" w:rsidRPr="00A46594" w:rsidRDefault="00B208C2" w:rsidP="00B208C2">
            <w:pPr>
              <w:spacing w:before="60" w:after="60" w:line="240" w:lineRule="auto"/>
              <w:jc w:val="left"/>
              <w:rPr>
                <w:rFonts w:ascii="Arial" w:eastAsia="Calibri" w:hAnsi="Arial" w:cs="Arial"/>
                <w:sz w:val="16"/>
                <w:szCs w:val="16"/>
                <w:lang w:eastAsia="en-US"/>
              </w:rPr>
            </w:pPr>
            <w:r w:rsidRPr="00A46594">
              <w:rPr>
                <w:rFonts w:ascii="Arial" w:eastAsia="Calibri" w:hAnsi="Arial" w:cs="Arial"/>
                <w:sz w:val="16"/>
                <w:szCs w:val="16"/>
                <w:lang w:eastAsia="en-US"/>
              </w:rPr>
              <w:t>Target met</w:t>
            </w:r>
          </w:p>
          <w:p w14:paraId="0B0EC729" w14:textId="77777777" w:rsidR="00B208C2" w:rsidRPr="005307EA" w:rsidRDefault="00B208C2" w:rsidP="00B208C2">
            <w:pPr>
              <w:pStyle w:val="TableTextBase"/>
              <w:rPr>
                <w:sz w:val="16"/>
                <w:szCs w:val="16"/>
              </w:rPr>
            </w:pPr>
            <w:r w:rsidRPr="00A46594">
              <w:rPr>
                <w:rFonts w:eastAsia="Calibri" w:cs="Arial"/>
                <w:sz w:val="16"/>
                <w:szCs w:val="16"/>
                <w:lang w:eastAsia="en-US"/>
              </w:rPr>
              <w:t>State-type services and essential infrastructure delivered</w:t>
            </w:r>
          </w:p>
        </w:tc>
      </w:tr>
    </w:tbl>
    <w:p w14:paraId="4B24E552" w14:textId="2863AAFA" w:rsidR="00B91F3E" w:rsidRPr="0069390B" w:rsidRDefault="00B91F3E" w:rsidP="00B91F3E">
      <w:pPr>
        <w:spacing w:before="60" w:after="0" w:line="240" w:lineRule="auto"/>
        <w:ind w:left="426" w:hanging="426"/>
        <w:rPr>
          <w:rFonts w:ascii="Arial" w:hAnsi="Arial" w:cs="Arial"/>
          <w:sz w:val="16"/>
          <w:szCs w:val="16"/>
        </w:rPr>
      </w:pPr>
      <w:r w:rsidRPr="0069390B">
        <w:rPr>
          <w:rFonts w:ascii="Arial" w:hAnsi="Arial" w:cs="Arial"/>
          <w:sz w:val="16"/>
          <w:szCs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208C2" w:rsidRPr="00160C23" w14:paraId="4F6F6CBC" w14:textId="77777777" w:rsidTr="00B208C2">
        <w:trPr>
          <w:trHeight w:val="258"/>
        </w:trPr>
        <w:tc>
          <w:tcPr>
            <w:tcW w:w="1560" w:type="dxa"/>
            <w:tcBorders>
              <w:top w:val="double" w:sz="4" w:space="0" w:color="auto"/>
              <w:bottom w:val="single" w:sz="4" w:space="0" w:color="auto"/>
              <w:right w:val="single" w:sz="4" w:space="0" w:color="auto"/>
            </w:tcBorders>
          </w:tcPr>
          <w:p w14:paraId="34353F6B" w14:textId="77777777" w:rsidR="00B208C2" w:rsidRPr="00160C23" w:rsidRDefault="00B208C2" w:rsidP="00B208C2">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79CEC735"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0CBD2635" w14:textId="77777777" w:rsidR="00B208C2" w:rsidRPr="00160C23" w:rsidRDefault="00B208C2" w:rsidP="00B208C2">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B208C2" w14:paraId="17A763D4" w14:textId="77777777" w:rsidTr="00B208C2">
        <w:trPr>
          <w:cantSplit/>
          <w:trHeight w:val="642"/>
        </w:trPr>
        <w:tc>
          <w:tcPr>
            <w:tcW w:w="1560" w:type="dxa"/>
            <w:tcBorders>
              <w:top w:val="single" w:sz="4" w:space="0" w:color="auto"/>
              <w:bottom w:val="nil"/>
              <w:right w:val="single" w:sz="4" w:space="0" w:color="auto"/>
            </w:tcBorders>
          </w:tcPr>
          <w:p w14:paraId="00AB4BF5" w14:textId="77777777" w:rsidR="00B208C2" w:rsidRPr="00BE08C4" w:rsidRDefault="00B208C2" w:rsidP="00B208C2">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468D9972" w14:textId="77777777" w:rsidR="00B208C2" w:rsidRPr="00160C23" w:rsidRDefault="00B208C2" w:rsidP="00B208C2">
            <w:pPr>
              <w:pStyle w:val="TableTextBase"/>
              <w:rPr>
                <w:sz w:val="16"/>
                <w:szCs w:val="16"/>
              </w:rPr>
            </w:pPr>
            <w:r>
              <w:rPr>
                <w:rFonts w:eastAsia="Calibri" w:cs="Arial"/>
                <w:sz w:val="16"/>
                <w:szCs w:val="16"/>
                <w:lang w:eastAsia="en-US"/>
              </w:rPr>
              <w:t>2022–23</w:t>
            </w:r>
          </w:p>
        </w:tc>
        <w:tc>
          <w:tcPr>
            <w:tcW w:w="3118" w:type="dxa"/>
            <w:tcBorders>
              <w:top w:val="single" w:sz="4" w:space="0" w:color="auto"/>
              <w:left w:val="single" w:sz="4" w:space="0" w:color="auto"/>
              <w:bottom w:val="single" w:sz="4" w:space="0" w:color="auto"/>
              <w:right w:val="single" w:sz="4" w:space="0" w:color="auto"/>
            </w:tcBorders>
          </w:tcPr>
          <w:p w14:paraId="41448108" w14:textId="77777777" w:rsidR="00B208C2" w:rsidRPr="00FD7475" w:rsidRDefault="00B208C2" w:rsidP="00B208C2">
            <w:pPr>
              <w:spacing w:before="60" w:after="60" w:line="240" w:lineRule="auto"/>
              <w:jc w:val="left"/>
              <w:rPr>
                <w:rFonts w:ascii="Arial" w:eastAsia="Calibri" w:hAnsi="Arial" w:cs="Arial"/>
                <w:i/>
                <w:sz w:val="16"/>
                <w:szCs w:val="16"/>
                <w:lang w:eastAsia="en-US"/>
              </w:rPr>
            </w:pPr>
            <w:r w:rsidRPr="00A46594">
              <w:rPr>
                <w:rFonts w:ascii="Arial" w:eastAsia="Calibri" w:hAnsi="Arial" w:cs="Arial"/>
                <w:sz w:val="16"/>
                <w:szCs w:val="16"/>
                <w:lang w:eastAsia="en-US"/>
              </w:rPr>
              <w:t>Commonwealth legal and governance frameworks in Australia’s territories are appropriate for the protection and wellbeing of the communities</w:t>
            </w:r>
          </w:p>
        </w:tc>
        <w:tc>
          <w:tcPr>
            <w:tcW w:w="2977" w:type="dxa"/>
            <w:tcBorders>
              <w:top w:val="single" w:sz="4" w:space="0" w:color="auto"/>
              <w:left w:val="single" w:sz="4" w:space="0" w:color="auto"/>
              <w:bottom w:val="single" w:sz="4" w:space="0" w:color="auto"/>
            </w:tcBorders>
          </w:tcPr>
          <w:p w14:paraId="7C16F44F" w14:textId="77777777" w:rsidR="00B208C2" w:rsidRDefault="00B208C2" w:rsidP="00B208C2">
            <w:pPr>
              <w:pStyle w:val="TableTextBase"/>
              <w:rPr>
                <w:rFonts w:eastAsia="Calibri" w:cs="Arial"/>
                <w:sz w:val="16"/>
                <w:szCs w:val="16"/>
                <w:lang w:eastAsia="en-US"/>
              </w:rPr>
            </w:pPr>
            <w:r w:rsidRPr="00A46594">
              <w:rPr>
                <w:rFonts w:eastAsia="Calibri" w:cs="Arial"/>
                <w:sz w:val="16"/>
                <w:szCs w:val="16"/>
                <w:lang w:eastAsia="en-US"/>
              </w:rPr>
              <w:t>Legal and governance frameworks are updated and improved in the financial year with territory-specific modifications as necessary</w:t>
            </w:r>
          </w:p>
        </w:tc>
      </w:tr>
      <w:tr w:rsidR="00B208C2" w14:paraId="54ABC8D7" w14:textId="77777777" w:rsidTr="00B208C2">
        <w:trPr>
          <w:cantSplit/>
          <w:trHeight w:val="642"/>
        </w:trPr>
        <w:tc>
          <w:tcPr>
            <w:tcW w:w="1560" w:type="dxa"/>
            <w:tcBorders>
              <w:top w:val="nil"/>
              <w:bottom w:val="single" w:sz="4" w:space="0" w:color="auto"/>
              <w:right w:val="single" w:sz="4" w:space="0" w:color="auto"/>
            </w:tcBorders>
          </w:tcPr>
          <w:p w14:paraId="0BAD6980"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6B510CB" w14:textId="77777777" w:rsidR="00B208C2" w:rsidRPr="005307EA" w:rsidRDefault="00B208C2" w:rsidP="00B208C2">
            <w:pPr>
              <w:pStyle w:val="TableTextBase"/>
              <w:rPr>
                <w:sz w:val="16"/>
                <w:szCs w:val="16"/>
              </w:rPr>
            </w:pPr>
            <w:r w:rsidRPr="00A46594">
              <w:rPr>
                <w:rFonts w:eastAsia="Calibri" w:cs="Arial"/>
                <w:sz w:val="16"/>
                <w:szCs w:val="16"/>
                <w:lang w:eastAsia="en-US"/>
              </w:rPr>
              <w:t>Communities in the external territories and Jervis Bay Territory have comparable services and essential infrastructure to mainland Australia</w:t>
            </w:r>
          </w:p>
        </w:tc>
        <w:tc>
          <w:tcPr>
            <w:tcW w:w="2977" w:type="dxa"/>
            <w:tcBorders>
              <w:top w:val="single" w:sz="4" w:space="0" w:color="auto"/>
              <w:left w:val="single" w:sz="4" w:space="0" w:color="auto"/>
              <w:bottom w:val="single" w:sz="4" w:space="0" w:color="auto"/>
            </w:tcBorders>
          </w:tcPr>
          <w:p w14:paraId="3B52058D" w14:textId="77777777" w:rsidR="00B208C2" w:rsidRDefault="00B208C2" w:rsidP="00B208C2">
            <w:pPr>
              <w:pStyle w:val="TableTextBase"/>
              <w:rPr>
                <w:rFonts w:eastAsia="Calibri" w:cs="Arial"/>
                <w:sz w:val="16"/>
                <w:szCs w:val="16"/>
                <w:lang w:eastAsia="en-US"/>
              </w:rPr>
            </w:pPr>
            <w:r w:rsidRPr="00A46594">
              <w:rPr>
                <w:rFonts w:eastAsia="Calibri" w:cs="Arial"/>
                <w:sz w:val="16"/>
                <w:szCs w:val="16"/>
                <w:lang w:eastAsia="en-US"/>
              </w:rPr>
              <w:t>Service delivery arrangements and contracts in financial year deliver services and essential infrastructure comparable to mainland Australia</w:t>
            </w:r>
          </w:p>
        </w:tc>
      </w:tr>
      <w:tr w:rsidR="00B208C2" w14:paraId="4CAC2AE5" w14:textId="77777777" w:rsidTr="00B208C2">
        <w:trPr>
          <w:cantSplit/>
          <w:trHeight w:val="642"/>
        </w:trPr>
        <w:tc>
          <w:tcPr>
            <w:tcW w:w="1560" w:type="dxa"/>
            <w:tcBorders>
              <w:top w:val="single" w:sz="4" w:space="0" w:color="auto"/>
              <w:bottom w:val="nil"/>
              <w:right w:val="single" w:sz="4" w:space="0" w:color="auto"/>
            </w:tcBorders>
          </w:tcPr>
          <w:p w14:paraId="5D44B90B" w14:textId="77777777" w:rsidR="00B208C2" w:rsidRPr="00160C23" w:rsidRDefault="00B208C2" w:rsidP="00B208C2">
            <w:pPr>
              <w:pStyle w:val="TableTextBase"/>
              <w:rPr>
                <w:sz w:val="16"/>
                <w:szCs w:val="16"/>
              </w:rPr>
            </w:pPr>
            <w:r>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307BCC24" w14:textId="77777777" w:rsidR="00B208C2" w:rsidRPr="00A46594" w:rsidRDefault="00B208C2" w:rsidP="00B208C2">
            <w:pPr>
              <w:pStyle w:val="TableTextBase"/>
              <w:rPr>
                <w:rFonts w:eastAsia="Calibri" w:cs="Arial"/>
                <w:sz w:val="16"/>
                <w:szCs w:val="16"/>
                <w:lang w:eastAsia="en-US"/>
              </w:rPr>
            </w:pPr>
            <w:r w:rsidRPr="00A46594">
              <w:rPr>
                <w:rFonts w:eastAsia="Calibri" w:cs="Arial"/>
                <w:sz w:val="16"/>
                <w:szCs w:val="16"/>
                <w:lang w:eastAsia="en-US"/>
              </w:rPr>
              <w:t>Commonwealth legal and governance frameworks in Australia’s territories are appropriate for the protection and wellbeing of the communities</w:t>
            </w:r>
          </w:p>
        </w:tc>
        <w:tc>
          <w:tcPr>
            <w:tcW w:w="2977" w:type="dxa"/>
            <w:tcBorders>
              <w:top w:val="single" w:sz="4" w:space="0" w:color="auto"/>
              <w:left w:val="single" w:sz="4" w:space="0" w:color="auto"/>
              <w:bottom w:val="single" w:sz="4" w:space="0" w:color="auto"/>
            </w:tcBorders>
          </w:tcPr>
          <w:p w14:paraId="18533F32" w14:textId="77777777" w:rsidR="00B208C2" w:rsidRPr="00847E54" w:rsidRDefault="00B208C2" w:rsidP="00B208C2">
            <w:pPr>
              <w:pStyle w:val="TableTextBase"/>
              <w:rPr>
                <w:rFonts w:eastAsia="Calibri" w:cs="Arial"/>
                <w:b/>
                <w:sz w:val="16"/>
                <w:szCs w:val="16"/>
                <w:lang w:eastAsia="en-US"/>
              </w:rPr>
            </w:pPr>
            <w:r w:rsidRPr="00A46594">
              <w:rPr>
                <w:rFonts w:eastAsia="Calibri" w:cs="Arial"/>
                <w:sz w:val="16"/>
                <w:szCs w:val="16"/>
                <w:lang w:eastAsia="en-US"/>
              </w:rPr>
              <w:t>Legal and governance frameworks are updated and improved in the financial year with territory-specific modifications as necessary</w:t>
            </w:r>
          </w:p>
        </w:tc>
      </w:tr>
      <w:tr w:rsidR="00B208C2" w14:paraId="6C39012E" w14:textId="77777777" w:rsidTr="00B208C2">
        <w:trPr>
          <w:cantSplit/>
          <w:trHeight w:val="642"/>
        </w:trPr>
        <w:tc>
          <w:tcPr>
            <w:tcW w:w="1560" w:type="dxa"/>
            <w:tcBorders>
              <w:top w:val="nil"/>
              <w:bottom w:val="single" w:sz="4" w:space="0" w:color="auto"/>
              <w:right w:val="single" w:sz="4" w:space="0" w:color="auto"/>
            </w:tcBorders>
          </w:tcPr>
          <w:p w14:paraId="03F662D8"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E3AAF2B" w14:textId="77777777" w:rsidR="00B208C2" w:rsidRPr="00A46594" w:rsidRDefault="00B208C2" w:rsidP="00B208C2">
            <w:pPr>
              <w:pStyle w:val="TableTextBase"/>
              <w:rPr>
                <w:rFonts w:eastAsia="Calibri" w:cs="Arial"/>
                <w:sz w:val="16"/>
                <w:szCs w:val="16"/>
                <w:lang w:eastAsia="en-US"/>
              </w:rPr>
            </w:pPr>
            <w:r w:rsidRPr="00A46594">
              <w:rPr>
                <w:rFonts w:eastAsia="Calibri" w:cs="Arial"/>
                <w:sz w:val="16"/>
                <w:szCs w:val="16"/>
                <w:lang w:eastAsia="en-US"/>
              </w:rPr>
              <w:t>Communities in the external territories and Jervis Bay Territory have comparable services and essential infrastructure to mainland Australia</w:t>
            </w:r>
          </w:p>
        </w:tc>
        <w:tc>
          <w:tcPr>
            <w:tcW w:w="2977" w:type="dxa"/>
            <w:tcBorders>
              <w:top w:val="single" w:sz="4" w:space="0" w:color="auto"/>
              <w:left w:val="single" w:sz="4" w:space="0" w:color="auto"/>
              <w:bottom w:val="single" w:sz="4" w:space="0" w:color="auto"/>
            </w:tcBorders>
          </w:tcPr>
          <w:p w14:paraId="4C5ECF06" w14:textId="77777777" w:rsidR="00B208C2" w:rsidRPr="00847E54" w:rsidRDefault="00B208C2" w:rsidP="00B208C2">
            <w:pPr>
              <w:pStyle w:val="TableTextBase"/>
              <w:rPr>
                <w:rFonts w:eastAsia="Calibri" w:cs="Arial"/>
                <w:b/>
                <w:sz w:val="16"/>
                <w:szCs w:val="16"/>
                <w:lang w:eastAsia="en-US"/>
              </w:rPr>
            </w:pPr>
            <w:r w:rsidRPr="00A46594">
              <w:rPr>
                <w:rFonts w:eastAsia="Calibri" w:cs="Arial"/>
                <w:sz w:val="16"/>
                <w:szCs w:val="16"/>
                <w:lang w:eastAsia="en-US"/>
              </w:rPr>
              <w:t>Service delivery arrangements and contracts in financial year deliver services and essential infrastructure comparable to mainland Australia</w:t>
            </w:r>
          </w:p>
        </w:tc>
      </w:tr>
    </w:tbl>
    <w:p w14:paraId="02E72F23" w14:textId="77777777" w:rsidR="00B91F3E" w:rsidRPr="00C000B8" w:rsidRDefault="00B91F3E" w:rsidP="00C000B8">
      <w:pPr>
        <w:pStyle w:val="Heading3-DITRDC"/>
      </w:pPr>
      <w:r w:rsidRPr="005B6A94">
        <w:br w:type="page"/>
      </w:r>
      <w:bookmarkStart w:id="41" w:name="_Toc99295952"/>
      <w:r w:rsidRPr="00C000B8">
        <w:lastRenderedPageBreak/>
        <w:t xml:space="preserve">2.5 </w:t>
      </w:r>
      <w:r w:rsidRPr="00C000B8">
        <w:tab/>
        <w:t>Budgeted expenses and performance for Outcome 5</w:t>
      </w:r>
      <w:bookmarkEnd w:id="4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B91F3E" w:rsidRPr="00FC696C" w14:paraId="215A135D" w14:textId="77777777" w:rsidTr="00F96D8A">
        <w:tc>
          <w:tcPr>
            <w:tcW w:w="8820" w:type="dxa"/>
            <w:shd w:val="clear" w:color="auto" w:fill="E6E6E6"/>
          </w:tcPr>
          <w:p w14:paraId="7A08094F" w14:textId="77777777" w:rsidR="00B91F3E" w:rsidRPr="00FC696C" w:rsidRDefault="00B91F3E" w:rsidP="00F96D8A">
            <w:pPr>
              <w:spacing w:before="60" w:after="60" w:line="240" w:lineRule="auto"/>
              <w:jc w:val="left"/>
              <w:rPr>
                <w:rFonts w:ascii="Arial" w:hAnsi="Arial"/>
                <w:b/>
              </w:rPr>
            </w:pPr>
            <w:r w:rsidRPr="00FC696C">
              <w:rPr>
                <w:rFonts w:ascii="Arial" w:hAnsi="Arial"/>
                <w:b/>
              </w:rPr>
              <w:t>Outcome 5: Promote an innovative and competitive communications sector, through policy development, advice and program delivery, so all Australians can realise the full potential of digital technologies and communications services</w:t>
            </w:r>
          </w:p>
        </w:tc>
      </w:tr>
    </w:tbl>
    <w:p w14:paraId="17A5A457" w14:textId="77777777" w:rsidR="00B91F3E" w:rsidRPr="005E6F2B" w:rsidRDefault="00B91F3E" w:rsidP="00B91F3E">
      <w:pPr>
        <w:pStyle w:val="NoSpacing"/>
      </w:pPr>
    </w:p>
    <w:p w14:paraId="489E5102" w14:textId="77777777" w:rsidR="00B91F3E" w:rsidRDefault="00B91F3E" w:rsidP="00B91F3E">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5"/>
      </w:tblGrid>
      <w:tr w:rsidR="00B91F3E" w:rsidRPr="0049250C" w14:paraId="35634D79" w14:textId="77777777" w:rsidTr="00F96D8A">
        <w:trPr>
          <w:trHeight w:val="113"/>
          <w:tblHeader/>
        </w:trPr>
        <w:tc>
          <w:tcPr>
            <w:tcW w:w="7565" w:type="dxa"/>
            <w:tcBorders>
              <w:bottom w:val="nil"/>
            </w:tcBorders>
          </w:tcPr>
          <w:p w14:paraId="7C96846D" w14:textId="77777777" w:rsidR="00B91F3E" w:rsidRPr="0049250C" w:rsidRDefault="00B91F3E" w:rsidP="00F96D8A">
            <w:pPr>
              <w:spacing w:before="60" w:after="60" w:line="240" w:lineRule="auto"/>
              <w:jc w:val="left"/>
              <w:rPr>
                <w:i/>
              </w:rPr>
            </w:pPr>
            <w:r w:rsidRPr="0049250C">
              <w:rPr>
                <w:b/>
              </w:rPr>
              <w:t>Australian Communications and Media Authority (ACMA)</w:t>
            </w:r>
          </w:p>
        </w:tc>
      </w:tr>
      <w:tr w:rsidR="00B91F3E" w:rsidRPr="0049250C" w14:paraId="50F594D5" w14:textId="77777777" w:rsidTr="00F96D8A">
        <w:trPr>
          <w:trHeight w:val="113"/>
        </w:trPr>
        <w:tc>
          <w:tcPr>
            <w:tcW w:w="7565" w:type="dxa"/>
            <w:tcBorders>
              <w:top w:val="nil"/>
              <w:bottom w:val="single" w:sz="4" w:space="0" w:color="auto"/>
            </w:tcBorders>
          </w:tcPr>
          <w:p w14:paraId="3D9FE8CF" w14:textId="77777777" w:rsidR="00B91F3E" w:rsidRPr="0049250C" w:rsidRDefault="00B91F3E" w:rsidP="00F96D8A">
            <w:pPr>
              <w:spacing w:before="60" w:after="60" w:line="240" w:lineRule="auto"/>
              <w:jc w:val="left"/>
              <w:rPr>
                <w:b/>
              </w:rPr>
            </w:pPr>
            <w:r w:rsidRPr="0049250C">
              <w:rPr>
                <w:b/>
              </w:rPr>
              <w:t>Programs</w:t>
            </w:r>
          </w:p>
          <w:p w14:paraId="3AB31C79" w14:textId="77777777" w:rsidR="00B91F3E" w:rsidRPr="0049250C" w:rsidRDefault="00B91F3E" w:rsidP="003926A3">
            <w:pPr>
              <w:numPr>
                <w:ilvl w:val="0"/>
                <w:numId w:val="8"/>
              </w:numPr>
              <w:spacing w:before="60" w:after="60" w:line="240" w:lineRule="auto"/>
              <w:ind w:left="714" w:hanging="357"/>
              <w:jc w:val="left"/>
            </w:pPr>
            <w:r w:rsidRPr="0049250C">
              <w:t>Program 1.1 – Communications regulation, planning and licensing</w:t>
            </w:r>
          </w:p>
          <w:p w14:paraId="04582E8B" w14:textId="77777777" w:rsidR="00B91F3E" w:rsidRPr="0049250C" w:rsidRDefault="00B91F3E" w:rsidP="003926A3">
            <w:pPr>
              <w:numPr>
                <w:ilvl w:val="0"/>
                <w:numId w:val="8"/>
              </w:numPr>
              <w:spacing w:before="60" w:after="60" w:line="240" w:lineRule="auto"/>
              <w:ind w:left="714" w:hanging="357"/>
              <w:jc w:val="left"/>
            </w:pPr>
            <w:r w:rsidRPr="0049250C">
              <w:t>Program 1.2 – Consumer safeguards, education and information</w:t>
            </w:r>
          </w:p>
          <w:p w14:paraId="45FE4324" w14:textId="77777777" w:rsidR="00B91F3E" w:rsidRPr="0049250C" w:rsidRDefault="00B91F3E" w:rsidP="00F96D8A">
            <w:pPr>
              <w:spacing w:before="60" w:after="60" w:line="240" w:lineRule="auto"/>
              <w:jc w:val="left"/>
              <w:rPr>
                <w:b/>
              </w:rPr>
            </w:pPr>
            <w:r w:rsidRPr="0049250C">
              <w:rPr>
                <w:b/>
              </w:rPr>
              <w:t xml:space="preserve">Contribution to Outcome </w:t>
            </w:r>
            <w:r w:rsidRPr="0049250C">
              <w:rPr>
                <w:b/>
                <w:lang w:val="en-US"/>
              </w:rPr>
              <w:t>5</w:t>
            </w:r>
            <w:r w:rsidRPr="0049250C">
              <w:rPr>
                <w:b/>
              </w:rPr>
              <w:t xml:space="preserve"> made by linked programs</w:t>
            </w:r>
          </w:p>
          <w:p w14:paraId="4662A235" w14:textId="77777777" w:rsidR="00B91F3E" w:rsidRPr="0049250C" w:rsidRDefault="00B91F3E" w:rsidP="00F96D8A">
            <w:pPr>
              <w:spacing w:before="60" w:after="60" w:line="240" w:lineRule="auto"/>
              <w:jc w:val="left"/>
            </w:pPr>
            <w:r w:rsidRPr="0049250C">
              <w:t xml:space="preserve">As the regulator of the media and communications sector, the ACMA is responsible for enforcing compliance with the Universal Service Obligation (USO) and emergency call services requirements under the </w:t>
            </w:r>
            <w:r w:rsidRPr="0049250C">
              <w:rPr>
                <w:i/>
              </w:rPr>
              <w:t>Telecommunications (Industry Levy) Act 2012</w:t>
            </w:r>
            <w:r w:rsidRPr="0049250C">
              <w:t xml:space="preserve">, recouping costs of the Consumer Representation Grants Program allocated to the Australian Communications Consumer Action Network (ACCAN) under section 593 of the </w:t>
            </w:r>
            <w:r w:rsidRPr="0049250C">
              <w:rPr>
                <w:i/>
              </w:rPr>
              <w:t>Telecommunications Act 1997</w:t>
            </w:r>
            <w:r w:rsidRPr="0049250C">
              <w:t xml:space="preserve"> and costs related to the management of Australia’s membership and engagement with the International Telecommunications Union (ITU), from licence carriers under the </w:t>
            </w:r>
            <w:r w:rsidRPr="0049250C">
              <w:rPr>
                <w:i/>
              </w:rPr>
              <w:t>Telecommunications (Carrier Licence Charges) Act 1997</w:t>
            </w:r>
            <w:r w:rsidRPr="0049250C">
              <w:t xml:space="preserve">. The ACMA is also responsible for administering the Regional Broadband Scheme under the </w:t>
            </w:r>
            <w:r w:rsidRPr="0049250C">
              <w:rPr>
                <w:i/>
              </w:rPr>
              <w:t>Telecommunications (Consumer Protection and Service Standards) Act 1999</w:t>
            </w:r>
            <w:r w:rsidRPr="0049250C">
              <w:t>.</w:t>
            </w:r>
          </w:p>
        </w:tc>
      </w:tr>
      <w:tr w:rsidR="00B91F3E" w:rsidRPr="0049250C" w14:paraId="6CCE2271" w14:textId="77777777" w:rsidTr="00F96D8A">
        <w:trPr>
          <w:trHeight w:val="113"/>
        </w:trPr>
        <w:tc>
          <w:tcPr>
            <w:tcW w:w="7565" w:type="dxa"/>
            <w:tcBorders>
              <w:bottom w:val="nil"/>
            </w:tcBorders>
          </w:tcPr>
          <w:p w14:paraId="785B9774" w14:textId="77777777" w:rsidR="00B91F3E" w:rsidRPr="0049250C" w:rsidRDefault="00B91F3E" w:rsidP="00F96D8A">
            <w:pPr>
              <w:spacing w:before="60" w:after="60" w:line="240" w:lineRule="auto"/>
              <w:jc w:val="left"/>
              <w:rPr>
                <w:i/>
              </w:rPr>
            </w:pPr>
            <w:r w:rsidRPr="0049250C">
              <w:rPr>
                <w:b/>
              </w:rPr>
              <w:t>The Treasury</w:t>
            </w:r>
          </w:p>
        </w:tc>
      </w:tr>
      <w:tr w:rsidR="00B91F3E" w:rsidRPr="0049250C" w14:paraId="291B2FF7" w14:textId="77777777" w:rsidTr="00F96D8A">
        <w:trPr>
          <w:trHeight w:val="113"/>
        </w:trPr>
        <w:tc>
          <w:tcPr>
            <w:tcW w:w="7565" w:type="dxa"/>
            <w:tcBorders>
              <w:top w:val="nil"/>
              <w:bottom w:val="single" w:sz="4" w:space="0" w:color="auto"/>
            </w:tcBorders>
          </w:tcPr>
          <w:p w14:paraId="45684D43" w14:textId="77777777" w:rsidR="00665295" w:rsidRPr="0049250C" w:rsidRDefault="00665295" w:rsidP="00665295">
            <w:pPr>
              <w:spacing w:before="60" w:after="60" w:line="240" w:lineRule="auto"/>
              <w:jc w:val="left"/>
              <w:rPr>
                <w:b/>
              </w:rPr>
            </w:pPr>
            <w:r w:rsidRPr="0049250C">
              <w:rPr>
                <w:b/>
              </w:rPr>
              <w:t>Programs</w:t>
            </w:r>
          </w:p>
          <w:p w14:paraId="3B0C3912" w14:textId="77777777" w:rsidR="00B91F3E" w:rsidRPr="00665295" w:rsidRDefault="00B91F3E" w:rsidP="00665295">
            <w:pPr>
              <w:numPr>
                <w:ilvl w:val="0"/>
                <w:numId w:val="8"/>
              </w:numPr>
              <w:spacing w:before="60" w:after="60" w:line="240" w:lineRule="auto"/>
              <w:ind w:left="714" w:hanging="357"/>
              <w:jc w:val="left"/>
            </w:pPr>
            <w:r w:rsidRPr="00665295">
              <w:t>Program 1.9 – National Partnership Payments to the States</w:t>
            </w:r>
          </w:p>
          <w:p w14:paraId="5EF6304B" w14:textId="77777777" w:rsidR="00B91F3E" w:rsidRPr="0049250C" w:rsidRDefault="00B91F3E" w:rsidP="00F96D8A">
            <w:pPr>
              <w:spacing w:before="60" w:after="60" w:line="240" w:lineRule="auto"/>
              <w:jc w:val="left"/>
              <w:rPr>
                <w:b/>
              </w:rPr>
            </w:pPr>
            <w:r w:rsidRPr="0049250C">
              <w:rPr>
                <w:b/>
              </w:rPr>
              <w:t xml:space="preserve">Contribution to Outcome </w:t>
            </w:r>
            <w:r w:rsidRPr="0049250C">
              <w:rPr>
                <w:b/>
                <w:lang w:val="en-US"/>
              </w:rPr>
              <w:t>5</w:t>
            </w:r>
            <w:r w:rsidRPr="0049250C">
              <w:rPr>
                <w:b/>
              </w:rPr>
              <w:t xml:space="preserve"> made by linked programs</w:t>
            </w:r>
          </w:p>
          <w:p w14:paraId="25A79566" w14:textId="77777777" w:rsidR="00B91F3E" w:rsidRPr="0049250C" w:rsidRDefault="00B91F3E" w:rsidP="00F96D8A">
            <w:pPr>
              <w:spacing w:before="60" w:after="60" w:line="240" w:lineRule="auto"/>
              <w:jc w:val="left"/>
            </w:pPr>
            <w:r w:rsidRPr="0049250C">
              <w:t>The Government will make a National Partnership Payment to the New South Wales Government to provide the Government’s program for WiFi and mobile coverage on the rail corridor between Sydney and the Central Coast.</w:t>
            </w:r>
          </w:p>
        </w:tc>
      </w:tr>
    </w:tbl>
    <w:p w14:paraId="130BDC44" w14:textId="77777777" w:rsidR="00B91F3E" w:rsidRPr="00302493" w:rsidRDefault="00B91F3E" w:rsidP="00B91F3E">
      <w:pPr>
        <w:pStyle w:val="Heading5"/>
        <w:rPr>
          <w:b/>
        </w:rPr>
      </w:pPr>
      <w:r w:rsidRPr="00302493">
        <w:rPr>
          <w:b/>
        </w:rPr>
        <w:br w:type="page"/>
      </w:r>
      <w:r w:rsidRPr="00302493">
        <w:rPr>
          <w:b/>
        </w:rPr>
        <w:lastRenderedPageBreak/>
        <w:t>Budgeted expenses for Outcome 5</w:t>
      </w:r>
    </w:p>
    <w:p w14:paraId="490DE5C2" w14:textId="718F97D2" w:rsidR="00B91F3E" w:rsidRDefault="00B91F3E" w:rsidP="00B91F3E">
      <w:pPr>
        <w:jc w:val="left"/>
      </w:pPr>
      <w:r w:rsidRPr="00950281">
        <w:t xml:space="preserve">This table shows how much the </w:t>
      </w:r>
      <w:r w:rsidR="003C4CC6">
        <w:t>Department</w:t>
      </w:r>
      <w:r w:rsidRPr="00950281">
        <w:t xml:space="preserve"> intends to spend (on an accrual basis) on achieving the outcome, broken down by program, as well as by </w:t>
      </w:r>
      <w:r w:rsidR="00665295">
        <w:t>a</w:t>
      </w:r>
      <w:r w:rsidRPr="00950281">
        <w:t>dministered an</w:t>
      </w:r>
      <w:r>
        <w:t xml:space="preserve">d </w:t>
      </w:r>
      <w:r w:rsidR="00665295">
        <w:t>d</w:t>
      </w:r>
      <w:r w:rsidR="003C4CC6">
        <w:t>epartment</w:t>
      </w:r>
      <w:r>
        <w:t>al funding sources.</w:t>
      </w:r>
    </w:p>
    <w:p w14:paraId="35342123" w14:textId="77777777" w:rsidR="00B91F3E" w:rsidRDefault="00B91F3E" w:rsidP="00B91F3E">
      <w:pPr>
        <w:spacing w:after="0"/>
        <w:rPr>
          <w:rFonts w:ascii="Arial" w:hAnsi="Arial" w:cs="Arial"/>
          <w:b/>
        </w:rPr>
      </w:pPr>
      <w:r w:rsidRPr="00302493">
        <w:rPr>
          <w:rFonts w:ascii="Arial" w:hAnsi="Arial" w:cs="Arial"/>
          <w:b/>
        </w:rPr>
        <w:t>Table 2.</w:t>
      </w:r>
      <w:r>
        <w:rPr>
          <w:rFonts w:ascii="Arial" w:hAnsi="Arial" w:cs="Arial"/>
          <w:b/>
        </w:rPr>
        <w:t>5</w:t>
      </w:r>
      <w:r w:rsidRPr="00302493">
        <w:rPr>
          <w:rFonts w:ascii="Arial" w:hAnsi="Arial" w:cs="Arial"/>
          <w:b/>
        </w:rPr>
        <w:t xml:space="preserve">.1: Budgeted expenses for Outcome </w:t>
      </w:r>
      <w:r>
        <w:rPr>
          <w:rFonts w:ascii="Arial" w:hAnsi="Arial" w:cs="Arial"/>
          <w:b/>
        </w:rPr>
        <w:t>5</w:t>
      </w:r>
    </w:p>
    <w:tbl>
      <w:tblPr>
        <w:tblW w:w="7719" w:type="dxa"/>
        <w:tblLook w:val="04A0" w:firstRow="1" w:lastRow="0" w:firstColumn="1" w:lastColumn="0" w:noHBand="0" w:noVBand="1"/>
      </w:tblPr>
      <w:tblGrid>
        <w:gridCol w:w="2835"/>
        <w:gridCol w:w="976"/>
        <w:gridCol w:w="977"/>
        <w:gridCol w:w="977"/>
        <w:gridCol w:w="977"/>
        <w:gridCol w:w="977"/>
      </w:tblGrid>
      <w:tr w:rsidR="00B91F3E" w:rsidRPr="00CB3E19" w14:paraId="20530391" w14:textId="77777777" w:rsidTr="00F96D8A">
        <w:trPr>
          <w:trHeight w:val="375"/>
        </w:trPr>
        <w:tc>
          <w:tcPr>
            <w:tcW w:w="2835" w:type="dxa"/>
            <w:tcBorders>
              <w:top w:val="single" w:sz="4" w:space="0" w:color="auto"/>
              <w:left w:val="nil"/>
              <w:bottom w:val="single" w:sz="4" w:space="0" w:color="auto"/>
              <w:right w:val="nil"/>
            </w:tcBorders>
            <w:shd w:val="clear" w:color="auto" w:fill="auto"/>
            <w:noWrap/>
            <w:vAlign w:val="bottom"/>
            <w:hideMark/>
          </w:tcPr>
          <w:p w14:paraId="2BE81781"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01DA76E6"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2021-22</w:t>
            </w:r>
            <w:r w:rsidRPr="00CB3E19">
              <w:rPr>
                <w:rFonts w:ascii="Arial" w:hAnsi="Arial" w:cs="Arial"/>
                <w:sz w:val="16"/>
                <w:szCs w:val="16"/>
              </w:rPr>
              <w:br/>
              <w:t>Estimated  actual</w:t>
            </w:r>
            <w:r w:rsidRPr="00CB3E1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bottom"/>
            <w:hideMark/>
          </w:tcPr>
          <w:p w14:paraId="35101086"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2022-23</w:t>
            </w:r>
            <w:r w:rsidRPr="00CB3E19">
              <w:rPr>
                <w:rFonts w:ascii="Arial" w:hAnsi="Arial" w:cs="Arial"/>
                <w:sz w:val="16"/>
                <w:szCs w:val="16"/>
              </w:rPr>
              <w:br/>
              <w:t xml:space="preserve"> Budget</w:t>
            </w:r>
            <w:r w:rsidRPr="00CB3E19">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4456BCA6"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2023-24</w:t>
            </w:r>
            <w:r w:rsidRPr="00CB3E19">
              <w:rPr>
                <w:rFonts w:ascii="Arial" w:hAnsi="Arial" w:cs="Arial"/>
                <w:sz w:val="16"/>
                <w:szCs w:val="16"/>
              </w:rPr>
              <w:br/>
              <w:t>Forward estimate</w:t>
            </w:r>
            <w:r w:rsidRPr="00CB3E1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4E900039"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2024-25</w:t>
            </w:r>
            <w:r w:rsidRPr="00CB3E19">
              <w:rPr>
                <w:rFonts w:ascii="Arial" w:hAnsi="Arial" w:cs="Arial"/>
                <w:sz w:val="16"/>
                <w:szCs w:val="16"/>
              </w:rPr>
              <w:br/>
              <w:t>Forward estimate</w:t>
            </w:r>
            <w:r w:rsidRPr="00CB3E1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05657555"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2025-26</w:t>
            </w:r>
            <w:r w:rsidRPr="00CB3E19">
              <w:rPr>
                <w:rFonts w:ascii="Arial" w:hAnsi="Arial" w:cs="Arial"/>
                <w:sz w:val="16"/>
                <w:szCs w:val="16"/>
              </w:rPr>
              <w:br/>
              <w:t>Forward estimate</w:t>
            </w:r>
            <w:r w:rsidRPr="00CB3E19">
              <w:rPr>
                <w:rFonts w:ascii="Arial" w:hAnsi="Arial" w:cs="Arial"/>
                <w:sz w:val="16"/>
                <w:szCs w:val="16"/>
              </w:rPr>
              <w:br/>
              <w:t>$'000</w:t>
            </w:r>
          </w:p>
        </w:tc>
      </w:tr>
      <w:tr w:rsidR="00020C9D" w:rsidRPr="00CB3E19" w14:paraId="13529C64" w14:textId="77777777" w:rsidTr="005F5D68">
        <w:trPr>
          <w:trHeight w:val="204"/>
        </w:trPr>
        <w:tc>
          <w:tcPr>
            <w:tcW w:w="7719" w:type="dxa"/>
            <w:gridSpan w:val="6"/>
            <w:tcBorders>
              <w:top w:val="single" w:sz="4" w:space="0" w:color="auto"/>
              <w:left w:val="nil"/>
              <w:bottom w:val="single" w:sz="4" w:space="0" w:color="auto"/>
              <w:right w:val="nil"/>
            </w:tcBorders>
            <w:shd w:val="clear" w:color="000000" w:fill="E6E6E6"/>
            <w:noWrap/>
            <w:vAlign w:val="bottom"/>
            <w:hideMark/>
          </w:tcPr>
          <w:p w14:paraId="0EB365BC" w14:textId="088C0F01" w:rsidR="00020C9D" w:rsidRPr="00CB3E19" w:rsidRDefault="00020C9D" w:rsidP="00020C9D">
            <w:pPr>
              <w:spacing w:after="0" w:line="240" w:lineRule="auto"/>
              <w:jc w:val="left"/>
              <w:rPr>
                <w:rFonts w:ascii="Arial" w:hAnsi="Arial" w:cs="Arial"/>
                <w:sz w:val="16"/>
                <w:szCs w:val="16"/>
              </w:rPr>
            </w:pPr>
            <w:r w:rsidRPr="00CB3E19">
              <w:rPr>
                <w:rFonts w:ascii="Arial" w:hAnsi="Arial" w:cs="Arial"/>
                <w:b/>
                <w:bCs/>
                <w:sz w:val="16"/>
                <w:szCs w:val="16"/>
              </w:rPr>
              <w:t>Program 5.1: Digital Technologies and Communications Services</w:t>
            </w:r>
            <w:r w:rsidRPr="00CB3E19">
              <w:rPr>
                <w:rFonts w:ascii="Arial" w:hAnsi="Arial" w:cs="Arial"/>
                <w:sz w:val="16"/>
                <w:szCs w:val="16"/>
              </w:rPr>
              <w:t> </w:t>
            </w:r>
          </w:p>
        </w:tc>
      </w:tr>
      <w:tr w:rsidR="00B91F3E" w:rsidRPr="00CB3E19" w14:paraId="75E0DABA" w14:textId="77777777" w:rsidTr="00F96D8A">
        <w:trPr>
          <w:trHeight w:val="204"/>
        </w:trPr>
        <w:tc>
          <w:tcPr>
            <w:tcW w:w="2835" w:type="dxa"/>
            <w:tcBorders>
              <w:top w:val="nil"/>
              <w:left w:val="nil"/>
              <w:bottom w:val="nil"/>
              <w:right w:val="nil"/>
            </w:tcBorders>
            <w:shd w:val="clear" w:color="auto" w:fill="auto"/>
            <w:noWrap/>
            <w:vAlign w:val="bottom"/>
            <w:hideMark/>
          </w:tcPr>
          <w:p w14:paraId="6346598E"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1CE68364" w14:textId="77777777" w:rsidR="00B91F3E" w:rsidRPr="00CB3E1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524B4EE5"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2E1E908B" w14:textId="77777777" w:rsidR="00B91F3E" w:rsidRPr="00CB3E1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59BE6CE" w14:textId="77777777" w:rsidR="00B91F3E" w:rsidRPr="00CB3E19"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28F26386" w14:textId="77777777" w:rsidR="00B91F3E" w:rsidRPr="00CB3E19" w:rsidRDefault="00B91F3E" w:rsidP="00F96D8A">
            <w:pPr>
              <w:spacing w:after="0" w:line="240" w:lineRule="auto"/>
              <w:jc w:val="right"/>
              <w:rPr>
                <w:rFonts w:ascii="Times New Roman" w:hAnsi="Times New Roman"/>
                <w:sz w:val="16"/>
                <w:szCs w:val="16"/>
              </w:rPr>
            </w:pPr>
          </w:p>
        </w:tc>
      </w:tr>
      <w:tr w:rsidR="00254303" w:rsidRPr="00CB3E19" w14:paraId="53B24D33" w14:textId="77777777" w:rsidTr="00F96D8A">
        <w:trPr>
          <w:trHeight w:val="204"/>
        </w:trPr>
        <w:tc>
          <w:tcPr>
            <w:tcW w:w="2835" w:type="dxa"/>
            <w:tcBorders>
              <w:top w:val="nil"/>
              <w:left w:val="nil"/>
              <w:bottom w:val="nil"/>
              <w:right w:val="nil"/>
            </w:tcBorders>
            <w:shd w:val="clear" w:color="auto" w:fill="auto"/>
            <w:vAlign w:val="bottom"/>
            <w:hideMark/>
          </w:tcPr>
          <w:p w14:paraId="4E34039C"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Ordinary Annual Services (Appropriation Act No. 1 and Bill No. 3)</w:t>
            </w:r>
          </w:p>
        </w:tc>
        <w:tc>
          <w:tcPr>
            <w:tcW w:w="976" w:type="dxa"/>
            <w:tcBorders>
              <w:top w:val="nil"/>
              <w:left w:val="nil"/>
              <w:bottom w:val="nil"/>
              <w:right w:val="nil"/>
            </w:tcBorders>
            <w:shd w:val="clear" w:color="auto" w:fill="auto"/>
            <w:noWrap/>
            <w:vAlign w:val="bottom"/>
            <w:hideMark/>
          </w:tcPr>
          <w:p w14:paraId="3C7B6332" w14:textId="32D3861E"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213,529 </w:t>
            </w:r>
          </w:p>
        </w:tc>
        <w:tc>
          <w:tcPr>
            <w:tcW w:w="977" w:type="dxa"/>
            <w:tcBorders>
              <w:top w:val="nil"/>
              <w:left w:val="nil"/>
              <w:bottom w:val="nil"/>
              <w:right w:val="nil"/>
            </w:tcBorders>
            <w:shd w:val="clear" w:color="000000" w:fill="E6E6E6"/>
            <w:noWrap/>
            <w:vAlign w:val="bottom"/>
            <w:hideMark/>
          </w:tcPr>
          <w:p w14:paraId="649941BD" w14:textId="0BED9BD9"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337,584 </w:t>
            </w:r>
          </w:p>
        </w:tc>
        <w:tc>
          <w:tcPr>
            <w:tcW w:w="977" w:type="dxa"/>
            <w:tcBorders>
              <w:top w:val="nil"/>
              <w:left w:val="nil"/>
              <w:bottom w:val="nil"/>
              <w:right w:val="nil"/>
            </w:tcBorders>
            <w:shd w:val="clear" w:color="auto" w:fill="auto"/>
            <w:noWrap/>
            <w:vAlign w:val="bottom"/>
            <w:hideMark/>
          </w:tcPr>
          <w:p w14:paraId="667BE1EC" w14:textId="218B5414"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241,805 </w:t>
            </w:r>
          </w:p>
        </w:tc>
        <w:tc>
          <w:tcPr>
            <w:tcW w:w="977" w:type="dxa"/>
            <w:tcBorders>
              <w:top w:val="nil"/>
              <w:left w:val="nil"/>
              <w:bottom w:val="nil"/>
              <w:right w:val="nil"/>
            </w:tcBorders>
            <w:shd w:val="clear" w:color="auto" w:fill="auto"/>
            <w:noWrap/>
            <w:vAlign w:val="bottom"/>
            <w:hideMark/>
          </w:tcPr>
          <w:p w14:paraId="39971B03" w14:textId="23A66937"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200,806 </w:t>
            </w:r>
          </w:p>
        </w:tc>
        <w:tc>
          <w:tcPr>
            <w:tcW w:w="977" w:type="dxa"/>
            <w:tcBorders>
              <w:top w:val="nil"/>
              <w:left w:val="nil"/>
              <w:bottom w:val="nil"/>
              <w:right w:val="nil"/>
            </w:tcBorders>
            <w:shd w:val="clear" w:color="auto" w:fill="auto"/>
            <w:noWrap/>
            <w:vAlign w:val="bottom"/>
            <w:hideMark/>
          </w:tcPr>
          <w:p w14:paraId="74F41ABA" w14:textId="401A3C3E"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206,285 </w:t>
            </w:r>
          </w:p>
        </w:tc>
      </w:tr>
      <w:tr w:rsidR="00254303" w:rsidRPr="00CB3E19" w14:paraId="787BF762" w14:textId="77777777" w:rsidTr="00F96D8A">
        <w:trPr>
          <w:trHeight w:val="204"/>
        </w:trPr>
        <w:tc>
          <w:tcPr>
            <w:tcW w:w="2835" w:type="dxa"/>
            <w:tcBorders>
              <w:top w:val="nil"/>
              <w:left w:val="nil"/>
              <w:bottom w:val="nil"/>
              <w:right w:val="nil"/>
            </w:tcBorders>
            <w:shd w:val="clear" w:color="auto" w:fill="auto"/>
            <w:noWrap/>
            <w:vAlign w:val="bottom"/>
            <w:hideMark/>
          </w:tcPr>
          <w:p w14:paraId="7A4892A3"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4D2E73BF" w14:textId="77777777" w:rsidR="00254303" w:rsidRPr="00CB3E19" w:rsidRDefault="00254303" w:rsidP="00254303">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0A1B3C09" w14:textId="4985E81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1DAC9FC" w14:textId="77777777" w:rsidR="00254303" w:rsidRPr="00CB3E19" w:rsidRDefault="00254303" w:rsidP="00254303">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183A289" w14:textId="77777777" w:rsidR="00254303" w:rsidRPr="00CB3E19" w:rsidRDefault="00254303" w:rsidP="00254303">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41FF4161" w14:textId="77777777" w:rsidR="00254303" w:rsidRPr="00CB3E19" w:rsidRDefault="00254303" w:rsidP="00254303">
            <w:pPr>
              <w:spacing w:after="0" w:line="240" w:lineRule="auto"/>
              <w:jc w:val="right"/>
              <w:rPr>
                <w:rFonts w:ascii="Times New Roman" w:hAnsi="Times New Roman"/>
                <w:sz w:val="16"/>
                <w:szCs w:val="16"/>
              </w:rPr>
            </w:pPr>
          </w:p>
        </w:tc>
      </w:tr>
      <w:tr w:rsidR="00254303" w:rsidRPr="00CB3E19" w14:paraId="526D262F" w14:textId="77777777" w:rsidTr="00F96D8A">
        <w:trPr>
          <w:trHeight w:val="204"/>
        </w:trPr>
        <w:tc>
          <w:tcPr>
            <w:tcW w:w="2835" w:type="dxa"/>
            <w:tcBorders>
              <w:top w:val="nil"/>
              <w:left w:val="nil"/>
              <w:bottom w:val="nil"/>
              <w:right w:val="nil"/>
            </w:tcBorders>
            <w:shd w:val="clear" w:color="auto" w:fill="auto"/>
            <w:vAlign w:val="bottom"/>
            <w:hideMark/>
          </w:tcPr>
          <w:p w14:paraId="46CE5FF0" w14:textId="77777777" w:rsidR="00254303" w:rsidRPr="00CB3E19" w:rsidRDefault="00254303" w:rsidP="00254303">
            <w:pPr>
              <w:spacing w:after="0" w:line="240" w:lineRule="auto"/>
              <w:ind w:left="227"/>
              <w:jc w:val="left"/>
              <w:rPr>
                <w:rFonts w:ascii="Arial" w:hAnsi="Arial" w:cs="Arial"/>
                <w:sz w:val="16"/>
                <w:szCs w:val="16"/>
              </w:rPr>
            </w:pPr>
            <w:r w:rsidRPr="00CB3E19">
              <w:rPr>
                <w:rFonts w:ascii="Arial" w:hAnsi="Arial" w:cs="Arial"/>
                <w:sz w:val="16"/>
                <w:szCs w:val="16"/>
              </w:rPr>
              <w:t>Public Interest Telecommunications Services Special Account</w:t>
            </w:r>
          </w:p>
        </w:tc>
        <w:tc>
          <w:tcPr>
            <w:tcW w:w="976" w:type="dxa"/>
            <w:tcBorders>
              <w:top w:val="nil"/>
              <w:left w:val="nil"/>
              <w:bottom w:val="nil"/>
              <w:right w:val="nil"/>
            </w:tcBorders>
            <w:shd w:val="clear" w:color="auto" w:fill="auto"/>
            <w:noWrap/>
            <w:vAlign w:val="bottom"/>
            <w:hideMark/>
          </w:tcPr>
          <w:p w14:paraId="76436568" w14:textId="77777777" w:rsidR="00254303" w:rsidRPr="00CB3E19" w:rsidRDefault="00254303" w:rsidP="00254303">
            <w:pPr>
              <w:spacing w:after="0" w:line="240" w:lineRule="auto"/>
              <w:ind w:firstLineChars="200" w:firstLine="32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12964437" w14:textId="3126BFA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29C3A828" w14:textId="77777777" w:rsidR="00254303" w:rsidRPr="00CB3E19" w:rsidRDefault="00254303" w:rsidP="00254303">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216C685" w14:textId="77777777" w:rsidR="00254303" w:rsidRPr="00CB3E19" w:rsidRDefault="00254303" w:rsidP="00254303">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4ECABACD" w14:textId="77777777" w:rsidR="00254303" w:rsidRPr="00CB3E19" w:rsidRDefault="00254303" w:rsidP="00254303">
            <w:pPr>
              <w:spacing w:after="0" w:line="240" w:lineRule="auto"/>
              <w:jc w:val="right"/>
              <w:rPr>
                <w:rFonts w:ascii="Times New Roman" w:hAnsi="Times New Roman"/>
                <w:sz w:val="16"/>
                <w:szCs w:val="16"/>
              </w:rPr>
            </w:pPr>
          </w:p>
        </w:tc>
      </w:tr>
      <w:tr w:rsidR="00254303" w:rsidRPr="00CB3E19" w14:paraId="17A0BB0C" w14:textId="77777777" w:rsidTr="00F96D8A">
        <w:trPr>
          <w:trHeight w:val="204"/>
        </w:trPr>
        <w:tc>
          <w:tcPr>
            <w:tcW w:w="2835" w:type="dxa"/>
            <w:tcBorders>
              <w:top w:val="nil"/>
              <w:left w:val="nil"/>
              <w:bottom w:val="nil"/>
              <w:right w:val="nil"/>
            </w:tcBorders>
            <w:shd w:val="clear" w:color="auto" w:fill="auto"/>
            <w:vAlign w:val="bottom"/>
            <w:hideMark/>
          </w:tcPr>
          <w:p w14:paraId="405EBF80" w14:textId="77777777" w:rsidR="00254303" w:rsidRPr="00CB3E19" w:rsidRDefault="00254303" w:rsidP="00254303">
            <w:pPr>
              <w:spacing w:after="0" w:line="240" w:lineRule="auto"/>
              <w:ind w:left="340"/>
              <w:jc w:val="left"/>
              <w:rPr>
                <w:rFonts w:ascii="Arial" w:hAnsi="Arial" w:cs="Arial"/>
                <w:sz w:val="16"/>
                <w:szCs w:val="16"/>
              </w:rPr>
            </w:pPr>
            <w:r w:rsidRPr="00CB3E19">
              <w:rPr>
                <w:rFonts w:ascii="Arial" w:hAnsi="Arial" w:cs="Arial"/>
                <w:sz w:val="16"/>
                <w:szCs w:val="16"/>
              </w:rPr>
              <w:t>National Relay Service</w:t>
            </w:r>
          </w:p>
        </w:tc>
        <w:tc>
          <w:tcPr>
            <w:tcW w:w="976" w:type="dxa"/>
            <w:tcBorders>
              <w:top w:val="nil"/>
              <w:left w:val="nil"/>
              <w:bottom w:val="nil"/>
              <w:right w:val="nil"/>
            </w:tcBorders>
            <w:shd w:val="clear" w:color="auto" w:fill="auto"/>
            <w:noWrap/>
            <w:vAlign w:val="bottom"/>
            <w:hideMark/>
          </w:tcPr>
          <w:p w14:paraId="0DE576F5" w14:textId="77701F1C"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000000" w:fill="E6E6E6"/>
            <w:noWrap/>
            <w:vAlign w:val="bottom"/>
            <w:hideMark/>
          </w:tcPr>
          <w:p w14:paraId="3711463C" w14:textId="2B250778"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2CC02C3D" w14:textId="7823B462"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636DDBBA" w14:textId="0829E550"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089357EC" w14:textId="50BECAD4"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20,000 </w:t>
            </w:r>
          </w:p>
        </w:tc>
      </w:tr>
      <w:tr w:rsidR="00254303" w:rsidRPr="00CB3E19" w14:paraId="2E62B6B0" w14:textId="77777777" w:rsidTr="00F96D8A">
        <w:trPr>
          <w:trHeight w:val="204"/>
        </w:trPr>
        <w:tc>
          <w:tcPr>
            <w:tcW w:w="2835" w:type="dxa"/>
            <w:tcBorders>
              <w:top w:val="nil"/>
              <w:left w:val="nil"/>
              <w:bottom w:val="nil"/>
              <w:right w:val="nil"/>
            </w:tcBorders>
            <w:shd w:val="clear" w:color="auto" w:fill="auto"/>
            <w:vAlign w:val="bottom"/>
            <w:hideMark/>
          </w:tcPr>
          <w:p w14:paraId="0C348BB0" w14:textId="77777777" w:rsidR="00254303" w:rsidRPr="00CB3E19" w:rsidRDefault="00254303" w:rsidP="00254303">
            <w:pPr>
              <w:spacing w:after="0" w:line="240" w:lineRule="auto"/>
              <w:ind w:left="340"/>
              <w:jc w:val="left"/>
              <w:rPr>
                <w:rFonts w:ascii="Arial" w:hAnsi="Arial" w:cs="Arial"/>
                <w:sz w:val="16"/>
                <w:szCs w:val="16"/>
              </w:rPr>
            </w:pPr>
            <w:r w:rsidRPr="00CB3E19">
              <w:rPr>
                <w:rFonts w:ascii="Arial" w:hAnsi="Arial" w:cs="Arial"/>
                <w:sz w:val="16"/>
                <w:szCs w:val="16"/>
              </w:rPr>
              <w:t>Universal Service Obligation</w:t>
            </w:r>
          </w:p>
        </w:tc>
        <w:tc>
          <w:tcPr>
            <w:tcW w:w="976" w:type="dxa"/>
            <w:tcBorders>
              <w:top w:val="nil"/>
              <w:left w:val="nil"/>
              <w:bottom w:val="nil"/>
              <w:right w:val="nil"/>
            </w:tcBorders>
            <w:shd w:val="clear" w:color="auto" w:fill="auto"/>
            <w:noWrap/>
            <w:vAlign w:val="bottom"/>
            <w:hideMark/>
          </w:tcPr>
          <w:p w14:paraId="56DF879F" w14:textId="1118FF7C"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000000" w:fill="E6E6E6"/>
            <w:noWrap/>
            <w:vAlign w:val="bottom"/>
            <w:hideMark/>
          </w:tcPr>
          <w:p w14:paraId="5862D0CD" w14:textId="3B566DC2"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61F133D8" w14:textId="6A852809"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7D5ECA78" w14:textId="57554B03"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388A581A" w14:textId="67144199"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270,000 </w:t>
            </w:r>
          </w:p>
        </w:tc>
      </w:tr>
      <w:tr w:rsidR="00254303" w:rsidRPr="00CB3E19" w14:paraId="1B9B5603" w14:textId="77777777" w:rsidTr="00F96D8A">
        <w:trPr>
          <w:trHeight w:val="204"/>
        </w:trPr>
        <w:tc>
          <w:tcPr>
            <w:tcW w:w="2835" w:type="dxa"/>
            <w:tcBorders>
              <w:top w:val="nil"/>
              <w:left w:val="nil"/>
              <w:bottom w:val="nil"/>
              <w:right w:val="nil"/>
            </w:tcBorders>
            <w:shd w:val="clear" w:color="auto" w:fill="auto"/>
            <w:vAlign w:val="bottom"/>
            <w:hideMark/>
          </w:tcPr>
          <w:p w14:paraId="1C073E3A" w14:textId="77777777" w:rsidR="00254303" w:rsidRPr="00CB3E19" w:rsidRDefault="00254303" w:rsidP="00254303">
            <w:pPr>
              <w:spacing w:after="0" w:line="240" w:lineRule="auto"/>
              <w:ind w:left="340"/>
              <w:jc w:val="left"/>
              <w:rPr>
                <w:rFonts w:ascii="Arial" w:hAnsi="Arial" w:cs="Arial"/>
                <w:sz w:val="16"/>
                <w:szCs w:val="16"/>
              </w:rPr>
            </w:pPr>
            <w:r w:rsidRPr="00CB3E19">
              <w:rPr>
                <w:rFonts w:ascii="Arial" w:hAnsi="Arial" w:cs="Arial"/>
                <w:sz w:val="16"/>
                <w:szCs w:val="16"/>
              </w:rPr>
              <w:t>Other Public Interest Services</w:t>
            </w:r>
          </w:p>
        </w:tc>
        <w:tc>
          <w:tcPr>
            <w:tcW w:w="976" w:type="dxa"/>
            <w:tcBorders>
              <w:top w:val="nil"/>
              <w:left w:val="nil"/>
              <w:bottom w:val="nil"/>
              <w:right w:val="nil"/>
            </w:tcBorders>
            <w:shd w:val="clear" w:color="auto" w:fill="auto"/>
            <w:noWrap/>
            <w:vAlign w:val="bottom"/>
            <w:hideMark/>
          </w:tcPr>
          <w:p w14:paraId="5CEB0B10" w14:textId="2A9B3D1D"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51,215 </w:t>
            </w:r>
          </w:p>
        </w:tc>
        <w:tc>
          <w:tcPr>
            <w:tcW w:w="977" w:type="dxa"/>
            <w:tcBorders>
              <w:top w:val="nil"/>
              <w:left w:val="nil"/>
              <w:bottom w:val="nil"/>
              <w:right w:val="nil"/>
            </w:tcBorders>
            <w:shd w:val="clear" w:color="000000" w:fill="E6E6E6"/>
            <w:noWrap/>
            <w:vAlign w:val="bottom"/>
            <w:hideMark/>
          </w:tcPr>
          <w:p w14:paraId="40145667" w14:textId="0C3A3706"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39,064 </w:t>
            </w:r>
          </w:p>
        </w:tc>
        <w:tc>
          <w:tcPr>
            <w:tcW w:w="977" w:type="dxa"/>
            <w:tcBorders>
              <w:top w:val="nil"/>
              <w:left w:val="nil"/>
              <w:bottom w:val="nil"/>
              <w:right w:val="nil"/>
            </w:tcBorders>
            <w:shd w:val="clear" w:color="auto" w:fill="auto"/>
            <w:noWrap/>
            <w:vAlign w:val="bottom"/>
            <w:hideMark/>
          </w:tcPr>
          <w:p w14:paraId="67439557" w14:textId="0FA153C7"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22,250 </w:t>
            </w:r>
          </w:p>
        </w:tc>
        <w:tc>
          <w:tcPr>
            <w:tcW w:w="977" w:type="dxa"/>
            <w:tcBorders>
              <w:top w:val="nil"/>
              <w:left w:val="nil"/>
              <w:bottom w:val="nil"/>
              <w:right w:val="nil"/>
            </w:tcBorders>
            <w:shd w:val="clear" w:color="auto" w:fill="auto"/>
            <w:noWrap/>
            <w:vAlign w:val="bottom"/>
            <w:hideMark/>
          </w:tcPr>
          <w:p w14:paraId="26C52856" w14:textId="1743081E"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22,250 </w:t>
            </w:r>
          </w:p>
        </w:tc>
        <w:tc>
          <w:tcPr>
            <w:tcW w:w="977" w:type="dxa"/>
            <w:tcBorders>
              <w:top w:val="nil"/>
              <w:left w:val="nil"/>
              <w:bottom w:val="nil"/>
              <w:right w:val="nil"/>
            </w:tcBorders>
            <w:shd w:val="clear" w:color="auto" w:fill="auto"/>
            <w:noWrap/>
            <w:vAlign w:val="bottom"/>
            <w:hideMark/>
          </w:tcPr>
          <w:p w14:paraId="74A93D23" w14:textId="3A9F74E3"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22,250 </w:t>
            </w:r>
          </w:p>
        </w:tc>
      </w:tr>
      <w:tr w:rsidR="00254303" w:rsidRPr="00CB3E19" w14:paraId="17A1A7EF" w14:textId="77777777" w:rsidTr="00F96D8A">
        <w:trPr>
          <w:trHeight w:val="204"/>
        </w:trPr>
        <w:tc>
          <w:tcPr>
            <w:tcW w:w="2835" w:type="dxa"/>
            <w:tcBorders>
              <w:top w:val="nil"/>
              <w:left w:val="nil"/>
              <w:bottom w:val="nil"/>
              <w:right w:val="nil"/>
            </w:tcBorders>
            <w:shd w:val="clear" w:color="auto" w:fill="auto"/>
            <w:vAlign w:val="bottom"/>
            <w:hideMark/>
          </w:tcPr>
          <w:p w14:paraId="313F72F4" w14:textId="2B2D9CEB"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Payments to corporate entities</w:t>
            </w:r>
            <w:r>
              <w:rPr>
                <w:rFonts w:ascii="Arial" w:hAnsi="Arial" w:cs="Arial"/>
                <w:sz w:val="16"/>
                <w:szCs w:val="16"/>
              </w:rPr>
              <w:t> </w:t>
            </w:r>
            <w:r>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6A29C784" w14:textId="3A6818CD"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1,380,118 </w:t>
            </w:r>
          </w:p>
        </w:tc>
        <w:tc>
          <w:tcPr>
            <w:tcW w:w="977" w:type="dxa"/>
            <w:tcBorders>
              <w:top w:val="nil"/>
              <w:left w:val="nil"/>
              <w:bottom w:val="nil"/>
              <w:right w:val="nil"/>
            </w:tcBorders>
            <w:shd w:val="clear" w:color="auto" w:fill="E6E6E6"/>
            <w:noWrap/>
            <w:vAlign w:val="bottom"/>
            <w:hideMark/>
          </w:tcPr>
          <w:p w14:paraId="5FD7FABA" w14:textId="100B853A"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1,394,538 </w:t>
            </w:r>
          </w:p>
        </w:tc>
        <w:tc>
          <w:tcPr>
            <w:tcW w:w="977" w:type="dxa"/>
            <w:tcBorders>
              <w:top w:val="nil"/>
              <w:left w:val="nil"/>
              <w:bottom w:val="nil"/>
              <w:right w:val="nil"/>
            </w:tcBorders>
            <w:shd w:val="clear" w:color="auto" w:fill="auto"/>
            <w:noWrap/>
            <w:vAlign w:val="bottom"/>
            <w:hideMark/>
          </w:tcPr>
          <w:p w14:paraId="7BBAA15C" w14:textId="76711135"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1,422,514 </w:t>
            </w:r>
          </w:p>
        </w:tc>
        <w:tc>
          <w:tcPr>
            <w:tcW w:w="977" w:type="dxa"/>
            <w:tcBorders>
              <w:top w:val="nil"/>
              <w:left w:val="nil"/>
              <w:bottom w:val="nil"/>
              <w:right w:val="nil"/>
            </w:tcBorders>
            <w:shd w:val="clear" w:color="auto" w:fill="auto"/>
            <w:noWrap/>
            <w:vAlign w:val="bottom"/>
            <w:hideMark/>
          </w:tcPr>
          <w:p w14:paraId="41CD46ED" w14:textId="31BCC3BE"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1,437,471 </w:t>
            </w:r>
          </w:p>
        </w:tc>
        <w:tc>
          <w:tcPr>
            <w:tcW w:w="977" w:type="dxa"/>
            <w:tcBorders>
              <w:top w:val="nil"/>
              <w:left w:val="nil"/>
              <w:bottom w:val="nil"/>
              <w:right w:val="nil"/>
            </w:tcBorders>
            <w:shd w:val="clear" w:color="auto" w:fill="auto"/>
            <w:noWrap/>
            <w:vAlign w:val="bottom"/>
            <w:hideMark/>
          </w:tcPr>
          <w:p w14:paraId="7B26B95A" w14:textId="7ED4141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1,447,169 </w:t>
            </w:r>
          </w:p>
        </w:tc>
      </w:tr>
      <w:tr w:rsidR="00254303" w:rsidRPr="00CB3E19" w14:paraId="701E68CE" w14:textId="77777777" w:rsidTr="00F96D8A">
        <w:trPr>
          <w:trHeight w:val="204"/>
        </w:trPr>
        <w:tc>
          <w:tcPr>
            <w:tcW w:w="2835" w:type="dxa"/>
            <w:tcBorders>
              <w:top w:val="nil"/>
              <w:left w:val="nil"/>
              <w:right w:val="nil"/>
            </w:tcBorders>
            <w:shd w:val="clear" w:color="auto" w:fill="auto"/>
            <w:vAlign w:val="bottom"/>
            <w:hideMark/>
          </w:tcPr>
          <w:p w14:paraId="2FB44794" w14:textId="77777777" w:rsidR="00254303" w:rsidRPr="00CB3E19" w:rsidRDefault="00254303" w:rsidP="00254303">
            <w:pPr>
              <w:spacing w:after="0" w:line="240" w:lineRule="auto"/>
              <w:ind w:left="113"/>
              <w:jc w:val="left"/>
              <w:outlineLvl w:val="0"/>
              <w:rPr>
                <w:rFonts w:ascii="Arial" w:hAnsi="Arial" w:cs="Arial"/>
                <w:sz w:val="16"/>
                <w:szCs w:val="16"/>
              </w:rPr>
            </w:pPr>
            <w:r w:rsidRPr="00CB3E19">
              <w:rPr>
                <w:rFonts w:ascii="Arial" w:hAnsi="Arial" w:cs="Arial"/>
                <w:sz w:val="16"/>
                <w:szCs w:val="16"/>
              </w:rPr>
              <w:t>Expenses not requiring a</w:t>
            </w:r>
            <w:r>
              <w:rPr>
                <w:rFonts w:ascii="Arial" w:hAnsi="Arial" w:cs="Arial"/>
                <w:sz w:val="16"/>
                <w:szCs w:val="16"/>
              </w:rPr>
              <w:t>ppropriation in the Budget year </w:t>
            </w:r>
            <w:r w:rsidRPr="005800E2">
              <w:rPr>
                <w:rFonts w:ascii="Arial" w:hAnsi="Arial" w:cs="Arial"/>
                <w:sz w:val="16"/>
                <w:szCs w:val="16"/>
                <w:vertAlign w:val="superscript"/>
              </w:rPr>
              <w:t>(b)</w:t>
            </w:r>
          </w:p>
        </w:tc>
        <w:tc>
          <w:tcPr>
            <w:tcW w:w="976" w:type="dxa"/>
            <w:tcBorders>
              <w:top w:val="nil"/>
              <w:left w:val="nil"/>
              <w:bottom w:val="nil"/>
              <w:right w:val="nil"/>
            </w:tcBorders>
            <w:shd w:val="clear" w:color="auto" w:fill="auto"/>
            <w:noWrap/>
            <w:vAlign w:val="bottom"/>
            <w:hideMark/>
          </w:tcPr>
          <w:p w14:paraId="322AC4BE" w14:textId="2198340D" w:rsidR="00254303" w:rsidRPr="00CB3E19" w:rsidRDefault="00254303" w:rsidP="00254303">
            <w:pPr>
              <w:spacing w:after="0" w:line="240" w:lineRule="auto"/>
              <w:jc w:val="right"/>
              <w:outlineLvl w:val="0"/>
              <w:rPr>
                <w:rFonts w:ascii="Arial" w:hAnsi="Arial" w:cs="Arial"/>
                <w:sz w:val="16"/>
                <w:szCs w:val="16"/>
              </w:rPr>
            </w:pPr>
            <w:r>
              <w:rPr>
                <w:rFonts w:ascii="Arial" w:hAnsi="Arial" w:cs="Arial"/>
                <w:sz w:val="16"/>
                <w:szCs w:val="16"/>
              </w:rPr>
              <w:t xml:space="preserve">1,250,840 </w:t>
            </w:r>
          </w:p>
        </w:tc>
        <w:tc>
          <w:tcPr>
            <w:tcW w:w="977" w:type="dxa"/>
            <w:tcBorders>
              <w:top w:val="nil"/>
              <w:left w:val="nil"/>
              <w:bottom w:val="nil"/>
              <w:right w:val="nil"/>
            </w:tcBorders>
            <w:shd w:val="clear" w:color="000000" w:fill="E6E6E6"/>
            <w:noWrap/>
            <w:vAlign w:val="bottom"/>
            <w:hideMark/>
          </w:tcPr>
          <w:p w14:paraId="2DCA8DE8" w14:textId="2B480627" w:rsidR="00254303" w:rsidRPr="00CB3E19" w:rsidRDefault="00254303" w:rsidP="00254303">
            <w:pPr>
              <w:spacing w:after="0" w:line="240" w:lineRule="auto"/>
              <w:jc w:val="right"/>
              <w:outlineLvl w:val="0"/>
              <w:rPr>
                <w:rFonts w:ascii="Arial" w:hAnsi="Arial" w:cs="Arial"/>
                <w:sz w:val="16"/>
                <w:szCs w:val="16"/>
              </w:rPr>
            </w:pPr>
            <w:r>
              <w:rPr>
                <w:rFonts w:ascii="Arial" w:hAnsi="Arial" w:cs="Arial"/>
                <w:sz w:val="16"/>
                <w:szCs w:val="16"/>
              </w:rPr>
              <w:t xml:space="preserve">824,944 </w:t>
            </w:r>
          </w:p>
        </w:tc>
        <w:tc>
          <w:tcPr>
            <w:tcW w:w="977" w:type="dxa"/>
            <w:tcBorders>
              <w:top w:val="nil"/>
              <w:left w:val="nil"/>
              <w:bottom w:val="nil"/>
              <w:right w:val="nil"/>
            </w:tcBorders>
            <w:shd w:val="clear" w:color="auto" w:fill="auto"/>
            <w:noWrap/>
            <w:vAlign w:val="bottom"/>
            <w:hideMark/>
          </w:tcPr>
          <w:p w14:paraId="4EB2D1CD" w14:textId="55E30511" w:rsidR="00254303" w:rsidRPr="00CB3E19" w:rsidRDefault="00254303" w:rsidP="00254303">
            <w:pPr>
              <w:spacing w:after="0" w:line="240" w:lineRule="auto"/>
              <w:jc w:val="right"/>
              <w:outlineLvl w:val="0"/>
              <w:rPr>
                <w:rFonts w:ascii="Arial" w:hAnsi="Arial" w:cs="Arial"/>
                <w:sz w:val="16"/>
                <w:szCs w:val="16"/>
              </w:rPr>
            </w:pPr>
            <w:r>
              <w:rPr>
                <w:rFonts w:ascii="Arial" w:hAnsi="Arial" w:cs="Arial"/>
                <w:sz w:val="16"/>
                <w:szCs w:val="16"/>
              </w:rPr>
              <w:t xml:space="preserve">777,867 </w:t>
            </w:r>
          </w:p>
        </w:tc>
        <w:tc>
          <w:tcPr>
            <w:tcW w:w="977" w:type="dxa"/>
            <w:tcBorders>
              <w:top w:val="nil"/>
              <w:left w:val="nil"/>
              <w:bottom w:val="nil"/>
              <w:right w:val="nil"/>
            </w:tcBorders>
            <w:shd w:val="clear" w:color="auto" w:fill="auto"/>
            <w:noWrap/>
            <w:vAlign w:val="bottom"/>
            <w:hideMark/>
          </w:tcPr>
          <w:p w14:paraId="3D277B1E" w14:textId="7E577F02" w:rsidR="00254303" w:rsidRPr="00CB3E19" w:rsidRDefault="00254303" w:rsidP="00254303">
            <w:pPr>
              <w:spacing w:after="0" w:line="240" w:lineRule="auto"/>
              <w:jc w:val="right"/>
              <w:outlineLvl w:val="0"/>
              <w:rPr>
                <w:rFonts w:ascii="Arial" w:hAnsi="Arial" w:cs="Arial"/>
                <w:sz w:val="16"/>
                <w:szCs w:val="16"/>
              </w:rPr>
            </w:pPr>
            <w:r>
              <w:rPr>
                <w:rFonts w:ascii="Arial" w:hAnsi="Arial" w:cs="Arial"/>
                <w:sz w:val="16"/>
                <w:szCs w:val="16"/>
              </w:rPr>
              <w:t xml:space="preserve">807,794 </w:t>
            </w:r>
          </w:p>
        </w:tc>
        <w:tc>
          <w:tcPr>
            <w:tcW w:w="977" w:type="dxa"/>
            <w:tcBorders>
              <w:top w:val="nil"/>
              <w:left w:val="nil"/>
              <w:bottom w:val="nil"/>
              <w:right w:val="nil"/>
            </w:tcBorders>
            <w:shd w:val="clear" w:color="auto" w:fill="auto"/>
            <w:noWrap/>
            <w:vAlign w:val="bottom"/>
            <w:hideMark/>
          </w:tcPr>
          <w:p w14:paraId="2EAAF8FA" w14:textId="7538B55E" w:rsidR="00254303" w:rsidRPr="00CB3E19" w:rsidRDefault="00254303" w:rsidP="00254303">
            <w:pPr>
              <w:spacing w:after="0" w:line="240" w:lineRule="auto"/>
              <w:jc w:val="right"/>
              <w:outlineLvl w:val="0"/>
              <w:rPr>
                <w:rFonts w:ascii="Arial" w:hAnsi="Arial" w:cs="Arial"/>
                <w:sz w:val="16"/>
                <w:szCs w:val="16"/>
              </w:rPr>
            </w:pPr>
            <w:r>
              <w:rPr>
                <w:rFonts w:ascii="Arial" w:hAnsi="Arial" w:cs="Arial"/>
                <w:sz w:val="16"/>
                <w:szCs w:val="16"/>
              </w:rPr>
              <w:t xml:space="preserve">863,019 </w:t>
            </w:r>
          </w:p>
        </w:tc>
      </w:tr>
      <w:tr w:rsidR="00254303" w:rsidRPr="00CB3E19" w14:paraId="58A0AE01"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59A7ACCE" w14:textId="77777777" w:rsidR="00254303" w:rsidRPr="00CB3E19" w:rsidRDefault="00254303" w:rsidP="00254303">
            <w:pPr>
              <w:spacing w:after="0" w:line="240" w:lineRule="auto"/>
              <w:jc w:val="left"/>
              <w:outlineLvl w:val="0"/>
              <w:rPr>
                <w:rFonts w:ascii="Arial" w:hAnsi="Arial" w:cs="Arial"/>
                <w:b/>
                <w:bCs/>
                <w:sz w:val="16"/>
                <w:szCs w:val="16"/>
              </w:rPr>
            </w:pPr>
            <w:r w:rsidRPr="00CB3E19">
              <w:rPr>
                <w:rFonts w:ascii="Arial" w:hAnsi="Arial" w:cs="Arial"/>
                <w:b/>
                <w:bCs/>
                <w:sz w:val="16"/>
                <w:szCs w:val="16"/>
              </w:rPr>
              <w:t>Total expenses for Program 5.1</w:t>
            </w:r>
          </w:p>
        </w:tc>
        <w:tc>
          <w:tcPr>
            <w:tcW w:w="976" w:type="dxa"/>
            <w:tcBorders>
              <w:top w:val="single" w:sz="4" w:space="0" w:color="auto"/>
              <w:left w:val="nil"/>
              <w:bottom w:val="single" w:sz="4" w:space="0" w:color="auto"/>
              <w:right w:val="nil"/>
            </w:tcBorders>
            <w:shd w:val="clear" w:color="auto" w:fill="auto"/>
            <w:noWrap/>
            <w:vAlign w:val="bottom"/>
            <w:hideMark/>
          </w:tcPr>
          <w:p w14:paraId="109D525A" w14:textId="68D2C6AB" w:rsidR="00254303" w:rsidRPr="00CB3E19" w:rsidRDefault="00254303" w:rsidP="00254303">
            <w:pPr>
              <w:spacing w:after="0" w:line="240" w:lineRule="auto"/>
              <w:jc w:val="right"/>
              <w:outlineLvl w:val="0"/>
              <w:rPr>
                <w:rFonts w:ascii="Arial" w:hAnsi="Arial" w:cs="Arial"/>
                <w:b/>
                <w:bCs/>
                <w:sz w:val="16"/>
                <w:szCs w:val="16"/>
              </w:rPr>
            </w:pPr>
            <w:r>
              <w:rPr>
                <w:rFonts w:ascii="Arial" w:hAnsi="Arial" w:cs="Arial"/>
                <w:b/>
                <w:bCs/>
                <w:sz w:val="16"/>
                <w:szCs w:val="16"/>
              </w:rPr>
              <w:t xml:space="preserve">3,185,702 </w:t>
            </w:r>
          </w:p>
        </w:tc>
        <w:tc>
          <w:tcPr>
            <w:tcW w:w="977" w:type="dxa"/>
            <w:tcBorders>
              <w:top w:val="single" w:sz="4" w:space="0" w:color="auto"/>
              <w:left w:val="nil"/>
              <w:bottom w:val="single" w:sz="4" w:space="0" w:color="auto"/>
              <w:right w:val="nil"/>
            </w:tcBorders>
            <w:shd w:val="clear" w:color="000000" w:fill="E6E6E6"/>
            <w:noWrap/>
            <w:vAlign w:val="bottom"/>
            <w:hideMark/>
          </w:tcPr>
          <w:p w14:paraId="7E6CEF4E" w14:textId="545F5C6C" w:rsidR="00254303" w:rsidRPr="00CB3E19" w:rsidRDefault="00254303" w:rsidP="00254303">
            <w:pPr>
              <w:spacing w:after="0" w:line="240" w:lineRule="auto"/>
              <w:jc w:val="right"/>
              <w:outlineLvl w:val="0"/>
              <w:rPr>
                <w:rFonts w:ascii="Arial" w:hAnsi="Arial" w:cs="Arial"/>
                <w:b/>
                <w:bCs/>
                <w:sz w:val="16"/>
                <w:szCs w:val="16"/>
              </w:rPr>
            </w:pPr>
            <w:r>
              <w:rPr>
                <w:rFonts w:ascii="Arial" w:hAnsi="Arial" w:cs="Arial"/>
                <w:b/>
                <w:bCs/>
                <w:sz w:val="16"/>
                <w:szCs w:val="16"/>
              </w:rPr>
              <w:t xml:space="preserve">2,886,130 </w:t>
            </w:r>
          </w:p>
        </w:tc>
        <w:tc>
          <w:tcPr>
            <w:tcW w:w="977" w:type="dxa"/>
            <w:tcBorders>
              <w:top w:val="single" w:sz="4" w:space="0" w:color="auto"/>
              <w:left w:val="nil"/>
              <w:bottom w:val="single" w:sz="4" w:space="0" w:color="auto"/>
              <w:right w:val="nil"/>
            </w:tcBorders>
            <w:shd w:val="clear" w:color="auto" w:fill="auto"/>
            <w:noWrap/>
            <w:vAlign w:val="bottom"/>
            <w:hideMark/>
          </w:tcPr>
          <w:p w14:paraId="34256E69" w14:textId="0FFC11B6" w:rsidR="00254303" w:rsidRPr="00CB3E19" w:rsidRDefault="00254303" w:rsidP="00254303">
            <w:pPr>
              <w:spacing w:after="0" w:line="240" w:lineRule="auto"/>
              <w:jc w:val="right"/>
              <w:outlineLvl w:val="0"/>
              <w:rPr>
                <w:rFonts w:ascii="Arial" w:hAnsi="Arial" w:cs="Arial"/>
                <w:b/>
                <w:bCs/>
                <w:sz w:val="16"/>
                <w:szCs w:val="16"/>
              </w:rPr>
            </w:pPr>
            <w:r>
              <w:rPr>
                <w:rFonts w:ascii="Arial" w:hAnsi="Arial" w:cs="Arial"/>
                <w:b/>
                <w:bCs/>
                <w:sz w:val="16"/>
                <w:szCs w:val="16"/>
              </w:rPr>
              <w:t xml:space="preserve">2,754,436 </w:t>
            </w:r>
          </w:p>
        </w:tc>
        <w:tc>
          <w:tcPr>
            <w:tcW w:w="977" w:type="dxa"/>
            <w:tcBorders>
              <w:top w:val="single" w:sz="4" w:space="0" w:color="auto"/>
              <w:left w:val="nil"/>
              <w:bottom w:val="single" w:sz="4" w:space="0" w:color="auto"/>
              <w:right w:val="nil"/>
            </w:tcBorders>
            <w:shd w:val="clear" w:color="auto" w:fill="auto"/>
            <w:noWrap/>
            <w:vAlign w:val="bottom"/>
            <w:hideMark/>
          </w:tcPr>
          <w:p w14:paraId="1B097B5A" w14:textId="3EFB0586" w:rsidR="00254303" w:rsidRPr="00CB3E19" w:rsidRDefault="00254303" w:rsidP="00254303">
            <w:pPr>
              <w:spacing w:after="0" w:line="240" w:lineRule="auto"/>
              <w:jc w:val="right"/>
              <w:outlineLvl w:val="0"/>
              <w:rPr>
                <w:rFonts w:ascii="Arial" w:hAnsi="Arial" w:cs="Arial"/>
                <w:b/>
                <w:bCs/>
                <w:sz w:val="16"/>
                <w:szCs w:val="16"/>
              </w:rPr>
            </w:pPr>
            <w:r>
              <w:rPr>
                <w:rFonts w:ascii="Arial" w:hAnsi="Arial" w:cs="Arial"/>
                <w:b/>
                <w:bCs/>
                <w:sz w:val="16"/>
                <w:szCs w:val="16"/>
              </w:rPr>
              <w:t xml:space="preserve">2,758,321 </w:t>
            </w:r>
          </w:p>
        </w:tc>
        <w:tc>
          <w:tcPr>
            <w:tcW w:w="977" w:type="dxa"/>
            <w:tcBorders>
              <w:top w:val="single" w:sz="4" w:space="0" w:color="auto"/>
              <w:left w:val="nil"/>
              <w:bottom w:val="single" w:sz="4" w:space="0" w:color="auto"/>
              <w:right w:val="nil"/>
            </w:tcBorders>
            <w:shd w:val="clear" w:color="auto" w:fill="auto"/>
            <w:noWrap/>
            <w:vAlign w:val="bottom"/>
            <w:hideMark/>
          </w:tcPr>
          <w:p w14:paraId="55CDF0EE" w14:textId="5BC590E2" w:rsidR="00254303" w:rsidRPr="00CB3E19" w:rsidRDefault="00254303" w:rsidP="00254303">
            <w:pPr>
              <w:spacing w:after="0" w:line="240" w:lineRule="auto"/>
              <w:jc w:val="right"/>
              <w:outlineLvl w:val="0"/>
              <w:rPr>
                <w:rFonts w:ascii="Arial" w:hAnsi="Arial" w:cs="Arial"/>
                <w:b/>
                <w:bCs/>
                <w:sz w:val="16"/>
                <w:szCs w:val="16"/>
              </w:rPr>
            </w:pPr>
            <w:r>
              <w:rPr>
                <w:rFonts w:ascii="Arial" w:hAnsi="Arial" w:cs="Arial"/>
                <w:b/>
                <w:bCs/>
                <w:sz w:val="16"/>
                <w:szCs w:val="16"/>
              </w:rPr>
              <w:t xml:space="preserve">2,828,723 </w:t>
            </w:r>
          </w:p>
        </w:tc>
      </w:tr>
      <w:tr w:rsidR="00B91F3E" w:rsidRPr="00CB3E19" w14:paraId="0B3526CB" w14:textId="77777777" w:rsidTr="00F96D8A">
        <w:trPr>
          <w:trHeight w:val="204"/>
        </w:trPr>
        <w:tc>
          <w:tcPr>
            <w:tcW w:w="3811" w:type="dxa"/>
            <w:gridSpan w:val="2"/>
            <w:tcBorders>
              <w:top w:val="single" w:sz="4" w:space="0" w:color="auto"/>
              <w:left w:val="nil"/>
              <w:bottom w:val="single" w:sz="4" w:space="0" w:color="auto"/>
              <w:right w:val="nil"/>
            </w:tcBorders>
            <w:shd w:val="clear" w:color="000000" w:fill="E6E6E6"/>
            <w:noWrap/>
            <w:vAlign w:val="bottom"/>
            <w:hideMark/>
          </w:tcPr>
          <w:p w14:paraId="27404A82"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b/>
                <w:bCs/>
                <w:sz w:val="16"/>
                <w:szCs w:val="16"/>
              </w:rPr>
              <w:t>Program 5.2 Program Support for Outcome 5</w:t>
            </w:r>
            <w:r w:rsidRPr="00CB3E19">
              <w:rPr>
                <w:rFonts w:ascii="Arial" w:hAnsi="Arial" w:cs="Arial"/>
                <w:sz w:val="16"/>
                <w:szCs w:val="16"/>
              </w:rPr>
              <w:t> </w:t>
            </w:r>
          </w:p>
        </w:tc>
        <w:tc>
          <w:tcPr>
            <w:tcW w:w="977" w:type="dxa"/>
            <w:tcBorders>
              <w:top w:val="nil"/>
              <w:left w:val="nil"/>
              <w:bottom w:val="single" w:sz="4" w:space="0" w:color="auto"/>
              <w:right w:val="nil"/>
            </w:tcBorders>
            <w:shd w:val="clear" w:color="000000" w:fill="E6E6E6"/>
            <w:noWrap/>
            <w:hideMark/>
          </w:tcPr>
          <w:p w14:paraId="68773783"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w:t>
            </w:r>
          </w:p>
        </w:tc>
        <w:tc>
          <w:tcPr>
            <w:tcW w:w="977" w:type="dxa"/>
            <w:tcBorders>
              <w:top w:val="nil"/>
              <w:left w:val="nil"/>
              <w:bottom w:val="single" w:sz="4" w:space="0" w:color="auto"/>
              <w:right w:val="nil"/>
            </w:tcBorders>
            <w:shd w:val="clear" w:color="000000" w:fill="E6E6E6"/>
            <w:noWrap/>
            <w:hideMark/>
          </w:tcPr>
          <w:p w14:paraId="40999812"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w:t>
            </w:r>
          </w:p>
        </w:tc>
        <w:tc>
          <w:tcPr>
            <w:tcW w:w="977" w:type="dxa"/>
            <w:tcBorders>
              <w:top w:val="nil"/>
              <w:left w:val="nil"/>
              <w:bottom w:val="single" w:sz="4" w:space="0" w:color="auto"/>
              <w:right w:val="nil"/>
            </w:tcBorders>
            <w:shd w:val="clear" w:color="000000" w:fill="E6E6E6"/>
            <w:noWrap/>
            <w:hideMark/>
          </w:tcPr>
          <w:p w14:paraId="5F6BD190"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w:t>
            </w:r>
          </w:p>
        </w:tc>
        <w:tc>
          <w:tcPr>
            <w:tcW w:w="977" w:type="dxa"/>
            <w:tcBorders>
              <w:top w:val="nil"/>
              <w:left w:val="nil"/>
              <w:bottom w:val="single" w:sz="4" w:space="0" w:color="auto"/>
              <w:right w:val="nil"/>
            </w:tcBorders>
            <w:shd w:val="clear" w:color="000000" w:fill="E6E6E6"/>
            <w:noWrap/>
            <w:hideMark/>
          </w:tcPr>
          <w:p w14:paraId="46537826"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w:t>
            </w:r>
          </w:p>
        </w:tc>
      </w:tr>
      <w:tr w:rsidR="00B91F3E" w:rsidRPr="00CB3E19" w14:paraId="3B5E63B6" w14:textId="77777777" w:rsidTr="000B0083">
        <w:trPr>
          <w:trHeight w:val="204"/>
        </w:trPr>
        <w:tc>
          <w:tcPr>
            <w:tcW w:w="2835" w:type="dxa"/>
            <w:tcBorders>
              <w:top w:val="nil"/>
              <w:left w:val="nil"/>
              <w:bottom w:val="nil"/>
              <w:right w:val="nil"/>
            </w:tcBorders>
            <w:shd w:val="clear" w:color="auto" w:fill="auto"/>
            <w:noWrap/>
            <w:vAlign w:val="bottom"/>
            <w:hideMark/>
          </w:tcPr>
          <w:p w14:paraId="111DFD2F" w14:textId="4F87FCD0" w:rsidR="00B91F3E" w:rsidRPr="00CB3E19" w:rsidRDefault="003C4CC6" w:rsidP="00F96D8A">
            <w:pPr>
              <w:spacing w:after="0" w:line="240" w:lineRule="auto"/>
              <w:jc w:val="left"/>
              <w:rPr>
                <w:rFonts w:ascii="Arial" w:hAnsi="Arial" w:cs="Arial"/>
                <w:sz w:val="16"/>
                <w:szCs w:val="16"/>
              </w:rPr>
            </w:pPr>
            <w:r>
              <w:rPr>
                <w:rFonts w:ascii="Arial" w:hAnsi="Arial" w:cs="Arial"/>
                <w:sz w:val="16"/>
                <w:szCs w:val="16"/>
              </w:rPr>
              <w:t>Department</w:t>
            </w:r>
            <w:r w:rsidR="00B91F3E" w:rsidRPr="00CB3E19">
              <w:rPr>
                <w:rFonts w:ascii="Arial" w:hAnsi="Arial" w:cs="Arial"/>
                <w:sz w:val="16"/>
                <w:szCs w:val="16"/>
              </w:rPr>
              <w:t>al expenses</w:t>
            </w:r>
          </w:p>
        </w:tc>
        <w:tc>
          <w:tcPr>
            <w:tcW w:w="976" w:type="dxa"/>
            <w:tcBorders>
              <w:top w:val="nil"/>
              <w:left w:val="nil"/>
              <w:bottom w:val="nil"/>
              <w:right w:val="nil"/>
            </w:tcBorders>
            <w:shd w:val="clear" w:color="auto" w:fill="auto"/>
            <w:noWrap/>
            <w:vAlign w:val="bottom"/>
            <w:hideMark/>
          </w:tcPr>
          <w:p w14:paraId="4686B9D5" w14:textId="77777777" w:rsidR="00B91F3E" w:rsidRPr="00CB3E1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E0E0E0"/>
            <w:noWrap/>
            <w:vAlign w:val="bottom"/>
            <w:hideMark/>
          </w:tcPr>
          <w:p w14:paraId="3993FE57"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7D9120E6" w14:textId="77777777" w:rsidR="00B91F3E" w:rsidRPr="00CB3E19"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3A81AD4" w14:textId="77777777" w:rsidR="00B91F3E" w:rsidRPr="00CB3E19"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231A19D9" w14:textId="77777777" w:rsidR="00B91F3E" w:rsidRPr="00CB3E19" w:rsidRDefault="00B91F3E" w:rsidP="00F96D8A">
            <w:pPr>
              <w:spacing w:after="0" w:line="240" w:lineRule="auto"/>
              <w:jc w:val="right"/>
              <w:rPr>
                <w:rFonts w:ascii="Times New Roman" w:hAnsi="Times New Roman"/>
                <w:sz w:val="16"/>
                <w:szCs w:val="16"/>
              </w:rPr>
            </w:pPr>
          </w:p>
        </w:tc>
      </w:tr>
      <w:tr w:rsidR="00254303" w:rsidRPr="00CB3E19" w14:paraId="28E3BD24" w14:textId="77777777" w:rsidTr="000B0083">
        <w:trPr>
          <w:trHeight w:val="204"/>
        </w:trPr>
        <w:tc>
          <w:tcPr>
            <w:tcW w:w="2835" w:type="dxa"/>
            <w:tcBorders>
              <w:top w:val="nil"/>
              <w:left w:val="nil"/>
              <w:bottom w:val="nil"/>
              <w:right w:val="nil"/>
            </w:tcBorders>
            <w:shd w:val="clear" w:color="auto" w:fill="auto"/>
            <w:vAlign w:val="bottom"/>
            <w:hideMark/>
          </w:tcPr>
          <w:p w14:paraId="2F241AB4" w14:textId="5CC8B82D" w:rsidR="00254303" w:rsidRPr="00CB3E19" w:rsidRDefault="00254303" w:rsidP="00254303">
            <w:pPr>
              <w:spacing w:after="0" w:line="240" w:lineRule="auto"/>
              <w:ind w:left="113"/>
              <w:jc w:val="left"/>
              <w:rPr>
                <w:rFonts w:ascii="Arial" w:hAnsi="Arial" w:cs="Arial"/>
                <w:sz w:val="16"/>
                <w:szCs w:val="16"/>
              </w:rPr>
            </w:pPr>
            <w:r>
              <w:rPr>
                <w:rFonts w:ascii="Arial" w:hAnsi="Arial" w:cs="Arial"/>
                <w:sz w:val="16"/>
                <w:szCs w:val="16"/>
              </w:rPr>
              <w:t>Department</w:t>
            </w:r>
            <w:r w:rsidRPr="00CB3E19">
              <w:rPr>
                <w:rFonts w:ascii="Arial" w:hAnsi="Arial" w:cs="Arial"/>
                <w:sz w:val="16"/>
                <w:szCs w:val="16"/>
              </w:rPr>
              <w:t>al appropriation</w:t>
            </w:r>
          </w:p>
        </w:tc>
        <w:tc>
          <w:tcPr>
            <w:tcW w:w="976" w:type="dxa"/>
            <w:tcBorders>
              <w:top w:val="nil"/>
              <w:left w:val="nil"/>
              <w:bottom w:val="nil"/>
              <w:right w:val="nil"/>
            </w:tcBorders>
            <w:shd w:val="clear" w:color="auto" w:fill="auto"/>
            <w:noWrap/>
            <w:vAlign w:val="bottom"/>
            <w:hideMark/>
          </w:tcPr>
          <w:p w14:paraId="17214036" w14:textId="53781FE3"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69,750 </w:t>
            </w:r>
          </w:p>
        </w:tc>
        <w:tc>
          <w:tcPr>
            <w:tcW w:w="977" w:type="dxa"/>
            <w:tcBorders>
              <w:top w:val="nil"/>
              <w:left w:val="nil"/>
              <w:bottom w:val="nil"/>
              <w:right w:val="nil"/>
            </w:tcBorders>
            <w:shd w:val="clear" w:color="auto" w:fill="E0E0E0"/>
            <w:noWrap/>
            <w:vAlign w:val="bottom"/>
            <w:hideMark/>
          </w:tcPr>
          <w:p w14:paraId="71A922C4" w14:textId="49747CF0"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82,096 </w:t>
            </w:r>
          </w:p>
        </w:tc>
        <w:tc>
          <w:tcPr>
            <w:tcW w:w="977" w:type="dxa"/>
            <w:tcBorders>
              <w:top w:val="nil"/>
              <w:left w:val="nil"/>
              <w:bottom w:val="nil"/>
              <w:right w:val="nil"/>
            </w:tcBorders>
            <w:shd w:val="clear" w:color="auto" w:fill="auto"/>
            <w:noWrap/>
            <w:vAlign w:val="bottom"/>
            <w:hideMark/>
          </w:tcPr>
          <w:p w14:paraId="00A7C087" w14:textId="6C5DD55E"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79,226 </w:t>
            </w:r>
          </w:p>
        </w:tc>
        <w:tc>
          <w:tcPr>
            <w:tcW w:w="977" w:type="dxa"/>
            <w:tcBorders>
              <w:top w:val="nil"/>
              <w:left w:val="nil"/>
              <w:bottom w:val="nil"/>
              <w:right w:val="nil"/>
            </w:tcBorders>
            <w:shd w:val="clear" w:color="auto" w:fill="auto"/>
            <w:noWrap/>
            <w:vAlign w:val="bottom"/>
            <w:hideMark/>
          </w:tcPr>
          <w:p w14:paraId="3E91B051" w14:textId="3B5440CB"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68,003 </w:t>
            </w:r>
          </w:p>
        </w:tc>
        <w:tc>
          <w:tcPr>
            <w:tcW w:w="977" w:type="dxa"/>
            <w:tcBorders>
              <w:top w:val="nil"/>
              <w:left w:val="nil"/>
              <w:bottom w:val="nil"/>
              <w:right w:val="nil"/>
            </w:tcBorders>
            <w:shd w:val="clear" w:color="auto" w:fill="auto"/>
            <w:noWrap/>
            <w:vAlign w:val="bottom"/>
            <w:hideMark/>
          </w:tcPr>
          <w:p w14:paraId="7625F2E2" w14:textId="6F573376"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62,198 </w:t>
            </w:r>
          </w:p>
        </w:tc>
      </w:tr>
      <w:tr w:rsidR="00254303" w:rsidRPr="00CB3E19" w14:paraId="6A798892" w14:textId="77777777" w:rsidTr="000B0083">
        <w:trPr>
          <w:trHeight w:val="204"/>
        </w:trPr>
        <w:tc>
          <w:tcPr>
            <w:tcW w:w="2835" w:type="dxa"/>
            <w:tcBorders>
              <w:top w:val="nil"/>
              <w:left w:val="nil"/>
              <w:bottom w:val="nil"/>
              <w:right w:val="nil"/>
            </w:tcBorders>
            <w:shd w:val="clear" w:color="auto" w:fill="auto"/>
            <w:vAlign w:val="bottom"/>
            <w:hideMark/>
          </w:tcPr>
          <w:p w14:paraId="43DBDD6D"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 xml:space="preserve">s74 external revenues </w:t>
            </w:r>
            <w:r w:rsidRPr="005800E2">
              <w:rPr>
                <w:rFonts w:ascii="Arial" w:hAnsi="Arial" w:cs="Arial"/>
                <w:sz w:val="16"/>
                <w:szCs w:val="16"/>
                <w:vertAlign w:val="superscript"/>
              </w:rPr>
              <w:t>(c)</w:t>
            </w:r>
          </w:p>
        </w:tc>
        <w:tc>
          <w:tcPr>
            <w:tcW w:w="976" w:type="dxa"/>
            <w:tcBorders>
              <w:top w:val="nil"/>
              <w:left w:val="nil"/>
              <w:bottom w:val="nil"/>
              <w:right w:val="nil"/>
            </w:tcBorders>
            <w:shd w:val="clear" w:color="auto" w:fill="auto"/>
            <w:noWrap/>
            <w:vAlign w:val="bottom"/>
            <w:hideMark/>
          </w:tcPr>
          <w:p w14:paraId="64CA8626" w14:textId="5BE886BC"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1,991 </w:t>
            </w:r>
          </w:p>
        </w:tc>
        <w:tc>
          <w:tcPr>
            <w:tcW w:w="977" w:type="dxa"/>
            <w:tcBorders>
              <w:top w:val="nil"/>
              <w:left w:val="nil"/>
              <w:bottom w:val="nil"/>
              <w:right w:val="nil"/>
            </w:tcBorders>
            <w:shd w:val="clear" w:color="auto" w:fill="E0E0E0"/>
            <w:noWrap/>
            <w:vAlign w:val="bottom"/>
            <w:hideMark/>
          </w:tcPr>
          <w:p w14:paraId="48893AB1" w14:textId="62AC42B9"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1,940 </w:t>
            </w:r>
          </w:p>
        </w:tc>
        <w:tc>
          <w:tcPr>
            <w:tcW w:w="977" w:type="dxa"/>
            <w:tcBorders>
              <w:top w:val="nil"/>
              <w:left w:val="nil"/>
              <w:bottom w:val="nil"/>
              <w:right w:val="nil"/>
            </w:tcBorders>
            <w:shd w:val="clear" w:color="auto" w:fill="auto"/>
            <w:noWrap/>
            <w:vAlign w:val="bottom"/>
            <w:hideMark/>
          </w:tcPr>
          <w:p w14:paraId="539D7ECD" w14:textId="66D67D26"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2,444 </w:t>
            </w:r>
          </w:p>
        </w:tc>
        <w:tc>
          <w:tcPr>
            <w:tcW w:w="977" w:type="dxa"/>
            <w:tcBorders>
              <w:top w:val="nil"/>
              <w:left w:val="nil"/>
              <w:bottom w:val="nil"/>
              <w:right w:val="nil"/>
            </w:tcBorders>
            <w:shd w:val="clear" w:color="auto" w:fill="auto"/>
            <w:noWrap/>
            <w:vAlign w:val="bottom"/>
            <w:hideMark/>
          </w:tcPr>
          <w:p w14:paraId="5C166AE4" w14:textId="0E0CC5EB"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2,407 </w:t>
            </w:r>
          </w:p>
        </w:tc>
        <w:tc>
          <w:tcPr>
            <w:tcW w:w="977" w:type="dxa"/>
            <w:tcBorders>
              <w:top w:val="nil"/>
              <w:left w:val="nil"/>
              <w:bottom w:val="nil"/>
              <w:right w:val="nil"/>
            </w:tcBorders>
            <w:shd w:val="clear" w:color="auto" w:fill="auto"/>
            <w:noWrap/>
            <w:vAlign w:val="bottom"/>
            <w:hideMark/>
          </w:tcPr>
          <w:p w14:paraId="630FA6A9" w14:textId="08646A09"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2,250 </w:t>
            </w:r>
          </w:p>
        </w:tc>
      </w:tr>
      <w:tr w:rsidR="00254303" w:rsidRPr="00CB3E19" w14:paraId="7FFCF0E2" w14:textId="77777777" w:rsidTr="000B0083">
        <w:trPr>
          <w:trHeight w:val="204"/>
        </w:trPr>
        <w:tc>
          <w:tcPr>
            <w:tcW w:w="2835" w:type="dxa"/>
            <w:tcBorders>
              <w:top w:val="nil"/>
              <w:left w:val="nil"/>
              <w:bottom w:val="nil"/>
              <w:right w:val="nil"/>
            </w:tcBorders>
            <w:shd w:val="clear" w:color="auto" w:fill="auto"/>
            <w:vAlign w:val="bottom"/>
            <w:hideMark/>
          </w:tcPr>
          <w:p w14:paraId="53792773"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69EB3B85" w14:textId="0F448515"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w:t>
            </w:r>
          </w:p>
        </w:tc>
        <w:tc>
          <w:tcPr>
            <w:tcW w:w="977" w:type="dxa"/>
            <w:tcBorders>
              <w:top w:val="nil"/>
              <w:left w:val="nil"/>
              <w:bottom w:val="nil"/>
              <w:right w:val="nil"/>
            </w:tcBorders>
            <w:shd w:val="clear" w:color="auto" w:fill="E0E0E0"/>
            <w:noWrap/>
            <w:vAlign w:val="bottom"/>
            <w:hideMark/>
          </w:tcPr>
          <w:p w14:paraId="005747DE" w14:textId="52B237BE"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2F6CCE5D" w14:textId="1A1147F2"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7C35A0E5" w14:textId="2401D32D"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306A7AFC" w14:textId="750F2B07"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w:t>
            </w:r>
          </w:p>
        </w:tc>
      </w:tr>
      <w:tr w:rsidR="00254303" w:rsidRPr="00CB3E19" w14:paraId="621565CD" w14:textId="77777777" w:rsidTr="000B0083">
        <w:trPr>
          <w:trHeight w:val="204"/>
        </w:trPr>
        <w:tc>
          <w:tcPr>
            <w:tcW w:w="2835" w:type="dxa"/>
            <w:tcBorders>
              <w:top w:val="nil"/>
              <w:left w:val="nil"/>
              <w:bottom w:val="nil"/>
              <w:right w:val="nil"/>
            </w:tcBorders>
            <w:shd w:val="clear" w:color="auto" w:fill="auto"/>
            <w:vAlign w:val="bottom"/>
            <w:hideMark/>
          </w:tcPr>
          <w:p w14:paraId="25B1F80D" w14:textId="77777777" w:rsidR="00254303" w:rsidRPr="00CB3E19" w:rsidRDefault="00254303" w:rsidP="00254303">
            <w:pPr>
              <w:spacing w:after="0" w:line="240" w:lineRule="auto"/>
              <w:ind w:left="227"/>
              <w:jc w:val="left"/>
              <w:rPr>
                <w:rFonts w:ascii="Arial" w:hAnsi="Arial" w:cs="Arial"/>
                <w:sz w:val="16"/>
                <w:szCs w:val="16"/>
              </w:rPr>
            </w:pPr>
            <w:r w:rsidRPr="00CB3E19">
              <w:rPr>
                <w:rFonts w:ascii="Arial" w:hAnsi="Arial" w:cs="Arial"/>
                <w:sz w:val="16"/>
                <w:szCs w:val="16"/>
              </w:rPr>
              <w:t>Public Interest Telecommunications Services Special Account</w:t>
            </w:r>
          </w:p>
        </w:tc>
        <w:tc>
          <w:tcPr>
            <w:tcW w:w="976" w:type="dxa"/>
            <w:tcBorders>
              <w:top w:val="nil"/>
              <w:left w:val="nil"/>
              <w:bottom w:val="nil"/>
              <w:right w:val="nil"/>
            </w:tcBorders>
            <w:shd w:val="clear" w:color="auto" w:fill="auto"/>
            <w:noWrap/>
            <w:vAlign w:val="bottom"/>
            <w:hideMark/>
          </w:tcPr>
          <w:p w14:paraId="3785DE91" w14:textId="3546550D"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4,046 </w:t>
            </w:r>
          </w:p>
        </w:tc>
        <w:tc>
          <w:tcPr>
            <w:tcW w:w="977" w:type="dxa"/>
            <w:tcBorders>
              <w:top w:val="nil"/>
              <w:left w:val="nil"/>
              <w:bottom w:val="nil"/>
              <w:right w:val="nil"/>
            </w:tcBorders>
            <w:shd w:val="clear" w:color="auto" w:fill="E0E0E0"/>
            <w:noWrap/>
            <w:vAlign w:val="bottom"/>
            <w:hideMark/>
          </w:tcPr>
          <w:p w14:paraId="25B84455" w14:textId="49775084"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29223AAF" w14:textId="436A21C1"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21322232" w14:textId="1319559E"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1B568ABE" w14:textId="7CDC6DF0"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4,046 </w:t>
            </w:r>
          </w:p>
        </w:tc>
      </w:tr>
      <w:tr w:rsidR="00254303" w:rsidRPr="00CB3E19" w14:paraId="68F430FD" w14:textId="77777777" w:rsidTr="000B0083">
        <w:trPr>
          <w:trHeight w:val="204"/>
        </w:trPr>
        <w:tc>
          <w:tcPr>
            <w:tcW w:w="2835" w:type="dxa"/>
            <w:tcBorders>
              <w:top w:val="nil"/>
              <w:left w:val="nil"/>
              <w:right w:val="nil"/>
            </w:tcBorders>
            <w:shd w:val="clear" w:color="auto" w:fill="auto"/>
            <w:vAlign w:val="bottom"/>
            <w:hideMark/>
          </w:tcPr>
          <w:p w14:paraId="69EF4DF3"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Expenses not requiring appropriation in the Budget year</w:t>
            </w:r>
            <w:r>
              <w:rPr>
                <w:rFonts w:ascii="Arial" w:hAnsi="Arial" w:cs="Arial"/>
                <w:sz w:val="16"/>
                <w:szCs w:val="16"/>
              </w:rPr>
              <w:t> </w:t>
            </w:r>
            <w:r w:rsidRPr="005800E2">
              <w:rPr>
                <w:rFonts w:ascii="Arial" w:hAnsi="Arial" w:cs="Arial"/>
                <w:sz w:val="16"/>
                <w:szCs w:val="16"/>
                <w:vertAlign w:val="superscript"/>
              </w:rPr>
              <w:t>(d)</w:t>
            </w:r>
          </w:p>
        </w:tc>
        <w:tc>
          <w:tcPr>
            <w:tcW w:w="976" w:type="dxa"/>
            <w:tcBorders>
              <w:top w:val="nil"/>
              <w:left w:val="nil"/>
              <w:bottom w:val="nil"/>
              <w:right w:val="nil"/>
            </w:tcBorders>
            <w:shd w:val="clear" w:color="auto" w:fill="auto"/>
            <w:noWrap/>
            <w:vAlign w:val="bottom"/>
            <w:hideMark/>
          </w:tcPr>
          <w:p w14:paraId="1C8E535F" w14:textId="58CF6170"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1,341 </w:t>
            </w:r>
          </w:p>
        </w:tc>
        <w:tc>
          <w:tcPr>
            <w:tcW w:w="977" w:type="dxa"/>
            <w:tcBorders>
              <w:top w:val="nil"/>
              <w:left w:val="nil"/>
              <w:bottom w:val="nil"/>
              <w:right w:val="nil"/>
            </w:tcBorders>
            <w:shd w:val="clear" w:color="auto" w:fill="E0E0E0"/>
            <w:noWrap/>
            <w:vAlign w:val="bottom"/>
            <w:hideMark/>
          </w:tcPr>
          <w:p w14:paraId="1B21332A" w14:textId="0F2A722D"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1,396 </w:t>
            </w:r>
          </w:p>
        </w:tc>
        <w:tc>
          <w:tcPr>
            <w:tcW w:w="977" w:type="dxa"/>
            <w:tcBorders>
              <w:top w:val="nil"/>
              <w:left w:val="nil"/>
              <w:bottom w:val="nil"/>
              <w:right w:val="nil"/>
            </w:tcBorders>
            <w:shd w:val="clear" w:color="auto" w:fill="auto"/>
            <w:noWrap/>
            <w:vAlign w:val="bottom"/>
            <w:hideMark/>
          </w:tcPr>
          <w:p w14:paraId="63B488F4" w14:textId="20AB1D63"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1,578 </w:t>
            </w:r>
          </w:p>
        </w:tc>
        <w:tc>
          <w:tcPr>
            <w:tcW w:w="977" w:type="dxa"/>
            <w:tcBorders>
              <w:top w:val="nil"/>
              <w:left w:val="nil"/>
              <w:bottom w:val="nil"/>
              <w:right w:val="nil"/>
            </w:tcBorders>
            <w:shd w:val="clear" w:color="auto" w:fill="auto"/>
            <w:noWrap/>
            <w:vAlign w:val="bottom"/>
            <w:hideMark/>
          </w:tcPr>
          <w:p w14:paraId="1FF6E969" w14:textId="2A6211C4"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777 </w:t>
            </w:r>
          </w:p>
        </w:tc>
        <w:tc>
          <w:tcPr>
            <w:tcW w:w="977" w:type="dxa"/>
            <w:tcBorders>
              <w:top w:val="nil"/>
              <w:left w:val="nil"/>
              <w:bottom w:val="nil"/>
              <w:right w:val="nil"/>
            </w:tcBorders>
            <w:shd w:val="clear" w:color="auto" w:fill="auto"/>
            <w:noWrap/>
            <w:vAlign w:val="bottom"/>
            <w:hideMark/>
          </w:tcPr>
          <w:p w14:paraId="5E6522C8" w14:textId="162056F2" w:rsidR="00254303" w:rsidRPr="00254303" w:rsidRDefault="00254303" w:rsidP="00254303">
            <w:pPr>
              <w:spacing w:after="0" w:line="240" w:lineRule="auto"/>
              <w:jc w:val="right"/>
              <w:rPr>
                <w:rFonts w:ascii="Arial" w:hAnsi="Arial" w:cs="Arial"/>
                <w:sz w:val="16"/>
                <w:szCs w:val="16"/>
              </w:rPr>
            </w:pPr>
            <w:r w:rsidRPr="00254303">
              <w:rPr>
                <w:rFonts w:ascii="Arial" w:hAnsi="Arial" w:cs="Arial"/>
                <w:sz w:val="16"/>
                <w:szCs w:val="16"/>
              </w:rPr>
              <w:t xml:space="preserve">726 </w:t>
            </w:r>
          </w:p>
        </w:tc>
      </w:tr>
      <w:tr w:rsidR="00254303" w:rsidRPr="00CB3E19" w14:paraId="04806395"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7B084E0C" w14:textId="77777777" w:rsidR="00254303" w:rsidRPr="00CB3E19" w:rsidRDefault="00254303" w:rsidP="00254303">
            <w:pPr>
              <w:spacing w:after="0" w:line="240" w:lineRule="auto"/>
              <w:jc w:val="left"/>
              <w:rPr>
                <w:rFonts w:ascii="Arial" w:hAnsi="Arial" w:cs="Arial"/>
                <w:b/>
                <w:bCs/>
                <w:sz w:val="16"/>
                <w:szCs w:val="16"/>
              </w:rPr>
            </w:pPr>
            <w:r w:rsidRPr="00CB3E19">
              <w:rPr>
                <w:rFonts w:ascii="Arial" w:hAnsi="Arial" w:cs="Arial"/>
                <w:b/>
                <w:bCs/>
                <w:sz w:val="16"/>
                <w:szCs w:val="16"/>
              </w:rPr>
              <w:t>Total expenses for Program 5.2</w:t>
            </w:r>
          </w:p>
        </w:tc>
        <w:tc>
          <w:tcPr>
            <w:tcW w:w="976" w:type="dxa"/>
            <w:tcBorders>
              <w:top w:val="single" w:sz="4" w:space="0" w:color="auto"/>
              <w:left w:val="nil"/>
              <w:bottom w:val="single" w:sz="4" w:space="0" w:color="auto"/>
              <w:right w:val="nil"/>
            </w:tcBorders>
            <w:shd w:val="clear" w:color="auto" w:fill="auto"/>
            <w:noWrap/>
            <w:vAlign w:val="bottom"/>
            <w:hideMark/>
          </w:tcPr>
          <w:p w14:paraId="08A71108" w14:textId="28F57490" w:rsidR="00254303" w:rsidRPr="00254303" w:rsidRDefault="00254303" w:rsidP="00254303">
            <w:pPr>
              <w:spacing w:after="0" w:line="240" w:lineRule="auto"/>
              <w:jc w:val="right"/>
              <w:rPr>
                <w:rFonts w:ascii="Arial" w:hAnsi="Arial" w:cs="Arial"/>
                <w:b/>
                <w:bCs/>
                <w:sz w:val="16"/>
                <w:szCs w:val="16"/>
              </w:rPr>
            </w:pPr>
            <w:r w:rsidRPr="00254303">
              <w:rPr>
                <w:rFonts w:ascii="Arial" w:hAnsi="Arial" w:cs="Arial"/>
                <w:b/>
                <w:bCs/>
                <w:sz w:val="16"/>
                <w:szCs w:val="16"/>
              </w:rPr>
              <w:t xml:space="preserve">77,128 </w:t>
            </w:r>
          </w:p>
        </w:tc>
        <w:tc>
          <w:tcPr>
            <w:tcW w:w="977" w:type="dxa"/>
            <w:tcBorders>
              <w:top w:val="single" w:sz="4" w:space="0" w:color="auto"/>
              <w:left w:val="nil"/>
              <w:bottom w:val="single" w:sz="4" w:space="0" w:color="auto"/>
              <w:right w:val="nil"/>
            </w:tcBorders>
            <w:shd w:val="clear" w:color="000000" w:fill="E6E6E6"/>
            <w:noWrap/>
            <w:vAlign w:val="bottom"/>
            <w:hideMark/>
          </w:tcPr>
          <w:p w14:paraId="0C451E53" w14:textId="7C05CDB4" w:rsidR="00254303" w:rsidRPr="00254303" w:rsidRDefault="00254303" w:rsidP="00254303">
            <w:pPr>
              <w:spacing w:after="0" w:line="240" w:lineRule="auto"/>
              <w:jc w:val="right"/>
              <w:rPr>
                <w:rFonts w:ascii="Arial" w:hAnsi="Arial" w:cs="Arial"/>
                <w:b/>
                <w:bCs/>
                <w:sz w:val="16"/>
                <w:szCs w:val="16"/>
              </w:rPr>
            </w:pPr>
            <w:r w:rsidRPr="00254303">
              <w:rPr>
                <w:rFonts w:ascii="Arial" w:hAnsi="Arial" w:cs="Arial"/>
                <w:b/>
                <w:bCs/>
                <w:sz w:val="16"/>
                <w:szCs w:val="16"/>
              </w:rPr>
              <w:t xml:space="preserve">89,478 </w:t>
            </w:r>
          </w:p>
        </w:tc>
        <w:tc>
          <w:tcPr>
            <w:tcW w:w="977" w:type="dxa"/>
            <w:tcBorders>
              <w:top w:val="single" w:sz="4" w:space="0" w:color="auto"/>
              <w:left w:val="nil"/>
              <w:bottom w:val="single" w:sz="4" w:space="0" w:color="auto"/>
              <w:right w:val="nil"/>
            </w:tcBorders>
            <w:shd w:val="clear" w:color="auto" w:fill="auto"/>
            <w:noWrap/>
            <w:vAlign w:val="bottom"/>
            <w:hideMark/>
          </w:tcPr>
          <w:p w14:paraId="52A91564" w14:textId="0083A5A1" w:rsidR="00254303" w:rsidRPr="00254303" w:rsidRDefault="00254303" w:rsidP="00254303">
            <w:pPr>
              <w:spacing w:after="0" w:line="240" w:lineRule="auto"/>
              <w:jc w:val="right"/>
              <w:rPr>
                <w:rFonts w:ascii="Arial" w:hAnsi="Arial" w:cs="Arial"/>
                <w:b/>
                <w:bCs/>
                <w:sz w:val="16"/>
                <w:szCs w:val="16"/>
              </w:rPr>
            </w:pPr>
            <w:r w:rsidRPr="00254303">
              <w:rPr>
                <w:rFonts w:ascii="Arial" w:hAnsi="Arial" w:cs="Arial"/>
                <w:b/>
                <w:bCs/>
                <w:sz w:val="16"/>
                <w:szCs w:val="16"/>
              </w:rPr>
              <w:t xml:space="preserve">87,294 </w:t>
            </w:r>
          </w:p>
        </w:tc>
        <w:tc>
          <w:tcPr>
            <w:tcW w:w="977" w:type="dxa"/>
            <w:tcBorders>
              <w:top w:val="single" w:sz="4" w:space="0" w:color="auto"/>
              <w:left w:val="nil"/>
              <w:bottom w:val="single" w:sz="4" w:space="0" w:color="auto"/>
              <w:right w:val="nil"/>
            </w:tcBorders>
            <w:shd w:val="clear" w:color="auto" w:fill="auto"/>
            <w:noWrap/>
            <w:vAlign w:val="bottom"/>
            <w:hideMark/>
          </w:tcPr>
          <w:p w14:paraId="3BA682DB" w14:textId="21D5AC1F" w:rsidR="00254303" w:rsidRPr="00254303" w:rsidRDefault="00254303" w:rsidP="00254303">
            <w:pPr>
              <w:spacing w:after="0" w:line="240" w:lineRule="auto"/>
              <w:jc w:val="right"/>
              <w:rPr>
                <w:rFonts w:ascii="Arial" w:hAnsi="Arial" w:cs="Arial"/>
                <w:b/>
                <w:bCs/>
                <w:sz w:val="16"/>
                <w:szCs w:val="16"/>
              </w:rPr>
            </w:pPr>
            <w:r w:rsidRPr="00254303">
              <w:rPr>
                <w:rFonts w:ascii="Arial" w:hAnsi="Arial" w:cs="Arial"/>
                <w:b/>
                <w:bCs/>
                <w:sz w:val="16"/>
                <w:szCs w:val="16"/>
              </w:rPr>
              <w:t xml:space="preserve">75,233 </w:t>
            </w:r>
          </w:p>
        </w:tc>
        <w:tc>
          <w:tcPr>
            <w:tcW w:w="977" w:type="dxa"/>
            <w:tcBorders>
              <w:top w:val="single" w:sz="4" w:space="0" w:color="auto"/>
              <w:left w:val="nil"/>
              <w:bottom w:val="single" w:sz="4" w:space="0" w:color="auto"/>
              <w:right w:val="nil"/>
            </w:tcBorders>
            <w:shd w:val="clear" w:color="auto" w:fill="auto"/>
            <w:noWrap/>
            <w:vAlign w:val="bottom"/>
            <w:hideMark/>
          </w:tcPr>
          <w:p w14:paraId="7DF6EA1D" w14:textId="2B654462" w:rsidR="00254303" w:rsidRPr="00254303" w:rsidRDefault="00254303" w:rsidP="00254303">
            <w:pPr>
              <w:spacing w:after="0" w:line="240" w:lineRule="auto"/>
              <w:jc w:val="right"/>
              <w:rPr>
                <w:rFonts w:ascii="Arial" w:hAnsi="Arial" w:cs="Arial"/>
                <w:b/>
                <w:bCs/>
                <w:sz w:val="16"/>
                <w:szCs w:val="16"/>
              </w:rPr>
            </w:pPr>
            <w:r w:rsidRPr="00254303">
              <w:rPr>
                <w:rFonts w:ascii="Arial" w:hAnsi="Arial" w:cs="Arial"/>
                <w:b/>
                <w:bCs/>
                <w:sz w:val="16"/>
                <w:szCs w:val="16"/>
              </w:rPr>
              <w:t xml:space="preserve">69,220 </w:t>
            </w:r>
          </w:p>
        </w:tc>
      </w:tr>
      <w:tr w:rsidR="00020C9D" w:rsidRPr="00CB3E19" w14:paraId="0C4946DD" w14:textId="77777777" w:rsidTr="005F5D68">
        <w:trPr>
          <w:trHeight w:val="204"/>
        </w:trPr>
        <w:tc>
          <w:tcPr>
            <w:tcW w:w="7719" w:type="dxa"/>
            <w:gridSpan w:val="6"/>
            <w:tcBorders>
              <w:top w:val="single" w:sz="4" w:space="0" w:color="auto"/>
              <w:left w:val="nil"/>
              <w:bottom w:val="single" w:sz="4" w:space="0" w:color="auto"/>
              <w:right w:val="nil"/>
            </w:tcBorders>
            <w:shd w:val="clear" w:color="000000" w:fill="E6E6E6"/>
            <w:noWrap/>
            <w:vAlign w:val="bottom"/>
            <w:hideMark/>
          </w:tcPr>
          <w:p w14:paraId="2A3D49E9" w14:textId="1D27D6C9" w:rsidR="00020C9D" w:rsidRPr="00020C9D" w:rsidRDefault="00020C9D" w:rsidP="00020C9D">
            <w:pPr>
              <w:spacing w:after="0" w:line="240" w:lineRule="auto"/>
              <w:jc w:val="left"/>
              <w:outlineLvl w:val="0"/>
              <w:rPr>
                <w:rFonts w:ascii="Arial" w:hAnsi="Arial" w:cs="Arial"/>
                <w:b/>
                <w:bCs/>
                <w:sz w:val="16"/>
                <w:szCs w:val="16"/>
              </w:rPr>
            </w:pPr>
            <w:r w:rsidRPr="00CB3E19">
              <w:rPr>
                <w:rFonts w:ascii="Arial" w:hAnsi="Arial" w:cs="Arial"/>
                <w:b/>
                <w:bCs/>
                <w:sz w:val="16"/>
                <w:szCs w:val="16"/>
              </w:rPr>
              <w:t>Outcome 5 Totals by appropriation type</w:t>
            </w:r>
            <w:r w:rsidRPr="00CB3E19">
              <w:rPr>
                <w:rFonts w:ascii="Arial" w:hAnsi="Arial" w:cs="Arial"/>
                <w:sz w:val="16"/>
                <w:szCs w:val="16"/>
              </w:rPr>
              <w:t> </w:t>
            </w:r>
          </w:p>
        </w:tc>
      </w:tr>
      <w:tr w:rsidR="00B91F3E" w:rsidRPr="00CB3E19" w14:paraId="5DBD8301" w14:textId="77777777" w:rsidTr="00F96D8A">
        <w:trPr>
          <w:trHeight w:val="204"/>
        </w:trPr>
        <w:tc>
          <w:tcPr>
            <w:tcW w:w="2835" w:type="dxa"/>
            <w:tcBorders>
              <w:top w:val="nil"/>
              <w:left w:val="nil"/>
              <w:bottom w:val="nil"/>
              <w:right w:val="nil"/>
            </w:tcBorders>
            <w:shd w:val="clear" w:color="auto" w:fill="auto"/>
            <w:noWrap/>
            <w:vAlign w:val="bottom"/>
            <w:hideMark/>
          </w:tcPr>
          <w:p w14:paraId="7230503E" w14:textId="77777777" w:rsidR="00B91F3E" w:rsidRPr="00CB3E19" w:rsidRDefault="00B91F3E" w:rsidP="00F96D8A">
            <w:pPr>
              <w:spacing w:after="0" w:line="240" w:lineRule="auto"/>
              <w:jc w:val="left"/>
              <w:outlineLvl w:val="0"/>
              <w:rPr>
                <w:rFonts w:ascii="Arial" w:hAnsi="Arial" w:cs="Arial"/>
                <w:sz w:val="16"/>
                <w:szCs w:val="16"/>
              </w:rPr>
            </w:pPr>
            <w:r w:rsidRPr="00CB3E19">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4283510F" w14:textId="77777777" w:rsidR="00B91F3E" w:rsidRPr="00CB3E19" w:rsidRDefault="00B91F3E" w:rsidP="00F96D8A">
            <w:pPr>
              <w:spacing w:after="0" w:line="240" w:lineRule="auto"/>
              <w:jc w:val="right"/>
              <w:outlineLvl w:val="0"/>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2C99413" w14:textId="77777777" w:rsidR="00B91F3E" w:rsidRPr="00CB3E19" w:rsidRDefault="00B91F3E" w:rsidP="00F96D8A">
            <w:pPr>
              <w:spacing w:after="0" w:line="240" w:lineRule="auto"/>
              <w:jc w:val="right"/>
              <w:outlineLvl w:val="0"/>
              <w:rPr>
                <w:rFonts w:ascii="Arial" w:hAnsi="Arial" w:cs="Arial"/>
                <w:sz w:val="16"/>
                <w:szCs w:val="16"/>
              </w:rPr>
            </w:pPr>
            <w:r w:rsidRPr="00CB3E19">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4A427EC2" w14:textId="77777777" w:rsidR="00B91F3E" w:rsidRPr="00CB3E19" w:rsidRDefault="00B91F3E" w:rsidP="00F96D8A">
            <w:pPr>
              <w:spacing w:after="0" w:line="240" w:lineRule="auto"/>
              <w:jc w:val="right"/>
              <w:outlineLvl w:val="0"/>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405BADB" w14:textId="77777777" w:rsidR="00B91F3E" w:rsidRPr="00CB3E19" w:rsidRDefault="00B91F3E" w:rsidP="00F96D8A">
            <w:pPr>
              <w:spacing w:after="0" w:line="240" w:lineRule="auto"/>
              <w:jc w:val="right"/>
              <w:outlineLvl w:val="0"/>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1ADE505B" w14:textId="77777777" w:rsidR="00B91F3E" w:rsidRPr="00CB3E19" w:rsidRDefault="00B91F3E" w:rsidP="00F96D8A">
            <w:pPr>
              <w:spacing w:after="0" w:line="240" w:lineRule="auto"/>
              <w:jc w:val="right"/>
              <w:outlineLvl w:val="0"/>
              <w:rPr>
                <w:rFonts w:ascii="Times New Roman" w:hAnsi="Times New Roman"/>
                <w:sz w:val="16"/>
                <w:szCs w:val="16"/>
              </w:rPr>
            </w:pPr>
          </w:p>
        </w:tc>
      </w:tr>
      <w:tr w:rsidR="00254303" w:rsidRPr="00CB3E19" w14:paraId="0C28F651" w14:textId="77777777" w:rsidTr="00F96D8A">
        <w:trPr>
          <w:trHeight w:val="204"/>
        </w:trPr>
        <w:tc>
          <w:tcPr>
            <w:tcW w:w="2835" w:type="dxa"/>
            <w:tcBorders>
              <w:top w:val="nil"/>
              <w:left w:val="nil"/>
              <w:bottom w:val="nil"/>
              <w:right w:val="nil"/>
            </w:tcBorders>
            <w:shd w:val="clear" w:color="auto" w:fill="auto"/>
            <w:vAlign w:val="bottom"/>
            <w:hideMark/>
          </w:tcPr>
          <w:p w14:paraId="4A57B64C"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Ordinary Annual Services (Appropriation Act No. 1 and Bill No. 3)</w:t>
            </w:r>
          </w:p>
        </w:tc>
        <w:tc>
          <w:tcPr>
            <w:tcW w:w="976" w:type="dxa"/>
            <w:tcBorders>
              <w:top w:val="nil"/>
              <w:left w:val="nil"/>
              <w:bottom w:val="nil"/>
              <w:right w:val="nil"/>
            </w:tcBorders>
            <w:shd w:val="clear" w:color="auto" w:fill="auto"/>
            <w:noWrap/>
            <w:vAlign w:val="bottom"/>
            <w:hideMark/>
          </w:tcPr>
          <w:p w14:paraId="21F961E5" w14:textId="75935CD8"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213,529 </w:t>
            </w:r>
          </w:p>
        </w:tc>
        <w:tc>
          <w:tcPr>
            <w:tcW w:w="977" w:type="dxa"/>
            <w:tcBorders>
              <w:top w:val="nil"/>
              <w:left w:val="nil"/>
              <w:bottom w:val="nil"/>
              <w:right w:val="nil"/>
            </w:tcBorders>
            <w:shd w:val="clear" w:color="000000" w:fill="E6E6E6"/>
            <w:noWrap/>
            <w:vAlign w:val="bottom"/>
            <w:hideMark/>
          </w:tcPr>
          <w:p w14:paraId="772D5153" w14:textId="72C841B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337,584 </w:t>
            </w:r>
          </w:p>
        </w:tc>
        <w:tc>
          <w:tcPr>
            <w:tcW w:w="977" w:type="dxa"/>
            <w:tcBorders>
              <w:top w:val="nil"/>
              <w:left w:val="nil"/>
              <w:bottom w:val="nil"/>
              <w:right w:val="nil"/>
            </w:tcBorders>
            <w:shd w:val="clear" w:color="auto" w:fill="auto"/>
            <w:noWrap/>
            <w:vAlign w:val="bottom"/>
            <w:hideMark/>
          </w:tcPr>
          <w:p w14:paraId="2095D3C4" w14:textId="1DBDD70D"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241,805 </w:t>
            </w:r>
          </w:p>
        </w:tc>
        <w:tc>
          <w:tcPr>
            <w:tcW w:w="977" w:type="dxa"/>
            <w:tcBorders>
              <w:top w:val="nil"/>
              <w:left w:val="nil"/>
              <w:bottom w:val="nil"/>
              <w:right w:val="nil"/>
            </w:tcBorders>
            <w:shd w:val="clear" w:color="auto" w:fill="auto"/>
            <w:noWrap/>
            <w:vAlign w:val="bottom"/>
            <w:hideMark/>
          </w:tcPr>
          <w:p w14:paraId="2EE9CE5C" w14:textId="06E7B24C"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200,806 </w:t>
            </w:r>
          </w:p>
        </w:tc>
        <w:tc>
          <w:tcPr>
            <w:tcW w:w="977" w:type="dxa"/>
            <w:tcBorders>
              <w:top w:val="nil"/>
              <w:left w:val="nil"/>
              <w:bottom w:val="nil"/>
              <w:right w:val="nil"/>
            </w:tcBorders>
            <w:shd w:val="clear" w:color="auto" w:fill="auto"/>
            <w:noWrap/>
            <w:vAlign w:val="bottom"/>
            <w:hideMark/>
          </w:tcPr>
          <w:p w14:paraId="5A9E7630" w14:textId="4FEB0B04"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206,285 </w:t>
            </w:r>
          </w:p>
        </w:tc>
      </w:tr>
      <w:tr w:rsidR="00254303" w:rsidRPr="00CB3E19" w14:paraId="070E2213" w14:textId="77777777" w:rsidTr="00F96D8A">
        <w:trPr>
          <w:trHeight w:val="204"/>
        </w:trPr>
        <w:tc>
          <w:tcPr>
            <w:tcW w:w="2835" w:type="dxa"/>
            <w:tcBorders>
              <w:top w:val="nil"/>
              <w:left w:val="nil"/>
              <w:bottom w:val="nil"/>
              <w:right w:val="nil"/>
            </w:tcBorders>
            <w:shd w:val="clear" w:color="auto" w:fill="auto"/>
            <w:vAlign w:val="bottom"/>
            <w:hideMark/>
          </w:tcPr>
          <w:p w14:paraId="1A7E43F7"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79021998" w14:textId="69A93091"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341,215 </w:t>
            </w:r>
          </w:p>
        </w:tc>
        <w:tc>
          <w:tcPr>
            <w:tcW w:w="977" w:type="dxa"/>
            <w:tcBorders>
              <w:top w:val="nil"/>
              <w:left w:val="nil"/>
              <w:bottom w:val="nil"/>
              <w:right w:val="nil"/>
            </w:tcBorders>
            <w:shd w:val="clear" w:color="000000" w:fill="E6E6E6"/>
            <w:noWrap/>
            <w:vAlign w:val="bottom"/>
            <w:hideMark/>
          </w:tcPr>
          <w:p w14:paraId="609CC544" w14:textId="48987A7C"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329,064 </w:t>
            </w:r>
          </w:p>
        </w:tc>
        <w:tc>
          <w:tcPr>
            <w:tcW w:w="977" w:type="dxa"/>
            <w:tcBorders>
              <w:top w:val="nil"/>
              <w:left w:val="nil"/>
              <w:bottom w:val="nil"/>
              <w:right w:val="nil"/>
            </w:tcBorders>
            <w:shd w:val="clear" w:color="auto" w:fill="auto"/>
            <w:noWrap/>
            <w:vAlign w:val="bottom"/>
            <w:hideMark/>
          </w:tcPr>
          <w:p w14:paraId="7948B504" w14:textId="383BD030"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312,250 </w:t>
            </w:r>
          </w:p>
        </w:tc>
        <w:tc>
          <w:tcPr>
            <w:tcW w:w="977" w:type="dxa"/>
            <w:tcBorders>
              <w:top w:val="nil"/>
              <w:left w:val="nil"/>
              <w:bottom w:val="nil"/>
              <w:right w:val="nil"/>
            </w:tcBorders>
            <w:shd w:val="clear" w:color="auto" w:fill="auto"/>
            <w:noWrap/>
            <w:vAlign w:val="bottom"/>
            <w:hideMark/>
          </w:tcPr>
          <w:p w14:paraId="75554932" w14:textId="6ACCC15C"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312,250 </w:t>
            </w:r>
          </w:p>
        </w:tc>
        <w:tc>
          <w:tcPr>
            <w:tcW w:w="977" w:type="dxa"/>
            <w:tcBorders>
              <w:top w:val="nil"/>
              <w:left w:val="nil"/>
              <w:bottom w:val="nil"/>
              <w:right w:val="nil"/>
            </w:tcBorders>
            <w:shd w:val="clear" w:color="auto" w:fill="auto"/>
            <w:noWrap/>
            <w:vAlign w:val="bottom"/>
            <w:hideMark/>
          </w:tcPr>
          <w:p w14:paraId="63E5EEFC" w14:textId="6E9240ED"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312,250 </w:t>
            </w:r>
          </w:p>
        </w:tc>
      </w:tr>
      <w:tr w:rsidR="00254303" w:rsidRPr="00CB3E19" w14:paraId="4A93B688" w14:textId="77777777" w:rsidTr="00F96D8A">
        <w:trPr>
          <w:trHeight w:val="204"/>
        </w:trPr>
        <w:tc>
          <w:tcPr>
            <w:tcW w:w="2835" w:type="dxa"/>
            <w:tcBorders>
              <w:top w:val="nil"/>
              <w:left w:val="nil"/>
              <w:bottom w:val="nil"/>
              <w:right w:val="nil"/>
            </w:tcBorders>
            <w:shd w:val="clear" w:color="auto" w:fill="auto"/>
            <w:vAlign w:val="bottom"/>
            <w:hideMark/>
          </w:tcPr>
          <w:p w14:paraId="443DF54A"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 xml:space="preserve">Payments to corporate entities </w:t>
            </w:r>
            <w:r w:rsidRPr="005800E2">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17F7EF2D" w14:textId="37288962"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1,380,118 </w:t>
            </w:r>
          </w:p>
        </w:tc>
        <w:tc>
          <w:tcPr>
            <w:tcW w:w="977" w:type="dxa"/>
            <w:tcBorders>
              <w:top w:val="nil"/>
              <w:left w:val="nil"/>
              <w:bottom w:val="nil"/>
              <w:right w:val="nil"/>
            </w:tcBorders>
            <w:shd w:val="clear" w:color="000000" w:fill="E6E6E6"/>
            <w:noWrap/>
            <w:vAlign w:val="bottom"/>
            <w:hideMark/>
          </w:tcPr>
          <w:p w14:paraId="1D9F5C47" w14:textId="79C9C09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1,394,538 </w:t>
            </w:r>
          </w:p>
        </w:tc>
        <w:tc>
          <w:tcPr>
            <w:tcW w:w="977" w:type="dxa"/>
            <w:tcBorders>
              <w:top w:val="nil"/>
              <w:left w:val="nil"/>
              <w:bottom w:val="nil"/>
              <w:right w:val="nil"/>
            </w:tcBorders>
            <w:shd w:val="clear" w:color="auto" w:fill="auto"/>
            <w:noWrap/>
            <w:vAlign w:val="bottom"/>
            <w:hideMark/>
          </w:tcPr>
          <w:p w14:paraId="05A3DBD9" w14:textId="3FDB8A30"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1,422,514 </w:t>
            </w:r>
          </w:p>
        </w:tc>
        <w:tc>
          <w:tcPr>
            <w:tcW w:w="977" w:type="dxa"/>
            <w:tcBorders>
              <w:top w:val="nil"/>
              <w:left w:val="nil"/>
              <w:bottom w:val="nil"/>
              <w:right w:val="nil"/>
            </w:tcBorders>
            <w:shd w:val="clear" w:color="auto" w:fill="auto"/>
            <w:noWrap/>
            <w:vAlign w:val="bottom"/>
            <w:hideMark/>
          </w:tcPr>
          <w:p w14:paraId="7A35D551" w14:textId="16B64BD3"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1,437,471 </w:t>
            </w:r>
          </w:p>
        </w:tc>
        <w:tc>
          <w:tcPr>
            <w:tcW w:w="977" w:type="dxa"/>
            <w:tcBorders>
              <w:top w:val="nil"/>
              <w:left w:val="nil"/>
              <w:bottom w:val="nil"/>
              <w:right w:val="nil"/>
            </w:tcBorders>
            <w:shd w:val="clear" w:color="auto" w:fill="auto"/>
            <w:noWrap/>
            <w:vAlign w:val="bottom"/>
            <w:hideMark/>
          </w:tcPr>
          <w:p w14:paraId="7E457B2F" w14:textId="6FFC77F5"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1,447,169 </w:t>
            </w:r>
          </w:p>
        </w:tc>
      </w:tr>
      <w:tr w:rsidR="00254303" w:rsidRPr="00CB3E19" w14:paraId="630F583A" w14:textId="77777777" w:rsidTr="00F96D8A">
        <w:trPr>
          <w:trHeight w:val="204"/>
        </w:trPr>
        <w:tc>
          <w:tcPr>
            <w:tcW w:w="2835" w:type="dxa"/>
            <w:tcBorders>
              <w:top w:val="nil"/>
              <w:left w:val="nil"/>
              <w:right w:val="nil"/>
            </w:tcBorders>
            <w:shd w:val="clear" w:color="auto" w:fill="auto"/>
            <w:vAlign w:val="bottom"/>
            <w:hideMark/>
          </w:tcPr>
          <w:p w14:paraId="1FCE4E02"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 xml:space="preserve">Expenses not requiring appropriation in the Budget year </w:t>
            </w:r>
            <w:r w:rsidRPr="005800E2">
              <w:rPr>
                <w:rFonts w:ascii="Arial" w:hAnsi="Arial" w:cs="Arial"/>
                <w:sz w:val="16"/>
                <w:szCs w:val="16"/>
                <w:vertAlign w:val="superscript"/>
              </w:rPr>
              <w:t>(b)</w:t>
            </w:r>
          </w:p>
        </w:tc>
        <w:tc>
          <w:tcPr>
            <w:tcW w:w="976" w:type="dxa"/>
            <w:tcBorders>
              <w:top w:val="nil"/>
              <w:left w:val="nil"/>
              <w:bottom w:val="nil"/>
              <w:right w:val="nil"/>
            </w:tcBorders>
            <w:shd w:val="clear" w:color="auto" w:fill="auto"/>
            <w:noWrap/>
            <w:vAlign w:val="bottom"/>
            <w:hideMark/>
          </w:tcPr>
          <w:p w14:paraId="48936AF5" w14:textId="7457AFF8"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1,250,840 </w:t>
            </w:r>
          </w:p>
        </w:tc>
        <w:tc>
          <w:tcPr>
            <w:tcW w:w="977" w:type="dxa"/>
            <w:tcBorders>
              <w:top w:val="nil"/>
              <w:left w:val="nil"/>
              <w:bottom w:val="nil"/>
              <w:right w:val="nil"/>
            </w:tcBorders>
            <w:shd w:val="clear" w:color="000000" w:fill="E6E6E6"/>
            <w:noWrap/>
            <w:vAlign w:val="bottom"/>
            <w:hideMark/>
          </w:tcPr>
          <w:p w14:paraId="5A7B16BD" w14:textId="152B77D7"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824,944 </w:t>
            </w:r>
          </w:p>
        </w:tc>
        <w:tc>
          <w:tcPr>
            <w:tcW w:w="977" w:type="dxa"/>
            <w:tcBorders>
              <w:top w:val="nil"/>
              <w:left w:val="nil"/>
              <w:bottom w:val="nil"/>
              <w:right w:val="nil"/>
            </w:tcBorders>
            <w:shd w:val="clear" w:color="auto" w:fill="auto"/>
            <w:noWrap/>
            <w:vAlign w:val="bottom"/>
            <w:hideMark/>
          </w:tcPr>
          <w:p w14:paraId="3F24336B" w14:textId="23971C36"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777,867 </w:t>
            </w:r>
          </w:p>
        </w:tc>
        <w:tc>
          <w:tcPr>
            <w:tcW w:w="977" w:type="dxa"/>
            <w:tcBorders>
              <w:top w:val="nil"/>
              <w:left w:val="nil"/>
              <w:bottom w:val="nil"/>
              <w:right w:val="nil"/>
            </w:tcBorders>
            <w:shd w:val="clear" w:color="auto" w:fill="auto"/>
            <w:noWrap/>
            <w:vAlign w:val="bottom"/>
            <w:hideMark/>
          </w:tcPr>
          <w:p w14:paraId="6AD552C8" w14:textId="6CE60754"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807,794 </w:t>
            </w:r>
          </w:p>
        </w:tc>
        <w:tc>
          <w:tcPr>
            <w:tcW w:w="977" w:type="dxa"/>
            <w:tcBorders>
              <w:top w:val="nil"/>
              <w:left w:val="nil"/>
              <w:bottom w:val="nil"/>
              <w:right w:val="nil"/>
            </w:tcBorders>
            <w:shd w:val="clear" w:color="auto" w:fill="auto"/>
            <w:noWrap/>
            <w:vAlign w:val="bottom"/>
            <w:hideMark/>
          </w:tcPr>
          <w:p w14:paraId="14D5A45E" w14:textId="4A33FBF9"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863,019 </w:t>
            </w:r>
          </w:p>
        </w:tc>
      </w:tr>
      <w:tr w:rsidR="00254303" w:rsidRPr="00CB3E19" w14:paraId="0BAE9912" w14:textId="77777777" w:rsidTr="00F96D8A">
        <w:trPr>
          <w:trHeight w:val="204"/>
        </w:trPr>
        <w:tc>
          <w:tcPr>
            <w:tcW w:w="2835" w:type="dxa"/>
            <w:tcBorders>
              <w:top w:val="nil"/>
              <w:left w:val="nil"/>
              <w:bottom w:val="single" w:sz="4" w:space="0" w:color="auto"/>
              <w:right w:val="nil"/>
            </w:tcBorders>
            <w:shd w:val="clear" w:color="auto" w:fill="auto"/>
            <w:vAlign w:val="bottom"/>
            <w:hideMark/>
          </w:tcPr>
          <w:p w14:paraId="5EB89E1B" w14:textId="1CC1BDF3" w:rsidR="00254303" w:rsidRPr="00CB3E19" w:rsidRDefault="00254303" w:rsidP="00747426">
            <w:pPr>
              <w:spacing w:after="0" w:line="240" w:lineRule="auto"/>
              <w:jc w:val="left"/>
              <w:rPr>
                <w:rFonts w:ascii="Arial" w:hAnsi="Arial" w:cs="Arial"/>
                <w:b/>
                <w:bCs/>
                <w:sz w:val="16"/>
                <w:szCs w:val="16"/>
              </w:rPr>
            </w:pPr>
            <w:r w:rsidRPr="00CB3E19">
              <w:rPr>
                <w:rFonts w:ascii="Arial" w:hAnsi="Arial" w:cs="Arial"/>
                <w:b/>
                <w:bCs/>
                <w:sz w:val="16"/>
                <w:szCs w:val="16"/>
              </w:rPr>
              <w:t xml:space="preserve">Total </w:t>
            </w:r>
            <w:r>
              <w:rPr>
                <w:rFonts w:ascii="Arial" w:hAnsi="Arial" w:cs="Arial"/>
                <w:b/>
                <w:bCs/>
                <w:sz w:val="16"/>
                <w:szCs w:val="16"/>
              </w:rPr>
              <w:t>A</w:t>
            </w:r>
            <w:r w:rsidRPr="00CB3E19">
              <w:rPr>
                <w:rFonts w:ascii="Arial" w:hAnsi="Arial" w:cs="Arial"/>
                <w:b/>
                <w:bCs/>
                <w:sz w:val="16"/>
                <w:szCs w:val="16"/>
              </w:rPr>
              <w:t>dministered expenses</w:t>
            </w:r>
          </w:p>
        </w:tc>
        <w:tc>
          <w:tcPr>
            <w:tcW w:w="976" w:type="dxa"/>
            <w:tcBorders>
              <w:top w:val="single" w:sz="4" w:space="0" w:color="auto"/>
              <w:left w:val="nil"/>
              <w:bottom w:val="single" w:sz="4" w:space="0" w:color="auto"/>
              <w:right w:val="nil"/>
            </w:tcBorders>
            <w:shd w:val="clear" w:color="auto" w:fill="auto"/>
            <w:noWrap/>
            <w:vAlign w:val="bottom"/>
            <w:hideMark/>
          </w:tcPr>
          <w:p w14:paraId="6B96675E" w14:textId="572824B8"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3,185,702 </w:t>
            </w:r>
          </w:p>
        </w:tc>
        <w:tc>
          <w:tcPr>
            <w:tcW w:w="977" w:type="dxa"/>
            <w:tcBorders>
              <w:top w:val="single" w:sz="4" w:space="0" w:color="auto"/>
              <w:left w:val="nil"/>
              <w:bottom w:val="single" w:sz="4" w:space="0" w:color="auto"/>
              <w:right w:val="nil"/>
            </w:tcBorders>
            <w:shd w:val="clear" w:color="000000" w:fill="E6E6E6"/>
            <w:noWrap/>
            <w:vAlign w:val="bottom"/>
            <w:hideMark/>
          </w:tcPr>
          <w:p w14:paraId="04088121" w14:textId="6815D2CD"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2,886,130 </w:t>
            </w:r>
          </w:p>
        </w:tc>
        <w:tc>
          <w:tcPr>
            <w:tcW w:w="977" w:type="dxa"/>
            <w:tcBorders>
              <w:top w:val="single" w:sz="4" w:space="0" w:color="auto"/>
              <w:left w:val="nil"/>
              <w:bottom w:val="single" w:sz="4" w:space="0" w:color="auto"/>
              <w:right w:val="nil"/>
            </w:tcBorders>
            <w:shd w:val="clear" w:color="auto" w:fill="auto"/>
            <w:noWrap/>
            <w:vAlign w:val="bottom"/>
            <w:hideMark/>
          </w:tcPr>
          <w:p w14:paraId="554E8BC1" w14:textId="78B5AD56"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2,754,436 </w:t>
            </w:r>
          </w:p>
        </w:tc>
        <w:tc>
          <w:tcPr>
            <w:tcW w:w="977" w:type="dxa"/>
            <w:tcBorders>
              <w:top w:val="single" w:sz="4" w:space="0" w:color="auto"/>
              <w:left w:val="nil"/>
              <w:bottom w:val="single" w:sz="4" w:space="0" w:color="auto"/>
              <w:right w:val="nil"/>
            </w:tcBorders>
            <w:shd w:val="clear" w:color="auto" w:fill="auto"/>
            <w:noWrap/>
            <w:vAlign w:val="bottom"/>
            <w:hideMark/>
          </w:tcPr>
          <w:p w14:paraId="415450DE" w14:textId="47360055"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2,758,321 </w:t>
            </w:r>
          </w:p>
        </w:tc>
        <w:tc>
          <w:tcPr>
            <w:tcW w:w="977" w:type="dxa"/>
            <w:tcBorders>
              <w:top w:val="single" w:sz="4" w:space="0" w:color="auto"/>
              <w:left w:val="nil"/>
              <w:bottom w:val="single" w:sz="4" w:space="0" w:color="auto"/>
              <w:right w:val="nil"/>
            </w:tcBorders>
            <w:shd w:val="clear" w:color="auto" w:fill="auto"/>
            <w:noWrap/>
            <w:vAlign w:val="bottom"/>
            <w:hideMark/>
          </w:tcPr>
          <w:p w14:paraId="5AAF21C0" w14:textId="097F471A"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2,828,723 </w:t>
            </w:r>
          </w:p>
        </w:tc>
      </w:tr>
    </w:tbl>
    <w:p w14:paraId="4433049B" w14:textId="77777777" w:rsidR="00B91F3E" w:rsidRDefault="00B91F3E" w:rsidP="00B91F3E"/>
    <w:p w14:paraId="74448992" w14:textId="77777777" w:rsidR="00B91F3E" w:rsidRDefault="00B91F3E" w:rsidP="00B91F3E">
      <w:pPr>
        <w:pStyle w:val="TableHeading"/>
        <w:rPr>
          <w:noProof/>
        </w:rPr>
      </w:pPr>
      <w:r>
        <w:br w:type="page"/>
      </w:r>
      <w:r>
        <w:lastRenderedPageBreak/>
        <w:t>Table 2.</w:t>
      </w:r>
      <w:r>
        <w:rPr>
          <w:lang w:val="en-GB"/>
        </w:rPr>
        <w:t>5</w:t>
      </w:r>
      <w:r>
        <w:t xml:space="preserve">.1: Budgeted expenses for Outcome </w:t>
      </w:r>
      <w:r>
        <w:rPr>
          <w:lang w:val="en-GB"/>
        </w:rPr>
        <w:t>5</w:t>
      </w:r>
      <w:r>
        <w:rPr>
          <w:lang w:val="en-AU"/>
        </w:rPr>
        <w:t xml:space="preserve"> (continued)</w:t>
      </w:r>
    </w:p>
    <w:tbl>
      <w:tblPr>
        <w:tblW w:w="7776" w:type="dxa"/>
        <w:tblLayout w:type="fixed"/>
        <w:tblLook w:val="04A0" w:firstRow="1" w:lastRow="0" w:firstColumn="1" w:lastColumn="0" w:noHBand="0" w:noVBand="1"/>
      </w:tblPr>
      <w:tblGrid>
        <w:gridCol w:w="2835"/>
        <w:gridCol w:w="996"/>
        <w:gridCol w:w="957"/>
        <w:gridCol w:w="931"/>
        <w:gridCol w:w="65"/>
        <w:gridCol w:w="912"/>
        <w:gridCol w:w="84"/>
        <w:gridCol w:w="893"/>
        <w:gridCol w:w="103"/>
      </w:tblGrid>
      <w:tr w:rsidR="00B91F3E" w:rsidRPr="00CB3E19" w14:paraId="04ED3931" w14:textId="77777777" w:rsidTr="00F96D8A">
        <w:trPr>
          <w:gridAfter w:val="1"/>
          <w:wAfter w:w="103" w:type="dxa"/>
          <w:trHeight w:val="204"/>
        </w:trPr>
        <w:tc>
          <w:tcPr>
            <w:tcW w:w="2835" w:type="dxa"/>
            <w:tcBorders>
              <w:top w:val="single" w:sz="4" w:space="0" w:color="auto"/>
              <w:left w:val="nil"/>
              <w:bottom w:val="nil"/>
              <w:right w:val="nil"/>
            </w:tcBorders>
            <w:shd w:val="clear" w:color="auto" w:fill="auto"/>
            <w:noWrap/>
            <w:vAlign w:val="bottom"/>
            <w:hideMark/>
          </w:tcPr>
          <w:p w14:paraId="045E8906" w14:textId="77777777" w:rsidR="00B91F3E" w:rsidRPr="00CB3E19" w:rsidRDefault="00B91F3E" w:rsidP="00F96D8A">
            <w:pPr>
              <w:spacing w:after="0" w:line="240" w:lineRule="auto"/>
              <w:jc w:val="left"/>
              <w:rPr>
                <w:rFonts w:ascii="Arial" w:hAnsi="Arial" w:cs="Arial"/>
                <w:b/>
                <w:bCs/>
                <w:sz w:val="16"/>
                <w:szCs w:val="16"/>
              </w:rPr>
            </w:pPr>
            <w:r w:rsidRPr="00CB3E19">
              <w:rPr>
                <w:rFonts w:ascii="Arial" w:hAnsi="Arial" w:cs="Arial"/>
                <w:b/>
                <w:bCs/>
                <w:sz w:val="16"/>
                <w:szCs w:val="16"/>
              </w:rPr>
              <w:t> </w:t>
            </w:r>
          </w:p>
        </w:tc>
        <w:tc>
          <w:tcPr>
            <w:tcW w:w="996" w:type="dxa"/>
            <w:tcBorders>
              <w:top w:val="single" w:sz="4" w:space="0" w:color="auto"/>
              <w:left w:val="nil"/>
              <w:bottom w:val="single" w:sz="4" w:space="0" w:color="auto"/>
              <w:right w:val="nil"/>
            </w:tcBorders>
            <w:shd w:val="clear" w:color="auto" w:fill="auto"/>
            <w:vAlign w:val="bottom"/>
            <w:hideMark/>
          </w:tcPr>
          <w:p w14:paraId="39BB5CB5"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2021-22 Actual expenses $'000</w:t>
            </w:r>
          </w:p>
        </w:tc>
        <w:tc>
          <w:tcPr>
            <w:tcW w:w="957" w:type="dxa"/>
            <w:tcBorders>
              <w:top w:val="single" w:sz="4" w:space="0" w:color="auto"/>
              <w:left w:val="nil"/>
              <w:bottom w:val="single" w:sz="4" w:space="0" w:color="auto"/>
              <w:right w:val="nil"/>
            </w:tcBorders>
            <w:shd w:val="clear" w:color="000000" w:fill="E6E6E6"/>
            <w:vAlign w:val="bottom"/>
            <w:hideMark/>
          </w:tcPr>
          <w:p w14:paraId="63E06810" w14:textId="77777777" w:rsidR="00B91F3E" w:rsidRDefault="00B91F3E" w:rsidP="00F96D8A">
            <w:pPr>
              <w:spacing w:after="0" w:line="240" w:lineRule="auto"/>
              <w:jc w:val="right"/>
              <w:rPr>
                <w:rFonts w:ascii="Arial" w:hAnsi="Arial" w:cs="Arial"/>
                <w:sz w:val="16"/>
                <w:szCs w:val="16"/>
              </w:rPr>
            </w:pPr>
            <w:r w:rsidRPr="00CB3E19">
              <w:rPr>
                <w:rFonts w:ascii="Arial" w:hAnsi="Arial" w:cs="Arial"/>
                <w:sz w:val="16"/>
                <w:szCs w:val="16"/>
              </w:rPr>
              <w:t xml:space="preserve">2022-23 Budget </w:t>
            </w:r>
          </w:p>
          <w:p w14:paraId="330525A0" w14:textId="77777777" w:rsidR="00B91F3E" w:rsidRDefault="00B91F3E" w:rsidP="00F96D8A">
            <w:pPr>
              <w:spacing w:after="0" w:line="240" w:lineRule="auto"/>
              <w:jc w:val="right"/>
              <w:rPr>
                <w:rFonts w:ascii="Arial" w:hAnsi="Arial" w:cs="Arial"/>
                <w:sz w:val="16"/>
                <w:szCs w:val="16"/>
              </w:rPr>
            </w:pPr>
          </w:p>
          <w:p w14:paraId="67812F9B"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$'000</w:t>
            </w:r>
          </w:p>
        </w:tc>
        <w:tc>
          <w:tcPr>
            <w:tcW w:w="931" w:type="dxa"/>
            <w:tcBorders>
              <w:top w:val="single" w:sz="4" w:space="0" w:color="auto"/>
              <w:left w:val="nil"/>
              <w:bottom w:val="single" w:sz="4" w:space="0" w:color="auto"/>
              <w:right w:val="nil"/>
            </w:tcBorders>
            <w:shd w:val="clear" w:color="auto" w:fill="auto"/>
            <w:vAlign w:val="bottom"/>
            <w:hideMark/>
          </w:tcPr>
          <w:p w14:paraId="620C4E42"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2023-24 Forward estimate $'000</w:t>
            </w:r>
          </w:p>
        </w:tc>
        <w:tc>
          <w:tcPr>
            <w:tcW w:w="977" w:type="dxa"/>
            <w:gridSpan w:val="2"/>
            <w:tcBorders>
              <w:top w:val="single" w:sz="4" w:space="0" w:color="auto"/>
              <w:left w:val="nil"/>
              <w:bottom w:val="single" w:sz="4" w:space="0" w:color="auto"/>
              <w:right w:val="nil"/>
            </w:tcBorders>
            <w:shd w:val="clear" w:color="auto" w:fill="auto"/>
            <w:vAlign w:val="bottom"/>
            <w:hideMark/>
          </w:tcPr>
          <w:p w14:paraId="0D232AF9"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2024-25 Forward estimate $'000</w:t>
            </w:r>
          </w:p>
        </w:tc>
        <w:tc>
          <w:tcPr>
            <w:tcW w:w="977" w:type="dxa"/>
            <w:gridSpan w:val="2"/>
            <w:tcBorders>
              <w:top w:val="single" w:sz="4" w:space="0" w:color="auto"/>
              <w:left w:val="nil"/>
              <w:bottom w:val="single" w:sz="4" w:space="0" w:color="auto"/>
              <w:right w:val="nil"/>
            </w:tcBorders>
            <w:shd w:val="clear" w:color="auto" w:fill="auto"/>
            <w:vAlign w:val="bottom"/>
            <w:hideMark/>
          </w:tcPr>
          <w:p w14:paraId="193442A3"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2025-26 Forward estimate $'000</w:t>
            </w:r>
          </w:p>
        </w:tc>
      </w:tr>
      <w:tr w:rsidR="00B91F3E" w:rsidRPr="00CB3E19" w14:paraId="775838D4" w14:textId="77777777" w:rsidTr="00F96D8A">
        <w:trPr>
          <w:trHeight w:val="204"/>
        </w:trPr>
        <w:tc>
          <w:tcPr>
            <w:tcW w:w="2835" w:type="dxa"/>
            <w:tcBorders>
              <w:top w:val="nil"/>
              <w:left w:val="nil"/>
              <w:bottom w:val="nil"/>
              <w:right w:val="nil"/>
            </w:tcBorders>
            <w:shd w:val="clear" w:color="auto" w:fill="auto"/>
            <w:noWrap/>
            <w:vAlign w:val="bottom"/>
            <w:hideMark/>
          </w:tcPr>
          <w:p w14:paraId="1BB7B557" w14:textId="2D4F1ACC" w:rsidR="00B91F3E" w:rsidRPr="00CB3E19" w:rsidRDefault="003C4CC6" w:rsidP="00F96D8A">
            <w:pPr>
              <w:spacing w:after="0" w:line="240" w:lineRule="auto"/>
              <w:jc w:val="left"/>
              <w:rPr>
                <w:rFonts w:ascii="Arial" w:hAnsi="Arial" w:cs="Arial"/>
                <w:sz w:val="16"/>
                <w:szCs w:val="16"/>
              </w:rPr>
            </w:pPr>
            <w:r>
              <w:rPr>
                <w:rFonts w:ascii="Arial" w:hAnsi="Arial" w:cs="Arial"/>
                <w:sz w:val="16"/>
                <w:szCs w:val="16"/>
              </w:rPr>
              <w:t>Department</w:t>
            </w:r>
            <w:r w:rsidR="00B91F3E" w:rsidRPr="00CB3E19">
              <w:rPr>
                <w:rFonts w:ascii="Arial" w:hAnsi="Arial" w:cs="Arial"/>
                <w:sz w:val="16"/>
                <w:szCs w:val="16"/>
              </w:rPr>
              <w:t>al expenses</w:t>
            </w:r>
          </w:p>
        </w:tc>
        <w:tc>
          <w:tcPr>
            <w:tcW w:w="996" w:type="dxa"/>
            <w:tcBorders>
              <w:top w:val="nil"/>
              <w:left w:val="nil"/>
              <w:bottom w:val="nil"/>
              <w:right w:val="nil"/>
            </w:tcBorders>
            <w:shd w:val="clear" w:color="auto" w:fill="auto"/>
            <w:noWrap/>
            <w:vAlign w:val="bottom"/>
            <w:hideMark/>
          </w:tcPr>
          <w:p w14:paraId="71B48858" w14:textId="77777777" w:rsidR="00B91F3E" w:rsidRPr="00CB3E19" w:rsidRDefault="00B91F3E" w:rsidP="00F96D8A">
            <w:pPr>
              <w:spacing w:after="0" w:line="240" w:lineRule="auto"/>
              <w:jc w:val="right"/>
              <w:rPr>
                <w:rFonts w:ascii="Arial" w:hAnsi="Arial" w:cs="Arial"/>
                <w:sz w:val="16"/>
                <w:szCs w:val="16"/>
              </w:rPr>
            </w:pPr>
          </w:p>
        </w:tc>
        <w:tc>
          <w:tcPr>
            <w:tcW w:w="957" w:type="dxa"/>
            <w:tcBorders>
              <w:top w:val="nil"/>
              <w:left w:val="nil"/>
              <w:bottom w:val="nil"/>
              <w:right w:val="nil"/>
            </w:tcBorders>
            <w:shd w:val="clear" w:color="000000" w:fill="E6E6E6"/>
            <w:noWrap/>
            <w:vAlign w:val="bottom"/>
            <w:hideMark/>
          </w:tcPr>
          <w:p w14:paraId="35DF8B96" w14:textId="77777777" w:rsidR="00B91F3E" w:rsidRPr="00CB3E19"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5BFAB775" w14:textId="77777777" w:rsidR="00B91F3E" w:rsidRPr="00CB3E19" w:rsidRDefault="00B91F3E" w:rsidP="00F96D8A">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3C5CE5A9" w14:textId="77777777" w:rsidR="00B91F3E" w:rsidRPr="00CB3E19" w:rsidRDefault="00B91F3E" w:rsidP="00F96D8A">
            <w:pPr>
              <w:spacing w:after="0" w:line="240" w:lineRule="auto"/>
              <w:jc w:val="right"/>
              <w:rPr>
                <w:rFonts w:ascii="Times New Roman" w:hAnsi="Times New Roman"/>
                <w:sz w:val="16"/>
                <w:szCs w:val="16"/>
              </w:rPr>
            </w:pPr>
          </w:p>
        </w:tc>
        <w:tc>
          <w:tcPr>
            <w:tcW w:w="996" w:type="dxa"/>
            <w:gridSpan w:val="2"/>
            <w:tcBorders>
              <w:top w:val="nil"/>
              <w:left w:val="nil"/>
              <w:bottom w:val="nil"/>
              <w:right w:val="nil"/>
            </w:tcBorders>
            <w:shd w:val="clear" w:color="auto" w:fill="auto"/>
            <w:noWrap/>
            <w:vAlign w:val="bottom"/>
            <w:hideMark/>
          </w:tcPr>
          <w:p w14:paraId="52E35C49" w14:textId="77777777" w:rsidR="00B91F3E" w:rsidRPr="00CB3E19" w:rsidRDefault="00B91F3E" w:rsidP="00F96D8A">
            <w:pPr>
              <w:spacing w:after="0" w:line="240" w:lineRule="auto"/>
              <w:jc w:val="right"/>
              <w:rPr>
                <w:rFonts w:ascii="Times New Roman" w:hAnsi="Times New Roman"/>
                <w:sz w:val="16"/>
                <w:szCs w:val="16"/>
              </w:rPr>
            </w:pPr>
          </w:p>
        </w:tc>
      </w:tr>
      <w:tr w:rsidR="00254303" w:rsidRPr="00CB3E19" w14:paraId="3C5E9452" w14:textId="77777777" w:rsidTr="00F96D8A">
        <w:trPr>
          <w:trHeight w:val="204"/>
        </w:trPr>
        <w:tc>
          <w:tcPr>
            <w:tcW w:w="2835" w:type="dxa"/>
            <w:tcBorders>
              <w:top w:val="nil"/>
              <w:left w:val="nil"/>
              <w:bottom w:val="nil"/>
              <w:right w:val="nil"/>
            </w:tcBorders>
            <w:shd w:val="clear" w:color="auto" w:fill="auto"/>
            <w:noWrap/>
            <w:vAlign w:val="bottom"/>
            <w:hideMark/>
          </w:tcPr>
          <w:p w14:paraId="0E8914D4" w14:textId="49F5D2A8" w:rsidR="00254303" w:rsidRPr="00CB3E19" w:rsidRDefault="00254303" w:rsidP="00254303">
            <w:pPr>
              <w:spacing w:after="0" w:line="240" w:lineRule="auto"/>
              <w:ind w:left="113"/>
              <w:jc w:val="left"/>
              <w:rPr>
                <w:rFonts w:ascii="Arial" w:hAnsi="Arial" w:cs="Arial"/>
                <w:sz w:val="16"/>
                <w:szCs w:val="16"/>
              </w:rPr>
            </w:pPr>
            <w:r>
              <w:rPr>
                <w:rFonts w:ascii="Arial" w:hAnsi="Arial" w:cs="Arial"/>
                <w:sz w:val="16"/>
                <w:szCs w:val="16"/>
              </w:rPr>
              <w:t>Department</w:t>
            </w:r>
            <w:r w:rsidRPr="00CB3E19">
              <w:rPr>
                <w:rFonts w:ascii="Arial" w:hAnsi="Arial" w:cs="Arial"/>
                <w:sz w:val="16"/>
                <w:szCs w:val="16"/>
              </w:rPr>
              <w:t>al appropriation</w:t>
            </w:r>
          </w:p>
        </w:tc>
        <w:tc>
          <w:tcPr>
            <w:tcW w:w="996" w:type="dxa"/>
            <w:tcBorders>
              <w:top w:val="nil"/>
              <w:left w:val="nil"/>
              <w:bottom w:val="nil"/>
              <w:right w:val="nil"/>
            </w:tcBorders>
            <w:shd w:val="clear" w:color="auto" w:fill="auto"/>
            <w:noWrap/>
            <w:vAlign w:val="bottom"/>
            <w:hideMark/>
          </w:tcPr>
          <w:p w14:paraId="3BF0CD93" w14:textId="1A0EE3FC"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69,750 </w:t>
            </w:r>
          </w:p>
        </w:tc>
        <w:tc>
          <w:tcPr>
            <w:tcW w:w="957" w:type="dxa"/>
            <w:tcBorders>
              <w:top w:val="nil"/>
              <w:left w:val="nil"/>
              <w:bottom w:val="nil"/>
              <w:right w:val="nil"/>
            </w:tcBorders>
            <w:shd w:val="clear" w:color="000000" w:fill="E6E6E6"/>
            <w:noWrap/>
            <w:vAlign w:val="bottom"/>
            <w:hideMark/>
          </w:tcPr>
          <w:p w14:paraId="200B61F6" w14:textId="4B73A0EB"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82,096 </w:t>
            </w:r>
          </w:p>
        </w:tc>
        <w:tc>
          <w:tcPr>
            <w:tcW w:w="996" w:type="dxa"/>
            <w:gridSpan w:val="2"/>
            <w:tcBorders>
              <w:top w:val="nil"/>
              <w:left w:val="nil"/>
              <w:bottom w:val="nil"/>
              <w:right w:val="nil"/>
            </w:tcBorders>
            <w:shd w:val="clear" w:color="auto" w:fill="auto"/>
            <w:noWrap/>
            <w:vAlign w:val="bottom"/>
            <w:hideMark/>
          </w:tcPr>
          <w:p w14:paraId="6FB9E0DF" w14:textId="1A63E5F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79,226 </w:t>
            </w:r>
          </w:p>
        </w:tc>
        <w:tc>
          <w:tcPr>
            <w:tcW w:w="996" w:type="dxa"/>
            <w:gridSpan w:val="2"/>
            <w:tcBorders>
              <w:top w:val="nil"/>
              <w:left w:val="nil"/>
              <w:bottom w:val="nil"/>
              <w:right w:val="nil"/>
            </w:tcBorders>
            <w:shd w:val="clear" w:color="auto" w:fill="auto"/>
            <w:noWrap/>
            <w:vAlign w:val="bottom"/>
            <w:hideMark/>
          </w:tcPr>
          <w:p w14:paraId="48F4C84B" w14:textId="6166DB34"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68,003 </w:t>
            </w:r>
          </w:p>
        </w:tc>
        <w:tc>
          <w:tcPr>
            <w:tcW w:w="996" w:type="dxa"/>
            <w:gridSpan w:val="2"/>
            <w:tcBorders>
              <w:top w:val="nil"/>
              <w:left w:val="nil"/>
              <w:bottom w:val="nil"/>
              <w:right w:val="nil"/>
            </w:tcBorders>
            <w:shd w:val="clear" w:color="auto" w:fill="auto"/>
            <w:noWrap/>
            <w:vAlign w:val="bottom"/>
            <w:hideMark/>
          </w:tcPr>
          <w:p w14:paraId="71B4B3B1" w14:textId="50D31A35"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62,198 </w:t>
            </w:r>
          </w:p>
        </w:tc>
      </w:tr>
      <w:tr w:rsidR="00254303" w:rsidRPr="00CB3E19" w14:paraId="0998904E" w14:textId="77777777" w:rsidTr="00F96D8A">
        <w:trPr>
          <w:trHeight w:val="204"/>
        </w:trPr>
        <w:tc>
          <w:tcPr>
            <w:tcW w:w="2835" w:type="dxa"/>
            <w:tcBorders>
              <w:top w:val="nil"/>
              <w:left w:val="nil"/>
              <w:bottom w:val="nil"/>
              <w:right w:val="nil"/>
            </w:tcBorders>
            <w:shd w:val="clear" w:color="auto" w:fill="auto"/>
            <w:noWrap/>
            <w:vAlign w:val="bottom"/>
            <w:hideMark/>
          </w:tcPr>
          <w:p w14:paraId="136CF3EB" w14:textId="47847D61" w:rsidR="00254303" w:rsidRPr="00CB3E19" w:rsidRDefault="00254303" w:rsidP="00AC4BC5">
            <w:pPr>
              <w:spacing w:after="0" w:line="240" w:lineRule="auto"/>
              <w:ind w:left="113"/>
              <w:jc w:val="left"/>
              <w:rPr>
                <w:rFonts w:ascii="Arial" w:hAnsi="Arial" w:cs="Arial"/>
                <w:sz w:val="16"/>
                <w:szCs w:val="16"/>
              </w:rPr>
            </w:pPr>
            <w:r w:rsidRPr="00CB3E19">
              <w:rPr>
                <w:rFonts w:ascii="Arial" w:hAnsi="Arial" w:cs="Arial"/>
                <w:sz w:val="16"/>
                <w:szCs w:val="16"/>
              </w:rPr>
              <w:t xml:space="preserve">s74 </w:t>
            </w:r>
            <w:r w:rsidR="00AC4BC5">
              <w:rPr>
                <w:rFonts w:ascii="Arial" w:hAnsi="Arial" w:cs="Arial"/>
                <w:sz w:val="16"/>
                <w:szCs w:val="16"/>
              </w:rPr>
              <w:t>e</w:t>
            </w:r>
            <w:r w:rsidRPr="00CB3E19">
              <w:rPr>
                <w:rFonts w:ascii="Arial" w:hAnsi="Arial" w:cs="Arial"/>
                <w:sz w:val="16"/>
                <w:szCs w:val="16"/>
              </w:rPr>
              <w:t xml:space="preserve">xternal </w:t>
            </w:r>
            <w:r w:rsidR="00AC4BC5">
              <w:rPr>
                <w:rFonts w:ascii="Arial" w:hAnsi="Arial" w:cs="Arial"/>
                <w:sz w:val="16"/>
                <w:szCs w:val="16"/>
              </w:rPr>
              <w:t>r</w:t>
            </w:r>
            <w:r w:rsidRPr="00CB3E19">
              <w:rPr>
                <w:rFonts w:ascii="Arial" w:hAnsi="Arial" w:cs="Arial"/>
                <w:sz w:val="16"/>
                <w:szCs w:val="16"/>
              </w:rPr>
              <w:t>evenue</w:t>
            </w:r>
            <w:r w:rsidR="00AC4BC5">
              <w:rPr>
                <w:rFonts w:ascii="Arial" w:hAnsi="Arial" w:cs="Arial"/>
                <w:sz w:val="16"/>
                <w:szCs w:val="16"/>
              </w:rPr>
              <w:t>s</w:t>
            </w:r>
            <w:r w:rsidRPr="00CB3E19">
              <w:rPr>
                <w:rFonts w:ascii="Arial" w:hAnsi="Arial" w:cs="Arial"/>
                <w:sz w:val="16"/>
                <w:szCs w:val="16"/>
              </w:rPr>
              <w:t xml:space="preserve"> </w:t>
            </w:r>
            <w:r w:rsidRPr="005800E2">
              <w:rPr>
                <w:rFonts w:ascii="Arial" w:hAnsi="Arial" w:cs="Arial"/>
                <w:sz w:val="16"/>
                <w:szCs w:val="16"/>
                <w:vertAlign w:val="superscript"/>
              </w:rPr>
              <w:t>(c)</w:t>
            </w:r>
          </w:p>
        </w:tc>
        <w:tc>
          <w:tcPr>
            <w:tcW w:w="996" w:type="dxa"/>
            <w:tcBorders>
              <w:top w:val="nil"/>
              <w:left w:val="nil"/>
              <w:bottom w:val="nil"/>
              <w:right w:val="nil"/>
            </w:tcBorders>
            <w:shd w:val="clear" w:color="auto" w:fill="auto"/>
            <w:noWrap/>
            <w:vAlign w:val="bottom"/>
            <w:hideMark/>
          </w:tcPr>
          <w:p w14:paraId="55D647F3" w14:textId="3F9FFD26"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1,991 </w:t>
            </w:r>
          </w:p>
        </w:tc>
        <w:tc>
          <w:tcPr>
            <w:tcW w:w="957" w:type="dxa"/>
            <w:tcBorders>
              <w:top w:val="nil"/>
              <w:left w:val="nil"/>
              <w:bottom w:val="nil"/>
              <w:right w:val="nil"/>
            </w:tcBorders>
            <w:shd w:val="clear" w:color="000000" w:fill="E6E6E6"/>
            <w:noWrap/>
            <w:vAlign w:val="bottom"/>
            <w:hideMark/>
          </w:tcPr>
          <w:p w14:paraId="18931D5B" w14:textId="041C0FF3"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1,940 </w:t>
            </w:r>
          </w:p>
        </w:tc>
        <w:tc>
          <w:tcPr>
            <w:tcW w:w="996" w:type="dxa"/>
            <w:gridSpan w:val="2"/>
            <w:tcBorders>
              <w:top w:val="nil"/>
              <w:left w:val="nil"/>
              <w:bottom w:val="nil"/>
              <w:right w:val="nil"/>
            </w:tcBorders>
            <w:shd w:val="clear" w:color="auto" w:fill="auto"/>
            <w:noWrap/>
            <w:vAlign w:val="bottom"/>
            <w:hideMark/>
          </w:tcPr>
          <w:p w14:paraId="5ED9EAFF" w14:textId="67841821"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2,444 </w:t>
            </w:r>
          </w:p>
        </w:tc>
        <w:tc>
          <w:tcPr>
            <w:tcW w:w="996" w:type="dxa"/>
            <w:gridSpan w:val="2"/>
            <w:tcBorders>
              <w:top w:val="nil"/>
              <w:left w:val="nil"/>
              <w:bottom w:val="nil"/>
              <w:right w:val="nil"/>
            </w:tcBorders>
            <w:shd w:val="clear" w:color="auto" w:fill="auto"/>
            <w:noWrap/>
            <w:vAlign w:val="bottom"/>
            <w:hideMark/>
          </w:tcPr>
          <w:p w14:paraId="691928A7" w14:textId="4C8CC726"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2,407 </w:t>
            </w:r>
          </w:p>
        </w:tc>
        <w:tc>
          <w:tcPr>
            <w:tcW w:w="996" w:type="dxa"/>
            <w:gridSpan w:val="2"/>
            <w:tcBorders>
              <w:top w:val="nil"/>
              <w:left w:val="nil"/>
              <w:bottom w:val="nil"/>
              <w:right w:val="nil"/>
            </w:tcBorders>
            <w:shd w:val="clear" w:color="auto" w:fill="auto"/>
            <w:noWrap/>
            <w:vAlign w:val="bottom"/>
            <w:hideMark/>
          </w:tcPr>
          <w:p w14:paraId="05397DB7" w14:textId="33D4CB2B"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2,250 </w:t>
            </w:r>
          </w:p>
        </w:tc>
      </w:tr>
      <w:tr w:rsidR="00254303" w:rsidRPr="00CB3E19" w14:paraId="293736F8" w14:textId="77777777" w:rsidTr="00F96D8A">
        <w:trPr>
          <w:trHeight w:val="204"/>
        </w:trPr>
        <w:tc>
          <w:tcPr>
            <w:tcW w:w="2835" w:type="dxa"/>
            <w:tcBorders>
              <w:top w:val="nil"/>
              <w:left w:val="nil"/>
              <w:bottom w:val="nil"/>
              <w:right w:val="nil"/>
            </w:tcBorders>
            <w:shd w:val="clear" w:color="auto" w:fill="auto"/>
            <w:noWrap/>
            <w:vAlign w:val="bottom"/>
            <w:hideMark/>
          </w:tcPr>
          <w:p w14:paraId="3CE4A401"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Special accounts</w:t>
            </w:r>
          </w:p>
        </w:tc>
        <w:tc>
          <w:tcPr>
            <w:tcW w:w="996" w:type="dxa"/>
            <w:tcBorders>
              <w:top w:val="nil"/>
              <w:left w:val="nil"/>
              <w:bottom w:val="nil"/>
              <w:right w:val="nil"/>
            </w:tcBorders>
            <w:shd w:val="clear" w:color="auto" w:fill="auto"/>
            <w:noWrap/>
            <w:vAlign w:val="bottom"/>
            <w:hideMark/>
          </w:tcPr>
          <w:p w14:paraId="2A747F86" w14:textId="0B0D9265"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4,046 </w:t>
            </w:r>
          </w:p>
        </w:tc>
        <w:tc>
          <w:tcPr>
            <w:tcW w:w="957" w:type="dxa"/>
            <w:tcBorders>
              <w:top w:val="nil"/>
              <w:left w:val="nil"/>
              <w:bottom w:val="nil"/>
              <w:right w:val="nil"/>
            </w:tcBorders>
            <w:shd w:val="clear" w:color="000000" w:fill="E6E6E6"/>
            <w:noWrap/>
            <w:vAlign w:val="bottom"/>
            <w:hideMark/>
          </w:tcPr>
          <w:p w14:paraId="524D0441" w14:textId="34DEB4E2"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4,046 </w:t>
            </w:r>
          </w:p>
        </w:tc>
        <w:tc>
          <w:tcPr>
            <w:tcW w:w="996" w:type="dxa"/>
            <w:gridSpan w:val="2"/>
            <w:tcBorders>
              <w:top w:val="nil"/>
              <w:left w:val="nil"/>
              <w:bottom w:val="nil"/>
              <w:right w:val="nil"/>
            </w:tcBorders>
            <w:shd w:val="clear" w:color="auto" w:fill="auto"/>
            <w:noWrap/>
            <w:vAlign w:val="bottom"/>
            <w:hideMark/>
          </w:tcPr>
          <w:p w14:paraId="6FA923E0" w14:textId="21C298DE"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4,046 </w:t>
            </w:r>
          </w:p>
        </w:tc>
        <w:tc>
          <w:tcPr>
            <w:tcW w:w="996" w:type="dxa"/>
            <w:gridSpan w:val="2"/>
            <w:tcBorders>
              <w:top w:val="nil"/>
              <w:left w:val="nil"/>
              <w:bottom w:val="nil"/>
              <w:right w:val="nil"/>
            </w:tcBorders>
            <w:shd w:val="clear" w:color="auto" w:fill="auto"/>
            <w:noWrap/>
            <w:vAlign w:val="bottom"/>
            <w:hideMark/>
          </w:tcPr>
          <w:p w14:paraId="46D248A7" w14:textId="62428589"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4,046 </w:t>
            </w:r>
          </w:p>
        </w:tc>
        <w:tc>
          <w:tcPr>
            <w:tcW w:w="996" w:type="dxa"/>
            <w:gridSpan w:val="2"/>
            <w:tcBorders>
              <w:top w:val="nil"/>
              <w:left w:val="nil"/>
              <w:bottom w:val="nil"/>
              <w:right w:val="nil"/>
            </w:tcBorders>
            <w:shd w:val="clear" w:color="auto" w:fill="auto"/>
            <w:noWrap/>
            <w:vAlign w:val="bottom"/>
            <w:hideMark/>
          </w:tcPr>
          <w:p w14:paraId="0C3A0750" w14:textId="6B34F864"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4,046 </w:t>
            </w:r>
          </w:p>
        </w:tc>
      </w:tr>
      <w:tr w:rsidR="00254303" w:rsidRPr="00CB3E19" w14:paraId="431B716B" w14:textId="77777777" w:rsidTr="00F96D8A">
        <w:trPr>
          <w:trHeight w:val="204"/>
        </w:trPr>
        <w:tc>
          <w:tcPr>
            <w:tcW w:w="2835" w:type="dxa"/>
            <w:tcBorders>
              <w:top w:val="nil"/>
              <w:left w:val="nil"/>
              <w:bottom w:val="nil"/>
              <w:right w:val="nil"/>
            </w:tcBorders>
            <w:shd w:val="clear" w:color="auto" w:fill="auto"/>
            <w:vAlign w:val="bottom"/>
            <w:hideMark/>
          </w:tcPr>
          <w:p w14:paraId="464496B2" w14:textId="77777777" w:rsidR="00254303" w:rsidRPr="00CB3E19" w:rsidRDefault="00254303" w:rsidP="00254303">
            <w:pPr>
              <w:spacing w:after="0" w:line="240" w:lineRule="auto"/>
              <w:ind w:left="113"/>
              <w:jc w:val="left"/>
              <w:rPr>
                <w:rFonts w:ascii="Arial" w:hAnsi="Arial" w:cs="Arial"/>
                <w:sz w:val="16"/>
                <w:szCs w:val="16"/>
              </w:rPr>
            </w:pPr>
            <w:r w:rsidRPr="00CB3E19">
              <w:rPr>
                <w:rFonts w:ascii="Arial" w:hAnsi="Arial" w:cs="Arial"/>
                <w:sz w:val="16"/>
                <w:szCs w:val="16"/>
              </w:rPr>
              <w:t xml:space="preserve">Expenses not requiring appropriation in the Budget year </w:t>
            </w:r>
            <w:r w:rsidRPr="005800E2">
              <w:rPr>
                <w:rFonts w:ascii="Arial" w:hAnsi="Arial" w:cs="Arial"/>
                <w:sz w:val="16"/>
                <w:szCs w:val="16"/>
                <w:vertAlign w:val="superscript"/>
              </w:rPr>
              <w:t>(d)</w:t>
            </w:r>
          </w:p>
        </w:tc>
        <w:tc>
          <w:tcPr>
            <w:tcW w:w="996" w:type="dxa"/>
            <w:tcBorders>
              <w:top w:val="nil"/>
              <w:left w:val="nil"/>
              <w:bottom w:val="nil"/>
              <w:right w:val="nil"/>
            </w:tcBorders>
            <w:shd w:val="clear" w:color="auto" w:fill="auto"/>
            <w:noWrap/>
            <w:vAlign w:val="bottom"/>
            <w:hideMark/>
          </w:tcPr>
          <w:p w14:paraId="5055F2E5" w14:textId="665AB117"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1,341 </w:t>
            </w:r>
          </w:p>
        </w:tc>
        <w:tc>
          <w:tcPr>
            <w:tcW w:w="957" w:type="dxa"/>
            <w:tcBorders>
              <w:top w:val="nil"/>
              <w:left w:val="nil"/>
              <w:bottom w:val="nil"/>
              <w:right w:val="nil"/>
            </w:tcBorders>
            <w:shd w:val="clear" w:color="000000" w:fill="E6E6E6"/>
            <w:noWrap/>
            <w:vAlign w:val="bottom"/>
            <w:hideMark/>
          </w:tcPr>
          <w:p w14:paraId="0C5418EE" w14:textId="3DDBF14F"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1,396 </w:t>
            </w:r>
          </w:p>
        </w:tc>
        <w:tc>
          <w:tcPr>
            <w:tcW w:w="996" w:type="dxa"/>
            <w:gridSpan w:val="2"/>
            <w:tcBorders>
              <w:top w:val="nil"/>
              <w:left w:val="nil"/>
              <w:bottom w:val="nil"/>
              <w:right w:val="nil"/>
            </w:tcBorders>
            <w:shd w:val="clear" w:color="auto" w:fill="auto"/>
            <w:noWrap/>
            <w:vAlign w:val="bottom"/>
            <w:hideMark/>
          </w:tcPr>
          <w:p w14:paraId="114D1EDB" w14:textId="5D809831"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1,578 </w:t>
            </w:r>
          </w:p>
        </w:tc>
        <w:tc>
          <w:tcPr>
            <w:tcW w:w="996" w:type="dxa"/>
            <w:gridSpan w:val="2"/>
            <w:tcBorders>
              <w:top w:val="nil"/>
              <w:left w:val="nil"/>
              <w:bottom w:val="nil"/>
              <w:right w:val="nil"/>
            </w:tcBorders>
            <w:shd w:val="clear" w:color="auto" w:fill="auto"/>
            <w:noWrap/>
            <w:vAlign w:val="bottom"/>
            <w:hideMark/>
          </w:tcPr>
          <w:p w14:paraId="56A57A78" w14:textId="375FF72B"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777 </w:t>
            </w:r>
          </w:p>
        </w:tc>
        <w:tc>
          <w:tcPr>
            <w:tcW w:w="996" w:type="dxa"/>
            <w:gridSpan w:val="2"/>
            <w:tcBorders>
              <w:top w:val="nil"/>
              <w:left w:val="nil"/>
              <w:bottom w:val="nil"/>
              <w:right w:val="nil"/>
            </w:tcBorders>
            <w:shd w:val="clear" w:color="auto" w:fill="auto"/>
            <w:noWrap/>
            <w:vAlign w:val="bottom"/>
            <w:hideMark/>
          </w:tcPr>
          <w:p w14:paraId="25582F4D" w14:textId="686A2BE5" w:rsidR="00254303" w:rsidRPr="00CB3E19" w:rsidRDefault="00254303" w:rsidP="00254303">
            <w:pPr>
              <w:spacing w:after="0" w:line="240" w:lineRule="auto"/>
              <w:jc w:val="right"/>
              <w:rPr>
                <w:rFonts w:ascii="Arial" w:hAnsi="Arial" w:cs="Arial"/>
                <w:sz w:val="16"/>
                <w:szCs w:val="16"/>
              </w:rPr>
            </w:pPr>
            <w:r>
              <w:rPr>
                <w:rFonts w:ascii="Arial" w:hAnsi="Arial" w:cs="Arial"/>
                <w:sz w:val="16"/>
                <w:szCs w:val="16"/>
              </w:rPr>
              <w:t xml:space="preserve">726 </w:t>
            </w:r>
          </w:p>
        </w:tc>
      </w:tr>
      <w:tr w:rsidR="00254303" w:rsidRPr="00CB3E19" w14:paraId="70727A01" w14:textId="77777777" w:rsidTr="00F96D8A">
        <w:trPr>
          <w:trHeight w:val="204"/>
        </w:trPr>
        <w:tc>
          <w:tcPr>
            <w:tcW w:w="2835" w:type="dxa"/>
            <w:tcBorders>
              <w:top w:val="nil"/>
              <w:left w:val="nil"/>
              <w:bottom w:val="nil"/>
              <w:right w:val="nil"/>
            </w:tcBorders>
            <w:shd w:val="clear" w:color="auto" w:fill="auto"/>
            <w:vAlign w:val="bottom"/>
            <w:hideMark/>
          </w:tcPr>
          <w:p w14:paraId="0EDAE48D" w14:textId="5B1633DA" w:rsidR="00254303" w:rsidRPr="00CB3E19" w:rsidRDefault="00254303" w:rsidP="00747426">
            <w:pPr>
              <w:spacing w:after="0" w:line="240" w:lineRule="auto"/>
              <w:jc w:val="left"/>
              <w:rPr>
                <w:rFonts w:ascii="Arial" w:hAnsi="Arial" w:cs="Arial"/>
                <w:b/>
                <w:bCs/>
                <w:sz w:val="16"/>
                <w:szCs w:val="16"/>
              </w:rPr>
            </w:pPr>
            <w:r w:rsidRPr="00CB3E19">
              <w:rPr>
                <w:rFonts w:ascii="Arial" w:hAnsi="Arial" w:cs="Arial"/>
                <w:b/>
                <w:bCs/>
                <w:sz w:val="16"/>
                <w:szCs w:val="16"/>
              </w:rPr>
              <w:t xml:space="preserve">Total </w:t>
            </w:r>
            <w:r>
              <w:rPr>
                <w:rFonts w:ascii="Arial" w:hAnsi="Arial" w:cs="Arial"/>
                <w:b/>
                <w:bCs/>
                <w:sz w:val="16"/>
                <w:szCs w:val="16"/>
              </w:rPr>
              <w:t>Department</w:t>
            </w:r>
            <w:r w:rsidRPr="00CB3E19">
              <w:rPr>
                <w:rFonts w:ascii="Arial" w:hAnsi="Arial" w:cs="Arial"/>
                <w:b/>
                <w:bCs/>
                <w:sz w:val="16"/>
                <w:szCs w:val="16"/>
              </w:rPr>
              <w:t>al expenses</w:t>
            </w:r>
          </w:p>
        </w:tc>
        <w:tc>
          <w:tcPr>
            <w:tcW w:w="996" w:type="dxa"/>
            <w:tcBorders>
              <w:top w:val="single" w:sz="4" w:space="0" w:color="auto"/>
              <w:left w:val="nil"/>
              <w:bottom w:val="single" w:sz="4" w:space="0" w:color="auto"/>
              <w:right w:val="nil"/>
            </w:tcBorders>
            <w:shd w:val="clear" w:color="auto" w:fill="auto"/>
            <w:noWrap/>
            <w:vAlign w:val="bottom"/>
            <w:hideMark/>
          </w:tcPr>
          <w:p w14:paraId="7E7E9E0E" w14:textId="6FD54DBF"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77,128 </w:t>
            </w:r>
          </w:p>
        </w:tc>
        <w:tc>
          <w:tcPr>
            <w:tcW w:w="957" w:type="dxa"/>
            <w:tcBorders>
              <w:top w:val="single" w:sz="4" w:space="0" w:color="auto"/>
              <w:left w:val="nil"/>
              <w:bottom w:val="single" w:sz="4" w:space="0" w:color="auto"/>
              <w:right w:val="nil"/>
            </w:tcBorders>
            <w:shd w:val="clear" w:color="000000" w:fill="E6E6E6"/>
            <w:noWrap/>
            <w:vAlign w:val="bottom"/>
            <w:hideMark/>
          </w:tcPr>
          <w:p w14:paraId="5A827F10" w14:textId="5E8594C3"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89,478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B516BF1" w14:textId="7A577656"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87,294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DA6E24D" w14:textId="7385C0D0"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75,233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6644976F" w14:textId="3BE2A9F2"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69,220 </w:t>
            </w:r>
          </w:p>
        </w:tc>
      </w:tr>
      <w:tr w:rsidR="00254303" w:rsidRPr="00CB3E19" w14:paraId="51B77D5E"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72BF5BCA" w14:textId="77777777" w:rsidR="00254303" w:rsidRPr="00CB3E19" w:rsidRDefault="00254303" w:rsidP="00254303">
            <w:pPr>
              <w:spacing w:after="0" w:line="240" w:lineRule="auto"/>
              <w:jc w:val="left"/>
              <w:rPr>
                <w:rFonts w:ascii="Arial" w:hAnsi="Arial" w:cs="Arial"/>
                <w:b/>
                <w:bCs/>
                <w:sz w:val="16"/>
                <w:szCs w:val="16"/>
              </w:rPr>
            </w:pPr>
            <w:r w:rsidRPr="00CB3E19">
              <w:rPr>
                <w:rFonts w:ascii="Arial" w:hAnsi="Arial" w:cs="Arial"/>
                <w:b/>
                <w:bCs/>
                <w:sz w:val="16"/>
                <w:szCs w:val="16"/>
              </w:rPr>
              <w:t>Total expenses for Outcome 5</w:t>
            </w:r>
          </w:p>
        </w:tc>
        <w:tc>
          <w:tcPr>
            <w:tcW w:w="996" w:type="dxa"/>
            <w:tcBorders>
              <w:top w:val="nil"/>
              <w:left w:val="nil"/>
              <w:bottom w:val="single" w:sz="4" w:space="0" w:color="auto"/>
              <w:right w:val="nil"/>
            </w:tcBorders>
            <w:shd w:val="clear" w:color="auto" w:fill="auto"/>
            <w:noWrap/>
            <w:vAlign w:val="bottom"/>
            <w:hideMark/>
          </w:tcPr>
          <w:p w14:paraId="32315616" w14:textId="3ACB639C"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3,262,830 </w:t>
            </w:r>
          </w:p>
        </w:tc>
        <w:tc>
          <w:tcPr>
            <w:tcW w:w="957" w:type="dxa"/>
            <w:tcBorders>
              <w:top w:val="nil"/>
              <w:left w:val="nil"/>
              <w:bottom w:val="single" w:sz="4" w:space="0" w:color="auto"/>
              <w:right w:val="nil"/>
            </w:tcBorders>
            <w:shd w:val="clear" w:color="000000" w:fill="E6E6E6"/>
            <w:noWrap/>
            <w:vAlign w:val="bottom"/>
            <w:hideMark/>
          </w:tcPr>
          <w:p w14:paraId="29C04DA7" w14:textId="08007C78"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2,975,608 </w:t>
            </w:r>
          </w:p>
        </w:tc>
        <w:tc>
          <w:tcPr>
            <w:tcW w:w="996" w:type="dxa"/>
            <w:gridSpan w:val="2"/>
            <w:tcBorders>
              <w:top w:val="nil"/>
              <w:left w:val="nil"/>
              <w:bottom w:val="single" w:sz="4" w:space="0" w:color="auto"/>
              <w:right w:val="nil"/>
            </w:tcBorders>
            <w:shd w:val="clear" w:color="auto" w:fill="auto"/>
            <w:noWrap/>
            <w:vAlign w:val="bottom"/>
            <w:hideMark/>
          </w:tcPr>
          <w:p w14:paraId="516FDA55" w14:textId="2BB4CC5C"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2,841,730 </w:t>
            </w:r>
          </w:p>
        </w:tc>
        <w:tc>
          <w:tcPr>
            <w:tcW w:w="996" w:type="dxa"/>
            <w:gridSpan w:val="2"/>
            <w:tcBorders>
              <w:top w:val="nil"/>
              <w:left w:val="nil"/>
              <w:bottom w:val="single" w:sz="4" w:space="0" w:color="auto"/>
              <w:right w:val="nil"/>
            </w:tcBorders>
            <w:shd w:val="clear" w:color="auto" w:fill="auto"/>
            <w:noWrap/>
            <w:vAlign w:val="bottom"/>
            <w:hideMark/>
          </w:tcPr>
          <w:p w14:paraId="4B17C07A" w14:textId="63788DB2"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2,833,554 </w:t>
            </w:r>
          </w:p>
        </w:tc>
        <w:tc>
          <w:tcPr>
            <w:tcW w:w="996" w:type="dxa"/>
            <w:gridSpan w:val="2"/>
            <w:tcBorders>
              <w:top w:val="nil"/>
              <w:left w:val="nil"/>
              <w:bottom w:val="single" w:sz="4" w:space="0" w:color="auto"/>
              <w:right w:val="nil"/>
            </w:tcBorders>
            <w:shd w:val="clear" w:color="auto" w:fill="auto"/>
            <w:noWrap/>
            <w:vAlign w:val="bottom"/>
            <w:hideMark/>
          </w:tcPr>
          <w:p w14:paraId="693FDABD" w14:textId="278936B6" w:rsidR="00254303" w:rsidRPr="00CB3E19" w:rsidRDefault="00254303" w:rsidP="00254303">
            <w:pPr>
              <w:spacing w:after="0" w:line="240" w:lineRule="auto"/>
              <w:jc w:val="right"/>
              <w:rPr>
                <w:rFonts w:ascii="Arial" w:hAnsi="Arial" w:cs="Arial"/>
                <w:b/>
                <w:bCs/>
                <w:sz w:val="16"/>
                <w:szCs w:val="16"/>
              </w:rPr>
            </w:pPr>
            <w:r>
              <w:rPr>
                <w:rFonts w:ascii="Arial" w:hAnsi="Arial" w:cs="Arial"/>
                <w:b/>
                <w:bCs/>
                <w:sz w:val="16"/>
                <w:szCs w:val="16"/>
              </w:rPr>
              <w:t xml:space="preserve">2,897,943 </w:t>
            </w:r>
          </w:p>
        </w:tc>
      </w:tr>
    </w:tbl>
    <w:p w14:paraId="075170E5" w14:textId="77777777" w:rsidR="00B91F3E" w:rsidRPr="005800E2" w:rsidRDefault="00B91F3E" w:rsidP="00B91F3E">
      <w:pPr>
        <w:spacing w:after="0" w:line="240" w:lineRule="auto"/>
        <w:rPr>
          <w:rFonts w:ascii="Arial" w:hAnsi="Arial" w:cs="Arial"/>
          <w:sz w:val="12"/>
        </w:rPr>
      </w:pPr>
    </w:p>
    <w:tbl>
      <w:tblPr>
        <w:tblW w:w="7719" w:type="dxa"/>
        <w:tblLayout w:type="fixed"/>
        <w:tblLook w:val="04A0" w:firstRow="1" w:lastRow="0" w:firstColumn="1" w:lastColumn="0" w:noHBand="0" w:noVBand="1"/>
      </w:tblPr>
      <w:tblGrid>
        <w:gridCol w:w="2835"/>
        <w:gridCol w:w="976"/>
        <w:gridCol w:w="977"/>
        <w:gridCol w:w="977"/>
        <w:gridCol w:w="977"/>
        <w:gridCol w:w="977"/>
      </w:tblGrid>
      <w:tr w:rsidR="00B91F3E" w:rsidRPr="00CB3E19" w14:paraId="257C1C12" w14:textId="77777777" w:rsidTr="00F96D8A">
        <w:trPr>
          <w:trHeight w:val="204"/>
        </w:trPr>
        <w:tc>
          <w:tcPr>
            <w:tcW w:w="2835" w:type="dxa"/>
            <w:tcBorders>
              <w:top w:val="single" w:sz="4" w:space="0" w:color="auto"/>
              <w:left w:val="nil"/>
              <w:bottom w:val="nil"/>
              <w:right w:val="nil"/>
            </w:tcBorders>
            <w:shd w:val="clear" w:color="auto" w:fill="auto"/>
            <w:noWrap/>
            <w:vAlign w:val="bottom"/>
            <w:hideMark/>
          </w:tcPr>
          <w:p w14:paraId="5A64AA53" w14:textId="77777777" w:rsidR="00B91F3E" w:rsidRPr="00CB3E19" w:rsidRDefault="00B91F3E" w:rsidP="00F96D8A">
            <w:pPr>
              <w:spacing w:after="0" w:line="240" w:lineRule="auto"/>
              <w:jc w:val="left"/>
              <w:rPr>
                <w:rFonts w:ascii="Arial" w:hAnsi="Arial" w:cs="Arial"/>
                <w:b/>
                <w:bCs/>
                <w:sz w:val="16"/>
                <w:szCs w:val="16"/>
              </w:rPr>
            </w:pPr>
            <w:r w:rsidRPr="00CB3E19">
              <w:rPr>
                <w:rFonts w:ascii="Arial" w:hAnsi="Arial" w:cs="Arial"/>
                <w:b/>
                <w:bCs/>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62E727A3"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2021-22 Actual expenses $'000</w:t>
            </w:r>
          </w:p>
        </w:tc>
        <w:tc>
          <w:tcPr>
            <w:tcW w:w="977" w:type="dxa"/>
            <w:tcBorders>
              <w:top w:val="single" w:sz="4" w:space="0" w:color="auto"/>
              <w:left w:val="nil"/>
              <w:bottom w:val="single" w:sz="4" w:space="0" w:color="auto"/>
              <w:right w:val="nil"/>
            </w:tcBorders>
            <w:shd w:val="clear" w:color="000000" w:fill="E6E6E6"/>
            <w:vAlign w:val="bottom"/>
            <w:hideMark/>
          </w:tcPr>
          <w:p w14:paraId="58E89139" w14:textId="77777777" w:rsidR="00B91F3E" w:rsidRDefault="00B91F3E" w:rsidP="00F96D8A">
            <w:pPr>
              <w:spacing w:after="0" w:line="240" w:lineRule="auto"/>
              <w:jc w:val="right"/>
              <w:rPr>
                <w:rFonts w:ascii="Arial" w:hAnsi="Arial" w:cs="Arial"/>
                <w:sz w:val="16"/>
                <w:szCs w:val="16"/>
              </w:rPr>
            </w:pPr>
            <w:r w:rsidRPr="00CB3E19">
              <w:rPr>
                <w:rFonts w:ascii="Arial" w:hAnsi="Arial" w:cs="Arial"/>
                <w:sz w:val="16"/>
                <w:szCs w:val="16"/>
              </w:rPr>
              <w:t xml:space="preserve">2022-23 Budget </w:t>
            </w:r>
          </w:p>
          <w:p w14:paraId="6D181EF5" w14:textId="77777777" w:rsidR="00B91F3E" w:rsidRDefault="00B91F3E" w:rsidP="00F96D8A">
            <w:pPr>
              <w:spacing w:after="0" w:line="240" w:lineRule="auto"/>
              <w:jc w:val="right"/>
              <w:rPr>
                <w:rFonts w:ascii="Arial" w:hAnsi="Arial" w:cs="Arial"/>
                <w:sz w:val="16"/>
                <w:szCs w:val="16"/>
              </w:rPr>
            </w:pPr>
          </w:p>
          <w:p w14:paraId="51688262"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15EBA4D"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2023-24 Forward estimate $'000</w:t>
            </w:r>
          </w:p>
        </w:tc>
        <w:tc>
          <w:tcPr>
            <w:tcW w:w="977" w:type="dxa"/>
            <w:tcBorders>
              <w:top w:val="single" w:sz="4" w:space="0" w:color="auto"/>
              <w:left w:val="nil"/>
              <w:bottom w:val="single" w:sz="4" w:space="0" w:color="auto"/>
              <w:right w:val="nil"/>
            </w:tcBorders>
            <w:shd w:val="clear" w:color="auto" w:fill="auto"/>
            <w:vAlign w:val="bottom"/>
            <w:hideMark/>
          </w:tcPr>
          <w:p w14:paraId="1A1DE781"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2024-25 Forward estimate $'000</w:t>
            </w:r>
          </w:p>
        </w:tc>
        <w:tc>
          <w:tcPr>
            <w:tcW w:w="977" w:type="dxa"/>
            <w:tcBorders>
              <w:top w:val="single" w:sz="4" w:space="0" w:color="auto"/>
              <w:left w:val="nil"/>
              <w:bottom w:val="single" w:sz="4" w:space="0" w:color="auto"/>
              <w:right w:val="nil"/>
            </w:tcBorders>
            <w:shd w:val="clear" w:color="auto" w:fill="auto"/>
            <w:vAlign w:val="bottom"/>
            <w:hideMark/>
          </w:tcPr>
          <w:p w14:paraId="0846F6F0" w14:textId="77777777" w:rsidR="00B91F3E" w:rsidRPr="00CB3E19" w:rsidRDefault="00B91F3E" w:rsidP="00F96D8A">
            <w:pPr>
              <w:spacing w:after="0" w:line="240" w:lineRule="auto"/>
              <w:jc w:val="right"/>
              <w:rPr>
                <w:rFonts w:ascii="Arial" w:hAnsi="Arial" w:cs="Arial"/>
                <w:sz w:val="16"/>
                <w:szCs w:val="16"/>
              </w:rPr>
            </w:pPr>
            <w:r w:rsidRPr="00CB3E19">
              <w:rPr>
                <w:rFonts w:ascii="Arial" w:hAnsi="Arial" w:cs="Arial"/>
                <w:sz w:val="16"/>
                <w:szCs w:val="16"/>
              </w:rPr>
              <w:t>2025-26 Forward estimate $'000</w:t>
            </w:r>
          </w:p>
        </w:tc>
      </w:tr>
      <w:tr w:rsidR="00B91F3E" w:rsidRPr="00CB3E19" w14:paraId="33A54C70" w14:textId="77777777" w:rsidTr="00F96D8A">
        <w:trPr>
          <w:trHeight w:val="204"/>
        </w:trPr>
        <w:tc>
          <w:tcPr>
            <w:tcW w:w="2835" w:type="dxa"/>
            <w:tcBorders>
              <w:top w:val="nil"/>
              <w:left w:val="nil"/>
              <w:bottom w:val="nil"/>
              <w:right w:val="nil"/>
            </w:tcBorders>
            <w:shd w:val="clear" w:color="auto" w:fill="auto"/>
            <w:vAlign w:val="bottom"/>
            <w:hideMark/>
          </w:tcPr>
          <w:p w14:paraId="254DB1F0" w14:textId="77777777" w:rsidR="00B91F3E" w:rsidRPr="00CB3E19" w:rsidRDefault="00B91F3E" w:rsidP="00F96D8A">
            <w:pPr>
              <w:spacing w:after="0" w:line="240" w:lineRule="auto"/>
              <w:jc w:val="left"/>
              <w:rPr>
                <w:rFonts w:ascii="Arial" w:hAnsi="Arial" w:cs="Arial"/>
                <w:b/>
                <w:bCs/>
                <w:sz w:val="16"/>
                <w:szCs w:val="16"/>
              </w:rPr>
            </w:pPr>
            <w:r w:rsidRPr="00CB3E19">
              <w:rPr>
                <w:rFonts w:ascii="Arial" w:hAnsi="Arial" w:cs="Arial"/>
                <w:b/>
                <w:bCs/>
                <w:sz w:val="16"/>
                <w:szCs w:val="16"/>
              </w:rPr>
              <w:t xml:space="preserve">Movement of administered funds between years </w:t>
            </w:r>
            <w:r w:rsidRPr="005800E2">
              <w:rPr>
                <w:rFonts w:ascii="Arial" w:hAnsi="Arial" w:cs="Arial"/>
                <w:b/>
                <w:bCs/>
                <w:sz w:val="16"/>
                <w:szCs w:val="16"/>
                <w:vertAlign w:val="superscript"/>
              </w:rPr>
              <w:t>(e)</w:t>
            </w:r>
          </w:p>
        </w:tc>
        <w:tc>
          <w:tcPr>
            <w:tcW w:w="976" w:type="dxa"/>
            <w:tcBorders>
              <w:top w:val="nil"/>
              <w:left w:val="nil"/>
              <w:bottom w:val="nil"/>
              <w:right w:val="nil"/>
            </w:tcBorders>
            <w:shd w:val="clear" w:color="auto" w:fill="auto"/>
            <w:vAlign w:val="bottom"/>
            <w:hideMark/>
          </w:tcPr>
          <w:p w14:paraId="30AFFE09" w14:textId="77777777" w:rsidR="00B91F3E" w:rsidRPr="008272BA" w:rsidRDefault="00B91F3E" w:rsidP="00F96D8A">
            <w:pPr>
              <w:spacing w:after="0" w:line="240" w:lineRule="auto"/>
              <w:jc w:val="right"/>
              <w:rPr>
                <w:rFonts w:ascii="Arial" w:hAnsi="Arial" w:cs="Arial"/>
                <w:b/>
                <w:bCs/>
                <w:sz w:val="16"/>
                <w:szCs w:val="16"/>
              </w:rPr>
            </w:pPr>
          </w:p>
        </w:tc>
        <w:tc>
          <w:tcPr>
            <w:tcW w:w="977" w:type="dxa"/>
            <w:tcBorders>
              <w:top w:val="nil"/>
              <w:left w:val="nil"/>
              <w:bottom w:val="nil"/>
              <w:right w:val="nil"/>
            </w:tcBorders>
            <w:shd w:val="clear" w:color="000000" w:fill="E6E6E6"/>
            <w:noWrap/>
            <w:vAlign w:val="bottom"/>
            <w:hideMark/>
          </w:tcPr>
          <w:p w14:paraId="6AB15B6F" w14:textId="77777777" w:rsidR="00B91F3E" w:rsidRPr="008272BA"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310DAC0F" w14:textId="77777777" w:rsidR="00B91F3E" w:rsidRPr="008272BA"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14:paraId="748E8327" w14:textId="77777777" w:rsidR="00B91F3E" w:rsidRPr="008272BA"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vAlign w:val="bottom"/>
            <w:hideMark/>
          </w:tcPr>
          <w:p w14:paraId="1A4A68DB" w14:textId="77777777" w:rsidR="00B91F3E" w:rsidRPr="008272BA" w:rsidRDefault="00B91F3E" w:rsidP="00F96D8A">
            <w:pPr>
              <w:spacing w:after="0" w:line="240" w:lineRule="auto"/>
              <w:jc w:val="right"/>
              <w:rPr>
                <w:rFonts w:ascii="Times New Roman" w:hAnsi="Times New Roman"/>
                <w:sz w:val="16"/>
                <w:szCs w:val="16"/>
              </w:rPr>
            </w:pPr>
          </w:p>
        </w:tc>
      </w:tr>
      <w:tr w:rsidR="00B91F3E" w:rsidRPr="00CB3E19" w14:paraId="3647DED6" w14:textId="77777777" w:rsidTr="00F96D8A">
        <w:trPr>
          <w:trHeight w:val="204"/>
        </w:trPr>
        <w:tc>
          <w:tcPr>
            <w:tcW w:w="2835" w:type="dxa"/>
            <w:tcBorders>
              <w:top w:val="nil"/>
              <w:left w:val="nil"/>
              <w:bottom w:val="nil"/>
              <w:right w:val="nil"/>
            </w:tcBorders>
            <w:shd w:val="clear" w:color="auto" w:fill="auto"/>
            <w:noWrap/>
            <w:vAlign w:val="bottom"/>
            <w:hideMark/>
          </w:tcPr>
          <w:p w14:paraId="677224F9"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xml:space="preserve">Outcome 5: </w:t>
            </w:r>
          </w:p>
        </w:tc>
        <w:tc>
          <w:tcPr>
            <w:tcW w:w="976" w:type="dxa"/>
            <w:tcBorders>
              <w:top w:val="nil"/>
              <w:left w:val="nil"/>
              <w:bottom w:val="nil"/>
              <w:right w:val="nil"/>
            </w:tcBorders>
            <w:shd w:val="clear" w:color="auto" w:fill="auto"/>
            <w:noWrap/>
            <w:vAlign w:val="bottom"/>
            <w:hideMark/>
          </w:tcPr>
          <w:p w14:paraId="21015ED1" w14:textId="77777777" w:rsidR="00B91F3E" w:rsidRPr="008272BA"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C9F4327" w14:textId="77777777" w:rsidR="00B91F3E" w:rsidRPr="008272BA"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4E01719" w14:textId="77777777" w:rsidR="00B91F3E" w:rsidRPr="008272BA"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3E2CB15" w14:textId="77777777" w:rsidR="00B91F3E" w:rsidRPr="008272BA" w:rsidRDefault="00B91F3E" w:rsidP="00F96D8A">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5E95DCE3" w14:textId="77777777" w:rsidR="00B91F3E" w:rsidRPr="008272BA" w:rsidRDefault="00B91F3E" w:rsidP="00F96D8A">
            <w:pPr>
              <w:spacing w:after="0" w:line="240" w:lineRule="auto"/>
              <w:jc w:val="right"/>
              <w:rPr>
                <w:rFonts w:ascii="Times New Roman" w:hAnsi="Times New Roman"/>
                <w:sz w:val="16"/>
                <w:szCs w:val="16"/>
              </w:rPr>
            </w:pPr>
          </w:p>
        </w:tc>
      </w:tr>
      <w:tr w:rsidR="0058281B" w:rsidRPr="00CB3E19" w14:paraId="7AF6144E" w14:textId="77777777" w:rsidTr="00F96D8A">
        <w:trPr>
          <w:trHeight w:val="204"/>
        </w:trPr>
        <w:tc>
          <w:tcPr>
            <w:tcW w:w="2835" w:type="dxa"/>
            <w:tcBorders>
              <w:top w:val="nil"/>
              <w:left w:val="nil"/>
              <w:right w:val="nil"/>
            </w:tcBorders>
            <w:shd w:val="clear" w:color="auto" w:fill="auto"/>
            <w:vAlign w:val="bottom"/>
            <w:hideMark/>
          </w:tcPr>
          <w:p w14:paraId="7E3C8092" w14:textId="77777777" w:rsidR="0058281B" w:rsidRPr="00CB3E19" w:rsidRDefault="0058281B" w:rsidP="00665295">
            <w:pPr>
              <w:spacing w:after="0" w:line="240" w:lineRule="auto"/>
              <w:ind w:left="113"/>
              <w:jc w:val="left"/>
              <w:rPr>
                <w:rFonts w:ascii="Arial" w:hAnsi="Arial" w:cs="Arial"/>
                <w:sz w:val="16"/>
                <w:szCs w:val="16"/>
              </w:rPr>
            </w:pPr>
            <w:r w:rsidRPr="00CB3E19">
              <w:rPr>
                <w:rFonts w:ascii="Arial" w:hAnsi="Arial" w:cs="Arial"/>
                <w:sz w:val="16"/>
                <w:szCs w:val="16"/>
              </w:rPr>
              <w:t>Program 5.1: Digital Technologies and Communications</w:t>
            </w:r>
          </w:p>
        </w:tc>
        <w:tc>
          <w:tcPr>
            <w:tcW w:w="976" w:type="dxa"/>
            <w:tcBorders>
              <w:top w:val="nil"/>
              <w:left w:val="nil"/>
              <w:bottom w:val="single" w:sz="4" w:space="0" w:color="auto"/>
              <w:right w:val="nil"/>
            </w:tcBorders>
            <w:shd w:val="clear" w:color="auto" w:fill="auto"/>
            <w:noWrap/>
            <w:vAlign w:val="bottom"/>
            <w:hideMark/>
          </w:tcPr>
          <w:p w14:paraId="721D5028" w14:textId="1C07BB2A"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(19,557)</w:t>
            </w:r>
          </w:p>
        </w:tc>
        <w:tc>
          <w:tcPr>
            <w:tcW w:w="977" w:type="dxa"/>
            <w:tcBorders>
              <w:top w:val="nil"/>
              <w:left w:val="nil"/>
              <w:bottom w:val="single" w:sz="4" w:space="0" w:color="auto"/>
              <w:right w:val="nil"/>
            </w:tcBorders>
            <w:shd w:val="clear" w:color="000000" w:fill="E6E6E6"/>
            <w:noWrap/>
            <w:vAlign w:val="bottom"/>
            <w:hideMark/>
          </w:tcPr>
          <w:p w14:paraId="6998F6C1" w14:textId="055DCF9B"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3,057</w:t>
            </w:r>
          </w:p>
        </w:tc>
        <w:tc>
          <w:tcPr>
            <w:tcW w:w="977" w:type="dxa"/>
            <w:tcBorders>
              <w:top w:val="nil"/>
              <w:left w:val="nil"/>
              <w:bottom w:val="nil"/>
              <w:right w:val="nil"/>
            </w:tcBorders>
            <w:shd w:val="clear" w:color="auto" w:fill="auto"/>
            <w:noWrap/>
            <w:vAlign w:val="bottom"/>
            <w:hideMark/>
          </w:tcPr>
          <w:p w14:paraId="2C3F3D6E" w14:textId="7AF229C6"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16,700</w:t>
            </w:r>
          </w:p>
        </w:tc>
        <w:tc>
          <w:tcPr>
            <w:tcW w:w="977" w:type="dxa"/>
            <w:tcBorders>
              <w:top w:val="nil"/>
              <w:left w:val="nil"/>
              <w:bottom w:val="nil"/>
              <w:right w:val="nil"/>
            </w:tcBorders>
            <w:shd w:val="clear" w:color="auto" w:fill="auto"/>
            <w:noWrap/>
            <w:vAlign w:val="bottom"/>
            <w:hideMark/>
          </w:tcPr>
          <w:p w14:paraId="11246D58" w14:textId="3739812C"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3D838E47" w14:textId="341D52B9"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w:t>
            </w:r>
          </w:p>
        </w:tc>
      </w:tr>
      <w:tr w:rsidR="0058281B" w:rsidRPr="00CB3E19" w14:paraId="0F221EFD" w14:textId="77777777" w:rsidTr="00F96D8A">
        <w:trPr>
          <w:trHeight w:val="204"/>
        </w:trPr>
        <w:tc>
          <w:tcPr>
            <w:tcW w:w="2835" w:type="dxa"/>
            <w:tcBorders>
              <w:top w:val="nil"/>
              <w:left w:val="nil"/>
              <w:bottom w:val="single" w:sz="4" w:space="0" w:color="auto"/>
              <w:right w:val="nil"/>
            </w:tcBorders>
            <w:shd w:val="clear" w:color="auto" w:fill="auto"/>
            <w:vAlign w:val="bottom"/>
            <w:hideMark/>
          </w:tcPr>
          <w:p w14:paraId="4D75DE5C" w14:textId="77777777" w:rsidR="0058281B" w:rsidRPr="00CB3E19" w:rsidRDefault="0058281B" w:rsidP="0058281B">
            <w:pPr>
              <w:spacing w:after="0" w:line="240" w:lineRule="auto"/>
              <w:jc w:val="left"/>
              <w:rPr>
                <w:rFonts w:ascii="Arial" w:hAnsi="Arial" w:cs="Arial"/>
                <w:b/>
                <w:bCs/>
                <w:sz w:val="16"/>
                <w:szCs w:val="16"/>
              </w:rPr>
            </w:pPr>
            <w:r w:rsidRPr="00CB3E19">
              <w:rPr>
                <w:rFonts w:ascii="Arial" w:hAnsi="Arial" w:cs="Arial"/>
                <w:b/>
                <w:bCs/>
                <w:sz w:val="16"/>
                <w:szCs w:val="16"/>
              </w:rPr>
              <w:t>Total movement of administered funds between years</w:t>
            </w:r>
          </w:p>
        </w:tc>
        <w:tc>
          <w:tcPr>
            <w:tcW w:w="976" w:type="dxa"/>
            <w:tcBorders>
              <w:top w:val="single" w:sz="4" w:space="0" w:color="auto"/>
              <w:left w:val="nil"/>
              <w:bottom w:val="single" w:sz="4" w:space="0" w:color="auto"/>
              <w:right w:val="nil"/>
            </w:tcBorders>
            <w:shd w:val="clear" w:color="auto" w:fill="auto"/>
            <w:noWrap/>
            <w:vAlign w:val="bottom"/>
            <w:hideMark/>
          </w:tcPr>
          <w:p w14:paraId="3DE04A29" w14:textId="5A969F36" w:rsidR="0058281B" w:rsidRPr="008272BA" w:rsidRDefault="0058281B" w:rsidP="0058281B">
            <w:pPr>
              <w:spacing w:after="0" w:line="240" w:lineRule="auto"/>
              <w:jc w:val="right"/>
              <w:rPr>
                <w:rFonts w:ascii="Arial" w:hAnsi="Arial" w:cs="Arial"/>
                <w:b/>
                <w:bCs/>
                <w:sz w:val="16"/>
                <w:szCs w:val="16"/>
              </w:rPr>
            </w:pPr>
            <w:r>
              <w:rPr>
                <w:rFonts w:ascii="Arial" w:hAnsi="Arial" w:cs="Arial"/>
                <w:b/>
                <w:bCs/>
                <w:sz w:val="16"/>
                <w:szCs w:val="16"/>
              </w:rPr>
              <w:t>(19,557)</w:t>
            </w:r>
          </w:p>
        </w:tc>
        <w:tc>
          <w:tcPr>
            <w:tcW w:w="977" w:type="dxa"/>
            <w:tcBorders>
              <w:top w:val="nil"/>
              <w:left w:val="nil"/>
              <w:bottom w:val="single" w:sz="4" w:space="0" w:color="auto"/>
              <w:right w:val="nil"/>
            </w:tcBorders>
            <w:shd w:val="clear" w:color="000000" w:fill="E6E6E6"/>
            <w:noWrap/>
            <w:vAlign w:val="bottom"/>
            <w:hideMark/>
          </w:tcPr>
          <w:p w14:paraId="6089DF75" w14:textId="63FB3F99" w:rsidR="0058281B" w:rsidRPr="008272BA" w:rsidRDefault="0058281B" w:rsidP="0058281B">
            <w:pPr>
              <w:spacing w:after="0" w:line="240" w:lineRule="auto"/>
              <w:jc w:val="right"/>
              <w:rPr>
                <w:rFonts w:ascii="Arial" w:hAnsi="Arial" w:cs="Arial"/>
                <w:b/>
                <w:bCs/>
                <w:sz w:val="16"/>
                <w:szCs w:val="16"/>
              </w:rPr>
            </w:pPr>
            <w:r>
              <w:rPr>
                <w:rFonts w:ascii="Arial" w:hAnsi="Arial" w:cs="Arial"/>
                <w:b/>
                <w:bCs/>
                <w:sz w:val="16"/>
                <w:szCs w:val="16"/>
              </w:rPr>
              <w:t>3,057</w:t>
            </w:r>
          </w:p>
        </w:tc>
        <w:tc>
          <w:tcPr>
            <w:tcW w:w="977" w:type="dxa"/>
            <w:tcBorders>
              <w:top w:val="single" w:sz="4" w:space="0" w:color="auto"/>
              <w:left w:val="nil"/>
              <w:bottom w:val="single" w:sz="4" w:space="0" w:color="auto"/>
              <w:right w:val="nil"/>
            </w:tcBorders>
            <w:shd w:val="clear" w:color="auto" w:fill="auto"/>
            <w:noWrap/>
            <w:vAlign w:val="bottom"/>
            <w:hideMark/>
          </w:tcPr>
          <w:p w14:paraId="244E802B" w14:textId="38C3B9DB" w:rsidR="0058281B" w:rsidRPr="008272BA" w:rsidRDefault="0058281B" w:rsidP="0058281B">
            <w:pPr>
              <w:spacing w:after="0" w:line="240" w:lineRule="auto"/>
              <w:jc w:val="right"/>
              <w:rPr>
                <w:rFonts w:ascii="Arial" w:hAnsi="Arial" w:cs="Arial"/>
                <w:b/>
                <w:bCs/>
                <w:sz w:val="16"/>
                <w:szCs w:val="16"/>
              </w:rPr>
            </w:pPr>
            <w:r>
              <w:rPr>
                <w:rFonts w:ascii="Arial" w:hAnsi="Arial" w:cs="Arial"/>
                <w:b/>
                <w:bCs/>
                <w:sz w:val="16"/>
                <w:szCs w:val="16"/>
              </w:rPr>
              <w:t>16,700</w:t>
            </w:r>
          </w:p>
        </w:tc>
        <w:tc>
          <w:tcPr>
            <w:tcW w:w="977" w:type="dxa"/>
            <w:tcBorders>
              <w:top w:val="single" w:sz="4" w:space="0" w:color="auto"/>
              <w:left w:val="nil"/>
              <w:bottom w:val="single" w:sz="4" w:space="0" w:color="auto"/>
              <w:right w:val="nil"/>
            </w:tcBorders>
            <w:shd w:val="clear" w:color="auto" w:fill="auto"/>
            <w:noWrap/>
            <w:vAlign w:val="bottom"/>
            <w:hideMark/>
          </w:tcPr>
          <w:p w14:paraId="7297C457" w14:textId="47BDE844" w:rsidR="0058281B" w:rsidRPr="008272BA" w:rsidRDefault="0058281B" w:rsidP="0058281B">
            <w:pPr>
              <w:spacing w:after="0" w:line="240" w:lineRule="auto"/>
              <w:jc w:val="right"/>
              <w:rPr>
                <w:rFonts w:ascii="Arial" w:hAnsi="Arial" w:cs="Arial"/>
                <w:b/>
                <w:bCs/>
                <w:sz w:val="16"/>
                <w:szCs w:val="16"/>
              </w:rPr>
            </w:pPr>
            <w:r>
              <w:rPr>
                <w:rFonts w:ascii="Arial" w:hAnsi="Arial" w:cs="Arial"/>
                <w:b/>
                <w:bCs/>
                <w:sz w:val="16"/>
                <w:szCs w:val="16"/>
              </w:rPr>
              <w:t>-</w:t>
            </w:r>
          </w:p>
        </w:tc>
        <w:tc>
          <w:tcPr>
            <w:tcW w:w="977" w:type="dxa"/>
            <w:tcBorders>
              <w:top w:val="single" w:sz="4" w:space="0" w:color="auto"/>
              <w:left w:val="nil"/>
              <w:bottom w:val="single" w:sz="4" w:space="0" w:color="auto"/>
              <w:right w:val="nil"/>
            </w:tcBorders>
            <w:shd w:val="clear" w:color="auto" w:fill="auto"/>
            <w:noWrap/>
            <w:vAlign w:val="bottom"/>
            <w:hideMark/>
          </w:tcPr>
          <w:p w14:paraId="43542BD3" w14:textId="5B844D25" w:rsidR="0058281B" w:rsidRPr="008272BA" w:rsidRDefault="0058281B" w:rsidP="0058281B">
            <w:pPr>
              <w:spacing w:after="0" w:line="240" w:lineRule="auto"/>
              <w:jc w:val="right"/>
              <w:rPr>
                <w:rFonts w:ascii="Arial" w:hAnsi="Arial" w:cs="Arial"/>
                <w:b/>
                <w:bCs/>
                <w:sz w:val="16"/>
                <w:szCs w:val="16"/>
              </w:rPr>
            </w:pPr>
            <w:r>
              <w:rPr>
                <w:rFonts w:ascii="Arial" w:hAnsi="Arial" w:cs="Arial"/>
                <w:b/>
                <w:bCs/>
                <w:sz w:val="16"/>
                <w:szCs w:val="16"/>
              </w:rPr>
              <w:t>-</w:t>
            </w:r>
          </w:p>
        </w:tc>
      </w:tr>
    </w:tbl>
    <w:p w14:paraId="2B0B8184" w14:textId="77777777" w:rsidR="00B91F3E" w:rsidRPr="005800E2" w:rsidRDefault="00B91F3E" w:rsidP="00B91F3E">
      <w:pPr>
        <w:spacing w:after="0" w:line="240" w:lineRule="auto"/>
        <w:rPr>
          <w:rFonts w:ascii="Arial" w:hAnsi="Arial" w:cs="Arial"/>
          <w:sz w:val="12"/>
        </w:rPr>
      </w:pPr>
    </w:p>
    <w:tbl>
      <w:tblPr>
        <w:tblW w:w="0" w:type="auto"/>
        <w:tblLayout w:type="fixed"/>
        <w:tblLook w:val="04A0" w:firstRow="1" w:lastRow="0" w:firstColumn="1" w:lastColumn="0" w:noHBand="0" w:noVBand="1"/>
      </w:tblPr>
      <w:tblGrid>
        <w:gridCol w:w="2835"/>
        <w:gridCol w:w="996"/>
        <w:gridCol w:w="996"/>
      </w:tblGrid>
      <w:tr w:rsidR="00B91F3E" w:rsidRPr="00CB3E19" w14:paraId="26C25F4D" w14:textId="77777777" w:rsidTr="00F96D8A">
        <w:trPr>
          <w:trHeight w:val="204"/>
        </w:trPr>
        <w:tc>
          <w:tcPr>
            <w:tcW w:w="2835" w:type="dxa"/>
            <w:tcBorders>
              <w:top w:val="single" w:sz="4" w:space="0" w:color="auto"/>
              <w:left w:val="nil"/>
              <w:bottom w:val="nil"/>
              <w:right w:val="nil"/>
            </w:tcBorders>
            <w:shd w:val="clear" w:color="auto" w:fill="auto"/>
            <w:noWrap/>
            <w:vAlign w:val="bottom"/>
            <w:hideMark/>
          </w:tcPr>
          <w:p w14:paraId="737461DE" w14:textId="77777777" w:rsidR="00B91F3E" w:rsidRPr="00CB3E19" w:rsidRDefault="00B91F3E" w:rsidP="00F96D8A">
            <w:pPr>
              <w:spacing w:after="0" w:line="240" w:lineRule="auto"/>
              <w:jc w:val="left"/>
              <w:rPr>
                <w:rFonts w:ascii="Arial" w:hAnsi="Arial" w:cs="Arial"/>
                <w:sz w:val="16"/>
                <w:szCs w:val="16"/>
              </w:rPr>
            </w:pPr>
            <w:r w:rsidRPr="00CB3E19">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noWrap/>
            <w:vAlign w:val="bottom"/>
            <w:hideMark/>
          </w:tcPr>
          <w:p w14:paraId="52DB7556" w14:textId="77777777" w:rsidR="00B91F3E" w:rsidRPr="008272BA" w:rsidRDefault="00B91F3E" w:rsidP="00F96D8A">
            <w:pPr>
              <w:spacing w:after="0" w:line="240" w:lineRule="auto"/>
              <w:jc w:val="right"/>
              <w:rPr>
                <w:rFonts w:ascii="Arial" w:hAnsi="Arial" w:cs="Arial"/>
                <w:sz w:val="16"/>
                <w:szCs w:val="16"/>
              </w:rPr>
            </w:pPr>
            <w:r w:rsidRPr="008272BA">
              <w:rPr>
                <w:rFonts w:ascii="Arial" w:hAnsi="Arial" w:cs="Arial"/>
                <w:sz w:val="16"/>
                <w:szCs w:val="16"/>
              </w:rPr>
              <w:t>2021-22</w:t>
            </w:r>
          </w:p>
        </w:tc>
        <w:tc>
          <w:tcPr>
            <w:tcW w:w="996" w:type="dxa"/>
            <w:tcBorders>
              <w:top w:val="single" w:sz="4" w:space="0" w:color="auto"/>
              <w:left w:val="nil"/>
              <w:bottom w:val="single" w:sz="4" w:space="0" w:color="auto"/>
              <w:right w:val="nil"/>
            </w:tcBorders>
            <w:shd w:val="clear" w:color="000000" w:fill="E6E6E6"/>
            <w:noWrap/>
            <w:vAlign w:val="bottom"/>
            <w:hideMark/>
          </w:tcPr>
          <w:p w14:paraId="48314F77" w14:textId="77777777" w:rsidR="00B91F3E" w:rsidRPr="008272BA" w:rsidRDefault="00B91F3E" w:rsidP="00F96D8A">
            <w:pPr>
              <w:spacing w:after="0" w:line="240" w:lineRule="auto"/>
              <w:jc w:val="right"/>
              <w:rPr>
                <w:rFonts w:ascii="Arial" w:hAnsi="Arial" w:cs="Arial"/>
                <w:sz w:val="16"/>
                <w:szCs w:val="16"/>
              </w:rPr>
            </w:pPr>
            <w:r w:rsidRPr="008272BA">
              <w:rPr>
                <w:rFonts w:ascii="Arial" w:hAnsi="Arial" w:cs="Arial"/>
                <w:sz w:val="16"/>
                <w:szCs w:val="16"/>
              </w:rPr>
              <w:t>2022-23</w:t>
            </w:r>
          </w:p>
        </w:tc>
      </w:tr>
      <w:tr w:rsidR="0058281B" w:rsidRPr="00CB3E19" w14:paraId="007C7CBF" w14:textId="77777777" w:rsidTr="00F96D8A">
        <w:trPr>
          <w:trHeight w:val="204"/>
        </w:trPr>
        <w:tc>
          <w:tcPr>
            <w:tcW w:w="2835" w:type="dxa"/>
            <w:tcBorders>
              <w:top w:val="nil"/>
              <w:left w:val="nil"/>
              <w:bottom w:val="single" w:sz="4" w:space="0" w:color="auto"/>
              <w:right w:val="nil"/>
            </w:tcBorders>
            <w:shd w:val="clear" w:color="auto" w:fill="auto"/>
            <w:noWrap/>
            <w:vAlign w:val="bottom"/>
            <w:hideMark/>
          </w:tcPr>
          <w:p w14:paraId="09CEC300" w14:textId="77777777" w:rsidR="0058281B" w:rsidRPr="00CB3E19" w:rsidRDefault="0058281B" w:rsidP="0058281B">
            <w:pPr>
              <w:spacing w:after="0" w:line="240" w:lineRule="auto"/>
              <w:jc w:val="left"/>
              <w:rPr>
                <w:rFonts w:ascii="Arial" w:hAnsi="Arial" w:cs="Arial"/>
                <w:b/>
                <w:bCs/>
                <w:sz w:val="16"/>
                <w:szCs w:val="16"/>
              </w:rPr>
            </w:pPr>
            <w:r w:rsidRPr="00CB3E19">
              <w:rPr>
                <w:rFonts w:ascii="Arial" w:hAnsi="Arial" w:cs="Arial"/>
                <w:b/>
                <w:bCs/>
                <w:sz w:val="16"/>
                <w:szCs w:val="16"/>
              </w:rPr>
              <w:t>Average staffing level (number)</w:t>
            </w:r>
          </w:p>
        </w:tc>
        <w:tc>
          <w:tcPr>
            <w:tcW w:w="996" w:type="dxa"/>
            <w:tcBorders>
              <w:top w:val="single" w:sz="4" w:space="0" w:color="auto"/>
              <w:left w:val="nil"/>
              <w:bottom w:val="single" w:sz="4" w:space="0" w:color="auto"/>
              <w:right w:val="nil"/>
            </w:tcBorders>
            <w:shd w:val="clear" w:color="auto" w:fill="auto"/>
            <w:noWrap/>
            <w:vAlign w:val="bottom"/>
            <w:hideMark/>
          </w:tcPr>
          <w:p w14:paraId="5C1B890D" w14:textId="100606BE"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366</w:t>
            </w:r>
          </w:p>
        </w:tc>
        <w:tc>
          <w:tcPr>
            <w:tcW w:w="996" w:type="dxa"/>
            <w:tcBorders>
              <w:top w:val="single" w:sz="4" w:space="0" w:color="auto"/>
              <w:left w:val="nil"/>
              <w:bottom w:val="single" w:sz="4" w:space="0" w:color="auto"/>
              <w:right w:val="nil"/>
            </w:tcBorders>
            <w:shd w:val="clear" w:color="000000" w:fill="E6E6E6"/>
            <w:noWrap/>
            <w:vAlign w:val="bottom"/>
            <w:hideMark/>
          </w:tcPr>
          <w:p w14:paraId="27659E73" w14:textId="523D5F72" w:rsidR="0058281B" w:rsidRPr="008272BA" w:rsidRDefault="0058281B" w:rsidP="0058281B">
            <w:pPr>
              <w:spacing w:after="0" w:line="240" w:lineRule="auto"/>
              <w:jc w:val="right"/>
              <w:rPr>
                <w:rFonts w:ascii="Arial" w:hAnsi="Arial" w:cs="Arial"/>
                <w:sz w:val="16"/>
                <w:szCs w:val="16"/>
              </w:rPr>
            </w:pPr>
            <w:r>
              <w:rPr>
                <w:rFonts w:ascii="Arial" w:hAnsi="Arial" w:cs="Arial"/>
                <w:sz w:val="16"/>
                <w:szCs w:val="16"/>
              </w:rPr>
              <w:t>374</w:t>
            </w:r>
          </w:p>
        </w:tc>
      </w:tr>
    </w:tbl>
    <w:p w14:paraId="42CA4C21" w14:textId="3386EEA1" w:rsidR="00B91F3E" w:rsidRPr="00AF7312" w:rsidRDefault="00B91F3E" w:rsidP="004F6389">
      <w:pPr>
        <w:pStyle w:val="TableHeadingcontinued"/>
        <w:numPr>
          <w:ilvl w:val="0"/>
          <w:numId w:val="48"/>
        </w:numPr>
        <w:spacing w:before="60"/>
        <w:ind w:left="284" w:hanging="284"/>
        <w:rPr>
          <w:rFonts w:ascii="Arial" w:hAnsi="Arial" w:cs="Arial"/>
          <w:b w:val="0"/>
          <w:sz w:val="16"/>
          <w:szCs w:val="16"/>
        </w:rPr>
      </w:pPr>
      <w:r w:rsidRPr="00AF7312">
        <w:rPr>
          <w:rFonts w:ascii="Arial" w:hAnsi="Arial" w:cs="Arial"/>
          <w:b w:val="0"/>
          <w:sz w:val="16"/>
          <w:szCs w:val="16"/>
        </w:rPr>
        <w:t xml:space="preserve">Relates to appropriation for corporate entities provided through the </w:t>
      </w:r>
      <w:r w:rsidR="003C4CC6">
        <w:rPr>
          <w:rFonts w:ascii="Arial" w:hAnsi="Arial" w:cs="Arial"/>
          <w:b w:val="0"/>
          <w:sz w:val="16"/>
          <w:szCs w:val="16"/>
        </w:rPr>
        <w:t>Department</w:t>
      </w:r>
      <w:r w:rsidRPr="00AF7312">
        <w:rPr>
          <w:rFonts w:ascii="Arial" w:hAnsi="Arial" w:cs="Arial"/>
          <w:b w:val="0"/>
          <w:sz w:val="16"/>
          <w:szCs w:val="16"/>
        </w:rPr>
        <w:t>.</w:t>
      </w:r>
    </w:p>
    <w:p w14:paraId="65D7764A" w14:textId="77777777" w:rsidR="00B91F3E" w:rsidRPr="00AF7312" w:rsidRDefault="00B91F3E" w:rsidP="004F6389">
      <w:pPr>
        <w:pStyle w:val="TableHeadingcontinued"/>
        <w:numPr>
          <w:ilvl w:val="0"/>
          <w:numId w:val="48"/>
        </w:numPr>
        <w:spacing w:after="0"/>
        <w:ind w:left="284" w:hanging="284"/>
        <w:rPr>
          <w:rFonts w:ascii="Arial" w:hAnsi="Arial" w:cs="Arial"/>
          <w:b w:val="0"/>
          <w:sz w:val="16"/>
          <w:szCs w:val="16"/>
        </w:rPr>
      </w:pPr>
      <w:r w:rsidRPr="00AF7312">
        <w:rPr>
          <w:rFonts w:ascii="Arial" w:hAnsi="Arial" w:cs="Arial"/>
          <w:b w:val="0"/>
          <w:sz w:val="16"/>
          <w:szCs w:val="16"/>
        </w:rPr>
        <w:t>Administered ‘Expenses not requiring appropriation in the Budget year’ comprises expenses relating to accruals, payments made from prior year appropriations and other non–cash expenses.</w:t>
      </w:r>
    </w:p>
    <w:p w14:paraId="15E1D432" w14:textId="57E2CFA4" w:rsidR="00B91F3E" w:rsidRPr="00AF7312" w:rsidRDefault="00B91F3E" w:rsidP="004F6389">
      <w:pPr>
        <w:pStyle w:val="TableGraphic"/>
        <w:numPr>
          <w:ilvl w:val="0"/>
          <w:numId w:val="48"/>
        </w:numPr>
        <w:ind w:left="284" w:hanging="284"/>
        <w:rPr>
          <w:rFonts w:ascii="Arial" w:hAnsi="Arial" w:cs="Arial"/>
          <w:sz w:val="16"/>
          <w:szCs w:val="16"/>
        </w:rPr>
      </w:pPr>
      <w:r w:rsidRPr="00AF7312">
        <w:rPr>
          <w:rFonts w:ascii="Arial" w:hAnsi="Arial" w:cs="Arial"/>
          <w:sz w:val="16"/>
          <w:szCs w:val="16"/>
        </w:rPr>
        <w:t>Estimated expenses incurred in relation to receipts retained un</w:t>
      </w:r>
      <w:r w:rsidR="00254303">
        <w:rPr>
          <w:rFonts w:ascii="Arial" w:hAnsi="Arial" w:cs="Arial"/>
          <w:sz w:val="16"/>
          <w:szCs w:val="16"/>
        </w:rPr>
        <w:t>der section 74 of the PGPA Act.</w:t>
      </w:r>
    </w:p>
    <w:p w14:paraId="13963771" w14:textId="182025A4" w:rsidR="00B91F3E" w:rsidRPr="00AF7312" w:rsidRDefault="003C4CC6" w:rsidP="004F6389">
      <w:pPr>
        <w:pStyle w:val="ListParagraph"/>
        <w:numPr>
          <w:ilvl w:val="0"/>
          <w:numId w:val="48"/>
        </w:numPr>
        <w:spacing w:after="0" w:line="240" w:lineRule="auto"/>
        <w:ind w:left="284" w:hanging="284"/>
        <w:rPr>
          <w:rFonts w:ascii="Arial" w:hAnsi="Arial" w:cs="Arial"/>
          <w:sz w:val="16"/>
          <w:szCs w:val="16"/>
        </w:rPr>
      </w:pPr>
      <w:r>
        <w:rPr>
          <w:rFonts w:ascii="Arial" w:hAnsi="Arial" w:cs="Arial"/>
          <w:sz w:val="16"/>
          <w:szCs w:val="16"/>
        </w:rPr>
        <w:t>Department</w:t>
      </w:r>
      <w:r w:rsidR="00B91F3E" w:rsidRPr="00AF7312">
        <w:rPr>
          <w:rFonts w:ascii="Arial" w:hAnsi="Arial" w:cs="Arial"/>
          <w:sz w:val="16"/>
          <w:szCs w:val="16"/>
        </w:rPr>
        <w:t>al ‘Expenses not requiring appropriation in the Budget year’ is made up of depreciation and amortisation expenses and expenses that are reduced by associated receipts.</w:t>
      </w:r>
    </w:p>
    <w:p w14:paraId="04D9A326" w14:textId="77777777" w:rsidR="00B91F3E" w:rsidRPr="00AF7312" w:rsidRDefault="00B91F3E" w:rsidP="004F6389">
      <w:pPr>
        <w:pStyle w:val="ListParagraph"/>
        <w:numPr>
          <w:ilvl w:val="0"/>
          <w:numId w:val="48"/>
        </w:numPr>
        <w:spacing w:after="0" w:line="240" w:lineRule="auto"/>
        <w:ind w:left="284" w:hanging="284"/>
        <w:rPr>
          <w:rFonts w:ascii="Arial" w:hAnsi="Arial" w:cs="Arial"/>
          <w:sz w:val="16"/>
          <w:szCs w:val="16"/>
        </w:rPr>
      </w:pPr>
      <w:r w:rsidRPr="00AF7312">
        <w:rPr>
          <w:rFonts w:ascii="Arial" w:hAnsi="Arial" w:cs="Arial"/>
          <w:sz w:val="16"/>
          <w:szCs w:val="16"/>
        </w:rPr>
        <w:t>Figures displayed as a negative (–) represent a decrease in funds and a positive (+) represent an increase in funds.</w:t>
      </w:r>
    </w:p>
    <w:p w14:paraId="4757ECAB" w14:textId="77777777" w:rsidR="00B91F3E" w:rsidRDefault="00B91F3E" w:rsidP="00B91F3E">
      <w:pPr>
        <w:spacing w:after="0"/>
        <w:rPr>
          <w:rStyle w:val="TableHeadingChar"/>
          <w:lang w:val="en-GB"/>
        </w:rPr>
      </w:pPr>
      <w:r>
        <w:rPr>
          <w:highlight w:val="yellow"/>
        </w:rPr>
        <w:br w:type="page"/>
      </w:r>
      <w:r w:rsidRPr="00B166C6">
        <w:rPr>
          <w:rStyle w:val="TableHeadingChar"/>
        </w:rPr>
        <w:lastRenderedPageBreak/>
        <w:t>Table 2.</w:t>
      </w:r>
      <w:r>
        <w:rPr>
          <w:rStyle w:val="TableHeadingChar"/>
          <w:lang w:val="en-GB"/>
        </w:rPr>
        <w:t>5</w:t>
      </w:r>
      <w:r w:rsidRPr="00B166C6">
        <w:rPr>
          <w:rStyle w:val="TableHeadingChar"/>
        </w:rPr>
        <w:t xml:space="preserve">.2: Program components of Outcome </w:t>
      </w:r>
      <w:r>
        <w:rPr>
          <w:rStyle w:val="TableHeadingChar"/>
          <w:lang w:val="en-GB"/>
        </w:rPr>
        <w:t>5</w:t>
      </w:r>
    </w:p>
    <w:tbl>
      <w:tblPr>
        <w:tblW w:w="7719" w:type="dxa"/>
        <w:tblLayout w:type="fixed"/>
        <w:tblLook w:val="04A0" w:firstRow="1" w:lastRow="0" w:firstColumn="1" w:lastColumn="0" w:noHBand="0" w:noVBand="1"/>
      </w:tblPr>
      <w:tblGrid>
        <w:gridCol w:w="2835"/>
        <w:gridCol w:w="976"/>
        <w:gridCol w:w="977"/>
        <w:gridCol w:w="977"/>
        <w:gridCol w:w="977"/>
        <w:gridCol w:w="977"/>
      </w:tblGrid>
      <w:tr w:rsidR="00B91F3E" w:rsidRPr="00DD7EA0" w14:paraId="3C5D2F1F" w14:textId="77777777" w:rsidTr="0058281B">
        <w:trPr>
          <w:trHeight w:val="204"/>
        </w:trPr>
        <w:tc>
          <w:tcPr>
            <w:tcW w:w="2835" w:type="dxa"/>
            <w:tcBorders>
              <w:top w:val="single" w:sz="4" w:space="0" w:color="auto"/>
              <w:left w:val="nil"/>
              <w:bottom w:val="single" w:sz="4" w:space="0" w:color="auto"/>
              <w:right w:val="nil"/>
            </w:tcBorders>
            <w:shd w:val="clear" w:color="auto" w:fill="auto"/>
            <w:noWrap/>
            <w:vAlign w:val="bottom"/>
            <w:hideMark/>
          </w:tcPr>
          <w:p w14:paraId="131F4673" w14:textId="77777777" w:rsidR="00B91F3E" w:rsidRPr="00DD7EA0" w:rsidRDefault="00B91F3E" w:rsidP="00F96D8A">
            <w:pPr>
              <w:spacing w:after="0" w:line="240" w:lineRule="auto"/>
              <w:jc w:val="left"/>
              <w:rPr>
                <w:rFonts w:ascii="Arial" w:hAnsi="Arial" w:cs="Arial"/>
                <w:sz w:val="16"/>
                <w:szCs w:val="16"/>
              </w:rPr>
            </w:pPr>
            <w:r w:rsidRPr="00DD7EA0">
              <w:rPr>
                <w:rFonts w:ascii="Arial" w:hAnsi="Arial" w:cs="Arial"/>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31DE5397" w14:textId="77777777" w:rsidR="00B91F3E" w:rsidRPr="00DD7EA0" w:rsidRDefault="00B91F3E" w:rsidP="00F96D8A">
            <w:pPr>
              <w:spacing w:after="0" w:line="240" w:lineRule="auto"/>
              <w:jc w:val="right"/>
              <w:rPr>
                <w:rFonts w:ascii="Arial" w:hAnsi="Arial" w:cs="Arial"/>
                <w:sz w:val="16"/>
                <w:szCs w:val="16"/>
              </w:rPr>
            </w:pPr>
            <w:r w:rsidRPr="00DD7EA0">
              <w:rPr>
                <w:rFonts w:ascii="Arial" w:hAnsi="Arial" w:cs="Arial"/>
                <w:sz w:val="16"/>
                <w:szCs w:val="16"/>
              </w:rPr>
              <w:t>2021-22</w:t>
            </w:r>
            <w:r w:rsidRPr="00DD7EA0">
              <w:rPr>
                <w:rFonts w:ascii="Arial" w:hAnsi="Arial" w:cs="Arial"/>
                <w:sz w:val="16"/>
                <w:szCs w:val="16"/>
              </w:rPr>
              <w:br/>
              <w:t>Estimated  actual</w:t>
            </w:r>
            <w:r w:rsidRPr="00DD7EA0">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bottom"/>
            <w:hideMark/>
          </w:tcPr>
          <w:p w14:paraId="393988F8" w14:textId="77777777" w:rsidR="00B91F3E" w:rsidRPr="00DD7EA0" w:rsidRDefault="00B91F3E" w:rsidP="00F96D8A">
            <w:pPr>
              <w:spacing w:after="0" w:line="240" w:lineRule="auto"/>
              <w:jc w:val="right"/>
              <w:rPr>
                <w:rFonts w:ascii="Arial" w:hAnsi="Arial" w:cs="Arial"/>
                <w:sz w:val="16"/>
                <w:szCs w:val="16"/>
              </w:rPr>
            </w:pPr>
            <w:r w:rsidRPr="00DD7EA0">
              <w:rPr>
                <w:rFonts w:ascii="Arial" w:hAnsi="Arial" w:cs="Arial"/>
                <w:sz w:val="16"/>
                <w:szCs w:val="16"/>
              </w:rPr>
              <w:t>2022-23</w:t>
            </w:r>
            <w:r w:rsidRPr="00DD7EA0">
              <w:rPr>
                <w:rFonts w:ascii="Arial" w:hAnsi="Arial" w:cs="Arial"/>
                <w:sz w:val="16"/>
                <w:szCs w:val="16"/>
              </w:rPr>
              <w:br/>
              <w:t xml:space="preserve"> Budget</w:t>
            </w:r>
            <w:r w:rsidRPr="00DD7EA0">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6F486603" w14:textId="77777777" w:rsidR="00B91F3E" w:rsidRPr="00DD7EA0" w:rsidRDefault="00B91F3E" w:rsidP="00F96D8A">
            <w:pPr>
              <w:spacing w:after="0" w:line="240" w:lineRule="auto"/>
              <w:jc w:val="right"/>
              <w:rPr>
                <w:rFonts w:ascii="Arial" w:hAnsi="Arial" w:cs="Arial"/>
                <w:sz w:val="16"/>
                <w:szCs w:val="16"/>
              </w:rPr>
            </w:pPr>
            <w:r w:rsidRPr="00DD7EA0">
              <w:rPr>
                <w:rFonts w:ascii="Arial" w:hAnsi="Arial" w:cs="Arial"/>
                <w:sz w:val="16"/>
                <w:szCs w:val="16"/>
              </w:rPr>
              <w:t>2023-24</w:t>
            </w:r>
            <w:r w:rsidRPr="00DD7EA0">
              <w:rPr>
                <w:rFonts w:ascii="Arial" w:hAnsi="Arial" w:cs="Arial"/>
                <w:sz w:val="16"/>
                <w:szCs w:val="16"/>
              </w:rPr>
              <w:br/>
              <w:t>Forward estimate</w:t>
            </w:r>
            <w:r w:rsidRPr="00DD7EA0">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477E6BB6" w14:textId="77777777" w:rsidR="00B91F3E" w:rsidRPr="00DD7EA0" w:rsidRDefault="00B91F3E" w:rsidP="00F96D8A">
            <w:pPr>
              <w:spacing w:after="0" w:line="240" w:lineRule="auto"/>
              <w:jc w:val="right"/>
              <w:rPr>
                <w:rFonts w:ascii="Arial" w:hAnsi="Arial" w:cs="Arial"/>
                <w:sz w:val="16"/>
                <w:szCs w:val="16"/>
              </w:rPr>
            </w:pPr>
            <w:r w:rsidRPr="00DD7EA0">
              <w:rPr>
                <w:rFonts w:ascii="Arial" w:hAnsi="Arial" w:cs="Arial"/>
                <w:sz w:val="16"/>
                <w:szCs w:val="16"/>
              </w:rPr>
              <w:t>2024-25</w:t>
            </w:r>
            <w:r w:rsidRPr="00DD7EA0">
              <w:rPr>
                <w:rFonts w:ascii="Arial" w:hAnsi="Arial" w:cs="Arial"/>
                <w:sz w:val="16"/>
                <w:szCs w:val="16"/>
              </w:rPr>
              <w:br/>
              <w:t>Forward estimate</w:t>
            </w:r>
            <w:r w:rsidRPr="00DD7EA0">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57F7113D" w14:textId="77777777" w:rsidR="00B91F3E" w:rsidRPr="00DD7EA0" w:rsidRDefault="00B91F3E" w:rsidP="00F96D8A">
            <w:pPr>
              <w:spacing w:after="0" w:line="240" w:lineRule="auto"/>
              <w:jc w:val="right"/>
              <w:rPr>
                <w:rFonts w:ascii="Arial" w:hAnsi="Arial" w:cs="Arial"/>
                <w:sz w:val="16"/>
                <w:szCs w:val="16"/>
              </w:rPr>
            </w:pPr>
            <w:r w:rsidRPr="00DD7EA0">
              <w:rPr>
                <w:rFonts w:ascii="Arial" w:hAnsi="Arial" w:cs="Arial"/>
                <w:sz w:val="16"/>
                <w:szCs w:val="16"/>
              </w:rPr>
              <w:t>2025-26</w:t>
            </w:r>
            <w:r w:rsidRPr="00DD7EA0">
              <w:rPr>
                <w:rFonts w:ascii="Arial" w:hAnsi="Arial" w:cs="Arial"/>
                <w:sz w:val="16"/>
                <w:szCs w:val="16"/>
              </w:rPr>
              <w:br/>
              <w:t>Forward estimate</w:t>
            </w:r>
            <w:r w:rsidRPr="00DD7EA0">
              <w:rPr>
                <w:rFonts w:ascii="Arial" w:hAnsi="Arial" w:cs="Arial"/>
                <w:sz w:val="16"/>
                <w:szCs w:val="16"/>
              </w:rPr>
              <w:br/>
              <w:t>$'000</w:t>
            </w:r>
          </w:p>
        </w:tc>
      </w:tr>
      <w:tr w:rsidR="00B91F3E" w:rsidRPr="00DD7EA0" w14:paraId="73FC4DC0" w14:textId="77777777" w:rsidTr="0058281B">
        <w:trPr>
          <w:trHeight w:val="204"/>
        </w:trPr>
        <w:tc>
          <w:tcPr>
            <w:tcW w:w="6742" w:type="dxa"/>
            <w:gridSpan w:val="5"/>
            <w:tcBorders>
              <w:top w:val="single" w:sz="4" w:space="0" w:color="auto"/>
              <w:left w:val="nil"/>
              <w:bottom w:val="single" w:sz="4" w:space="0" w:color="auto"/>
              <w:right w:val="nil"/>
            </w:tcBorders>
            <w:shd w:val="clear" w:color="000000" w:fill="E6E6E6"/>
            <w:noWrap/>
            <w:vAlign w:val="bottom"/>
            <w:hideMark/>
          </w:tcPr>
          <w:p w14:paraId="5DE5898F" w14:textId="77777777" w:rsidR="00B91F3E" w:rsidRPr="00DD7EA0" w:rsidRDefault="00B91F3E" w:rsidP="00F96D8A">
            <w:pPr>
              <w:spacing w:after="0" w:line="240" w:lineRule="auto"/>
              <w:jc w:val="left"/>
              <w:rPr>
                <w:rFonts w:ascii="Arial" w:hAnsi="Arial" w:cs="Arial"/>
                <w:b/>
                <w:bCs/>
                <w:sz w:val="16"/>
                <w:szCs w:val="16"/>
              </w:rPr>
            </w:pPr>
            <w:r w:rsidRPr="00DD7EA0">
              <w:rPr>
                <w:rFonts w:ascii="Arial" w:hAnsi="Arial" w:cs="Arial"/>
                <w:b/>
                <w:bCs/>
                <w:sz w:val="16"/>
                <w:szCs w:val="16"/>
              </w:rPr>
              <w:t>Components for Program 5.1: Digital Technologies and Communications Services</w:t>
            </w:r>
          </w:p>
        </w:tc>
        <w:tc>
          <w:tcPr>
            <w:tcW w:w="977" w:type="dxa"/>
            <w:tcBorders>
              <w:top w:val="nil"/>
              <w:left w:val="nil"/>
              <w:bottom w:val="single" w:sz="4" w:space="0" w:color="auto"/>
              <w:right w:val="nil"/>
            </w:tcBorders>
            <w:shd w:val="clear" w:color="000000" w:fill="E6E6E6"/>
            <w:noWrap/>
            <w:vAlign w:val="bottom"/>
            <w:hideMark/>
          </w:tcPr>
          <w:p w14:paraId="49DB0FDC" w14:textId="77777777" w:rsidR="00B91F3E" w:rsidRPr="00DD7EA0" w:rsidRDefault="00B91F3E" w:rsidP="00F96D8A">
            <w:pPr>
              <w:spacing w:after="0" w:line="240" w:lineRule="auto"/>
              <w:jc w:val="left"/>
              <w:rPr>
                <w:rFonts w:ascii="Arial" w:hAnsi="Arial" w:cs="Arial"/>
                <w:sz w:val="16"/>
                <w:szCs w:val="16"/>
              </w:rPr>
            </w:pPr>
            <w:r w:rsidRPr="00DD7EA0">
              <w:rPr>
                <w:rFonts w:ascii="Arial" w:hAnsi="Arial" w:cs="Arial"/>
                <w:sz w:val="16"/>
                <w:szCs w:val="16"/>
              </w:rPr>
              <w:t> </w:t>
            </w:r>
          </w:p>
        </w:tc>
      </w:tr>
      <w:tr w:rsidR="00B91F3E" w:rsidRPr="00DD7EA0" w14:paraId="1A183365" w14:textId="77777777" w:rsidTr="0058281B">
        <w:trPr>
          <w:trHeight w:val="204"/>
        </w:trPr>
        <w:tc>
          <w:tcPr>
            <w:tcW w:w="2835" w:type="dxa"/>
            <w:tcBorders>
              <w:top w:val="nil"/>
              <w:left w:val="nil"/>
              <w:bottom w:val="nil"/>
              <w:right w:val="nil"/>
            </w:tcBorders>
            <w:shd w:val="clear" w:color="auto" w:fill="auto"/>
            <w:noWrap/>
            <w:vAlign w:val="bottom"/>
            <w:hideMark/>
          </w:tcPr>
          <w:p w14:paraId="313FAEFE" w14:textId="77777777" w:rsidR="00B91F3E" w:rsidRPr="00DD7EA0" w:rsidRDefault="00B91F3E" w:rsidP="00F96D8A">
            <w:pPr>
              <w:spacing w:after="0" w:line="240" w:lineRule="auto"/>
              <w:jc w:val="left"/>
              <w:rPr>
                <w:rFonts w:ascii="Arial" w:hAnsi="Arial" w:cs="Arial"/>
                <w:sz w:val="16"/>
                <w:szCs w:val="16"/>
              </w:rPr>
            </w:pPr>
            <w:r w:rsidRPr="00DD7EA0">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73292402" w14:textId="77777777" w:rsidR="00B91F3E" w:rsidRPr="00DD7EA0"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0C57437C" w14:textId="77777777" w:rsidR="00B91F3E" w:rsidRPr="00DD7EA0"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AC4AF1C" w14:textId="77777777" w:rsidR="00B91F3E" w:rsidRPr="00DD7EA0"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67E8E74" w14:textId="77777777" w:rsidR="00B91F3E" w:rsidRPr="00DD7EA0" w:rsidRDefault="00B91F3E" w:rsidP="00F96D8A">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302BC458" w14:textId="77777777" w:rsidR="00B91F3E" w:rsidRPr="00DD7EA0" w:rsidRDefault="00B91F3E" w:rsidP="00F96D8A">
            <w:pPr>
              <w:spacing w:after="0" w:line="240" w:lineRule="auto"/>
              <w:jc w:val="right"/>
              <w:rPr>
                <w:rFonts w:ascii="Times New Roman" w:hAnsi="Times New Roman"/>
              </w:rPr>
            </w:pPr>
          </w:p>
        </w:tc>
      </w:tr>
      <w:tr w:rsidR="00DF0E46" w:rsidRPr="00DD7EA0" w14:paraId="6535BA4A" w14:textId="77777777" w:rsidTr="0058281B">
        <w:trPr>
          <w:trHeight w:val="204"/>
        </w:trPr>
        <w:tc>
          <w:tcPr>
            <w:tcW w:w="2835" w:type="dxa"/>
            <w:tcBorders>
              <w:top w:val="nil"/>
              <w:left w:val="nil"/>
              <w:bottom w:val="nil"/>
              <w:right w:val="nil"/>
            </w:tcBorders>
            <w:shd w:val="clear" w:color="auto" w:fill="auto"/>
            <w:vAlign w:val="bottom"/>
            <w:hideMark/>
          </w:tcPr>
          <w:p w14:paraId="2D7871D9" w14:textId="15587B89"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Amplifying Australia's Voice in the Pacific</w:t>
            </w:r>
          </w:p>
        </w:tc>
        <w:tc>
          <w:tcPr>
            <w:tcW w:w="976" w:type="dxa"/>
            <w:tcBorders>
              <w:top w:val="nil"/>
              <w:left w:val="nil"/>
              <w:bottom w:val="nil"/>
              <w:right w:val="nil"/>
            </w:tcBorders>
            <w:shd w:val="clear" w:color="auto" w:fill="auto"/>
            <w:noWrap/>
            <w:vAlign w:val="bottom"/>
            <w:hideMark/>
          </w:tcPr>
          <w:p w14:paraId="00B4689A" w14:textId="3F6EA1D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5,675 </w:t>
            </w:r>
          </w:p>
        </w:tc>
        <w:tc>
          <w:tcPr>
            <w:tcW w:w="977" w:type="dxa"/>
            <w:tcBorders>
              <w:top w:val="nil"/>
              <w:left w:val="nil"/>
              <w:bottom w:val="nil"/>
              <w:right w:val="nil"/>
            </w:tcBorders>
            <w:shd w:val="clear" w:color="000000" w:fill="E6E6E6"/>
            <w:noWrap/>
            <w:vAlign w:val="bottom"/>
            <w:hideMark/>
          </w:tcPr>
          <w:p w14:paraId="241D9C76" w14:textId="49087AF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5,675 </w:t>
            </w:r>
          </w:p>
        </w:tc>
        <w:tc>
          <w:tcPr>
            <w:tcW w:w="977" w:type="dxa"/>
            <w:tcBorders>
              <w:top w:val="nil"/>
              <w:left w:val="nil"/>
              <w:bottom w:val="nil"/>
              <w:right w:val="nil"/>
            </w:tcBorders>
            <w:shd w:val="clear" w:color="auto" w:fill="auto"/>
            <w:noWrap/>
            <w:vAlign w:val="bottom"/>
            <w:hideMark/>
          </w:tcPr>
          <w:p w14:paraId="1F081D68" w14:textId="7AB7E29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55CE927" w14:textId="538F47F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8692824" w14:textId="1AE6DA1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0F83E0E5" w14:textId="77777777" w:rsidTr="0058281B">
        <w:trPr>
          <w:trHeight w:val="204"/>
        </w:trPr>
        <w:tc>
          <w:tcPr>
            <w:tcW w:w="2835" w:type="dxa"/>
            <w:tcBorders>
              <w:top w:val="nil"/>
              <w:left w:val="nil"/>
              <w:bottom w:val="nil"/>
              <w:right w:val="nil"/>
            </w:tcBorders>
            <w:shd w:val="clear" w:color="auto" w:fill="auto"/>
            <w:vAlign w:val="bottom"/>
            <w:hideMark/>
          </w:tcPr>
          <w:p w14:paraId="59389CD5" w14:textId="26A24B2B"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Australian 5G Innovation Initiative</w:t>
            </w:r>
          </w:p>
        </w:tc>
        <w:tc>
          <w:tcPr>
            <w:tcW w:w="976" w:type="dxa"/>
            <w:tcBorders>
              <w:top w:val="nil"/>
              <w:left w:val="nil"/>
              <w:bottom w:val="nil"/>
              <w:right w:val="nil"/>
            </w:tcBorders>
            <w:shd w:val="clear" w:color="auto" w:fill="auto"/>
            <w:noWrap/>
            <w:vAlign w:val="bottom"/>
            <w:hideMark/>
          </w:tcPr>
          <w:p w14:paraId="6BE587C5" w14:textId="6717C4A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15,000 </w:t>
            </w:r>
          </w:p>
        </w:tc>
        <w:tc>
          <w:tcPr>
            <w:tcW w:w="977" w:type="dxa"/>
            <w:tcBorders>
              <w:top w:val="nil"/>
              <w:left w:val="nil"/>
              <w:bottom w:val="nil"/>
              <w:right w:val="nil"/>
            </w:tcBorders>
            <w:shd w:val="clear" w:color="000000" w:fill="E6E6E6"/>
            <w:noWrap/>
            <w:vAlign w:val="bottom"/>
            <w:hideMark/>
          </w:tcPr>
          <w:p w14:paraId="5F967C16" w14:textId="7ABD6A5F"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13,000 </w:t>
            </w:r>
          </w:p>
        </w:tc>
        <w:tc>
          <w:tcPr>
            <w:tcW w:w="977" w:type="dxa"/>
            <w:tcBorders>
              <w:top w:val="nil"/>
              <w:left w:val="nil"/>
              <w:bottom w:val="nil"/>
              <w:right w:val="nil"/>
            </w:tcBorders>
            <w:shd w:val="clear" w:color="auto" w:fill="auto"/>
            <w:noWrap/>
            <w:vAlign w:val="bottom"/>
            <w:hideMark/>
          </w:tcPr>
          <w:p w14:paraId="2B234B02" w14:textId="4A2BCD0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8,000 </w:t>
            </w:r>
          </w:p>
        </w:tc>
        <w:tc>
          <w:tcPr>
            <w:tcW w:w="977" w:type="dxa"/>
            <w:tcBorders>
              <w:top w:val="nil"/>
              <w:left w:val="nil"/>
              <w:bottom w:val="nil"/>
              <w:right w:val="nil"/>
            </w:tcBorders>
            <w:shd w:val="clear" w:color="auto" w:fill="auto"/>
            <w:noWrap/>
            <w:vAlign w:val="bottom"/>
            <w:hideMark/>
          </w:tcPr>
          <w:p w14:paraId="04015E9A" w14:textId="7C44094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4,000 </w:t>
            </w:r>
          </w:p>
        </w:tc>
        <w:tc>
          <w:tcPr>
            <w:tcW w:w="977" w:type="dxa"/>
            <w:tcBorders>
              <w:top w:val="nil"/>
              <w:left w:val="nil"/>
              <w:bottom w:val="nil"/>
              <w:right w:val="nil"/>
            </w:tcBorders>
            <w:shd w:val="clear" w:color="auto" w:fill="auto"/>
            <w:noWrap/>
            <w:vAlign w:val="bottom"/>
            <w:hideMark/>
          </w:tcPr>
          <w:p w14:paraId="4396E960" w14:textId="71A1FA2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433CBC43" w14:textId="77777777" w:rsidTr="0058281B">
        <w:trPr>
          <w:trHeight w:val="204"/>
        </w:trPr>
        <w:tc>
          <w:tcPr>
            <w:tcW w:w="2835" w:type="dxa"/>
            <w:tcBorders>
              <w:top w:val="nil"/>
              <w:left w:val="nil"/>
              <w:bottom w:val="nil"/>
              <w:right w:val="nil"/>
            </w:tcBorders>
            <w:shd w:val="clear" w:color="auto" w:fill="auto"/>
            <w:vAlign w:val="bottom"/>
            <w:hideMark/>
          </w:tcPr>
          <w:p w14:paraId="51575C93" w14:textId="0CE31CF4"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Cellular Broadcast Technologies</w:t>
            </w:r>
            <w:r w:rsidRPr="00DF0E46">
              <w:rPr>
                <w:rFonts w:ascii="Arial" w:hAnsi="Arial" w:cs="Arial"/>
                <w:sz w:val="16"/>
                <w:szCs w:val="16"/>
                <w:vertAlign w:val="superscript"/>
              </w:rPr>
              <w:t xml:space="preserve"> (a)</w:t>
            </w:r>
          </w:p>
        </w:tc>
        <w:tc>
          <w:tcPr>
            <w:tcW w:w="976" w:type="dxa"/>
            <w:tcBorders>
              <w:top w:val="nil"/>
              <w:left w:val="nil"/>
              <w:bottom w:val="nil"/>
              <w:right w:val="nil"/>
            </w:tcBorders>
            <w:shd w:val="clear" w:color="auto" w:fill="auto"/>
            <w:noWrap/>
            <w:vAlign w:val="bottom"/>
            <w:hideMark/>
          </w:tcPr>
          <w:p w14:paraId="1F8753C3" w14:textId="7C6D652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25A529F2" w14:textId="08FB06F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nfp</w:t>
            </w:r>
          </w:p>
        </w:tc>
        <w:tc>
          <w:tcPr>
            <w:tcW w:w="977" w:type="dxa"/>
            <w:tcBorders>
              <w:top w:val="nil"/>
              <w:left w:val="nil"/>
              <w:bottom w:val="nil"/>
              <w:right w:val="nil"/>
            </w:tcBorders>
            <w:shd w:val="clear" w:color="auto" w:fill="auto"/>
            <w:noWrap/>
            <w:vAlign w:val="bottom"/>
            <w:hideMark/>
          </w:tcPr>
          <w:p w14:paraId="4C46F50A" w14:textId="60DE3B3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nfp</w:t>
            </w:r>
          </w:p>
        </w:tc>
        <w:tc>
          <w:tcPr>
            <w:tcW w:w="977" w:type="dxa"/>
            <w:tcBorders>
              <w:top w:val="nil"/>
              <w:left w:val="nil"/>
              <w:bottom w:val="nil"/>
              <w:right w:val="nil"/>
            </w:tcBorders>
            <w:shd w:val="clear" w:color="auto" w:fill="auto"/>
            <w:noWrap/>
            <w:vAlign w:val="bottom"/>
            <w:hideMark/>
          </w:tcPr>
          <w:p w14:paraId="59336F73" w14:textId="5CDD32BF"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color w:val="FF0000"/>
                <w:sz w:val="16"/>
                <w:szCs w:val="16"/>
              </w:rPr>
              <w:t xml:space="preserve">- </w:t>
            </w:r>
          </w:p>
        </w:tc>
        <w:tc>
          <w:tcPr>
            <w:tcW w:w="977" w:type="dxa"/>
            <w:tcBorders>
              <w:top w:val="nil"/>
              <w:left w:val="nil"/>
              <w:bottom w:val="nil"/>
              <w:right w:val="nil"/>
            </w:tcBorders>
            <w:shd w:val="clear" w:color="auto" w:fill="auto"/>
            <w:noWrap/>
            <w:vAlign w:val="bottom"/>
            <w:hideMark/>
          </w:tcPr>
          <w:p w14:paraId="2547816B" w14:textId="275C521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color w:val="FF0000"/>
                <w:sz w:val="16"/>
                <w:szCs w:val="16"/>
              </w:rPr>
              <w:t xml:space="preserve">- </w:t>
            </w:r>
          </w:p>
        </w:tc>
      </w:tr>
      <w:tr w:rsidR="00DF0E46" w:rsidRPr="00DD7EA0" w14:paraId="2143FEE0" w14:textId="77777777" w:rsidTr="0058281B">
        <w:trPr>
          <w:trHeight w:val="204"/>
        </w:trPr>
        <w:tc>
          <w:tcPr>
            <w:tcW w:w="2835" w:type="dxa"/>
            <w:tcBorders>
              <w:top w:val="nil"/>
              <w:left w:val="nil"/>
              <w:bottom w:val="nil"/>
              <w:right w:val="nil"/>
            </w:tcBorders>
            <w:shd w:val="clear" w:color="auto" w:fill="auto"/>
            <w:vAlign w:val="bottom"/>
            <w:hideMark/>
          </w:tcPr>
          <w:p w14:paraId="0C0F40BE" w14:textId="39CA37B2"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Community Broadcasting Program</w:t>
            </w:r>
          </w:p>
        </w:tc>
        <w:tc>
          <w:tcPr>
            <w:tcW w:w="976" w:type="dxa"/>
            <w:tcBorders>
              <w:top w:val="nil"/>
              <w:left w:val="nil"/>
              <w:bottom w:val="nil"/>
              <w:right w:val="nil"/>
            </w:tcBorders>
            <w:shd w:val="clear" w:color="auto" w:fill="auto"/>
            <w:noWrap/>
            <w:vAlign w:val="bottom"/>
            <w:hideMark/>
          </w:tcPr>
          <w:p w14:paraId="403369CD" w14:textId="0AFF152F"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20,149 </w:t>
            </w:r>
          </w:p>
        </w:tc>
        <w:tc>
          <w:tcPr>
            <w:tcW w:w="977" w:type="dxa"/>
            <w:tcBorders>
              <w:top w:val="nil"/>
              <w:left w:val="nil"/>
              <w:bottom w:val="nil"/>
              <w:right w:val="nil"/>
            </w:tcBorders>
            <w:shd w:val="clear" w:color="000000" w:fill="E6E6E6"/>
            <w:noWrap/>
            <w:vAlign w:val="bottom"/>
            <w:hideMark/>
          </w:tcPr>
          <w:p w14:paraId="0F6EC0D5" w14:textId="7FA951A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20,531 </w:t>
            </w:r>
          </w:p>
        </w:tc>
        <w:tc>
          <w:tcPr>
            <w:tcW w:w="977" w:type="dxa"/>
            <w:tcBorders>
              <w:top w:val="nil"/>
              <w:left w:val="nil"/>
              <w:bottom w:val="nil"/>
              <w:right w:val="nil"/>
            </w:tcBorders>
            <w:shd w:val="clear" w:color="auto" w:fill="auto"/>
            <w:noWrap/>
            <w:vAlign w:val="bottom"/>
            <w:hideMark/>
          </w:tcPr>
          <w:p w14:paraId="26E85950" w14:textId="1D3177F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16,796 </w:t>
            </w:r>
          </w:p>
        </w:tc>
        <w:tc>
          <w:tcPr>
            <w:tcW w:w="977" w:type="dxa"/>
            <w:tcBorders>
              <w:top w:val="nil"/>
              <w:left w:val="nil"/>
              <w:bottom w:val="nil"/>
              <w:right w:val="nil"/>
            </w:tcBorders>
            <w:shd w:val="clear" w:color="auto" w:fill="auto"/>
            <w:noWrap/>
            <w:vAlign w:val="bottom"/>
            <w:hideMark/>
          </w:tcPr>
          <w:p w14:paraId="3AB712CD" w14:textId="4323508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17,200 </w:t>
            </w:r>
          </w:p>
        </w:tc>
        <w:tc>
          <w:tcPr>
            <w:tcW w:w="977" w:type="dxa"/>
            <w:tcBorders>
              <w:top w:val="nil"/>
              <w:left w:val="nil"/>
              <w:bottom w:val="nil"/>
              <w:right w:val="nil"/>
            </w:tcBorders>
            <w:shd w:val="clear" w:color="auto" w:fill="auto"/>
            <w:noWrap/>
            <w:vAlign w:val="bottom"/>
            <w:hideMark/>
          </w:tcPr>
          <w:p w14:paraId="1C5919EB" w14:textId="730CEBB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17,544 </w:t>
            </w:r>
          </w:p>
        </w:tc>
      </w:tr>
      <w:tr w:rsidR="00DF0E46" w:rsidRPr="00DD7EA0" w14:paraId="4AB92CFD" w14:textId="77777777" w:rsidTr="0058281B">
        <w:trPr>
          <w:trHeight w:val="204"/>
        </w:trPr>
        <w:tc>
          <w:tcPr>
            <w:tcW w:w="2835" w:type="dxa"/>
            <w:tcBorders>
              <w:top w:val="nil"/>
              <w:left w:val="nil"/>
              <w:bottom w:val="nil"/>
              <w:right w:val="nil"/>
            </w:tcBorders>
            <w:shd w:val="clear" w:color="auto" w:fill="auto"/>
            <w:vAlign w:val="bottom"/>
            <w:hideMark/>
          </w:tcPr>
          <w:p w14:paraId="48959B2F" w14:textId="1FBD7D71"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Connecting Northern Australia</w:t>
            </w:r>
          </w:p>
        </w:tc>
        <w:tc>
          <w:tcPr>
            <w:tcW w:w="976" w:type="dxa"/>
            <w:tcBorders>
              <w:top w:val="nil"/>
              <w:left w:val="nil"/>
              <w:bottom w:val="nil"/>
              <w:right w:val="nil"/>
            </w:tcBorders>
            <w:shd w:val="clear" w:color="auto" w:fill="auto"/>
            <w:noWrap/>
            <w:vAlign w:val="bottom"/>
            <w:hideMark/>
          </w:tcPr>
          <w:p w14:paraId="2E6F42AD" w14:textId="71D28B4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22,018 </w:t>
            </w:r>
          </w:p>
        </w:tc>
        <w:tc>
          <w:tcPr>
            <w:tcW w:w="977" w:type="dxa"/>
            <w:tcBorders>
              <w:top w:val="nil"/>
              <w:left w:val="nil"/>
              <w:bottom w:val="nil"/>
              <w:right w:val="nil"/>
            </w:tcBorders>
            <w:shd w:val="clear" w:color="000000" w:fill="E6E6E6"/>
            <w:noWrap/>
            <w:vAlign w:val="bottom"/>
            <w:hideMark/>
          </w:tcPr>
          <w:p w14:paraId="7D5DB033" w14:textId="50D0902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44,450 </w:t>
            </w:r>
          </w:p>
        </w:tc>
        <w:tc>
          <w:tcPr>
            <w:tcW w:w="977" w:type="dxa"/>
            <w:tcBorders>
              <w:top w:val="nil"/>
              <w:left w:val="nil"/>
              <w:bottom w:val="nil"/>
              <w:right w:val="nil"/>
            </w:tcBorders>
            <w:shd w:val="clear" w:color="auto" w:fill="auto"/>
            <w:noWrap/>
            <w:vAlign w:val="bottom"/>
            <w:hideMark/>
          </w:tcPr>
          <w:p w14:paraId="0E3D8E10" w14:textId="763D5E8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A7FC743" w14:textId="000B342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30C522C" w14:textId="2897530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4AF873F1" w14:textId="77777777" w:rsidTr="0058281B">
        <w:trPr>
          <w:trHeight w:val="204"/>
        </w:trPr>
        <w:tc>
          <w:tcPr>
            <w:tcW w:w="2835" w:type="dxa"/>
            <w:tcBorders>
              <w:top w:val="nil"/>
              <w:left w:val="nil"/>
              <w:bottom w:val="nil"/>
              <w:right w:val="nil"/>
            </w:tcBorders>
            <w:shd w:val="clear" w:color="auto" w:fill="auto"/>
            <w:vAlign w:val="bottom"/>
            <w:hideMark/>
          </w:tcPr>
          <w:p w14:paraId="3CFFB8EE" w14:textId="7396D03B"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Connecting Regional Australia</w:t>
            </w:r>
          </w:p>
        </w:tc>
        <w:tc>
          <w:tcPr>
            <w:tcW w:w="976" w:type="dxa"/>
            <w:tcBorders>
              <w:top w:val="nil"/>
              <w:left w:val="nil"/>
              <w:bottom w:val="nil"/>
              <w:right w:val="nil"/>
            </w:tcBorders>
            <w:shd w:val="clear" w:color="auto" w:fill="auto"/>
            <w:noWrap/>
            <w:vAlign w:val="bottom"/>
            <w:hideMark/>
          </w:tcPr>
          <w:p w14:paraId="39666631" w14:textId="79B8415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286B3693" w14:textId="12C34B1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97,800 </w:t>
            </w:r>
          </w:p>
        </w:tc>
        <w:tc>
          <w:tcPr>
            <w:tcW w:w="977" w:type="dxa"/>
            <w:tcBorders>
              <w:top w:val="nil"/>
              <w:left w:val="nil"/>
              <w:bottom w:val="nil"/>
              <w:right w:val="nil"/>
            </w:tcBorders>
            <w:shd w:val="clear" w:color="auto" w:fill="auto"/>
            <w:noWrap/>
            <w:vAlign w:val="bottom"/>
            <w:hideMark/>
          </w:tcPr>
          <w:p w14:paraId="341977E6" w14:textId="430C867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169,800 </w:t>
            </w:r>
          </w:p>
        </w:tc>
        <w:tc>
          <w:tcPr>
            <w:tcW w:w="977" w:type="dxa"/>
            <w:tcBorders>
              <w:top w:val="nil"/>
              <w:left w:val="nil"/>
              <w:bottom w:val="nil"/>
              <w:right w:val="nil"/>
            </w:tcBorders>
            <w:shd w:val="clear" w:color="auto" w:fill="auto"/>
            <w:noWrap/>
            <w:vAlign w:val="bottom"/>
            <w:hideMark/>
          </w:tcPr>
          <w:p w14:paraId="50198BDE" w14:textId="6869D73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169,800 </w:t>
            </w:r>
          </w:p>
        </w:tc>
        <w:tc>
          <w:tcPr>
            <w:tcW w:w="977" w:type="dxa"/>
            <w:tcBorders>
              <w:top w:val="nil"/>
              <w:left w:val="nil"/>
              <w:bottom w:val="nil"/>
              <w:right w:val="nil"/>
            </w:tcBorders>
            <w:shd w:val="clear" w:color="auto" w:fill="auto"/>
            <w:noWrap/>
            <w:vAlign w:val="bottom"/>
            <w:hideMark/>
          </w:tcPr>
          <w:p w14:paraId="7F17B144" w14:textId="12C273C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179,000 </w:t>
            </w:r>
          </w:p>
        </w:tc>
      </w:tr>
      <w:tr w:rsidR="00DF0E46" w:rsidRPr="00DD7EA0" w14:paraId="4231C2F9" w14:textId="77777777" w:rsidTr="0058281B">
        <w:trPr>
          <w:trHeight w:val="204"/>
        </w:trPr>
        <w:tc>
          <w:tcPr>
            <w:tcW w:w="2835" w:type="dxa"/>
            <w:tcBorders>
              <w:top w:val="nil"/>
              <w:left w:val="nil"/>
              <w:bottom w:val="nil"/>
              <w:right w:val="nil"/>
            </w:tcBorders>
            <w:shd w:val="clear" w:color="auto" w:fill="auto"/>
            <w:vAlign w:val="bottom"/>
            <w:hideMark/>
          </w:tcPr>
          <w:p w14:paraId="3884B04E" w14:textId="7A4E2373"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Consumer Representation Grants Program</w:t>
            </w:r>
          </w:p>
        </w:tc>
        <w:tc>
          <w:tcPr>
            <w:tcW w:w="976" w:type="dxa"/>
            <w:tcBorders>
              <w:top w:val="nil"/>
              <w:left w:val="nil"/>
              <w:bottom w:val="nil"/>
              <w:right w:val="nil"/>
            </w:tcBorders>
            <w:shd w:val="clear" w:color="auto" w:fill="auto"/>
            <w:noWrap/>
            <w:vAlign w:val="bottom"/>
            <w:hideMark/>
          </w:tcPr>
          <w:p w14:paraId="556C6C50" w14:textId="44238FE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2,381 </w:t>
            </w:r>
          </w:p>
        </w:tc>
        <w:tc>
          <w:tcPr>
            <w:tcW w:w="977" w:type="dxa"/>
            <w:tcBorders>
              <w:top w:val="nil"/>
              <w:left w:val="nil"/>
              <w:bottom w:val="nil"/>
              <w:right w:val="nil"/>
            </w:tcBorders>
            <w:shd w:val="clear" w:color="000000" w:fill="E6E6E6"/>
            <w:noWrap/>
            <w:vAlign w:val="bottom"/>
            <w:hideMark/>
          </w:tcPr>
          <w:p w14:paraId="3B8419F2" w14:textId="6F2A7264"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2,435 </w:t>
            </w:r>
          </w:p>
        </w:tc>
        <w:tc>
          <w:tcPr>
            <w:tcW w:w="977" w:type="dxa"/>
            <w:tcBorders>
              <w:top w:val="nil"/>
              <w:left w:val="nil"/>
              <w:bottom w:val="nil"/>
              <w:right w:val="nil"/>
            </w:tcBorders>
            <w:shd w:val="clear" w:color="auto" w:fill="auto"/>
            <w:noWrap/>
            <w:vAlign w:val="bottom"/>
            <w:hideMark/>
          </w:tcPr>
          <w:p w14:paraId="55E42D6F" w14:textId="479EA7A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2,478 </w:t>
            </w:r>
          </w:p>
        </w:tc>
        <w:tc>
          <w:tcPr>
            <w:tcW w:w="977" w:type="dxa"/>
            <w:tcBorders>
              <w:top w:val="nil"/>
              <w:left w:val="nil"/>
              <w:bottom w:val="nil"/>
              <w:right w:val="nil"/>
            </w:tcBorders>
            <w:shd w:val="clear" w:color="auto" w:fill="auto"/>
            <w:noWrap/>
            <w:vAlign w:val="bottom"/>
            <w:hideMark/>
          </w:tcPr>
          <w:p w14:paraId="2DAFD0F8" w14:textId="2C6C81E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2,537 </w:t>
            </w:r>
          </w:p>
        </w:tc>
        <w:tc>
          <w:tcPr>
            <w:tcW w:w="977" w:type="dxa"/>
            <w:tcBorders>
              <w:top w:val="nil"/>
              <w:left w:val="nil"/>
              <w:bottom w:val="nil"/>
              <w:right w:val="nil"/>
            </w:tcBorders>
            <w:shd w:val="clear" w:color="auto" w:fill="auto"/>
            <w:noWrap/>
            <w:vAlign w:val="bottom"/>
            <w:hideMark/>
          </w:tcPr>
          <w:p w14:paraId="4CF0852C" w14:textId="558E6CA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2,588 </w:t>
            </w:r>
          </w:p>
        </w:tc>
      </w:tr>
      <w:tr w:rsidR="00DF0E46" w:rsidRPr="00DD7EA0" w14:paraId="5C0A0973" w14:textId="77777777" w:rsidTr="0058281B">
        <w:trPr>
          <w:trHeight w:val="204"/>
        </w:trPr>
        <w:tc>
          <w:tcPr>
            <w:tcW w:w="2835" w:type="dxa"/>
            <w:tcBorders>
              <w:top w:val="nil"/>
              <w:left w:val="nil"/>
              <w:bottom w:val="nil"/>
              <w:right w:val="nil"/>
            </w:tcBorders>
            <w:shd w:val="clear" w:color="auto" w:fill="auto"/>
            <w:vAlign w:val="bottom"/>
            <w:hideMark/>
          </w:tcPr>
          <w:p w14:paraId="0A11AA12" w14:textId="29EC1B7C"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Intellectual Property</w:t>
            </w:r>
          </w:p>
        </w:tc>
        <w:tc>
          <w:tcPr>
            <w:tcW w:w="976" w:type="dxa"/>
            <w:tcBorders>
              <w:top w:val="nil"/>
              <w:left w:val="nil"/>
              <w:bottom w:val="nil"/>
              <w:right w:val="nil"/>
            </w:tcBorders>
            <w:shd w:val="clear" w:color="auto" w:fill="auto"/>
            <w:noWrap/>
            <w:vAlign w:val="bottom"/>
            <w:hideMark/>
          </w:tcPr>
          <w:p w14:paraId="62B61F52" w14:textId="7E6668D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263 </w:t>
            </w:r>
          </w:p>
        </w:tc>
        <w:tc>
          <w:tcPr>
            <w:tcW w:w="977" w:type="dxa"/>
            <w:tcBorders>
              <w:top w:val="nil"/>
              <w:left w:val="nil"/>
              <w:bottom w:val="nil"/>
              <w:right w:val="nil"/>
            </w:tcBorders>
            <w:shd w:val="clear" w:color="000000" w:fill="E6E6E6"/>
            <w:noWrap/>
            <w:vAlign w:val="bottom"/>
            <w:hideMark/>
          </w:tcPr>
          <w:p w14:paraId="7FDC8220" w14:textId="16C849F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263 </w:t>
            </w:r>
          </w:p>
        </w:tc>
        <w:tc>
          <w:tcPr>
            <w:tcW w:w="977" w:type="dxa"/>
            <w:tcBorders>
              <w:top w:val="nil"/>
              <w:left w:val="nil"/>
              <w:bottom w:val="nil"/>
              <w:right w:val="nil"/>
            </w:tcBorders>
            <w:shd w:val="clear" w:color="auto" w:fill="auto"/>
            <w:noWrap/>
            <w:vAlign w:val="bottom"/>
            <w:hideMark/>
          </w:tcPr>
          <w:p w14:paraId="4978F0B3" w14:textId="2BC42DF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260 </w:t>
            </w:r>
          </w:p>
        </w:tc>
        <w:tc>
          <w:tcPr>
            <w:tcW w:w="977" w:type="dxa"/>
            <w:tcBorders>
              <w:top w:val="nil"/>
              <w:left w:val="nil"/>
              <w:bottom w:val="nil"/>
              <w:right w:val="nil"/>
            </w:tcBorders>
            <w:shd w:val="clear" w:color="auto" w:fill="auto"/>
            <w:noWrap/>
            <w:vAlign w:val="bottom"/>
            <w:hideMark/>
          </w:tcPr>
          <w:p w14:paraId="3FB6CC3C" w14:textId="1A2B538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257 </w:t>
            </w:r>
          </w:p>
        </w:tc>
        <w:tc>
          <w:tcPr>
            <w:tcW w:w="977" w:type="dxa"/>
            <w:tcBorders>
              <w:top w:val="nil"/>
              <w:left w:val="nil"/>
              <w:bottom w:val="nil"/>
              <w:right w:val="nil"/>
            </w:tcBorders>
            <w:shd w:val="clear" w:color="auto" w:fill="auto"/>
            <w:noWrap/>
            <w:vAlign w:val="bottom"/>
            <w:hideMark/>
          </w:tcPr>
          <w:p w14:paraId="62C5DF07" w14:textId="5B8BED2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253 </w:t>
            </w:r>
          </w:p>
        </w:tc>
      </w:tr>
      <w:tr w:rsidR="00DF0E46" w:rsidRPr="00DD7EA0" w14:paraId="56FAAB88" w14:textId="77777777" w:rsidTr="0058281B">
        <w:trPr>
          <w:trHeight w:val="204"/>
        </w:trPr>
        <w:tc>
          <w:tcPr>
            <w:tcW w:w="2835" w:type="dxa"/>
            <w:tcBorders>
              <w:top w:val="nil"/>
              <w:left w:val="nil"/>
              <w:bottom w:val="nil"/>
              <w:right w:val="nil"/>
            </w:tcBorders>
            <w:shd w:val="clear" w:color="auto" w:fill="auto"/>
            <w:vAlign w:val="bottom"/>
            <w:hideMark/>
          </w:tcPr>
          <w:p w14:paraId="08196EED" w14:textId="5146A6F6"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International Organisation Contributions</w:t>
            </w:r>
          </w:p>
        </w:tc>
        <w:tc>
          <w:tcPr>
            <w:tcW w:w="976" w:type="dxa"/>
            <w:tcBorders>
              <w:top w:val="nil"/>
              <w:left w:val="nil"/>
              <w:bottom w:val="nil"/>
              <w:right w:val="nil"/>
            </w:tcBorders>
            <w:shd w:val="clear" w:color="auto" w:fill="auto"/>
            <w:noWrap/>
            <w:vAlign w:val="bottom"/>
            <w:hideMark/>
          </w:tcPr>
          <w:p w14:paraId="52C12E06" w14:textId="2EA8473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7,219 </w:t>
            </w:r>
          </w:p>
        </w:tc>
        <w:tc>
          <w:tcPr>
            <w:tcW w:w="977" w:type="dxa"/>
            <w:tcBorders>
              <w:top w:val="nil"/>
              <w:left w:val="nil"/>
              <w:bottom w:val="nil"/>
              <w:right w:val="nil"/>
            </w:tcBorders>
            <w:shd w:val="clear" w:color="000000" w:fill="E6E6E6"/>
            <w:noWrap/>
            <w:vAlign w:val="bottom"/>
            <w:hideMark/>
          </w:tcPr>
          <w:p w14:paraId="580F714C" w14:textId="4E030F6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7,178 </w:t>
            </w:r>
          </w:p>
        </w:tc>
        <w:tc>
          <w:tcPr>
            <w:tcW w:w="977" w:type="dxa"/>
            <w:tcBorders>
              <w:top w:val="nil"/>
              <w:left w:val="nil"/>
              <w:bottom w:val="nil"/>
              <w:right w:val="nil"/>
            </w:tcBorders>
            <w:shd w:val="clear" w:color="auto" w:fill="auto"/>
            <w:noWrap/>
            <w:vAlign w:val="bottom"/>
            <w:hideMark/>
          </w:tcPr>
          <w:p w14:paraId="637A57A2" w14:textId="7934C20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7,127 </w:t>
            </w:r>
          </w:p>
        </w:tc>
        <w:tc>
          <w:tcPr>
            <w:tcW w:w="977" w:type="dxa"/>
            <w:tcBorders>
              <w:top w:val="nil"/>
              <w:left w:val="nil"/>
              <w:bottom w:val="nil"/>
              <w:right w:val="nil"/>
            </w:tcBorders>
            <w:shd w:val="clear" w:color="auto" w:fill="auto"/>
            <w:noWrap/>
            <w:vAlign w:val="bottom"/>
            <w:hideMark/>
          </w:tcPr>
          <w:p w14:paraId="6780D8B0" w14:textId="436C503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7,045 </w:t>
            </w:r>
          </w:p>
        </w:tc>
        <w:tc>
          <w:tcPr>
            <w:tcW w:w="977" w:type="dxa"/>
            <w:tcBorders>
              <w:top w:val="nil"/>
              <w:left w:val="nil"/>
              <w:bottom w:val="nil"/>
              <w:right w:val="nil"/>
            </w:tcBorders>
            <w:shd w:val="clear" w:color="auto" w:fill="auto"/>
            <w:noWrap/>
            <w:vAlign w:val="bottom"/>
            <w:hideMark/>
          </w:tcPr>
          <w:p w14:paraId="5505B4EC" w14:textId="24D4349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6,949 </w:t>
            </w:r>
          </w:p>
        </w:tc>
      </w:tr>
      <w:tr w:rsidR="00DF0E46" w:rsidRPr="00DD7EA0" w14:paraId="1B0F0DF5" w14:textId="77777777" w:rsidTr="0058281B">
        <w:trPr>
          <w:trHeight w:val="204"/>
        </w:trPr>
        <w:tc>
          <w:tcPr>
            <w:tcW w:w="2835" w:type="dxa"/>
            <w:tcBorders>
              <w:top w:val="nil"/>
              <w:left w:val="nil"/>
              <w:bottom w:val="nil"/>
              <w:right w:val="nil"/>
            </w:tcBorders>
            <w:shd w:val="clear" w:color="auto" w:fill="auto"/>
            <w:vAlign w:val="bottom"/>
            <w:hideMark/>
          </w:tcPr>
          <w:p w14:paraId="69936C87" w14:textId="1B3BEEF1"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Journalist (Cadetship and Training)</w:t>
            </w:r>
          </w:p>
        </w:tc>
        <w:tc>
          <w:tcPr>
            <w:tcW w:w="976" w:type="dxa"/>
            <w:tcBorders>
              <w:top w:val="nil"/>
              <w:left w:val="nil"/>
              <w:bottom w:val="nil"/>
              <w:right w:val="nil"/>
            </w:tcBorders>
            <w:shd w:val="clear" w:color="auto" w:fill="auto"/>
            <w:noWrap/>
            <w:vAlign w:val="bottom"/>
            <w:hideMark/>
          </w:tcPr>
          <w:p w14:paraId="57B75500" w14:textId="7228747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5,000 </w:t>
            </w:r>
          </w:p>
        </w:tc>
        <w:tc>
          <w:tcPr>
            <w:tcW w:w="977" w:type="dxa"/>
            <w:tcBorders>
              <w:top w:val="nil"/>
              <w:left w:val="nil"/>
              <w:bottom w:val="nil"/>
              <w:right w:val="nil"/>
            </w:tcBorders>
            <w:shd w:val="clear" w:color="000000" w:fill="E6E6E6"/>
            <w:noWrap/>
            <w:vAlign w:val="bottom"/>
            <w:hideMark/>
          </w:tcPr>
          <w:p w14:paraId="2F44D8A9" w14:textId="7882E98A"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5,000 </w:t>
            </w:r>
          </w:p>
        </w:tc>
        <w:tc>
          <w:tcPr>
            <w:tcW w:w="977" w:type="dxa"/>
            <w:tcBorders>
              <w:top w:val="nil"/>
              <w:left w:val="nil"/>
              <w:bottom w:val="nil"/>
              <w:right w:val="nil"/>
            </w:tcBorders>
            <w:shd w:val="clear" w:color="auto" w:fill="auto"/>
            <w:noWrap/>
            <w:vAlign w:val="bottom"/>
            <w:hideMark/>
          </w:tcPr>
          <w:p w14:paraId="7F38A84D" w14:textId="0E4BE63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3B9D9B2B" w14:textId="5F0F99F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8568A94" w14:textId="407ECD3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2EED2B7F" w14:textId="77777777" w:rsidTr="0058281B">
        <w:trPr>
          <w:trHeight w:val="204"/>
        </w:trPr>
        <w:tc>
          <w:tcPr>
            <w:tcW w:w="2835" w:type="dxa"/>
            <w:tcBorders>
              <w:top w:val="nil"/>
              <w:left w:val="nil"/>
              <w:bottom w:val="nil"/>
              <w:right w:val="nil"/>
            </w:tcBorders>
            <w:shd w:val="clear" w:color="auto" w:fill="auto"/>
            <w:vAlign w:val="bottom"/>
            <w:hideMark/>
          </w:tcPr>
          <w:p w14:paraId="2B9740B4" w14:textId="48698B7A"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Mobile Black Spot Program</w:t>
            </w:r>
          </w:p>
        </w:tc>
        <w:tc>
          <w:tcPr>
            <w:tcW w:w="976" w:type="dxa"/>
            <w:tcBorders>
              <w:top w:val="nil"/>
              <w:left w:val="nil"/>
              <w:bottom w:val="nil"/>
              <w:right w:val="nil"/>
            </w:tcBorders>
            <w:shd w:val="clear" w:color="auto" w:fill="auto"/>
            <w:noWrap/>
            <w:vAlign w:val="bottom"/>
            <w:hideMark/>
          </w:tcPr>
          <w:p w14:paraId="649A04EB" w14:textId="0FAC366A"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57,854 </w:t>
            </w:r>
          </w:p>
        </w:tc>
        <w:tc>
          <w:tcPr>
            <w:tcW w:w="977" w:type="dxa"/>
            <w:tcBorders>
              <w:top w:val="nil"/>
              <w:left w:val="nil"/>
              <w:bottom w:val="nil"/>
              <w:right w:val="nil"/>
            </w:tcBorders>
            <w:shd w:val="clear" w:color="000000" w:fill="E6E6E6"/>
            <w:noWrap/>
            <w:vAlign w:val="bottom"/>
            <w:hideMark/>
          </w:tcPr>
          <w:p w14:paraId="03BB88D0" w14:textId="70CC84F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115,088 </w:t>
            </w:r>
          </w:p>
        </w:tc>
        <w:tc>
          <w:tcPr>
            <w:tcW w:w="977" w:type="dxa"/>
            <w:tcBorders>
              <w:top w:val="nil"/>
              <w:left w:val="nil"/>
              <w:bottom w:val="nil"/>
              <w:right w:val="nil"/>
            </w:tcBorders>
            <w:shd w:val="clear" w:color="auto" w:fill="auto"/>
            <w:noWrap/>
            <w:vAlign w:val="bottom"/>
            <w:hideMark/>
          </w:tcPr>
          <w:p w14:paraId="4C7C3415" w14:textId="4897841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3E6DD06" w14:textId="3A217A3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ABA0F63" w14:textId="7F61F2C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493BF562" w14:textId="77777777" w:rsidTr="0058281B">
        <w:trPr>
          <w:trHeight w:val="204"/>
        </w:trPr>
        <w:tc>
          <w:tcPr>
            <w:tcW w:w="2835" w:type="dxa"/>
            <w:tcBorders>
              <w:top w:val="nil"/>
              <w:left w:val="nil"/>
              <w:bottom w:val="nil"/>
              <w:right w:val="nil"/>
            </w:tcBorders>
            <w:shd w:val="clear" w:color="auto" w:fill="auto"/>
            <w:vAlign w:val="bottom"/>
            <w:hideMark/>
          </w:tcPr>
          <w:p w14:paraId="5BAA7B81" w14:textId="5DE01F6E"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NBN - Fixed Wireless and Satellite Upgrade</w:t>
            </w:r>
          </w:p>
        </w:tc>
        <w:tc>
          <w:tcPr>
            <w:tcW w:w="976" w:type="dxa"/>
            <w:tcBorders>
              <w:top w:val="nil"/>
              <w:left w:val="nil"/>
              <w:bottom w:val="nil"/>
              <w:right w:val="nil"/>
            </w:tcBorders>
            <w:shd w:val="clear" w:color="auto" w:fill="auto"/>
            <w:noWrap/>
            <w:vAlign w:val="bottom"/>
            <w:hideMark/>
          </w:tcPr>
          <w:p w14:paraId="3650F1EF" w14:textId="2046545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480,000 </w:t>
            </w:r>
          </w:p>
        </w:tc>
        <w:tc>
          <w:tcPr>
            <w:tcW w:w="977" w:type="dxa"/>
            <w:tcBorders>
              <w:top w:val="nil"/>
              <w:left w:val="nil"/>
              <w:bottom w:val="nil"/>
              <w:right w:val="nil"/>
            </w:tcBorders>
            <w:shd w:val="clear" w:color="000000" w:fill="E6E6E6"/>
            <w:noWrap/>
            <w:vAlign w:val="bottom"/>
            <w:hideMark/>
          </w:tcPr>
          <w:p w14:paraId="5A5E3125" w14:textId="5CB8476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color w:val="FF0000"/>
                <w:sz w:val="16"/>
                <w:szCs w:val="16"/>
              </w:rPr>
              <w:t xml:space="preserve">- </w:t>
            </w:r>
          </w:p>
        </w:tc>
        <w:tc>
          <w:tcPr>
            <w:tcW w:w="977" w:type="dxa"/>
            <w:tcBorders>
              <w:top w:val="nil"/>
              <w:left w:val="nil"/>
              <w:bottom w:val="nil"/>
              <w:right w:val="nil"/>
            </w:tcBorders>
            <w:shd w:val="clear" w:color="auto" w:fill="auto"/>
            <w:noWrap/>
            <w:vAlign w:val="bottom"/>
            <w:hideMark/>
          </w:tcPr>
          <w:p w14:paraId="6A9031AE" w14:textId="5D587BA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38CEC6DD" w14:textId="131B180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FAFE047" w14:textId="413C691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0AAA5A31" w14:textId="77777777" w:rsidTr="0058281B">
        <w:trPr>
          <w:trHeight w:val="204"/>
        </w:trPr>
        <w:tc>
          <w:tcPr>
            <w:tcW w:w="2835" w:type="dxa"/>
            <w:tcBorders>
              <w:top w:val="nil"/>
              <w:left w:val="nil"/>
              <w:bottom w:val="nil"/>
              <w:right w:val="nil"/>
            </w:tcBorders>
            <w:shd w:val="clear" w:color="auto" w:fill="auto"/>
            <w:vAlign w:val="bottom"/>
            <w:hideMark/>
          </w:tcPr>
          <w:p w14:paraId="1C419888" w14:textId="6532424A"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Online Safety</w:t>
            </w:r>
          </w:p>
        </w:tc>
        <w:tc>
          <w:tcPr>
            <w:tcW w:w="976" w:type="dxa"/>
            <w:tcBorders>
              <w:top w:val="nil"/>
              <w:left w:val="nil"/>
              <w:bottom w:val="nil"/>
              <w:right w:val="nil"/>
            </w:tcBorders>
            <w:shd w:val="clear" w:color="auto" w:fill="auto"/>
            <w:noWrap/>
            <w:vAlign w:val="bottom"/>
            <w:hideMark/>
          </w:tcPr>
          <w:p w14:paraId="1B854A69" w14:textId="52DA912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4,010 </w:t>
            </w:r>
          </w:p>
        </w:tc>
        <w:tc>
          <w:tcPr>
            <w:tcW w:w="977" w:type="dxa"/>
            <w:tcBorders>
              <w:top w:val="nil"/>
              <w:left w:val="nil"/>
              <w:bottom w:val="nil"/>
              <w:right w:val="nil"/>
            </w:tcBorders>
            <w:shd w:val="clear" w:color="000000" w:fill="E6E6E6"/>
            <w:noWrap/>
            <w:vAlign w:val="bottom"/>
            <w:hideMark/>
          </w:tcPr>
          <w:p w14:paraId="6384700A" w14:textId="307F16E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810 </w:t>
            </w:r>
          </w:p>
        </w:tc>
        <w:tc>
          <w:tcPr>
            <w:tcW w:w="977" w:type="dxa"/>
            <w:tcBorders>
              <w:top w:val="nil"/>
              <w:left w:val="nil"/>
              <w:bottom w:val="nil"/>
              <w:right w:val="nil"/>
            </w:tcBorders>
            <w:shd w:val="clear" w:color="auto" w:fill="auto"/>
            <w:noWrap/>
            <w:vAlign w:val="bottom"/>
            <w:hideMark/>
          </w:tcPr>
          <w:p w14:paraId="6ACB1DED" w14:textId="4820DD0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810 </w:t>
            </w:r>
          </w:p>
        </w:tc>
        <w:tc>
          <w:tcPr>
            <w:tcW w:w="977" w:type="dxa"/>
            <w:tcBorders>
              <w:top w:val="nil"/>
              <w:left w:val="nil"/>
              <w:bottom w:val="nil"/>
              <w:right w:val="nil"/>
            </w:tcBorders>
            <w:shd w:val="clear" w:color="auto" w:fill="auto"/>
            <w:noWrap/>
            <w:vAlign w:val="bottom"/>
            <w:hideMark/>
          </w:tcPr>
          <w:p w14:paraId="0D47F554" w14:textId="6845980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810 </w:t>
            </w:r>
          </w:p>
        </w:tc>
        <w:tc>
          <w:tcPr>
            <w:tcW w:w="977" w:type="dxa"/>
            <w:tcBorders>
              <w:top w:val="nil"/>
              <w:left w:val="nil"/>
              <w:bottom w:val="nil"/>
              <w:right w:val="nil"/>
            </w:tcBorders>
            <w:shd w:val="clear" w:color="auto" w:fill="auto"/>
            <w:noWrap/>
            <w:vAlign w:val="bottom"/>
            <w:hideMark/>
          </w:tcPr>
          <w:p w14:paraId="1C9B3E1B" w14:textId="505DCCA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810 </w:t>
            </w:r>
          </w:p>
        </w:tc>
      </w:tr>
      <w:tr w:rsidR="00DF0E46" w:rsidRPr="00DD7EA0" w14:paraId="68DED8F0" w14:textId="77777777" w:rsidTr="0058281B">
        <w:trPr>
          <w:trHeight w:val="204"/>
        </w:trPr>
        <w:tc>
          <w:tcPr>
            <w:tcW w:w="2835" w:type="dxa"/>
            <w:tcBorders>
              <w:top w:val="nil"/>
              <w:left w:val="nil"/>
              <w:bottom w:val="nil"/>
              <w:right w:val="nil"/>
            </w:tcBorders>
            <w:shd w:val="clear" w:color="auto" w:fill="auto"/>
            <w:vAlign w:val="bottom"/>
            <w:hideMark/>
          </w:tcPr>
          <w:p w14:paraId="4452CF1C" w14:textId="1D342BAB"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Peri-Urban Mobile Program</w:t>
            </w:r>
          </w:p>
        </w:tc>
        <w:tc>
          <w:tcPr>
            <w:tcW w:w="976" w:type="dxa"/>
            <w:tcBorders>
              <w:top w:val="nil"/>
              <w:left w:val="nil"/>
              <w:bottom w:val="nil"/>
              <w:right w:val="nil"/>
            </w:tcBorders>
            <w:shd w:val="clear" w:color="auto" w:fill="auto"/>
            <w:noWrap/>
            <w:vAlign w:val="bottom"/>
            <w:hideMark/>
          </w:tcPr>
          <w:p w14:paraId="37E03FB0" w14:textId="3355385F"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2,500 </w:t>
            </w:r>
          </w:p>
        </w:tc>
        <w:tc>
          <w:tcPr>
            <w:tcW w:w="977" w:type="dxa"/>
            <w:tcBorders>
              <w:top w:val="nil"/>
              <w:left w:val="nil"/>
              <w:bottom w:val="nil"/>
              <w:right w:val="nil"/>
            </w:tcBorders>
            <w:shd w:val="clear" w:color="000000" w:fill="E6E6E6"/>
            <w:noWrap/>
            <w:vAlign w:val="bottom"/>
            <w:hideMark/>
          </w:tcPr>
          <w:p w14:paraId="30F80699" w14:textId="75E9ED3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15,663 </w:t>
            </w:r>
          </w:p>
        </w:tc>
        <w:tc>
          <w:tcPr>
            <w:tcW w:w="977" w:type="dxa"/>
            <w:tcBorders>
              <w:top w:val="nil"/>
              <w:left w:val="nil"/>
              <w:bottom w:val="nil"/>
              <w:right w:val="nil"/>
            </w:tcBorders>
            <w:shd w:val="clear" w:color="auto" w:fill="auto"/>
            <w:noWrap/>
            <w:vAlign w:val="bottom"/>
            <w:hideMark/>
          </w:tcPr>
          <w:p w14:paraId="3621F63F" w14:textId="4B40B35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7,500 </w:t>
            </w:r>
          </w:p>
        </w:tc>
        <w:tc>
          <w:tcPr>
            <w:tcW w:w="977" w:type="dxa"/>
            <w:tcBorders>
              <w:top w:val="nil"/>
              <w:left w:val="nil"/>
              <w:bottom w:val="nil"/>
              <w:right w:val="nil"/>
            </w:tcBorders>
            <w:shd w:val="clear" w:color="auto" w:fill="auto"/>
            <w:noWrap/>
            <w:vAlign w:val="bottom"/>
            <w:hideMark/>
          </w:tcPr>
          <w:p w14:paraId="4FF0A07C" w14:textId="4DE409C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D498777" w14:textId="0D2E647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67DB56B3" w14:textId="77777777" w:rsidTr="0058281B">
        <w:trPr>
          <w:trHeight w:val="204"/>
        </w:trPr>
        <w:tc>
          <w:tcPr>
            <w:tcW w:w="2835" w:type="dxa"/>
            <w:tcBorders>
              <w:top w:val="nil"/>
              <w:left w:val="nil"/>
              <w:bottom w:val="nil"/>
              <w:right w:val="nil"/>
            </w:tcBorders>
            <w:shd w:val="clear" w:color="auto" w:fill="auto"/>
            <w:vAlign w:val="bottom"/>
            <w:hideMark/>
          </w:tcPr>
          <w:p w14:paraId="483560EE" w14:textId="2CDC008C"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Public Interest News Gathering</w:t>
            </w:r>
          </w:p>
        </w:tc>
        <w:tc>
          <w:tcPr>
            <w:tcW w:w="976" w:type="dxa"/>
            <w:tcBorders>
              <w:top w:val="nil"/>
              <w:left w:val="nil"/>
              <w:bottom w:val="nil"/>
              <w:right w:val="nil"/>
            </w:tcBorders>
            <w:shd w:val="clear" w:color="auto" w:fill="auto"/>
            <w:noWrap/>
            <w:vAlign w:val="bottom"/>
            <w:hideMark/>
          </w:tcPr>
          <w:p w14:paraId="42D459F6" w14:textId="1F2759E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7,500 </w:t>
            </w:r>
          </w:p>
        </w:tc>
        <w:tc>
          <w:tcPr>
            <w:tcW w:w="977" w:type="dxa"/>
            <w:tcBorders>
              <w:top w:val="nil"/>
              <w:left w:val="nil"/>
              <w:bottom w:val="nil"/>
              <w:right w:val="nil"/>
            </w:tcBorders>
            <w:shd w:val="clear" w:color="000000" w:fill="E6E6E6"/>
            <w:noWrap/>
            <w:vAlign w:val="bottom"/>
            <w:hideMark/>
          </w:tcPr>
          <w:p w14:paraId="678C017D" w14:textId="6C81902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122116C" w14:textId="5CE6905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3031D20" w14:textId="3C9DDA1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98113A3" w14:textId="2F2AEB9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5563A70D" w14:textId="77777777" w:rsidTr="0058281B">
        <w:trPr>
          <w:trHeight w:val="204"/>
        </w:trPr>
        <w:tc>
          <w:tcPr>
            <w:tcW w:w="2835" w:type="dxa"/>
            <w:tcBorders>
              <w:top w:val="nil"/>
              <w:left w:val="nil"/>
              <w:bottom w:val="nil"/>
              <w:right w:val="nil"/>
            </w:tcBorders>
            <w:shd w:val="clear" w:color="auto" w:fill="auto"/>
            <w:vAlign w:val="bottom"/>
            <w:hideMark/>
          </w:tcPr>
          <w:p w14:paraId="649A0AA2" w14:textId="437BAB56"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Regional Backbone Blackspots Program</w:t>
            </w:r>
          </w:p>
        </w:tc>
        <w:tc>
          <w:tcPr>
            <w:tcW w:w="976" w:type="dxa"/>
            <w:tcBorders>
              <w:top w:val="nil"/>
              <w:left w:val="nil"/>
              <w:bottom w:val="nil"/>
              <w:right w:val="nil"/>
            </w:tcBorders>
            <w:shd w:val="clear" w:color="auto" w:fill="auto"/>
            <w:noWrap/>
            <w:vAlign w:val="bottom"/>
            <w:hideMark/>
          </w:tcPr>
          <w:p w14:paraId="0496E17D" w14:textId="20F2E44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7,925 </w:t>
            </w:r>
          </w:p>
        </w:tc>
        <w:tc>
          <w:tcPr>
            <w:tcW w:w="977" w:type="dxa"/>
            <w:tcBorders>
              <w:top w:val="nil"/>
              <w:left w:val="nil"/>
              <w:bottom w:val="nil"/>
              <w:right w:val="nil"/>
            </w:tcBorders>
            <w:shd w:val="clear" w:color="000000" w:fill="E6E6E6"/>
            <w:noWrap/>
            <w:vAlign w:val="bottom"/>
            <w:hideMark/>
          </w:tcPr>
          <w:p w14:paraId="2B553CD2" w14:textId="3E77EC2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000B17EA" w14:textId="02C4CB83"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44A11465" w14:textId="2BBDB9A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72983CDC" w14:textId="7E36BAE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7,925 </w:t>
            </w:r>
          </w:p>
        </w:tc>
      </w:tr>
      <w:tr w:rsidR="00DF0E46" w:rsidRPr="00DD7EA0" w14:paraId="19397CC3" w14:textId="77777777" w:rsidTr="0058281B">
        <w:trPr>
          <w:trHeight w:val="204"/>
        </w:trPr>
        <w:tc>
          <w:tcPr>
            <w:tcW w:w="2835" w:type="dxa"/>
            <w:tcBorders>
              <w:top w:val="nil"/>
              <w:left w:val="nil"/>
              <w:bottom w:val="nil"/>
              <w:right w:val="nil"/>
            </w:tcBorders>
            <w:shd w:val="clear" w:color="auto" w:fill="auto"/>
            <w:vAlign w:val="bottom"/>
            <w:hideMark/>
          </w:tcPr>
          <w:p w14:paraId="6B0C838C" w14:textId="677D1C5B"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Regional Broadband Scheme</w:t>
            </w:r>
          </w:p>
        </w:tc>
        <w:tc>
          <w:tcPr>
            <w:tcW w:w="976" w:type="dxa"/>
            <w:tcBorders>
              <w:top w:val="nil"/>
              <w:left w:val="nil"/>
              <w:bottom w:val="nil"/>
              <w:right w:val="nil"/>
            </w:tcBorders>
            <w:shd w:val="clear" w:color="auto" w:fill="auto"/>
            <w:noWrap/>
            <w:vAlign w:val="bottom"/>
            <w:hideMark/>
          </w:tcPr>
          <w:p w14:paraId="5A1F8C4A" w14:textId="674DD80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700,050 </w:t>
            </w:r>
          </w:p>
        </w:tc>
        <w:tc>
          <w:tcPr>
            <w:tcW w:w="977" w:type="dxa"/>
            <w:tcBorders>
              <w:top w:val="nil"/>
              <w:left w:val="nil"/>
              <w:bottom w:val="nil"/>
              <w:right w:val="nil"/>
            </w:tcBorders>
            <w:shd w:val="clear" w:color="000000" w:fill="E6E6E6"/>
            <w:noWrap/>
            <w:vAlign w:val="bottom"/>
            <w:hideMark/>
          </w:tcPr>
          <w:p w14:paraId="0755EB99" w14:textId="1F604FA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737,364 </w:t>
            </w:r>
          </w:p>
        </w:tc>
        <w:tc>
          <w:tcPr>
            <w:tcW w:w="977" w:type="dxa"/>
            <w:tcBorders>
              <w:top w:val="nil"/>
              <w:left w:val="nil"/>
              <w:bottom w:val="nil"/>
              <w:right w:val="nil"/>
            </w:tcBorders>
            <w:shd w:val="clear" w:color="auto" w:fill="auto"/>
            <w:noWrap/>
            <w:vAlign w:val="bottom"/>
            <w:hideMark/>
          </w:tcPr>
          <w:p w14:paraId="063BF19A" w14:textId="26CB30B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767,903 </w:t>
            </w:r>
          </w:p>
        </w:tc>
        <w:tc>
          <w:tcPr>
            <w:tcW w:w="977" w:type="dxa"/>
            <w:tcBorders>
              <w:top w:val="nil"/>
              <w:left w:val="nil"/>
              <w:bottom w:val="nil"/>
              <w:right w:val="nil"/>
            </w:tcBorders>
            <w:shd w:val="clear" w:color="auto" w:fill="auto"/>
            <w:noWrap/>
            <w:vAlign w:val="bottom"/>
            <w:hideMark/>
          </w:tcPr>
          <w:p w14:paraId="44B04A15" w14:textId="16E6BA4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799,026 </w:t>
            </w:r>
          </w:p>
        </w:tc>
        <w:tc>
          <w:tcPr>
            <w:tcW w:w="977" w:type="dxa"/>
            <w:tcBorders>
              <w:top w:val="nil"/>
              <w:left w:val="nil"/>
              <w:bottom w:val="nil"/>
              <w:right w:val="nil"/>
            </w:tcBorders>
            <w:shd w:val="clear" w:color="auto" w:fill="auto"/>
            <w:noWrap/>
            <w:vAlign w:val="bottom"/>
            <w:hideMark/>
          </w:tcPr>
          <w:p w14:paraId="3A16D6C1" w14:textId="08E91DB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854,235 </w:t>
            </w:r>
          </w:p>
        </w:tc>
      </w:tr>
      <w:tr w:rsidR="00DF0E46" w:rsidRPr="00DD7EA0" w14:paraId="137F73E2" w14:textId="77777777" w:rsidTr="0058281B">
        <w:trPr>
          <w:trHeight w:val="204"/>
        </w:trPr>
        <w:tc>
          <w:tcPr>
            <w:tcW w:w="2835" w:type="dxa"/>
            <w:tcBorders>
              <w:top w:val="nil"/>
              <w:left w:val="nil"/>
              <w:bottom w:val="nil"/>
              <w:right w:val="nil"/>
            </w:tcBorders>
            <w:shd w:val="clear" w:color="auto" w:fill="auto"/>
            <w:vAlign w:val="bottom"/>
            <w:hideMark/>
          </w:tcPr>
          <w:p w14:paraId="4D7405BA" w14:textId="04689F77"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Regional Broadcasting</w:t>
            </w:r>
          </w:p>
        </w:tc>
        <w:tc>
          <w:tcPr>
            <w:tcW w:w="976" w:type="dxa"/>
            <w:tcBorders>
              <w:top w:val="nil"/>
              <w:left w:val="nil"/>
              <w:bottom w:val="nil"/>
              <w:right w:val="nil"/>
            </w:tcBorders>
            <w:shd w:val="clear" w:color="auto" w:fill="auto"/>
            <w:noWrap/>
            <w:vAlign w:val="bottom"/>
            <w:hideMark/>
          </w:tcPr>
          <w:p w14:paraId="770C95F2" w14:textId="50E33CD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14,513 </w:t>
            </w:r>
          </w:p>
        </w:tc>
        <w:tc>
          <w:tcPr>
            <w:tcW w:w="977" w:type="dxa"/>
            <w:tcBorders>
              <w:top w:val="nil"/>
              <w:left w:val="nil"/>
              <w:bottom w:val="nil"/>
              <w:right w:val="nil"/>
            </w:tcBorders>
            <w:shd w:val="clear" w:color="000000" w:fill="E6E6E6"/>
            <w:noWrap/>
            <w:vAlign w:val="bottom"/>
            <w:hideMark/>
          </w:tcPr>
          <w:p w14:paraId="38E15BE7" w14:textId="36870AA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14,114 </w:t>
            </w:r>
          </w:p>
        </w:tc>
        <w:tc>
          <w:tcPr>
            <w:tcW w:w="977" w:type="dxa"/>
            <w:tcBorders>
              <w:top w:val="nil"/>
              <w:left w:val="nil"/>
              <w:bottom w:val="nil"/>
              <w:right w:val="nil"/>
            </w:tcBorders>
            <w:shd w:val="clear" w:color="auto" w:fill="auto"/>
            <w:noWrap/>
            <w:vAlign w:val="bottom"/>
            <w:hideMark/>
          </w:tcPr>
          <w:p w14:paraId="388F717A" w14:textId="2919E08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14,373 </w:t>
            </w:r>
          </w:p>
        </w:tc>
        <w:tc>
          <w:tcPr>
            <w:tcW w:w="977" w:type="dxa"/>
            <w:tcBorders>
              <w:top w:val="nil"/>
              <w:left w:val="nil"/>
              <w:bottom w:val="nil"/>
              <w:right w:val="nil"/>
            </w:tcBorders>
            <w:shd w:val="clear" w:color="auto" w:fill="auto"/>
            <w:noWrap/>
            <w:vAlign w:val="bottom"/>
            <w:hideMark/>
          </w:tcPr>
          <w:p w14:paraId="720136E0" w14:textId="043A256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33A31C3F" w14:textId="5BBBB6D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4BB4A596" w14:textId="77777777" w:rsidTr="0058281B">
        <w:trPr>
          <w:trHeight w:val="204"/>
        </w:trPr>
        <w:tc>
          <w:tcPr>
            <w:tcW w:w="2835" w:type="dxa"/>
            <w:tcBorders>
              <w:top w:val="nil"/>
              <w:left w:val="nil"/>
              <w:bottom w:val="nil"/>
              <w:right w:val="nil"/>
            </w:tcBorders>
            <w:shd w:val="clear" w:color="auto" w:fill="auto"/>
            <w:vAlign w:val="bottom"/>
            <w:hideMark/>
          </w:tcPr>
          <w:p w14:paraId="1B8D5429" w14:textId="74DAEADD"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Regional Connectivity</w:t>
            </w:r>
          </w:p>
        </w:tc>
        <w:tc>
          <w:tcPr>
            <w:tcW w:w="976" w:type="dxa"/>
            <w:tcBorders>
              <w:top w:val="nil"/>
              <w:left w:val="nil"/>
              <w:bottom w:val="nil"/>
              <w:right w:val="nil"/>
            </w:tcBorders>
            <w:shd w:val="clear" w:color="auto" w:fill="auto"/>
            <w:noWrap/>
            <w:vAlign w:val="bottom"/>
            <w:hideMark/>
          </w:tcPr>
          <w:p w14:paraId="17E25F12" w14:textId="4626821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86,831 </w:t>
            </w:r>
          </w:p>
        </w:tc>
        <w:tc>
          <w:tcPr>
            <w:tcW w:w="977" w:type="dxa"/>
            <w:tcBorders>
              <w:top w:val="nil"/>
              <w:left w:val="nil"/>
              <w:bottom w:val="nil"/>
              <w:right w:val="nil"/>
            </w:tcBorders>
            <w:shd w:val="clear" w:color="000000" w:fill="E6E6E6"/>
            <w:noWrap/>
            <w:vAlign w:val="bottom"/>
            <w:hideMark/>
          </w:tcPr>
          <w:p w14:paraId="6265F587" w14:textId="75C72F1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65,805 </w:t>
            </w:r>
          </w:p>
        </w:tc>
        <w:tc>
          <w:tcPr>
            <w:tcW w:w="977" w:type="dxa"/>
            <w:tcBorders>
              <w:top w:val="nil"/>
              <w:left w:val="nil"/>
              <w:bottom w:val="nil"/>
              <w:right w:val="nil"/>
            </w:tcBorders>
            <w:shd w:val="clear" w:color="auto" w:fill="auto"/>
            <w:noWrap/>
            <w:vAlign w:val="bottom"/>
            <w:hideMark/>
          </w:tcPr>
          <w:p w14:paraId="7C891A86" w14:textId="6AD3556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16,700 </w:t>
            </w:r>
          </w:p>
        </w:tc>
        <w:tc>
          <w:tcPr>
            <w:tcW w:w="977" w:type="dxa"/>
            <w:tcBorders>
              <w:top w:val="nil"/>
              <w:left w:val="nil"/>
              <w:bottom w:val="nil"/>
              <w:right w:val="nil"/>
            </w:tcBorders>
            <w:shd w:val="clear" w:color="auto" w:fill="auto"/>
            <w:noWrap/>
            <w:vAlign w:val="bottom"/>
            <w:hideMark/>
          </w:tcPr>
          <w:p w14:paraId="32CB88C2" w14:textId="787770FF"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54A3A8A" w14:textId="67DE537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77CF2CB1" w14:textId="77777777" w:rsidTr="0058281B">
        <w:trPr>
          <w:trHeight w:val="204"/>
        </w:trPr>
        <w:tc>
          <w:tcPr>
            <w:tcW w:w="2835" w:type="dxa"/>
            <w:tcBorders>
              <w:top w:val="nil"/>
              <w:left w:val="nil"/>
              <w:bottom w:val="nil"/>
              <w:right w:val="nil"/>
            </w:tcBorders>
            <w:shd w:val="clear" w:color="auto" w:fill="auto"/>
            <w:vAlign w:val="bottom"/>
            <w:hideMark/>
          </w:tcPr>
          <w:p w14:paraId="6C414315" w14:textId="2DDACE65"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Spectrum Pricing Transitional Support</w:t>
            </w:r>
          </w:p>
        </w:tc>
        <w:tc>
          <w:tcPr>
            <w:tcW w:w="976" w:type="dxa"/>
            <w:tcBorders>
              <w:top w:val="nil"/>
              <w:left w:val="nil"/>
              <w:bottom w:val="nil"/>
              <w:right w:val="nil"/>
            </w:tcBorders>
            <w:shd w:val="clear" w:color="auto" w:fill="auto"/>
            <w:noWrap/>
            <w:vAlign w:val="bottom"/>
            <w:hideMark/>
          </w:tcPr>
          <w:p w14:paraId="1EB7636F" w14:textId="540391B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4,772 </w:t>
            </w:r>
          </w:p>
        </w:tc>
        <w:tc>
          <w:tcPr>
            <w:tcW w:w="977" w:type="dxa"/>
            <w:tcBorders>
              <w:top w:val="nil"/>
              <w:left w:val="nil"/>
              <w:bottom w:val="nil"/>
              <w:right w:val="nil"/>
            </w:tcBorders>
            <w:shd w:val="clear" w:color="000000" w:fill="E6E6E6"/>
            <w:noWrap/>
            <w:vAlign w:val="bottom"/>
            <w:hideMark/>
          </w:tcPr>
          <w:p w14:paraId="7C6E54E4" w14:textId="394C15B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FBB982E" w14:textId="5D525DF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AC9DF2C" w14:textId="7EA97ED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3D83793F" w14:textId="5E67CB9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500D3B32" w14:textId="77777777" w:rsidTr="0058281B">
        <w:trPr>
          <w:trHeight w:val="204"/>
        </w:trPr>
        <w:tc>
          <w:tcPr>
            <w:tcW w:w="2835" w:type="dxa"/>
            <w:tcBorders>
              <w:top w:val="nil"/>
              <w:left w:val="nil"/>
              <w:bottom w:val="nil"/>
              <w:right w:val="nil"/>
            </w:tcBorders>
            <w:shd w:val="clear" w:color="auto" w:fill="auto"/>
            <w:vAlign w:val="bottom"/>
            <w:hideMark/>
          </w:tcPr>
          <w:p w14:paraId="61F27517" w14:textId="70BAD0E0" w:rsidR="00DF0E46" w:rsidRPr="00EE03B3" w:rsidRDefault="00DF0E46" w:rsidP="00DF0E46">
            <w:pPr>
              <w:spacing w:after="0" w:line="240" w:lineRule="auto"/>
              <w:ind w:left="113"/>
              <w:jc w:val="left"/>
              <w:rPr>
                <w:rFonts w:ascii="Arial" w:hAnsi="Arial" w:cs="Arial"/>
                <w:color w:val="000000" w:themeColor="text1"/>
                <w:sz w:val="16"/>
                <w:szCs w:val="16"/>
              </w:rPr>
            </w:pPr>
            <w:r>
              <w:rPr>
                <w:rFonts w:ascii="Arial" w:hAnsi="Arial" w:cs="Arial"/>
                <w:sz w:val="16"/>
                <w:szCs w:val="16"/>
              </w:rPr>
              <w:t>Strengthening Telecommunications Against Natural Disasters</w:t>
            </w:r>
          </w:p>
        </w:tc>
        <w:tc>
          <w:tcPr>
            <w:tcW w:w="976" w:type="dxa"/>
            <w:tcBorders>
              <w:top w:val="nil"/>
              <w:left w:val="nil"/>
              <w:bottom w:val="nil"/>
              <w:right w:val="nil"/>
            </w:tcBorders>
            <w:shd w:val="clear" w:color="auto" w:fill="auto"/>
            <w:noWrap/>
            <w:vAlign w:val="bottom"/>
            <w:hideMark/>
          </w:tcPr>
          <w:p w14:paraId="2D82D7B0" w14:textId="02835FEF"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17,709 </w:t>
            </w:r>
          </w:p>
        </w:tc>
        <w:tc>
          <w:tcPr>
            <w:tcW w:w="977" w:type="dxa"/>
            <w:tcBorders>
              <w:top w:val="nil"/>
              <w:left w:val="nil"/>
              <w:bottom w:val="nil"/>
              <w:right w:val="nil"/>
            </w:tcBorders>
            <w:shd w:val="clear" w:color="000000" w:fill="E6E6E6"/>
            <w:noWrap/>
            <w:vAlign w:val="bottom"/>
            <w:hideMark/>
          </w:tcPr>
          <w:p w14:paraId="0F9936BC" w14:textId="05F50E0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7,427 </w:t>
            </w:r>
          </w:p>
        </w:tc>
        <w:tc>
          <w:tcPr>
            <w:tcW w:w="977" w:type="dxa"/>
            <w:tcBorders>
              <w:top w:val="nil"/>
              <w:left w:val="nil"/>
              <w:bottom w:val="nil"/>
              <w:right w:val="nil"/>
            </w:tcBorders>
            <w:shd w:val="clear" w:color="auto" w:fill="auto"/>
            <w:noWrap/>
            <w:vAlign w:val="bottom"/>
            <w:hideMark/>
          </w:tcPr>
          <w:p w14:paraId="03D57BD4" w14:textId="7CE0C8D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FFC29F7" w14:textId="001F5DD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7E2BA2D" w14:textId="4087070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48194932" w14:textId="77777777" w:rsidTr="0058281B">
        <w:trPr>
          <w:trHeight w:val="204"/>
        </w:trPr>
        <w:tc>
          <w:tcPr>
            <w:tcW w:w="2835" w:type="dxa"/>
            <w:tcBorders>
              <w:top w:val="nil"/>
              <w:left w:val="nil"/>
              <w:bottom w:val="nil"/>
              <w:right w:val="nil"/>
            </w:tcBorders>
            <w:shd w:val="clear" w:color="auto" w:fill="auto"/>
            <w:vAlign w:val="bottom"/>
            <w:hideMark/>
          </w:tcPr>
          <w:p w14:paraId="26A4C7E7" w14:textId="2E292F7D" w:rsidR="00DF0E46" w:rsidRPr="00EE03B3" w:rsidRDefault="00DF0E46" w:rsidP="00DF0E46">
            <w:pPr>
              <w:spacing w:after="0" w:line="240" w:lineRule="auto"/>
              <w:ind w:left="113"/>
              <w:jc w:val="left"/>
              <w:rPr>
                <w:rFonts w:ascii="Arial" w:hAnsi="Arial" w:cs="Arial"/>
                <w:color w:val="000000" w:themeColor="text1"/>
                <w:sz w:val="16"/>
                <w:szCs w:val="16"/>
              </w:rPr>
            </w:pPr>
            <w:r>
              <w:rPr>
                <w:rFonts w:ascii="Arial" w:hAnsi="Arial" w:cs="Arial"/>
                <w:sz w:val="16"/>
                <w:szCs w:val="16"/>
              </w:rPr>
              <w:t>Supporting Underrepresented Sports</w:t>
            </w:r>
          </w:p>
        </w:tc>
        <w:tc>
          <w:tcPr>
            <w:tcW w:w="976" w:type="dxa"/>
            <w:tcBorders>
              <w:top w:val="nil"/>
              <w:left w:val="nil"/>
              <w:bottom w:val="nil"/>
              <w:right w:val="nil"/>
            </w:tcBorders>
            <w:shd w:val="clear" w:color="auto" w:fill="auto"/>
            <w:noWrap/>
            <w:vAlign w:val="bottom"/>
            <w:hideMark/>
          </w:tcPr>
          <w:p w14:paraId="1A95C17C" w14:textId="5813465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3,000 </w:t>
            </w:r>
          </w:p>
        </w:tc>
        <w:tc>
          <w:tcPr>
            <w:tcW w:w="977" w:type="dxa"/>
            <w:tcBorders>
              <w:top w:val="nil"/>
              <w:left w:val="nil"/>
              <w:bottom w:val="nil"/>
              <w:right w:val="nil"/>
            </w:tcBorders>
            <w:shd w:val="clear" w:color="000000" w:fill="E6E6E6"/>
            <w:noWrap/>
            <w:vAlign w:val="bottom"/>
            <w:hideMark/>
          </w:tcPr>
          <w:p w14:paraId="7E2C8058" w14:textId="5D9300FA"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2,000 </w:t>
            </w:r>
          </w:p>
        </w:tc>
        <w:tc>
          <w:tcPr>
            <w:tcW w:w="977" w:type="dxa"/>
            <w:tcBorders>
              <w:top w:val="nil"/>
              <w:left w:val="nil"/>
              <w:bottom w:val="nil"/>
              <w:right w:val="nil"/>
            </w:tcBorders>
            <w:shd w:val="clear" w:color="auto" w:fill="auto"/>
            <w:noWrap/>
            <w:vAlign w:val="bottom"/>
            <w:hideMark/>
          </w:tcPr>
          <w:p w14:paraId="0C44A90E" w14:textId="763C181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11645F1" w14:textId="0146C424"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E860FD0" w14:textId="1BC232A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 </w:t>
            </w:r>
          </w:p>
        </w:tc>
      </w:tr>
      <w:tr w:rsidR="00DF0E46" w:rsidRPr="00DD7EA0" w14:paraId="1A1B494D" w14:textId="77777777" w:rsidTr="0058281B">
        <w:trPr>
          <w:trHeight w:val="204"/>
        </w:trPr>
        <w:tc>
          <w:tcPr>
            <w:tcW w:w="2835" w:type="dxa"/>
            <w:tcBorders>
              <w:top w:val="nil"/>
              <w:left w:val="nil"/>
              <w:bottom w:val="nil"/>
              <w:right w:val="nil"/>
            </w:tcBorders>
            <w:shd w:val="clear" w:color="auto" w:fill="auto"/>
            <w:noWrap/>
            <w:vAlign w:val="bottom"/>
            <w:hideMark/>
          </w:tcPr>
          <w:p w14:paraId="0D19EA92" w14:textId="2D122A94" w:rsidR="00DF0E46" w:rsidRPr="00DD7EA0" w:rsidRDefault="00DF0E46" w:rsidP="00DF0E46">
            <w:pPr>
              <w:spacing w:after="0" w:line="240" w:lineRule="auto"/>
              <w:jc w:val="left"/>
              <w:rPr>
                <w:rFonts w:ascii="Arial" w:hAnsi="Arial" w:cs="Arial"/>
                <w:sz w:val="16"/>
                <w:szCs w:val="16"/>
              </w:rPr>
            </w:pPr>
            <w:r>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364889A1" w14:textId="77777777" w:rsidR="00DF0E46" w:rsidRPr="0058281B" w:rsidRDefault="00DF0E46" w:rsidP="00DF0E46">
            <w:pPr>
              <w:spacing w:after="0" w:line="240" w:lineRule="auto"/>
              <w:ind w:firstLineChars="100" w:firstLine="160"/>
              <w:jc w:val="right"/>
              <w:rPr>
                <w:rFonts w:ascii="Arial" w:hAnsi="Arial" w:cs="Arial"/>
                <w:color w:val="000000" w:themeColor="text1"/>
                <w:sz w:val="16"/>
                <w:szCs w:val="16"/>
              </w:rPr>
            </w:pPr>
          </w:p>
        </w:tc>
        <w:tc>
          <w:tcPr>
            <w:tcW w:w="977" w:type="dxa"/>
            <w:tcBorders>
              <w:top w:val="nil"/>
              <w:left w:val="nil"/>
              <w:bottom w:val="nil"/>
              <w:right w:val="nil"/>
            </w:tcBorders>
            <w:shd w:val="clear" w:color="000000" w:fill="E6E6E6"/>
            <w:noWrap/>
            <w:vAlign w:val="bottom"/>
            <w:hideMark/>
          </w:tcPr>
          <w:p w14:paraId="17D4ADDF" w14:textId="2CF8423A"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51F0952" w14:textId="77777777" w:rsidR="00DF0E46" w:rsidRPr="0058281B" w:rsidRDefault="00DF0E46" w:rsidP="00DF0E46">
            <w:pPr>
              <w:spacing w:after="0" w:line="240" w:lineRule="auto"/>
              <w:jc w:val="right"/>
              <w:rPr>
                <w:rFonts w:ascii="Arial" w:hAnsi="Arial" w:cs="Arial"/>
                <w:color w:val="000000" w:themeColor="text1"/>
                <w:sz w:val="16"/>
                <w:szCs w:val="16"/>
              </w:rPr>
            </w:pPr>
          </w:p>
        </w:tc>
        <w:tc>
          <w:tcPr>
            <w:tcW w:w="977" w:type="dxa"/>
            <w:tcBorders>
              <w:top w:val="nil"/>
              <w:left w:val="nil"/>
              <w:bottom w:val="nil"/>
              <w:right w:val="nil"/>
            </w:tcBorders>
            <w:shd w:val="clear" w:color="auto" w:fill="auto"/>
            <w:noWrap/>
            <w:vAlign w:val="bottom"/>
            <w:hideMark/>
          </w:tcPr>
          <w:p w14:paraId="22B5694E" w14:textId="77777777" w:rsidR="00DF0E46" w:rsidRPr="0058281B" w:rsidRDefault="00DF0E46" w:rsidP="00DF0E46">
            <w:pPr>
              <w:spacing w:after="0" w:line="240" w:lineRule="auto"/>
              <w:jc w:val="right"/>
              <w:rPr>
                <w:rFonts w:ascii="Times New Roman" w:hAnsi="Times New Roman"/>
                <w:color w:val="000000" w:themeColor="text1"/>
              </w:rPr>
            </w:pPr>
          </w:p>
        </w:tc>
        <w:tc>
          <w:tcPr>
            <w:tcW w:w="977" w:type="dxa"/>
            <w:tcBorders>
              <w:top w:val="nil"/>
              <w:left w:val="nil"/>
              <w:bottom w:val="nil"/>
              <w:right w:val="nil"/>
            </w:tcBorders>
            <w:shd w:val="clear" w:color="auto" w:fill="auto"/>
            <w:noWrap/>
            <w:vAlign w:val="bottom"/>
            <w:hideMark/>
          </w:tcPr>
          <w:p w14:paraId="24959900" w14:textId="77777777" w:rsidR="00DF0E46" w:rsidRPr="0058281B" w:rsidRDefault="00DF0E46" w:rsidP="00DF0E46">
            <w:pPr>
              <w:spacing w:after="0" w:line="240" w:lineRule="auto"/>
              <w:jc w:val="right"/>
              <w:rPr>
                <w:rFonts w:ascii="Times New Roman" w:hAnsi="Times New Roman"/>
                <w:color w:val="000000" w:themeColor="text1"/>
              </w:rPr>
            </w:pPr>
          </w:p>
        </w:tc>
      </w:tr>
      <w:tr w:rsidR="00DF0E46" w:rsidRPr="00DD7EA0" w14:paraId="6A3A1383" w14:textId="77777777" w:rsidTr="0058281B">
        <w:trPr>
          <w:trHeight w:val="204"/>
        </w:trPr>
        <w:tc>
          <w:tcPr>
            <w:tcW w:w="2835" w:type="dxa"/>
            <w:tcBorders>
              <w:top w:val="nil"/>
              <w:left w:val="nil"/>
              <w:bottom w:val="nil"/>
              <w:right w:val="nil"/>
            </w:tcBorders>
            <w:shd w:val="clear" w:color="auto" w:fill="auto"/>
            <w:vAlign w:val="bottom"/>
            <w:hideMark/>
          </w:tcPr>
          <w:p w14:paraId="23D7E092" w14:textId="76AB0857" w:rsidR="00DF0E46" w:rsidRPr="00DD7EA0" w:rsidRDefault="00DF0E46" w:rsidP="00DF0E46">
            <w:pPr>
              <w:spacing w:after="0" w:line="240" w:lineRule="auto"/>
              <w:ind w:left="113"/>
              <w:jc w:val="left"/>
              <w:rPr>
                <w:rFonts w:ascii="Arial" w:hAnsi="Arial" w:cs="Arial"/>
                <w:sz w:val="16"/>
                <w:szCs w:val="16"/>
              </w:rPr>
            </w:pPr>
            <w:r>
              <w:rPr>
                <w:rFonts w:ascii="Arial" w:hAnsi="Arial" w:cs="Arial"/>
                <w:sz w:val="16"/>
                <w:szCs w:val="16"/>
              </w:rPr>
              <w:t>Public Interest Telecommunications Services Special Account</w:t>
            </w:r>
          </w:p>
        </w:tc>
        <w:tc>
          <w:tcPr>
            <w:tcW w:w="976" w:type="dxa"/>
            <w:tcBorders>
              <w:top w:val="nil"/>
              <w:left w:val="nil"/>
              <w:bottom w:val="nil"/>
              <w:right w:val="nil"/>
            </w:tcBorders>
            <w:shd w:val="clear" w:color="auto" w:fill="auto"/>
            <w:noWrap/>
            <w:vAlign w:val="bottom"/>
            <w:hideMark/>
          </w:tcPr>
          <w:p w14:paraId="2BCF1376" w14:textId="77777777" w:rsidR="00DF0E46" w:rsidRPr="0058281B" w:rsidRDefault="00DF0E46" w:rsidP="00DF0E46">
            <w:pPr>
              <w:spacing w:after="0" w:line="240" w:lineRule="auto"/>
              <w:ind w:firstLineChars="200" w:firstLine="320"/>
              <w:jc w:val="right"/>
              <w:rPr>
                <w:rFonts w:ascii="Arial" w:hAnsi="Arial" w:cs="Arial"/>
                <w:color w:val="000000" w:themeColor="text1"/>
                <w:sz w:val="16"/>
                <w:szCs w:val="16"/>
              </w:rPr>
            </w:pPr>
          </w:p>
        </w:tc>
        <w:tc>
          <w:tcPr>
            <w:tcW w:w="977" w:type="dxa"/>
            <w:tcBorders>
              <w:top w:val="nil"/>
              <w:left w:val="nil"/>
              <w:bottom w:val="nil"/>
              <w:right w:val="nil"/>
            </w:tcBorders>
            <w:shd w:val="clear" w:color="auto" w:fill="EBEBEB"/>
            <w:noWrap/>
            <w:vAlign w:val="bottom"/>
            <w:hideMark/>
          </w:tcPr>
          <w:p w14:paraId="422A6837" w14:textId="1A6BE7B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6FECD15B" w14:textId="77777777" w:rsidR="00DF0E46" w:rsidRPr="0058281B" w:rsidRDefault="00DF0E46" w:rsidP="00DF0E46">
            <w:pPr>
              <w:spacing w:after="0" w:line="240" w:lineRule="auto"/>
              <w:jc w:val="right"/>
              <w:rPr>
                <w:rFonts w:ascii="Arial" w:hAnsi="Arial" w:cs="Arial"/>
                <w:color w:val="000000" w:themeColor="text1"/>
                <w:sz w:val="16"/>
                <w:szCs w:val="16"/>
              </w:rPr>
            </w:pPr>
          </w:p>
        </w:tc>
        <w:tc>
          <w:tcPr>
            <w:tcW w:w="977" w:type="dxa"/>
            <w:tcBorders>
              <w:top w:val="nil"/>
              <w:left w:val="nil"/>
              <w:bottom w:val="nil"/>
              <w:right w:val="nil"/>
            </w:tcBorders>
            <w:shd w:val="clear" w:color="auto" w:fill="auto"/>
            <w:noWrap/>
            <w:vAlign w:val="bottom"/>
            <w:hideMark/>
          </w:tcPr>
          <w:p w14:paraId="6B2885EB" w14:textId="77777777" w:rsidR="00DF0E46" w:rsidRPr="0058281B" w:rsidRDefault="00DF0E46" w:rsidP="00DF0E46">
            <w:pPr>
              <w:spacing w:after="0" w:line="240" w:lineRule="auto"/>
              <w:jc w:val="right"/>
              <w:rPr>
                <w:rFonts w:ascii="Times New Roman" w:hAnsi="Times New Roman"/>
                <w:color w:val="000000" w:themeColor="text1"/>
              </w:rPr>
            </w:pPr>
          </w:p>
        </w:tc>
        <w:tc>
          <w:tcPr>
            <w:tcW w:w="977" w:type="dxa"/>
            <w:tcBorders>
              <w:top w:val="nil"/>
              <w:left w:val="nil"/>
              <w:bottom w:val="nil"/>
              <w:right w:val="nil"/>
            </w:tcBorders>
            <w:shd w:val="clear" w:color="auto" w:fill="auto"/>
            <w:noWrap/>
            <w:vAlign w:val="bottom"/>
            <w:hideMark/>
          </w:tcPr>
          <w:p w14:paraId="0CA67DF0" w14:textId="77777777" w:rsidR="00DF0E46" w:rsidRPr="0058281B" w:rsidRDefault="00DF0E46" w:rsidP="00DF0E46">
            <w:pPr>
              <w:spacing w:after="0" w:line="240" w:lineRule="auto"/>
              <w:jc w:val="right"/>
              <w:rPr>
                <w:rFonts w:ascii="Times New Roman" w:hAnsi="Times New Roman"/>
                <w:color w:val="000000" w:themeColor="text1"/>
              </w:rPr>
            </w:pPr>
          </w:p>
        </w:tc>
      </w:tr>
      <w:tr w:rsidR="00DF0E46" w:rsidRPr="00DD7EA0" w14:paraId="63EC5065" w14:textId="77777777" w:rsidTr="0058281B">
        <w:trPr>
          <w:trHeight w:val="204"/>
        </w:trPr>
        <w:tc>
          <w:tcPr>
            <w:tcW w:w="2835" w:type="dxa"/>
            <w:tcBorders>
              <w:top w:val="nil"/>
              <w:left w:val="nil"/>
              <w:bottom w:val="nil"/>
              <w:right w:val="nil"/>
            </w:tcBorders>
            <w:shd w:val="clear" w:color="auto" w:fill="auto"/>
            <w:vAlign w:val="bottom"/>
            <w:hideMark/>
          </w:tcPr>
          <w:p w14:paraId="510B72B0" w14:textId="136A642A" w:rsidR="00DF0E46" w:rsidRPr="00DD7EA0" w:rsidRDefault="00DF0E46" w:rsidP="00DF0E46">
            <w:pPr>
              <w:spacing w:after="0" w:line="240" w:lineRule="auto"/>
              <w:ind w:left="227"/>
              <w:jc w:val="left"/>
              <w:rPr>
                <w:rFonts w:ascii="Arial" w:hAnsi="Arial" w:cs="Arial"/>
                <w:sz w:val="16"/>
                <w:szCs w:val="16"/>
              </w:rPr>
            </w:pPr>
            <w:r>
              <w:rPr>
                <w:rFonts w:ascii="Arial" w:hAnsi="Arial" w:cs="Arial"/>
                <w:sz w:val="16"/>
                <w:szCs w:val="16"/>
              </w:rPr>
              <w:t>National Relay Service</w:t>
            </w:r>
          </w:p>
        </w:tc>
        <w:tc>
          <w:tcPr>
            <w:tcW w:w="976" w:type="dxa"/>
            <w:tcBorders>
              <w:top w:val="nil"/>
              <w:left w:val="nil"/>
              <w:bottom w:val="nil"/>
              <w:right w:val="nil"/>
            </w:tcBorders>
            <w:shd w:val="clear" w:color="auto" w:fill="auto"/>
            <w:noWrap/>
            <w:vAlign w:val="bottom"/>
            <w:hideMark/>
          </w:tcPr>
          <w:p w14:paraId="3F3BAB92" w14:textId="2B4D6EE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EBEBEB"/>
            <w:noWrap/>
            <w:vAlign w:val="bottom"/>
            <w:hideMark/>
          </w:tcPr>
          <w:p w14:paraId="6F31CD83" w14:textId="216F809C"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64A613BF" w14:textId="68EE50E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52507BA6" w14:textId="094505EA"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74A47368" w14:textId="08D84EB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20,000 </w:t>
            </w:r>
          </w:p>
        </w:tc>
      </w:tr>
      <w:tr w:rsidR="00DF0E46" w:rsidRPr="00DD7EA0" w14:paraId="1D1285E5" w14:textId="77777777" w:rsidTr="0058281B">
        <w:trPr>
          <w:trHeight w:val="204"/>
        </w:trPr>
        <w:tc>
          <w:tcPr>
            <w:tcW w:w="2835" w:type="dxa"/>
            <w:tcBorders>
              <w:top w:val="nil"/>
              <w:left w:val="nil"/>
              <w:bottom w:val="nil"/>
              <w:right w:val="nil"/>
            </w:tcBorders>
            <w:shd w:val="clear" w:color="auto" w:fill="auto"/>
            <w:vAlign w:val="bottom"/>
            <w:hideMark/>
          </w:tcPr>
          <w:p w14:paraId="7BD51704" w14:textId="36141C13" w:rsidR="00DF0E46" w:rsidRPr="00DD7EA0" w:rsidRDefault="00DF0E46" w:rsidP="00DF0E46">
            <w:pPr>
              <w:spacing w:after="0" w:line="240" w:lineRule="auto"/>
              <w:ind w:left="227"/>
              <w:jc w:val="left"/>
              <w:rPr>
                <w:rFonts w:ascii="Arial" w:hAnsi="Arial" w:cs="Arial"/>
                <w:sz w:val="16"/>
                <w:szCs w:val="16"/>
              </w:rPr>
            </w:pPr>
            <w:r>
              <w:rPr>
                <w:rFonts w:ascii="Arial" w:hAnsi="Arial" w:cs="Arial"/>
                <w:sz w:val="16"/>
                <w:szCs w:val="16"/>
              </w:rPr>
              <w:t>Universal Service Obligation</w:t>
            </w:r>
          </w:p>
        </w:tc>
        <w:tc>
          <w:tcPr>
            <w:tcW w:w="976" w:type="dxa"/>
            <w:tcBorders>
              <w:top w:val="nil"/>
              <w:left w:val="nil"/>
              <w:bottom w:val="nil"/>
              <w:right w:val="nil"/>
            </w:tcBorders>
            <w:shd w:val="clear" w:color="auto" w:fill="auto"/>
            <w:noWrap/>
            <w:vAlign w:val="bottom"/>
            <w:hideMark/>
          </w:tcPr>
          <w:p w14:paraId="38E0FCF9" w14:textId="74690B9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EBEBEB"/>
            <w:noWrap/>
            <w:vAlign w:val="bottom"/>
            <w:hideMark/>
          </w:tcPr>
          <w:p w14:paraId="2A55B480" w14:textId="6B67DB35"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34FA5663" w14:textId="7335A03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02D0DD2D" w14:textId="691F267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21C1A638" w14:textId="4DEF7EDD"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270,000 </w:t>
            </w:r>
          </w:p>
        </w:tc>
      </w:tr>
      <w:tr w:rsidR="00DF0E46" w:rsidRPr="00DD7EA0" w14:paraId="0CF5E024" w14:textId="77777777" w:rsidTr="0058281B">
        <w:trPr>
          <w:trHeight w:val="204"/>
        </w:trPr>
        <w:tc>
          <w:tcPr>
            <w:tcW w:w="2835" w:type="dxa"/>
            <w:tcBorders>
              <w:top w:val="nil"/>
              <w:left w:val="nil"/>
              <w:bottom w:val="nil"/>
              <w:right w:val="nil"/>
            </w:tcBorders>
            <w:shd w:val="clear" w:color="auto" w:fill="auto"/>
            <w:vAlign w:val="bottom"/>
            <w:hideMark/>
          </w:tcPr>
          <w:p w14:paraId="6AA75A9C" w14:textId="52598FA3" w:rsidR="00DF0E46" w:rsidRPr="00DD7EA0" w:rsidRDefault="00DF0E46" w:rsidP="00DF0E46">
            <w:pPr>
              <w:spacing w:after="0" w:line="240" w:lineRule="auto"/>
              <w:ind w:left="227"/>
              <w:jc w:val="left"/>
              <w:rPr>
                <w:rFonts w:ascii="Arial" w:hAnsi="Arial" w:cs="Arial"/>
                <w:sz w:val="16"/>
                <w:szCs w:val="16"/>
              </w:rPr>
            </w:pPr>
            <w:r>
              <w:rPr>
                <w:rFonts w:ascii="Arial" w:hAnsi="Arial" w:cs="Arial"/>
                <w:sz w:val="16"/>
                <w:szCs w:val="16"/>
              </w:rPr>
              <w:t>Other Public Interest Services</w:t>
            </w:r>
          </w:p>
        </w:tc>
        <w:tc>
          <w:tcPr>
            <w:tcW w:w="976" w:type="dxa"/>
            <w:tcBorders>
              <w:top w:val="nil"/>
              <w:left w:val="nil"/>
              <w:bottom w:val="nil"/>
              <w:right w:val="nil"/>
            </w:tcBorders>
            <w:shd w:val="clear" w:color="auto" w:fill="auto"/>
            <w:noWrap/>
            <w:vAlign w:val="bottom"/>
            <w:hideMark/>
          </w:tcPr>
          <w:p w14:paraId="314C0A42" w14:textId="7BD950C9"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51,215 </w:t>
            </w:r>
          </w:p>
        </w:tc>
        <w:tc>
          <w:tcPr>
            <w:tcW w:w="977" w:type="dxa"/>
            <w:tcBorders>
              <w:top w:val="nil"/>
              <w:left w:val="nil"/>
              <w:bottom w:val="nil"/>
              <w:right w:val="nil"/>
            </w:tcBorders>
            <w:shd w:val="clear" w:color="auto" w:fill="EBEBEB"/>
            <w:noWrap/>
            <w:vAlign w:val="bottom"/>
            <w:hideMark/>
          </w:tcPr>
          <w:p w14:paraId="4D325BEB" w14:textId="3AF5D2E4"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39,064 </w:t>
            </w:r>
          </w:p>
        </w:tc>
        <w:tc>
          <w:tcPr>
            <w:tcW w:w="977" w:type="dxa"/>
            <w:tcBorders>
              <w:top w:val="nil"/>
              <w:left w:val="nil"/>
              <w:bottom w:val="nil"/>
              <w:right w:val="nil"/>
            </w:tcBorders>
            <w:shd w:val="clear" w:color="auto" w:fill="auto"/>
            <w:noWrap/>
            <w:vAlign w:val="bottom"/>
            <w:hideMark/>
          </w:tcPr>
          <w:p w14:paraId="1FFD2D53" w14:textId="6897420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22,250 </w:t>
            </w:r>
          </w:p>
        </w:tc>
        <w:tc>
          <w:tcPr>
            <w:tcW w:w="977" w:type="dxa"/>
            <w:tcBorders>
              <w:top w:val="nil"/>
              <w:left w:val="nil"/>
              <w:bottom w:val="nil"/>
              <w:right w:val="nil"/>
            </w:tcBorders>
            <w:shd w:val="clear" w:color="auto" w:fill="auto"/>
            <w:noWrap/>
            <w:vAlign w:val="bottom"/>
            <w:hideMark/>
          </w:tcPr>
          <w:p w14:paraId="4EC092A8" w14:textId="2359C3C8"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22,250 </w:t>
            </w:r>
          </w:p>
        </w:tc>
        <w:tc>
          <w:tcPr>
            <w:tcW w:w="977" w:type="dxa"/>
            <w:tcBorders>
              <w:top w:val="nil"/>
              <w:left w:val="nil"/>
              <w:bottom w:val="nil"/>
              <w:right w:val="nil"/>
            </w:tcBorders>
            <w:shd w:val="clear" w:color="auto" w:fill="auto"/>
            <w:noWrap/>
            <w:vAlign w:val="bottom"/>
            <w:hideMark/>
          </w:tcPr>
          <w:p w14:paraId="4CC71823" w14:textId="54154F4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22,250 </w:t>
            </w:r>
          </w:p>
        </w:tc>
      </w:tr>
      <w:tr w:rsidR="00DF0E46" w:rsidRPr="00DD7EA0" w14:paraId="47329B0F" w14:textId="77777777" w:rsidTr="0058281B">
        <w:trPr>
          <w:trHeight w:val="204"/>
        </w:trPr>
        <w:tc>
          <w:tcPr>
            <w:tcW w:w="2835" w:type="dxa"/>
            <w:tcBorders>
              <w:top w:val="nil"/>
              <w:left w:val="nil"/>
              <w:bottom w:val="nil"/>
              <w:right w:val="nil"/>
            </w:tcBorders>
            <w:shd w:val="clear" w:color="auto" w:fill="auto"/>
            <w:vAlign w:val="bottom"/>
            <w:hideMark/>
          </w:tcPr>
          <w:p w14:paraId="4FA48E5B" w14:textId="4A17470B" w:rsidR="00DF0E46" w:rsidRPr="00DD7EA0" w:rsidRDefault="00DF0E46" w:rsidP="00DF0E46">
            <w:pPr>
              <w:spacing w:after="0" w:line="240" w:lineRule="auto"/>
              <w:jc w:val="left"/>
              <w:rPr>
                <w:rFonts w:ascii="Arial" w:hAnsi="Arial" w:cs="Arial"/>
                <w:sz w:val="16"/>
                <w:szCs w:val="16"/>
              </w:rPr>
            </w:pPr>
            <w:r>
              <w:rPr>
                <w:rFonts w:ascii="Arial" w:hAnsi="Arial" w:cs="Arial"/>
                <w:sz w:val="16"/>
                <w:szCs w:val="16"/>
              </w:rPr>
              <w:t>Payments to corporate entities</w:t>
            </w:r>
            <w:r w:rsidRPr="00DF0E46">
              <w:rPr>
                <w:rFonts w:ascii="Arial" w:hAnsi="Arial" w:cs="Arial"/>
                <w:sz w:val="16"/>
                <w:szCs w:val="16"/>
                <w:vertAlign w:val="superscript"/>
              </w:rPr>
              <w:t xml:space="preserve"> (b)</w:t>
            </w:r>
          </w:p>
        </w:tc>
        <w:tc>
          <w:tcPr>
            <w:tcW w:w="976" w:type="dxa"/>
            <w:tcBorders>
              <w:top w:val="nil"/>
              <w:left w:val="nil"/>
              <w:bottom w:val="nil"/>
              <w:right w:val="nil"/>
            </w:tcBorders>
            <w:shd w:val="clear" w:color="auto" w:fill="auto"/>
            <w:noWrap/>
            <w:vAlign w:val="bottom"/>
            <w:hideMark/>
          </w:tcPr>
          <w:p w14:paraId="76F62B9F" w14:textId="77777777" w:rsidR="00DF0E46" w:rsidRPr="0058281B" w:rsidRDefault="00DF0E46" w:rsidP="00DF0E46">
            <w:pPr>
              <w:spacing w:after="0" w:line="240" w:lineRule="auto"/>
              <w:ind w:firstLineChars="100" w:firstLine="160"/>
              <w:jc w:val="right"/>
              <w:rPr>
                <w:rFonts w:ascii="Arial" w:hAnsi="Arial" w:cs="Arial"/>
                <w:color w:val="000000" w:themeColor="text1"/>
                <w:sz w:val="16"/>
                <w:szCs w:val="16"/>
              </w:rPr>
            </w:pPr>
          </w:p>
        </w:tc>
        <w:tc>
          <w:tcPr>
            <w:tcW w:w="977" w:type="dxa"/>
            <w:tcBorders>
              <w:top w:val="nil"/>
              <w:left w:val="nil"/>
              <w:bottom w:val="nil"/>
              <w:right w:val="nil"/>
            </w:tcBorders>
            <w:shd w:val="clear" w:color="000000" w:fill="E6E6E6"/>
            <w:noWrap/>
            <w:vAlign w:val="bottom"/>
            <w:hideMark/>
          </w:tcPr>
          <w:p w14:paraId="5CF4688C" w14:textId="7A0D4D0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275BB161" w14:textId="77777777" w:rsidR="00DF0E46" w:rsidRPr="0058281B" w:rsidRDefault="00DF0E46" w:rsidP="00DF0E46">
            <w:pPr>
              <w:spacing w:after="0" w:line="240" w:lineRule="auto"/>
              <w:jc w:val="right"/>
              <w:rPr>
                <w:rFonts w:ascii="Arial" w:hAnsi="Arial" w:cs="Arial"/>
                <w:color w:val="000000" w:themeColor="text1"/>
                <w:sz w:val="16"/>
                <w:szCs w:val="16"/>
              </w:rPr>
            </w:pPr>
          </w:p>
        </w:tc>
        <w:tc>
          <w:tcPr>
            <w:tcW w:w="977" w:type="dxa"/>
            <w:tcBorders>
              <w:top w:val="nil"/>
              <w:left w:val="nil"/>
              <w:bottom w:val="nil"/>
              <w:right w:val="nil"/>
            </w:tcBorders>
            <w:shd w:val="clear" w:color="auto" w:fill="auto"/>
            <w:noWrap/>
            <w:vAlign w:val="bottom"/>
            <w:hideMark/>
          </w:tcPr>
          <w:p w14:paraId="03B0AD02" w14:textId="77777777" w:rsidR="00DF0E46" w:rsidRPr="0058281B" w:rsidRDefault="00DF0E46" w:rsidP="00DF0E46">
            <w:pPr>
              <w:spacing w:after="0" w:line="240" w:lineRule="auto"/>
              <w:jc w:val="right"/>
              <w:rPr>
                <w:rFonts w:ascii="Times New Roman" w:hAnsi="Times New Roman"/>
                <w:color w:val="000000" w:themeColor="text1"/>
              </w:rPr>
            </w:pPr>
          </w:p>
        </w:tc>
        <w:tc>
          <w:tcPr>
            <w:tcW w:w="977" w:type="dxa"/>
            <w:tcBorders>
              <w:top w:val="nil"/>
              <w:left w:val="nil"/>
              <w:bottom w:val="nil"/>
              <w:right w:val="nil"/>
            </w:tcBorders>
            <w:shd w:val="clear" w:color="auto" w:fill="auto"/>
            <w:noWrap/>
            <w:vAlign w:val="bottom"/>
            <w:hideMark/>
          </w:tcPr>
          <w:p w14:paraId="2BE9E63E" w14:textId="77777777" w:rsidR="00DF0E46" w:rsidRPr="0058281B" w:rsidRDefault="00DF0E46" w:rsidP="00DF0E46">
            <w:pPr>
              <w:spacing w:after="0" w:line="240" w:lineRule="auto"/>
              <w:jc w:val="right"/>
              <w:rPr>
                <w:rFonts w:ascii="Times New Roman" w:hAnsi="Times New Roman"/>
                <w:color w:val="000000" w:themeColor="text1"/>
              </w:rPr>
            </w:pPr>
          </w:p>
        </w:tc>
      </w:tr>
      <w:tr w:rsidR="00DF0E46" w:rsidRPr="00DD7EA0" w14:paraId="46DA1DB0" w14:textId="77777777" w:rsidTr="0058281B">
        <w:trPr>
          <w:trHeight w:val="204"/>
        </w:trPr>
        <w:tc>
          <w:tcPr>
            <w:tcW w:w="2835" w:type="dxa"/>
            <w:tcBorders>
              <w:top w:val="nil"/>
              <w:left w:val="nil"/>
              <w:bottom w:val="nil"/>
              <w:right w:val="nil"/>
            </w:tcBorders>
            <w:shd w:val="clear" w:color="auto" w:fill="auto"/>
            <w:vAlign w:val="bottom"/>
            <w:hideMark/>
          </w:tcPr>
          <w:p w14:paraId="7B7373AD" w14:textId="756B64FE" w:rsidR="00DF0E46" w:rsidRPr="00DD7EA0" w:rsidRDefault="00DF0E46" w:rsidP="00DF0E46">
            <w:pPr>
              <w:pStyle w:val="ListParagraph"/>
              <w:numPr>
                <w:ilvl w:val="0"/>
                <w:numId w:val="200"/>
              </w:numPr>
              <w:spacing w:after="0" w:line="240" w:lineRule="auto"/>
              <w:ind w:left="313" w:hanging="142"/>
              <w:rPr>
                <w:rFonts w:ascii="Arial" w:hAnsi="Arial" w:cs="Arial"/>
                <w:sz w:val="16"/>
                <w:szCs w:val="16"/>
              </w:rPr>
            </w:pPr>
            <w:r>
              <w:rPr>
                <w:rFonts w:ascii="Arial" w:hAnsi="Arial" w:cs="Arial"/>
                <w:sz w:val="16"/>
                <w:szCs w:val="16"/>
              </w:rPr>
              <w:t>Australian Broadcasting Corporation</w:t>
            </w:r>
          </w:p>
        </w:tc>
        <w:tc>
          <w:tcPr>
            <w:tcW w:w="976" w:type="dxa"/>
            <w:tcBorders>
              <w:top w:val="nil"/>
              <w:left w:val="nil"/>
              <w:bottom w:val="nil"/>
              <w:right w:val="nil"/>
            </w:tcBorders>
            <w:shd w:val="clear" w:color="auto" w:fill="auto"/>
            <w:noWrap/>
            <w:vAlign w:val="bottom"/>
            <w:hideMark/>
          </w:tcPr>
          <w:p w14:paraId="17299CE6" w14:textId="228C30F3"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1,070,097 </w:t>
            </w:r>
          </w:p>
        </w:tc>
        <w:tc>
          <w:tcPr>
            <w:tcW w:w="977" w:type="dxa"/>
            <w:tcBorders>
              <w:top w:val="nil"/>
              <w:left w:val="nil"/>
              <w:bottom w:val="nil"/>
              <w:right w:val="nil"/>
            </w:tcBorders>
            <w:shd w:val="clear" w:color="000000" w:fill="E6E6E6"/>
            <w:noWrap/>
            <w:vAlign w:val="bottom"/>
            <w:hideMark/>
          </w:tcPr>
          <w:p w14:paraId="3274F082" w14:textId="36A88D1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1,077,733 </w:t>
            </w:r>
          </w:p>
        </w:tc>
        <w:tc>
          <w:tcPr>
            <w:tcW w:w="977" w:type="dxa"/>
            <w:tcBorders>
              <w:top w:val="nil"/>
              <w:left w:val="nil"/>
              <w:bottom w:val="nil"/>
              <w:right w:val="nil"/>
            </w:tcBorders>
            <w:shd w:val="clear" w:color="auto" w:fill="auto"/>
            <w:noWrap/>
            <w:vAlign w:val="bottom"/>
            <w:hideMark/>
          </w:tcPr>
          <w:p w14:paraId="4B3B739B" w14:textId="62962772"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1,099,960 </w:t>
            </w:r>
          </w:p>
        </w:tc>
        <w:tc>
          <w:tcPr>
            <w:tcW w:w="977" w:type="dxa"/>
            <w:tcBorders>
              <w:top w:val="nil"/>
              <w:left w:val="nil"/>
              <w:bottom w:val="nil"/>
              <w:right w:val="nil"/>
            </w:tcBorders>
            <w:shd w:val="clear" w:color="auto" w:fill="auto"/>
            <w:noWrap/>
            <w:vAlign w:val="bottom"/>
            <w:hideMark/>
          </w:tcPr>
          <w:p w14:paraId="42CEECFB" w14:textId="45CED6DE"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1,117,831 </w:t>
            </w:r>
          </w:p>
        </w:tc>
        <w:tc>
          <w:tcPr>
            <w:tcW w:w="977" w:type="dxa"/>
            <w:tcBorders>
              <w:top w:val="nil"/>
              <w:left w:val="nil"/>
              <w:bottom w:val="nil"/>
              <w:right w:val="nil"/>
            </w:tcBorders>
            <w:shd w:val="clear" w:color="auto" w:fill="auto"/>
            <w:noWrap/>
            <w:vAlign w:val="bottom"/>
            <w:hideMark/>
          </w:tcPr>
          <w:p w14:paraId="176633B3" w14:textId="7F4E4960"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1,122,156 </w:t>
            </w:r>
          </w:p>
        </w:tc>
      </w:tr>
      <w:tr w:rsidR="00DF0E46" w:rsidRPr="00DD7EA0" w14:paraId="32B7FF61" w14:textId="77777777" w:rsidTr="0058281B">
        <w:trPr>
          <w:trHeight w:val="204"/>
        </w:trPr>
        <w:tc>
          <w:tcPr>
            <w:tcW w:w="2835" w:type="dxa"/>
            <w:tcBorders>
              <w:top w:val="nil"/>
              <w:left w:val="nil"/>
              <w:right w:val="nil"/>
            </w:tcBorders>
            <w:shd w:val="clear" w:color="auto" w:fill="auto"/>
            <w:vAlign w:val="bottom"/>
            <w:hideMark/>
          </w:tcPr>
          <w:p w14:paraId="38B1C39A" w14:textId="56D90F45" w:rsidR="00DF0E46" w:rsidRPr="00DD7EA0" w:rsidRDefault="00DF0E46" w:rsidP="00DF0E46">
            <w:pPr>
              <w:pStyle w:val="ListParagraph"/>
              <w:numPr>
                <w:ilvl w:val="0"/>
                <w:numId w:val="200"/>
              </w:numPr>
              <w:spacing w:after="0" w:line="240" w:lineRule="auto"/>
              <w:ind w:left="313" w:hanging="142"/>
              <w:rPr>
                <w:rFonts w:ascii="Arial" w:hAnsi="Arial" w:cs="Arial"/>
                <w:sz w:val="16"/>
                <w:szCs w:val="16"/>
              </w:rPr>
            </w:pPr>
            <w:r>
              <w:rPr>
                <w:rFonts w:ascii="Arial" w:hAnsi="Arial" w:cs="Arial"/>
                <w:sz w:val="16"/>
                <w:szCs w:val="16"/>
              </w:rPr>
              <w:t>Special Broadcasting Service Corporation</w:t>
            </w:r>
          </w:p>
        </w:tc>
        <w:tc>
          <w:tcPr>
            <w:tcW w:w="976" w:type="dxa"/>
            <w:tcBorders>
              <w:top w:val="nil"/>
              <w:left w:val="nil"/>
              <w:bottom w:val="single" w:sz="4" w:space="0" w:color="auto"/>
              <w:right w:val="nil"/>
            </w:tcBorders>
            <w:shd w:val="clear" w:color="auto" w:fill="auto"/>
            <w:noWrap/>
            <w:vAlign w:val="bottom"/>
            <w:hideMark/>
          </w:tcPr>
          <w:p w14:paraId="16A9BC8C" w14:textId="346F3C47"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310,021 </w:t>
            </w:r>
          </w:p>
        </w:tc>
        <w:tc>
          <w:tcPr>
            <w:tcW w:w="977" w:type="dxa"/>
            <w:tcBorders>
              <w:top w:val="nil"/>
              <w:left w:val="nil"/>
              <w:bottom w:val="single" w:sz="4" w:space="0" w:color="auto"/>
              <w:right w:val="nil"/>
            </w:tcBorders>
            <w:shd w:val="clear" w:color="000000" w:fill="E6E6E6"/>
            <w:noWrap/>
            <w:vAlign w:val="bottom"/>
            <w:hideMark/>
          </w:tcPr>
          <w:p w14:paraId="08B2F2EC" w14:textId="7D7BE1EB"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316,805 </w:t>
            </w:r>
          </w:p>
        </w:tc>
        <w:tc>
          <w:tcPr>
            <w:tcW w:w="977" w:type="dxa"/>
            <w:tcBorders>
              <w:top w:val="nil"/>
              <w:left w:val="nil"/>
              <w:bottom w:val="single" w:sz="4" w:space="0" w:color="auto"/>
              <w:right w:val="nil"/>
            </w:tcBorders>
            <w:shd w:val="clear" w:color="auto" w:fill="auto"/>
            <w:noWrap/>
            <w:vAlign w:val="bottom"/>
            <w:hideMark/>
          </w:tcPr>
          <w:p w14:paraId="541DF3B7" w14:textId="7C2094F1"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322,554 </w:t>
            </w:r>
          </w:p>
        </w:tc>
        <w:tc>
          <w:tcPr>
            <w:tcW w:w="977" w:type="dxa"/>
            <w:tcBorders>
              <w:top w:val="nil"/>
              <w:left w:val="nil"/>
              <w:bottom w:val="single" w:sz="4" w:space="0" w:color="auto"/>
              <w:right w:val="nil"/>
            </w:tcBorders>
            <w:shd w:val="clear" w:color="auto" w:fill="auto"/>
            <w:noWrap/>
            <w:vAlign w:val="bottom"/>
            <w:hideMark/>
          </w:tcPr>
          <w:p w14:paraId="1C1BA539" w14:textId="34C89F34"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319,640 </w:t>
            </w:r>
          </w:p>
        </w:tc>
        <w:tc>
          <w:tcPr>
            <w:tcW w:w="977" w:type="dxa"/>
            <w:tcBorders>
              <w:top w:val="nil"/>
              <w:left w:val="nil"/>
              <w:bottom w:val="single" w:sz="4" w:space="0" w:color="auto"/>
              <w:right w:val="nil"/>
            </w:tcBorders>
            <w:shd w:val="clear" w:color="auto" w:fill="auto"/>
            <w:noWrap/>
            <w:vAlign w:val="bottom"/>
            <w:hideMark/>
          </w:tcPr>
          <w:p w14:paraId="6B9E4B34" w14:textId="314FE976" w:rsidR="00DF0E46" w:rsidRPr="0058281B" w:rsidRDefault="00DF0E46" w:rsidP="00DF0E46">
            <w:pPr>
              <w:spacing w:after="0" w:line="240" w:lineRule="auto"/>
              <w:jc w:val="right"/>
              <w:rPr>
                <w:rFonts w:ascii="Arial" w:hAnsi="Arial" w:cs="Arial"/>
                <w:color w:val="000000" w:themeColor="text1"/>
                <w:sz w:val="16"/>
                <w:szCs w:val="16"/>
              </w:rPr>
            </w:pPr>
            <w:r>
              <w:rPr>
                <w:rFonts w:ascii="Arial" w:hAnsi="Arial" w:cs="Arial"/>
                <w:sz w:val="16"/>
                <w:szCs w:val="16"/>
              </w:rPr>
              <w:t xml:space="preserve">325,013 </w:t>
            </w:r>
          </w:p>
        </w:tc>
      </w:tr>
      <w:tr w:rsidR="00DF0E46" w:rsidRPr="00DD7EA0" w14:paraId="47B121A6" w14:textId="77777777" w:rsidTr="0058281B">
        <w:trPr>
          <w:trHeight w:val="204"/>
        </w:trPr>
        <w:tc>
          <w:tcPr>
            <w:tcW w:w="2835" w:type="dxa"/>
            <w:tcBorders>
              <w:top w:val="nil"/>
              <w:left w:val="nil"/>
              <w:bottom w:val="single" w:sz="4" w:space="0" w:color="auto"/>
              <w:right w:val="nil"/>
            </w:tcBorders>
            <w:shd w:val="clear" w:color="auto" w:fill="auto"/>
            <w:noWrap/>
            <w:vAlign w:val="bottom"/>
            <w:hideMark/>
          </w:tcPr>
          <w:p w14:paraId="57CCFEE2" w14:textId="095DBF82" w:rsidR="00DF0E46" w:rsidRPr="00DD7EA0" w:rsidRDefault="00DF0E46" w:rsidP="00DF0E46">
            <w:pPr>
              <w:spacing w:after="0" w:line="240" w:lineRule="auto"/>
              <w:jc w:val="left"/>
              <w:rPr>
                <w:rFonts w:ascii="Arial" w:hAnsi="Arial" w:cs="Arial"/>
                <w:b/>
                <w:bCs/>
                <w:sz w:val="16"/>
                <w:szCs w:val="16"/>
              </w:rPr>
            </w:pPr>
            <w:r>
              <w:rPr>
                <w:rFonts w:ascii="Arial" w:hAnsi="Arial" w:cs="Arial"/>
                <w:b/>
                <w:bCs/>
                <w:sz w:val="16"/>
                <w:szCs w:val="16"/>
              </w:rPr>
              <w:t>Total expenses for Program 5.1</w:t>
            </w:r>
          </w:p>
        </w:tc>
        <w:tc>
          <w:tcPr>
            <w:tcW w:w="976" w:type="dxa"/>
            <w:tcBorders>
              <w:top w:val="single" w:sz="4" w:space="0" w:color="auto"/>
              <w:left w:val="nil"/>
              <w:bottom w:val="single" w:sz="4" w:space="0" w:color="auto"/>
              <w:right w:val="nil"/>
            </w:tcBorders>
            <w:shd w:val="clear" w:color="auto" w:fill="auto"/>
            <w:noWrap/>
            <w:vAlign w:val="bottom"/>
            <w:hideMark/>
          </w:tcPr>
          <w:p w14:paraId="6E5B0B5A" w14:textId="51277715" w:rsidR="00DF0E46" w:rsidRPr="0058281B" w:rsidRDefault="00DF0E46" w:rsidP="00DF0E46">
            <w:pPr>
              <w:spacing w:after="0" w:line="240" w:lineRule="auto"/>
              <w:jc w:val="right"/>
              <w:rPr>
                <w:rFonts w:ascii="Arial" w:hAnsi="Arial" w:cs="Arial"/>
                <w:b/>
                <w:bCs/>
                <w:color w:val="000000" w:themeColor="text1"/>
                <w:sz w:val="16"/>
                <w:szCs w:val="16"/>
              </w:rPr>
            </w:pPr>
            <w:r>
              <w:rPr>
                <w:rFonts w:ascii="Arial" w:hAnsi="Arial" w:cs="Arial"/>
                <w:b/>
                <w:bCs/>
                <w:sz w:val="16"/>
                <w:szCs w:val="16"/>
              </w:rPr>
              <w:t xml:space="preserve">3,185,702 </w:t>
            </w:r>
          </w:p>
        </w:tc>
        <w:tc>
          <w:tcPr>
            <w:tcW w:w="977" w:type="dxa"/>
            <w:tcBorders>
              <w:top w:val="single" w:sz="4" w:space="0" w:color="auto"/>
              <w:left w:val="nil"/>
              <w:bottom w:val="single" w:sz="4" w:space="0" w:color="auto"/>
              <w:right w:val="nil"/>
            </w:tcBorders>
            <w:shd w:val="clear" w:color="000000" w:fill="E6E6E6"/>
            <w:noWrap/>
            <w:vAlign w:val="bottom"/>
            <w:hideMark/>
          </w:tcPr>
          <w:p w14:paraId="35CF6113" w14:textId="770F77B0" w:rsidR="00DF0E46" w:rsidRPr="0058281B" w:rsidRDefault="00DF0E46" w:rsidP="00DF0E46">
            <w:pPr>
              <w:spacing w:after="0" w:line="240" w:lineRule="auto"/>
              <w:jc w:val="right"/>
              <w:rPr>
                <w:rFonts w:ascii="Arial" w:hAnsi="Arial" w:cs="Arial"/>
                <w:b/>
                <w:bCs/>
                <w:color w:val="000000" w:themeColor="text1"/>
                <w:sz w:val="16"/>
                <w:szCs w:val="16"/>
              </w:rPr>
            </w:pPr>
            <w:r>
              <w:rPr>
                <w:rFonts w:ascii="Arial" w:hAnsi="Arial" w:cs="Arial"/>
                <w:b/>
                <w:bCs/>
                <w:sz w:val="16"/>
                <w:szCs w:val="16"/>
              </w:rPr>
              <w:t xml:space="preserve">2,886,130 </w:t>
            </w:r>
          </w:p>
        </w:tc>
        <w:tc>
          <w:tcPr>
            <w:tcW w:w="977" w:type="dxa"/>
            <w:tcBorders>
              <w:top w:val="single" w:sz="4" w:space="0" w:color="auto"/>
              <w:left w:val="nil"/>
              <w:bottom w:val="single" w:sz="4" w:space="0" w:color="auto"/>
              <w:right w:val="nil"/>
            </w:tcBorders>
            <w:shd w:val="clear" w:color="auto" w:fill="auto"/>
            <w:noWrap/>
            <w:vAlign w:val="bottom"/>
            <w:hideMark/>
          </w:tcPr>
          <w:p w14:paraId="6FCBE699" w14:textId="004BFE12" w:rsidR="00DF0E46" w:rsidRPr="0058281B" w:rsidRDefault="00DF0E46" w:rsidP="00DF0E46">
            <w:pPr>
              <w:spacing w:after="0" w:line="240" w:lineRule="auto"/>
              <w:jc w:val="right"/>
              <w:rPr>
                <w:rFonts w:ascii="Arial" w:hAnsi="Arial" w:cs="Arial"/>
                <w:b/>
                <w:bCs/>
                <w:color w:val="000000" w:themeColor="text1"/>
                <w:sz w:val="16"/>
                <w:szCs w:val="16"/>
              </w:rPr>
            </w:pPr>
            <w:r>
              <w:rPr>
                <w:rFonts w:ascii="Arial" w:hAnsi="Arial" w:cs="Arial"/>
                <w:b/>
                <w:bCs/>
                <w:sz w:val="16"/>
                <w:szCs w:val="16"/>
              </w:rPr>
              <w:t xml:space="preserve">2,754,436 </w:t>
            </w:r>
          </w:p>
        </w:tc>
        <w:tc>
          <w:tcPr>
            <w:tcW w:w="977" w:type="dxa"/>
            <w:tcBorders>
              <w:top w:val="single" w:sz="4" w:space="0" w:color="auto"/>
              <w:left w:val="nil"/>
              <w:bottom w:val="single" w:sz="4" w:space="0" w:color="auto"/>
              <w:right w:val="nil"/>
            </w:tcBorders>
            <w:shd w:val="clear" w:color="auto" w:fill="auto"/>
            <w:noWrap/>
            <w:vAlign w:val="bottom"/>
            <w:hideMark/>
          </w:tcPr>
          <w:p w14:paraId="7C5A6D78" w14:textId="0F64995D" w:rsidR="00DF0E46" w:rsidRPr="0058281B" w:rsidRDefault="00DF0E46" w:rsidP="00DF0E46">
            <w:pPr>
              <w:spacing w:after="0" w:line="240" w:lineRule="auto"/>
              <w:jc w:val="right"/>
              <w:rPr>
                <w:rFonts w:ascii="Arial" w:hAnsi="Arial" w:cs="Arial"/>
                <w:b/>
                <w:bCs/>
                <w:color w:val="000000" w:themeColor="text1"/>
                <w:sz w:val="16"/>
                <w:szCs w:val="16"/>
              </w:rPr>
            </w:pPr>
            <w:r>
              <w:rPr>
                <w:rFonts w:ascii="Arial" w:hAnsi="Arial" w:cs="Arial"/>
                <w:b/>
                <w:bCs/>
                <w:sz w:val="16"/>
                <w:szCs w:val="16"/>
              </w:rPr>
              <w:t xml:space="preserve">2,758,321 </w:t>
            </w:r>
          </w:p>
        </w:tc>
        <w:tc>
          <w:tcPr>
            <w:tcW w:w="977" w:type="dxa"/>
            <w:tcBorders>
              <w:top w:val="single" w:sz="4" w:space="0" w:color="auto"/>
              <w:left w:val="nil"/>
              <w:bottom w:val="single" w:sz="4" w:space="0" w:color="auto"/>
              <w:right w:val="nil"/>
            </w:tcBorders>
            <w:shd w:val="clear" w:color="auto" w:fill="auto"/>
            <w:noWrap/>
            <w:vAlign w:val="bottom"/>
            <w:hideMark/>
          </w:tcPr>
          <w:p w14:paraId="34269865" w14:textId="6CD85220" w:rsidR="00DF0E46" w:rsidRPr="0058281B" w:rsidRDefault="00DF0E46" w:rsidP="00DF0E46">
            <w:pPr>
              <w:spacing w:after="0" w:line="240" w:lineRule="auto"/>
              <w:jc w:val="right"/>
              <w:rPr>
                <w:rFonts w:ascii="Arial" w:hAnsi="Arial" w:cs="Arial"/>
                <w:b/>
                <w:bCs/>
                <w:color w:val="000000" w:themeColor="text1"/>
                <w:sz w:val="16"/>
                <w:szCs w:val="16"/>
              </w:rPr>
            </w:pPr>
            <w:r>
              <w:rPr>
                <w:rFonts w:ascii="Arial" w:hAnsi="Arial" w:cs="Arial"/>
                <w:b/>
                <w:bCs/>
                <w:sz w:val="16"/>
                <w:szCs w:val="16"/>
              </w:rPr>
              <w:t xml:space="preserve">2,828,723 </w:t>
            </w:r>
          </w:p>
        </w:tc>
      </w:tr>
    </w:tbl>
    <w:p w14:paraId="587C20A5" w14:textId="5A408F7A" w:rsidR="00DF0E46" w:rsidRDefault="00DF0E46" w:rsidP="00DF0E46">
      <w:pPr>
        <w:pStyle w:val="ListParagraph"/>
        <w:numPr>
          <w:ilvl w:val="0"/>
          <w:numId w:val="49"/>
        </w:numPr>
        <w:spacing w:before="60" w:after="0"/>
        <w:ind w:left="284" w:hanging="284"/>
        <w:rPr>
          <w:rFonts w:ascii="Arial" w:hAnsi="Arial" w:cs="Arial"/>
          <w:color w:val="000000" w:themeColor="text1"/>
          <w:sz w:val="16"/>
          <w:szCs w:val="16"/>
        </w:rPr>
      </w:pPr>
      <w:r w:rsidRPr="00DF0E46">
        <w:rPr>
          <w:rFonts w:ascii="Arial" w:hAnsi="Arial" w:cs="Arial"/>
          <w:color w:val="000000" w:themeColor="text1"/>
          <w:sz w:val="16"/>
          <w:szCs w:val="16"/>
        </w:rPr>
        <w:t>‘nfp’ figures are not for publication due to commercial sensitivity, and are not included in totals.</w:t>
      </w:r>
    </w:p>
    <w:p w14:paraId="7164B7AA" w14:textId="78726AE7" w:rsidR="00B91F3E" w:rsidRPr="00403615" w:rsidRDefault="00B91F3E" w:rsidP="004F6389">
      <w:pPr>
        <w:pStyle w:val="ListParagraph"/>
        <w:numPr>
          <w:ilvl w:val="0"/>
          <w:numId w:val="49"/>
        </w:numPr>
        <w:spacing w:before="60" w:after="0"/>
        <w:ind w:left="284" w:hanging="284"/>
        <w:rPr>
          <w:rFonts w:ascii="Arial" w:hAnsi="Arial" w:cs="Arial"/>
          <w:color w:val="000000" w:themeColor="text1"/>
          <w:sz w:val="16"/>
          <w:szCs w:val="16"/>
        </w:rPr>
      </w:pPr>
      <w:r w:rsidRPr="00403615">
        <w:rPr>
          <w:rFonts w:ascii="Arial" w:hAnsi="Arial" w:cs="Arial"/>
          <w:color w:val="000000" w:themeColor="text1"/>
          <w:sz w:val="16"/>
          <w:szCs w:val="16"/>
        </w:rPr>
        <w:t xml:space="preserve">Relates to appropriation for corporate entities that is provided through the </w:t>
      </w:r>
      <w:r w:rsidR="003C4CC6">
        <w:rPr>
          <w:rFonts w:ascii="Arial" w:hAnsi="Arial" w:cs="Arial"/>
          <w:color w:val="000000" w:themeColor="text1"/>
          <w:sz w:val="16"/>
          <w:szCs w:val="16"/>
        </w:rPr>
        <w:t>Department</w:t>
      </w:r>
      <w:r w:rsidR="00665295">
        <w:rPr>
          <w:rFonts w:ascii="Arial" w:hAnsi="Arial" w:cs="Arial"/>
          <w:color w:val="000000" w:themeColor="text1"/>
          <w:sz w:val="16"/>
          <w:szCs w:val="16"/>
        </w:rPr>
        <w:t>.</w:t>
      </w:r>
    </w:p>
    <w:p w14:paraId="1AA68F3D" w14:textId="77777777" w:rsidR="00B91F3E" w:rsidRPr="00F71634" w:rsidRDefault="00B91F3E" w:rsidP="00B91F3E">
      <w:pPr>
        <w:pStyle w:val="TableHeading"/>
      </w:pPr>
      <w:r>
        <w:rPr>
          <w:highlight w:val="yellow"/>
          <w:lang w:val="en-US"/>
        </w:rPr>
        <w:br w:type="page"/>
      </w:r>
      <w:r w:rsidRPr="00F71634">
        <w:lastRenderedPageBreak/>
        <w:t>Table 2.</w:t>
      </w:r>
      <w:r>
        <w:rPr>
          <w:lang w:val="en-GB"/>
        </w:rPr>
        <w:t>5</w:t>
      </w:r>
      <w:r w:rsidRPr="00F71634">
        <w:t xml:space="preserve">.3: Performance </w:t>
      </w:r>
      <w:r>
        <w:rPr>
          <w:lang w:val="en-AU"/>
        </w:rPr>
        <w:t>measure</w:t>
      </w:r>
      <w:r w:rsidRPr="00F71634">
        <w:t xml:space="preserve"> for Outcome </w:t>
      </w:r>
      <w:r>
        <w:rPr>
          <w:lang w:val="en-GB"/>
        </w:rPr>
        <w:t>5</w:t>
      </w:r>
    </w:p>
    <w:p w14:paraId="02D1C89E" w14:textId="77777777" w:rsidR="00B91F3E" w:rsidRDefault="00B91F3E" w:rsidP="00B91F3E">
      <w:pPr>
        <w:jc w:val="left"/>
      </w:pPr>
      <w:r w:rsidRPr="001B2F81">
        <w:t>Table 2.</w:t>
      </w:r>
      <w:r>
        <w:t>5</w:t>
      </w:r>
      <w:r w:rsidRPr="001B2F81">
        <w:t>.</w:t>
      </w:r>
      <w:r>
        <w:t>3</w:t>
      </w:r>
      <w:r w:rsidRPr="001B2F81">
        <w:t xml:space="preserve"> details the performance measures for each program associated with Outcome</w:t>
      </w:r>
      <w:r>
        <w:t> 5</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2977"/>
      </w:tblGrid>
      <w:tr w:rsidR="00B208C2" w:rsidRPr="001B2F81" w14:paraId="24D10A39" w14:textId="77777777" w:rsidTr="00B208C2">
        <w:trPr>
          <w:trHeight w:val="569"/>
          <w:tblHeader/>
        </w:trPr>
        <w:tc>
          <w:tcPr>
            <w:tcW w:w="7655" w:type="dxa"/>
            <w:gridSpan w:val="3"/>
            <w:shd w:val="clear" w:color="auto" w:fill="F2F2F2"/>
          </w:tcPr>
          <w:p w14:paraId="4646CA70" w14:textId="04FFDE20" w:rsidR="00B208C2" w:rsidRPr="00740BC4" w:rsidRDefault="00B208C2" w:rsidP="00B208C2">
            <w:pPr>
              <w:spacing w:before="60" w:after="120" w:line="240" w:lineRule="auto"/>
              <w:jc w:val="left"/>
              <w:rPr>
                <w:rFonts w:ascii="Arial" w:hAnsi="Arial" w:cs="Arial"/>
                <w:b/>
                <w:highlight w:val="yellow"/>
              </w:rPr>
            </w:pPr>
            <w:r w:rsidRPr="00740BC4">
              <w:rPr>
                <w:rFonts w:ascii="Arial" w:eastAsia="Calibri" w:hAnsi="Arial" w:cs="Arial"/>
                <w:b/>
                <w:lang w:eastAsia="en-US"/>
              </w:rPr>
              <w:t xml:space="preserve">Outcome 5 </w:t>
            </w:r>
            <w:r w:rsidRPr="00740BC4">
              <w:rPr>
                <w:rFonts w:ascii="Arial" w:eastAsia="Calibri" w:hAnsi="Arial" w:cs="Arial"/>
                <w:lang w:eastAsia="en-US"/>
              </w:rPr>
              <w:t>– Promote an innovative and competitive communications sector</w:t>
            </w:r>
            <w:r w:rsidR="005B33F4">
              <w:rPr>
                <w:rFonts w:ascii="Arial" w:eastAsia="Calibri" w:hAnsi="Arial" w:cs="Arial"/>
                <w:lang w:eastAsia="en-US"/>
              </w:rPr>
              <w:t>,</w:t>
            </w:r>
            <w:r w:rsidRPr="00740BC4">
              <w:rPr>
                <w:rFonts w:ascii="Arial" w:eastAsia="Calibri" w:hAnsi="Arial" w:cs="Arial"/>
                <w:lang w:eastAsia="en-US"/>
              </w:rPr>
              <w:t xml:space="preserve"> through policy development, advice and program delivery, so all Australians can realise the full potential of digital technologies and communications services</w:t>
            </w:r>
          </w:p>
        </w:tc>
      </w:tr>
      <w:tr w:rsidR="00B208C2" w:rsidRPr="001B2F81" w14:paraId="63B899A6" w14:textId="77777777" w:rsidTr="00B208C2">
        <w:trPr>
          <w:trHeight w:val="522"/>
          <w:tblHeader/>
        </w:trPr>
        <w:tc>
          <w:tcPr>
            <w:tcW w:w="7655" w:type="dxa"/>
            <w:gridSpan w:val="3"/>
            <w:shd w:val="clear" w:color="auto" w:fill="F2F2F2"/>
          </w:tcPr>
          <w:p w14:paraId="0281F6E4" w14:textId="77777777" w:rsidR="00B208C2" w:rsidRPr="00FB4BEE" w:rsidRDefault="00B208C2" w:rsidP="00B208C2">
            <w:pPr>
              <w:spacing w:before="60" w:after="60" w:line="240" w:lineRule="auto"/>
              <w:jc w:val="left"/>
              <w:rPr>
                <w:rFonts w:ascii="Arial" w:eastAsia="Calibri" w:hAnsi="Arial" w:cs="Arial"/>
                <w:b/>
                <w:sz w:val="18"/>
                <w:szCs w:val="18"/>
                <w:lang w:eastAsia="en-US"/>
              </w:rPr>
            </w:pPr>
            <w:bookmarkStart w:id="42" w:name="DigitalTechnologiesCommsServices5_1"/>
            <w:r w:rsidRPr="00FB4BEE">
              <w:rPr>
                <w:rFonts w:ascii="Arial" w:eastAsia="Calibri" w:hAnsi="Arial" w:cs="Arial"/>
                <w:b/>
                <w:sz w:val="18"/>
                <w:szCs w:val="18"/>
                <w:lang w:eastAsia="en-US"/>
              </w:rPr>
              <w:t>Program 5.1</w:t>
            </w:r>
            <w:r w:rsidRPr="00FB4BEE">
              <w:rPr>
                <w:rFonts w:ascii="Arial" w:eastAsia="Calibri" w:hAnsi="Arial" w:cs="Arial"/>
                <w:sz w:val="18"/>
                <w:szCs w:val="18"/>
                <w:lang w:eastAsia="en-US"/>
              </w:rPr>
              <w:t xml:space="preserve"> </w:t>
            </w:r>
            <w:r w:rsidRPr="00FB4BEE">
              <w:rPr>
                <w:rFonts w:ascii="Arial" w:eastAsia="Calibri" w:hAnsi="Arial" w:cs="Arial"/>
                <w:b/>
                <w:sz w:val="18"/>
                <w:szCs w:val="18"/>
                <w:lang w:eastAsia="en-US"/>
              </w:rPr>
              <w:t>– Digital Technologies and Communications Services</w:t>
            </w:r>
            <w:bookmarkEnd w:id="42"/>
          </w:p>
          <w:p w14:paraId="4EE9358F" w14:textId="77777777" w:rsidR="00B208C2" w:rsidRPr="005134E8" w:rsidRDefault="00B208C2" w:rsidP="00B208C2">
            <w:pPr>
              <w:pStyle w:val="TableTextLeft"/>
              <w:rPr>
                <w:highlight w:val="yellow"/>
              </w:rPr>
            </w:pPr>
            <w:r w:rsidRPr="00FB4BEE">
              <w:rPr>
                <w:rFonts w:eastAsia="Calibri" w:cs="Arial"/>
                <w:szCs w:val="18"/>
                <w:lang w:eastAsia="en-US"/>
              </w:rPr>
              <w:t xml:space="preserve">To provide an environment in which all Australians can access and benefit from digital technologies and communications services, supporting inclusiveness and sustainable economic growth. </w:t>
            </w:r>
          </w:p>
        </w:tc>
      </w:tr>
      <w:tr w:rsidR="00B208C2" w:rsidRPr="001B2F81" w14:paraId="60CDA327" w14:textId="77777777" w:rsidTr="00B208C2">
        <w:trPr>
          <w:trHeight w:val="694"/>
        </w:trPr>
        <w:tc>
          <w:tcPr>
            <w:tcW w:w="1560" w:type="dxa"/>
            <w:tcBorders>
              <w:bottom w:val="double" w:sz="4" w:space="0" w:color="auto"/>
            </w:tcBorders>
          </w:tcPr>
          <w:p w14:paraId="3BEB58F6" w14:textId="77777777" w:rsidR="00B208C2" w:rsidRPr="00160C23" w:rsidRDefault="00B208C2" w:rsidP="00B208C2">
            <w:pPr>
              <w:tabs>
                <w:tab w:val="left" w:pos="709"/>
              </w:tabs>
              <w:spacing w:before="60" w:after="60"/>
              <w:rPr>
                <w:rFonts w:ascii="Arial" w:hAnsi="Arial" w:cs="Arial"/>
                <w:b/>
                <w:sz w:val="16"/>
                <w:szCs w:val="16"/>
              </w:rPr>
            </w:pPr>
            <w:r w:rsidRPr="00BE08C4">
              <w:rPr>
                <w:rFonts w:ascii="Arial" w:eastAsia="Calibri" w:hAnsi="Arial" w:cs="Arial"/>
                <w:b/>
                <w:sz w:val="16"/>
                <w:szCs w:val="16"/>
                <w:lang w:eastAsia="en-US"/>
              </w:rPr>
              <w:t>Key Activities</w:t>
            </w:r>
            <w:r>
              <w:rPr>
                <w:rFonts w:ascii="Arial" w:eastAsia="Calibri" w:hAnsi="Arial" w:cs="Arial"/>
                <w:b/>
                <w:sz w:val="16"/>
                <w:szCs w:val="16"/>
                <w:lang w:eastAsia="en-US"/>
              </w:rPr>
              <w:t xml:space="preserve"> </w:t>
            </w:r>
            <w:r w:rsidRPr="00297CAA">
              <w:rPr>
                <w:rFonts w:ascii="Arial" w:eastAsia="Calibri" w:hAnsi="Arial" w:cs="Arial"/>
                <w:b/>
                <w:sz w:val="16"/>
                <w:szCs w:val="16"/>
                <w:vertAlign w:val="superscript"/>
                <w:lang w:eastAsia="en-US"/>
              </w:rPr>
              <w:t>(a)</w:t>
            </w:r>
          </w:p>
        </w:tc>
        <w:tc>
          <w:tcPr>
            <w:tcW w:w="6095" w:type="dxa"/>
            <w:gridSpan w:val="2"/>
            <w:tcBorders>
              <w:bottom w:val="double" w:sz="4" w:space="0" w:color="auto"/>
            </w:tcBorders>
          </w:tcPr>
          <w:p w14:paraId="4EC09F2C" w14:textId="77777777" w:rsidR="00B208C2" w:rsidRPr="00F73512" w:rsidRDefault="00B208C2" w:rsidP="00B208C2">
            <w:pPr>
              <w:numPr>
                <w:ilvl w:val="0"/>
                <w:numId w:val="39"/>
              </w:numPr>
              <w:spacing w:before="60" w:after="60" w:line="240" w:lineRule="auto"/>
              <w:ind w:left="179" w:hanging="218"/>
              <w:jc w:val="left"/>
              <w:rPr>
                <w:rFonts w:ascii="Arial" w:hAnsi="Arial" w:cs="Arial"/>
                <w:sz w:val="16"/>
                <w:szCs w:val="16"/>
              </w:rPr>
            </w:pPr>
            <w:r w:rsidRPr="00B40374">
              <w:rPr>
                <w:rFonts w:ascii="Arial" w:eastAsia="Calibri" w:hAnsi="Arial" w:cs="Arial"/>
                <w:sz w:val="16"/>
                <w:szCs w:val="16"/>
                <w:lang w:eastAsia="en-US"/>
              </w:rPr>
              <w:t>Provide</w:t>
            </w:r>
            <w:r w:rsidRPr="00F73512">
              <w:rPr>
                <w:rFonts w:ascii="Arial" w:hAnsi="Arial" w:cs="Arial"/>
                <w:sz w:val="16"/>
                <w:szCs w:val="16"/>
              </w:rPr>
              <w:t xml:space="preserve"> policy advice on digital platforms, online safety and gambling</w:t>
            </w:r>
            <w:r>
              <w:rPr>
                <w:rFonts w:ascii="Arial" w:hAnsi="Arial" w:cs="Arial"/>
                <w:sz w:val="16"/>
                <w:szCs w:val="16"/>
              </w:rPr>
              <w:t xml:space="preserve"> </w:t>
            </w:r>
            <w:r w:rsidRPr="00297CAA">
              <w:rPr>
                <w:rFonts w:ascii="Arial" w:hAnsi="Arial" w:cs="Arial"/>
                <w:sz w:val="16"/>
                <w:szCs w:val="16"/>
                <w:vertAlign w:val="superscript"/>
              </w:rPr>
              <w:t>(b)</w:t>
            </w:r>
          </w:p>
          <w:p w14:paraId="4EA7319A" w14:textId="77777777" w:rsidR="00B208C2" w:rsidRPr="00F73512" w:rsidRDefault="00B208C2" w:rsidP="00B208C2">
            <w:pPr>
              <w:numPr>
                <w:ilvl w:val="0"/>
                <w:numId w:val="39"/>
              </w:numPr>
              <w:spacing w:before="60" w:after="60" w:line="240" w:lineRule="auto"/>
              <w:ind w:left="179" w:hanging="218"/>
              <w:jc w:val="left"/>
              <w:rPr>
                <w:rFonts w:ascii="Arial" w:hAnsi="Arial" w:cs="Arial"/>
                <w:sz w:val="16"/>
                <w:szCs w:val="16"/>
              </w:rPr>
            </w:pPr>
            <w:r w:rsidRPr="00F73512">
              <w:rPr>
                <w:rFonts w:ascii="Arial" w:hAnsi="Arial" w:cs="Arial"/>
                <w:sz w:val="16"/>
                <w:szCs w:val="16"/>
              </w:rPr>
              <w:t xml:space="preserve">Advise on and deliver policy and programs that enable the telecommunications </w:t>
            </w:r>
            <w:r w:rsidRPr="00B40374">
              <w:rPr>
                <w:rFonts w:ascii="Arial" w:eastAsia="Calibri" w:hAnsi="Arial" w:cs="Arial"/>
                <w:sz w:val="16"/>
                <w:szCs w:val="16"/>
                <w:lang w:eastAsia="en-US"/>
              </w:rPr>
              <w:t>industry</w:t>
            </w:r>
            <w:r w:rsidRPr="00F73512">
              <w:rPr>
                <w:rFonts w:ascii="Arial" w:hAnsi="Arial" w:cs="Arial"/>
                <w:sz w:val="16"/>
                <w:szCs w:val="16"/>
              </w:rPr>
              <w:t xml:space="preserve"> to provide services that meet the needs of people and businesses in Australia</w:t>
            </w:r>
          </w:p>
          <w:p w14:paraId="7F26B9E2" w14:textId="77777777" w:rsidR="00B208C2" w:rsidRPr="00F73512" w:rsidRDefault="00B208C2" w:rsidP="00B208C2">
            <w:pPr>
              <w:numPr>
                <w:ilvl w:val="0"/>
                <w:numId w:val="39"/>
              </w:numPr>
              <w:spacing w:before="60" w:after="60" w:line="240" w:lineRule="auto"/>
              <w:ind w:left="179" w:hanging="218"/>
              <w:jc w:val="left"/>
              <w:rPr>
                <w:rFonts w:ascii="Arial" w:hAnsi="Arial" w:cs="Arial"/>
                <w:sz w:val="16"/>
                <w:szCs w:val="16"/>
              </w:rPr>
            </w:pPr>
            <w:r w:rsidRPr="00B40374">
              <w:rPr>
                <w:rFonts w:ascii="Arial" w:eastAsia="Calibri" w:hAnsi="Arial" w:cs="Arial"/>
                <w:sz w:val="16"/>
                <w:szCs w:val="16"/>
                <w:lang w:eastAsia="en-US"/>
              </w:rPr>
              <w:t>Provide</w:t>
            </w:r>
            <w:r w:rsidRPr="00F73512">
              <w:rPr>
                <w:rFonts w:ascii="Arial" w:hAnsi="Arial" w:cs="Arial"/>
                <w:sz w:val="16"/>
                <w:szCs w:val="16"/>
              </w:rPr>
              <w:t xml:space="preserve"> advice to the government on communications policy and programs in regional and remote Australia, and implement relevant programs</w:t>
            </w:r>
          </w:p>
          <w:p w14:paraId="0BB6043F" w14:textId="77777777" w:rsidR="00B208C2" w:rsidRPr="00F73512" w:rsidRDefault="00B208C2" w:rsidP="00B208C2">
            <w:pPr>
              <w:numPr>
                <w:ilvl w:val="0"/>
                <w:numId w:val="39"/>
              </w:numPr>
              <w:spacing w:before="60" w:after="60" w:line="240" w:lineRule="auto"/>
              <w:ind w:left="179" w:hanging="218"/>
              <w:jc w:val="left"/>
              <w:rPr>
                <w:rFonts w:ascii="Arial" w:hAnsi="Arial" w:cs="Arial"/>
                <w:sz w:val="16"/>
                <w:szCs w:val="16"/>
              </w:rPr>
            </w:pPr>
            <w:r w:rsidRPr="00B40374">
              <w:rPr>
                <w:rFonts w:ascii="Arial" w:eastAsia="Calibri" w:hAnsi="Arial" w:cs="Arial"/>
                <w:sz w:val="16"/>
                <w:szCs w:val="16"/>
                <w:lang w:eastAsia="en-US"/>
              </w:rPr>
              <w:t>Provide</w:t>
            </w:r>
            <w:r w:rsidRPr="00F73512">
              <w:rPr>
                <w:rFonts w:ascii="Arial" w:hAnsi="Arial" w:cs="Arial"/>
                <w:sz w:val="16"/>
                <w:szCs w:val="16"/>
              </w:rPr>
              <w:t xml:space="preserve"> policy advice and program delivery on the news and media industry</w:t>
            </w:r>
            <w:r>
              <w:rPr>
                <w:rFonts w:ascii="Arial" w:hAnsi="Arial" w:cs="Arial"/>
                <w:sz w:val="16"/>
                <w:szCs w:val="16"/>
              </w:rPr>
              <w:t xml:space="preserve"> </w:t>
            </w:r>
            <w:r w:rsidRPr="00A035A3">
              <w:rPr>
                <w:rFonts w:ascii="Arial" w:hAnsi="Arial" w:cs="Arial"/>
                <w:sz w:val="16"/>
                <w:szCs w:val="16"/>
                <w:vertAlign w:val="superscript"/>
              </w:rPr>
              <w:t>(c)</w:t>
            </w:r>
          </w:p>
        </w:tc>
      </w:tr>
      <w:tr w:rsidR="00B208C2" w:rsidRPr="001B2F81" w14:paraId="0D1442C3" w14:textId="77777777" w:rsidTr="00B208C2">
        <w:trPr>
          <w:trHeight w:val="258"/>
        </w:trPr>
        <w:tc>
          <w:tcPr>
            <w:tcW w:w="1560" w:type="dxa"/>
            <w:tcBorders>
              <w:top w:val="double" w:sz="4" w:space="0" w:color="auto"/>
              <w:bottom w:val="single" w:sz="4" w:space="0" w:color="auto"/>
              <w:right w:val="single" w:sz="4" w:space="0" w:color="auto"/>
            </w:tcBorders>
          </w:tcPr>
          <w:p w14:paraId="4BF8E6D5" w14:textId="77777777" w:rsidR="00B208C2" w:rsidRPr="00160C23" w:rsidRDefault="00B208C2" w:rsidP="00B208C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6BC6727" w14:textId="77777777" w:rsidR="00B208C2" w:rsidRPr="00160C23" w:rsidRDefault="00B208C2" w:rsidP="00B208C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24CDFA9E" w14:textId="77777777" w:rsidR="00B208C2" w:rsidRPr="00160C23" w:rsidRDefault="00B208C2" w:rsidP="00B208C2">
            <w:pPr>
              <w:pStyle w:val="TableTextBase"/>
              <w:rPr>
                <w:rFonts w:cs="Arial"/>
                <w:b/>
                <w:sz w:val="16"/>
                <w:szCs w:val="16"/>
              </w:rPr>
            </w:pPr>
            <w:r w:rsidRPr="00160C23">
              <w:rPr>
                <w:rFonts w:cs="Arial"/>
                <w:b/>
                <w:sz w:val="16"/>
                <w:szCs w:val="16"/>
              </w:rPr>
              <w:t>Expected Performance Results</w:t>
            </w:r>
          </w:p>
        </w:tc>
      </w:tr>
      <w:tr w:rsidR="00B208C2" w:rsidRPr="001B2F81" w14:paraId="37B120DE" w14:textId="77777777" w:rsidTr="00B208C2">
        <w:trPr>
          <w:cantSplit/>
          <w:trHeight w:val="642"/>
        </w:trPr>
        <w:tc>
          <w:tcPr>
            <w:tcW w:w="1560" w:type="dxa"/>
            <w:tcBorders>
              <w:top w:val="single" w:sz="4" w:space="0" w:color="auto"/>
              <w:bottom w:val="nil"/>
              <w:right w:val="single" w:sz="4" w:space="0" w:color="auto"/>
            </w:tcBorders>
          </w:tcPr>
          <w:p w14:paraId="5D51F1A1" w14:textId="77777777" w:rsidR="00B208C2" w:rsidRPr="00160C23" w:rsidRDefault="00B208C2" w:rsidP="00B208C2">
            <w:pPr>
              <w:pStyle w:val="TableTextBase"/>
              <w:rPr>
                <w:sz w:val="16"/>
                <w:szCs w:val="16"/>
              </w:rPr>
            </w:pPr>
            <w:r w:rsidRPr="00160C23">
              <w:rPr>
                <w:sz w:val="16"/>
                <w:szCs w:val="16"/>
              </w:rPr>
              <w:t xml:space="preserve">Current year </w:t>
            </w:r>
          </w:p>
          <w:p w14:paraId="2BAF8F92" w14:textId="77777777" w:rsidR="00B208C2" w:rsidRPr="00160C23" w:rsidRDefault="00B208C2" w:rsidP="00B208C2">
            <w:pPr>
              <w:pStyle w:val="TableTextBase"/>
              <w:rPr>
                <w:sz w:val="16"/>
                <w:szCs w:val="16"/>
              </w:rPr>
            </w:pPr>
            <w:r>
              <w:rPr>
                <w:sz w:val="16"/>
                <w:szCs w:val="16"/>
              </w:rPr>
              <w:t>2021–</w:t>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0923A4F7" w14:textId="77777777" w:rsidR="00B208C2" w:rsidRPr="00F4063B" w:rsidRDefault="00B208C2" w:rsidP="00B208C2">
            <w:pPr>
              <w:pStyle w:val="TableTextBase"/>
              <w:rPr>
                <w:sz w:val="16"/>
                <w:szCs w:val="16"/>
              </w:rPr>
            </w:pPr>
            <w:r w:rsidRPr="00F4063B">
              <w:rPr>
                <w:rFonts w:eastAsia="Calibri" w:cs="Arial"/>
                <w:sz w:val="16"/>
                <w:szCs w:val="16"/>
                <w:lang w:eastAsia="en-US"/>
              </w:rPr>
              <w:t xml:space="preserve">Progress implementing the </w:t>
            </w:r>
            <w:r w:rsidRPr="00B57ACF">
              <w:rPr>
                <w:rFonts w:eastAsia="Calibri" w:cs="Arial"/>
                <w:i/>
                <w:sz w:val="16"/>
                <w:szCs w:val="16"/>
                <w:lang w:eastAsia="en-US"/>
              </w:rPr>
              <w:t xml:space="preserve">Online Safety Act </w:t>
            </w:r>
            <w:r w:rsidRPr="00B57ACF">
              <w:rPr>
                <w:rFonts w:eastAsia="Calibri" w:cs="Arial"/>
                <w:i/>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377C51CD" w14:textId="77777777" w:rsidR="00B208C2" w:rsidRPr="00F4063B" w:rsidRDefault="00B208C2" w:rsidP="00B208C2">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Legislation and relevant legislative instruments are ready for commencement of the </w:t>
            </w:r>
            <w:r w:rsidRPr="00B57ACF">
              <w:rPr>
                <w:rFonts w:ascii="Arial" w:eastAsia="Calibri" w:hAnsi="Arial" w:cs="Arial"/>
                <w:i/>
                <w:sz w:val="16"/>
                <w:szCs w:val="16"/>
                <w:lang w:eastAsia="en-US"/>
              </w:rPr>
              <w:t>Online Safety Act on</w:t>
            </w:r>
            <w:r w:rsidRPr="00F4063B">
              <w:rPr>
                <w:rFonts w:ascii="Arial" w:eastAsia="Calibri" w:hAnsi="Arial" w:cs="Arial"/>
                <w:sz w:val="16"/>
                <w:szCs w:val="16"/>
                <w:lang w:eastAsia="en-US"/>
              </w:rPr>
              <w:t xml:space="preserve"> 23 January 2022</w:t>
            </w:r>
          </w:p>
          <w:p w14:paraId="375AF68C" w14:textId="77777777" w:rsidR="00B208C2" w:rsidRPr="00F4063B" w:rsidRDefault="00B208C2" w:rsidP="00B208C2">
            <w:pPr>
              <w:tabs>
                <w:tab w:val="left" w:pos="204"/>
                <w:tab w:val="left" w:pos="396"/>
              </w:tabs>
              <w:spacing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Target met</w:t>
            </w:r>
          </w:p>
        </w:tc>
      </w:tr>
      <w:tr w:rsidR="00B208C2" w:rsidRPr="001B2F81" w14:paraId="273B2510" w14:textId="77777777" w:rsidTr="00B208C2">
        <w:trPr>
          <w:cantSplit/>
          <w:trHeight w:val="642"/>
        </w:trPr>
        <w:tc>
          <w:tcPr>
            <w:tcW w:w="1560" w:type="dxa"/>
            <w:vMerge w:val="restart"/>
            <w:tcBorders>
              <w:top w:val="nil"/>
              <w:right w:val="single" w:sz="4" w:space="0" w:color="auto"/>
            </w:tcBorders>
          </w:tcPr>
          <w:p w14:paraId="2146AD7B"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F7A1071" w14:textId="77777777" w:rsidR="00B208C2" w:rsidRPr="00F4063B" w:rsidRDefault="00B208C2" w:rsidP="00B208C2">
            <w:pPr>
              <w:pStyle w:val="TableTextBase"/>
              <w:rPr>
                <w:sz w:val="16"/>
                <w:szCs w:val="16"/>
              </w:rPr>
            </w:pPr>
            <w:r w:rsidRPr="00F4063B">
              <w:rPr>
                <w:rFonts w:eastAsia="Calibri" w:cs="Arial"/>
                <w:sz w:val="16"/>
                <w:szCs w:val="16"/>
                <w:lang w:eastAsia="en-US"/>
              </w:rPr>
              <w:t>Provide oversight of N</w:t>
            </w:r>
            <w:r>
              <w:rPr>
                <w:rFonts w:eastAsia="Calibri" w:cs="Arial"/>
                <w:sz w:val="16"/>
                <w:szCs w:val="16"/>
                <w:lang w:eastAsia="en-US"/>
              </w:rPr>
              <w:t xml:space="preserve">BN </w:t>
            </w:r>
            <w:r w:rsidRPr="00F4063B">
              <w:rPr>
                <w:rFonts w:eastAsia="Calibri" w:cs="Arial"/>
                <w:sz w:val="16"/>
                <w:szCs w:val="16"/>
                <w:lang w:eastAsia="en-US"/>
              </w:rPr>
              <w:t>Co</w:t>
            </w:r>
            <w:r>
              <w:rPr>
                <w:rFonts w:eastAsia="Calibri" w:cs="Arial"/>
                <w:sz w:val="16"/>
                <w:szCs w:val="16"/>
                <w:lang w:eastAsia="en-US"/>
              </w:rPr>
              <w:t xml:space="preserve"> </w:t>
            </w:r>
            <w:r w:rsidRPr="00297CAA">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78D580D6" w14:textId="4404DB24" w:rsidR="00B208C2" w:rsidRPr="00F4063B" w:rsidRDefault="00B208C2" w:rsidP="00B208C2">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In each financial year, we assess N</w:t>
            </w:r>
            <w:r>
              <w:rPr>
                <w:rFonts w:ascii="Arial" w:eastAsia="Calibri" w:hAnsi="Arial" w:cs="Arial"/>
                <w:sz w:val="16"/>
                <w:szCs w:val="16"/>
                <w:lang w:eastAsia="en-US"/>
              </w:rPr>
              <w:t>BN</w:t>
            </w:r>
            <w:r w:rsidR="005B33F4">
              <w:rPr>
                <w:rFonts w:ascii="Arial" w:eastAsia="Calibri" w:hAnsi="Arial" w:cs="Arial"/>
                <w:sz w:val="16"/>
                <w:szCs w:val="16"/>
                <w:lang w:eastAsia="en-US"/>
              </w:rPr>
              <w:t> </w:t>
            </w:r>
            <w:r w:rsidRPr="00F4063B">
              <w:rPr>
                <w:rFonts w:ascii="Arial" w:eastAsia="Calibri" w:hAnsi="Arial" w:cs="Arial"/>
                <w:sz w:val="16"/>
                <w:szCs w:val="16"/>
                <w:lang w:eastAsia="en-US"/>
              </w:rPr>
              <w:t>Co’s corporate plan and monitor the company to ensure it is acting consistently with policy objective outlined in the Statement of Expectations</w:t>
            </w:r>
          </w:p>
          <w:p w14:paraId="31BC7E04" w14:textId="77777777" w:rsidR="00B208C2" w:rsidRPr="00F4063B" w:rsidRDefault="00B208C2" w:rsidP="00B208C2">
            <w:pPr>
              <w:pStyle w:val="TableTextBase"/>
              <w:rPr>
                <w:sz w:val="16"/>
                <w:szCs w:val="16"/>
              </w:rPr>
            </w:pPr>
            <w:r w:rsidRPr="00F4063B">
              <w:rPr>
                <w:rFonts w:eastAsia="Calibri" w:cs="Arial"/>
                <w:sz w:val="16"/>
                <w:szCs w:val="16"/>
                <w:lang w:eastAsia="en-US"/>
              </w:rPr>
              <w:t>Target expected to be met</w:t>
            </w:r>
          </w:p>
        </w:tc>
      </w:tr>
      <w:tr w:rsidR="00B208C2" w:rsidRPr="001B2F81" w14:paraId="4D6282B3" w14:textId="77777777" w:rsidTr="00B208C2">
        <w:trPr>
          <w:cantSplit/>
          <w:trHeight w:val="642"/>
        </w:trPr>
        <w:tc>
          <w:tcPr>
            <w:tcW w:w="1560" w:type="dxa"/>
            <w:vMerge/>
            <w:tcBorders>
              <w:bottom w:val="single" w:sz="4" w:space="0" w:color="auto"/>
              <w:right w:val="single" w:sz="4" w:space="0" w:color="auto"/>
            </w:tcBorders>
          </w:tcPr>
          <w:p w14:paraId="2309A6D7" w14:textId="77777777" w:rsidR="00B208C2" w:rsidRPr="00160C23" w:rsidRDefault="00B208C2" w:rsidP="00B208C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4523948" w14:textId="77777777" w:rsidR="00B208C2" w:rsidRPr="00F4063B" w:rsidRDefault="00B208C2" w:rsidP="00B208C2">
            <w:pPr>
              <w:pStyle w:val="TableTextBase"/>
              <w:rPr>
                <w:rFonts w:eastAsia="Calibri" w:cs="Arial"/>
                <w:sz w:val="16"/>
                <w:szCs w:val="16"/>
                <w:lang w:eastAsia="en-US"/>
              </w:rPr>
            </w:pPr>
            <w:r w:rsidRPr="00F4063B">
              <w:rPr>
                <w:rFonts w:eastAsia="Calibri" w:cs="Arial"/>
                <w:sz w:val="16"/>
                <w:szCs w:val="16"/>
                <w:lang w:eastAsia="en-US"/>
              </w:rPr>
              <w:t>N</w:t>
            </w:r>
            <w:r>
              <w:rPr>
                <w:rFonts w:eastAsia="Calibri" w:cs="Arial"/>
                <w:sz w:val="16"/>
                <w:szCs w:val="16"/>
                <w:lang w:eastAsia="en-US"/>
              </w:rPr>
              <w:t xml:space="preserve">BN </w:t>
            </w:r>
            <w:r w:rsidRPr="00F4063B">
              <w:rPr>
                <w:rFonts w:eastAsia="Calibri" w:cs="Arial"/>
                <w:sz w:val="16"/>
                <w:szCs w:val="16"/>
                <w:lang w:eastAsia="en-US"/>
              </w:rPr>
              <w:t>Co Loan interest payments and principal repayments</w:t>
            </w:r>
            <w:r>
              <w:rPr>
                <w:rFonts w:eastAsia="Calibri" w:cs="Arial"/>
                <w:sz w:val="16"/>
                <w:szCs w:val="16"/>
                <w:lang w:eastAsia="en-US"/>
              </w:rPr>
              <w:t xml:space="preserve"> </w:t>
            </w:r>
            <w:r w:rsidRPr="00297CAA">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216C5B52" w14:textId="77777777" w:rsidR="00B208C2" w:rsidRPr="00F4063B" w:rsidRDefault="00B208C2" w:rsidP="00B208C2">
            <w:pPr>
              <w:keepNext/>
              <w:keepLines/>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In each financial year, N</w:t>
            </w:r>
            <w:r>
              <w:rPr>
                <w:rFonts w:ascii="Arial" w:eastAsia="Calibri" w:hAnsi="Arial" w:cs="Arial"/>
                <w:sz w:val="16"/>
                <w:szCs w:val="16"/>
                <w:lang w:eastAsia="en-US"/>
              </w:rPr>
              <w:t>BN</w:t>
            </w:r>
            <w:r w:rsidRPr="00F4063B">
              <w:rPr>
                <w:rFonts w:ascii="Arial" w:eastAsia="Calibri" w:hAnsi="Arial" w:cs="Arial"/>
                <w:sz w:val="16"/>
                <w:szCs w:val="16"/>
                <w:lang w:eastAsia="en-US"/>
              </w:rPr>
              <w:t xml:space="preserve"> Co interest payments and principal repayments are made in accordance with the terms in the Loan Agreement</w:t>
            </w:r>
          </w:p>
          <w:p w14:paraId="54F81C4C" w14:textId="77777777" w:rsidR="00B208C2" w:rsidRPr="00F4063B" w:rsidRDefault="00B208C2" w:rsidP="00B208C2">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Target expected to be met</w:t>
            </w:r>
          </w:p>
        </w:tc>
      </w:tr>
    </w:tbl>
    <w:p w14:paraId="43093C83" w14:textId="77777777" w:rsidR="00B91F3E" w:rsidRDefault="00B91F3E" w:rsidP="00B91F3E">
      <w:pPr>
        <w:spacing w:after="160" w:line="259" w:lineRule="auto"/>
        <w:jc w:val="left"/>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0940F7" w:rsidRPr="00160C23" w14:paraId="559E14DB" w14:textId="77777777" w:rsidTr="00F77694">
        <w:trPr>
          <w:trHeight w:val="258"/>
        </w:trPr>
        <w:tc>
          <w:tcPr>
            <w:tcW w:w="1560" w:type="dxa"/>
            <w:tcBorders>
              <w:top w:val="double" w:sz="4" w:space="0" w:color="auto"/>
              <w:bottom w:val="single" w:sz="4" w:space="0" w:color="auto"/>
              <w:right w:val="single" w:sz="4" w:space="0" w:color="auto"/>
            </w:tcBorders>
          </w:tcPr>
          <w:p w14:paraId="4945A839" w14:textId="77777777" w:rsidR="000940F7" w:rsidRPr="00160C23" w:rsidRDefault="000940F7" w:rsidP="00F77694">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105365A8" w14:textId="77777777" w:rsidR="000940F7" w:rsidRPr="00160C23" w:rsidRDefault="000940F7" w:rsidP="00F77694">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A6F946D" w14:textId="77777777" w:rsidR="000940F7" w:rsidRPr="00160C23" w:rsidRDefault="000940F7" w:rsidP="00F77694">
            <w:pPr>
              <w:pStyle w:val="TableTextBase"/>
              <w:rPr>
                <w:rFonts w:cs="Arial"/>
                <w:b/>
                <w:sz w:val="16"/>
                <w:szCs w:val="16"/>
              </w:rPr>
            </w:pPr>
            <w:r w:rsidRPr="00160C23">
              <w:rPr>
                <w:rFonts w:cs="Arial"/>
                <w:b/>
                <w:sz w:val="16"/>
                <w:szCs w:val="16"/>
              </w:rPr>
              <w:t>Expected Performance Results</w:t>
            </w:r>
          </w:p>
        </w:tc>
      </w:tr>
      <w:tr w:rsidR="000940F7" w:rsidRPr="001B2F81" w14:paraId="05619313" w14:textId="77777777" w:rsidTr="00F77694">
        <w:trPr>
          <w:cantSplit/>
          <w:trHeight w:val="642"/>
        </w:trPr>
        <w:tc>
          <w:tcPr>
            <w:tcW w:w="1560" w:type="dxa"/>
            <w:tcBorders>
              <w:top w:val="single" w:sz="4" w:space="0" w:color="auto"/>
              <w:bottom w:val="nil"/>
              <w:right w:val="single" w:sz="4" w:space="0" w:color="auto"/>
            </w:tcBorders>
          </w:tcPr>
          <w:p w14:paraId="2C92E7AE" w14:textId="77777777" w:rsidR="000940F7" w:rsidRPr="00160C23" w:rsidRDefault="000940F7" w:rsidP="00F77694">
            <w:pPr>
              <w:pStyle w:val="TableTextBase"/>
              <w:rPr>
                <w:sz w:val="16"/>
                <w:szCs w:val="16"/>
              </w:rPr>
            </w:pPr>
            <w:r w:rsidRPr="00160C23">
              <w:rPr>
                <w:sz w:val="16"/>
                <w:szCs w:val="16"/>
              </w:rPr>
              <w:t xml:space="preserve">Current year </w:t>
            </w:r>
          </w:p>
          <w:p w14:paraId="1ACEDB0D" w14:textId="77777777" w:rsidR="000940F7" w:rsidRPr="00160C23" w:rsidRDefault="000940F7" w:rsidP="00F77694">
            <w:pPr>
              <w:pStyle w:val="TableTextBase"/>
              <w:rPr>
                <w:sz w:val="16"/>
                <w:szCs w:val="16"/>
              </w:rPr>
            </w:pPr>
            <w:r w:rsidRPr="00160C23">
              <w:rPr>
                <w:sz w:val="16"/>
                <w:szCs w:val="16"/>
              </w:rPr>
              <w:t>2021</w:t>
            </w:r>
            <w:r>
              <w:rPr>
                <w:sz w:val="16"/>
                <w:szCs w:val="16"/>
              </w:rPr>
              <w:t>–</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0CB6373A" w14:textId="77777777" w:rsidR="000940F7" w:rsidRPr="00F4063B" w:rsidRDefault="000940F7" w:rsidP="00F77694">
            <w:pPr>
              <w:pStyle w:val="TableTextBase"/>
              <w:rPr>
                <w:sz w:val="16"/>
                <w:szCs w:val="16"/>
              </w:rPr>
            </w:pPr>
            <w:r w:rsidRPr="00F4063B">
              <w:rPr>
                <w:rFonts w:eastAsia="Calibri" w:cs="Arial"/>
                <w:sz w:val="16"/>
                <w:szCs w:val="16"/>
                <w:lang w:eastAsia="en-US"/>
              </w:rPr>
              <w:t>Funds administered as part of the Regional Broadband Scheme (RBS) are distributed</w:t>
            </w:r>
          </w:p>
        </w:tc>
        <w:tc>
          <w:tcPr>
            <w:tcW w:w="2977" w:type="dxa"/>
            <w:tcBorders>
              <w:top w:val="single" w:sz="4" w:space="0" w:color="auto"/>
              <w:left w:val="single" w:sz="4" w:space="0" w:color="auto"/>
              <w:bottom w:val="single" w:sz="4" w:space="0" w:color="auto"/>
            </w:tcBorders>
          </w:tcPr>
          <w:p w14:paraId="457153B5"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In each financial year, funds are distributed in line with legislative requirements</w:t>
            </w:r>
          </w:p>
          <w:p w14:paraId="27A523F7" w14:textId="77777777" w:rsidR="000940F7" w:rsidRPr="00F4063B" w:rsidRDefault="000940F7" w:rsidP="00F77694">
            <w:pPr>
              <w:pStyle w:val="TableTextBase"/>
              <w:rPr>
                <w:sz w:val="16"/>
                <w:szCs w:val="16"/>
              </w:rPr>
            </w:pPr>
            <w:r w:rsidRPr="00F4063B">
              <w:rPr>
                <w:rFonts w:eastAsia="Calibri" w:cs="Arial"/>
                <w:sz w:val="16"/>
                <w:szCs w:val="16"/>
                <w:lang w:eastAsia="en-US"/>
              </w:rPr>
              <w:t>Target expected to be met</w:t>
            </w:r>
          </w:p>
        </w:tc>
      </w:tr>
      <w:tr w:rsidR="000940F7" w:rsidRPr="001B2F81" w14:paraId="670C7E0A" w14:textId="77777777" w:rsidTr="00F77694">
        <w:trPr>
          <w:cantSplit/>
          <w:trHeight w:val="642"/>
        </w:trPr>
        <w:tc>
          <w:tcPr>
            <w:tcW w:w="1560" w:type="dxa"/>
            <w:tcBorders>
              <w:top w:val="nil"/>
              <w:bottom w:val="nil"/>
              <w:right w:val="single" w:sz="4" w:space="0" w:color="auto"/>
            </w:tcBorders>
          </w:tcPr>
          <w:p w14:paraId="0B53F94D"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F8FB7B2" w14:textId="77777777" w:rsidR="000940F7" w:rsidRPr="00F4063B" w:rsidRDefault="000940F7" w:rsidP="00F77694">
            <w:pPr>
              <w:pStyle w:val="TableTextBase"/>
              <w:rPr>
                <w:sz w:val="16"/>
                <w:szCs w:val="16"/>
              </w:rPr>
            </w:pPr>
            <w:r w:rsidRPr="00F4063B">
              <w:rPr>
                <w:rFonts w:eastAsia="Calibri" w:cs="Arial"/>
                <w:sz w:val="16"/>
                <w:szCs w:val="16"/>
                <w:lang w:eastAsia="en-US"/>
              </w:rPr>
              <w:t>Effectiveness of international engagement on communications matters</w:t>
            </w:r>
            <w:r>
              <w:rPr>
                <w:rFonts w:eastAsia="Calibri" w:cs="Arial"/>
                <w:sz w:val="16"/>
                <w:szCs w:val="16"/>
                <w:lang w:eastAsia="en-US"/>
              </w:rPr>
              <w:t> </w:t>
            </w:r>
            <w:r w:rsidRPr="00E25030">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3786EE66"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In each financial year, outcomes achieved in line with the negotiation mandate agreed by the Australian Government</w:t>
            </w:r>
          </w:p>
          <w:p w14:paraId="4E748483"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365CDC99" w14:textId="77777777" w:rsidTr="00F77694">
        <w:trPr>
          <w:cantSplit/>
          <w:trHeight w:val="642"/>
        </w:trPr>
        <w:tc>
          <w:tcPr>
            <w:tcW w:w="1560" w:type="dxa"/>
            <w:tcBorders>
              <w:top w:val="nil"/>
              <w:bottom w:val="nil"/>
              <w:right w:val="single" w:sz="4" w:space="0" w:color="auto"/>
            </w:tcBorders>
          </w:tcPr>
          <w:p w14:paraId="654C276A"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590E8EC"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Number and proportion of Australian community radio licence holders receiving Community Broadcasting Program funding</w:t>
            </w:r>
            <w:r>
              <w:rPr>
                <w:rFonts w:eastAsia="Calibri" w:cs="Arial"/>
                <w:sz w:val="16"/>
                <w:szCs w:val="16"/>
                <w:vertAlign w:val="superscript"/>
                <w:lang w:eastAsia="en-US"/>
              </w:rPr>
              <w:t>(d</w:t>
            </w:r>
            <w:r w:rsidRPr="00CE7F37">
              <w:rPr>
                <w:rFonts w:eastAsia="Calibri" w:cs="Arial"/>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1344704B"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Number fluctuates depending on round structure and applications received</w:t>
            </w:r>
          </w:p>
          <w:p w14:paraId="43949675"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Target expected to be met</w:t>
            </w:r>
          </w:p>
        </w:tc>
      </w:tr>
      <w:tr w:rsidR="000940F7" w:rsidRPr="001B2F81" w14:paraId="14D6E91F" w14:textId="77777777" w:rsidTr="00F77694">
        <w:trPr>
          <w:cantSplit/>
          <w:trHeight w:val="642"/>
        </w:trPr>
        <w:tc>
          <w:tcPr>
            <w:tcW w:w="1560" w:type="dxa"/>
            <w:tcBorders>
              <w:top w:val="nil"/>
              <w:bottom w:val="nil"/>
              <w:right w:val="single" w:sz="4" w:space="0" w:color="auto"/>
            </w:tcBorders>
          </w:tcPr>
          <w:p w14:paraId="2387A81C"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648FB70" w14:textId="236D4642" w:rsidR="000940F7" w:rsidRPr="00F4063B" w:rsidRDefault="000940F7" w:rsidP="00F77694">
            <w:pPr>
              <w:pStyle w:val="TableTextBase"/>
              <w:rPr>
                <w:sz w:val="16"/>
                <w:szCs w:val="16"/>
              </w:rPr>
            </w:pPr>
            <w:r>
              <w:rPr>
                <w:rFonts w:eastAsia="Calibri" w:cs="Arial"/>
                <w:sz w:val="16"/>
                <w:szCs w:val="16"/>
                <w:lang w:eastAsia="en-US"/>
              </w:rPr>
              <w:t>Percent</w:t>
            </w:r>
            <w:r w:rsidRPr="00F4063B">
              <w:rPr>
                <w:rFonts w:eastAsia="Calibri" w:cs="Arial"/>
                <w:sz w:val="16"/>
                <w:szCs w:val="16"/>
                <w:lang w:eastAsia="en-US"/>
              </w:rPr>
              <w:t>age of Community Service Obligations (CSOs) met by Australia Post</w:t>
            </w:r>
            <w:r w:rsidR="005B33F4">
              <w:rPr>
                <w:rFonts w:eastAsia="Calibri" w:cs="Arial"/>
                <w:sz w:val="16"/>
                <w:szCs w:val="16"/>
                <w:lang w:eastAsia="en-US"/>
              </w:rPr>
              <w:t xml:space="preserve"> </w:t>
            </w:r>
            <w:r w:rsidRPr="00E25030">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58E2B32E"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Australia Post met or exceeded all the Prescribed Performance Standards</w:t>
            </w:r>
          </w:p>
          <w:p w14:paraId="0C00CE18"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Target not expected to be met</w:t>
            </w:r>
          </w:p>
          <w:p w14:paraId="15EF3527"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22"/>
                <w:lang w:eastAsia="en-US"/>
              </w:rPr>
              <w:t>On time delivery performance is measured across the financial year, however Quarter 1 results show that Australia Post is below the standard required. This result was driven by impacts on the priority letter service due to air transportation shortfalls associated with restricted passenger f</w:t>
            </w:r>
            <w:r>
              <w:rPr>
                <w:rFonts w:eastAsia="Calibri" w:cs="Arial"/>
                <w:sz w:val="16"/>
                <w:szCs w:val="22"/>
                <w:lang w:eastAsia="en-US"/>
              </w:rPr>
              <w:t>lights as a result of  COVID-19</w:t>
            </w:r>
          </w:p>
        </w:tc>
      </w:tr>
      <w:tr w:rsidR="000940F7" w:rsidRPr="001B2F81" w14:paraId="5B71E634" w14:textId="77777777" w:rsidTr="00F77694">
        <w:trPr>
          <w:cantSplit/>
          <w:trHeight w:val="642"/>
        </w:trPr>
        <w:tc>
          <w:tcPr>
            <w:tcW w:w="1560" w:type="dxa"/>
            <w:tcBorders>
              <w:top w:val="nil"/>
              <w:bottom w:val="nil"/>
              <w:right w:val="single" w:sz="4" w:space="0" w:color="auto"/>
            </w:tcBorders>
          </w:tcPr>
          <w:p w14:paraId="13B9F679"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03139E0" w14:textId="77777777" w:rsidR="000940F7" w:rsidRPr="00F4063B" w:rsidRDefault="000940F7" w:rsidP="00F77694">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 xml:space="preserve">age of telecommunications Universal </w:t>
            </w:r>
            <w:r w:rsidRPr="005B33F4">
              <w:rPr>
                <w:rFonts w:ascii="Arial" w:eastAsia="Calibri" w:hAnsi="Arial" w:cs="Arial"/>
                <w:sz w:val="16"/>
                <w:szCs w:val="16"/>
                <w:lang w:eastAsia="en-US"/>
              </w:rPr>
              <w:t xml:space="preserve">Service Obligation (USO) targets met by Telstra </w:t>
            </w:r>
            <w:r w:rsidRPr="005B33F4">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5B862FDF"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100</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contracted arrangements delivered</w:t>
            </w:r>
          </w:p>
          <w:p w14:paraId="45E774A0"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 to be met</w:t>
            </w:r>
          </w:p>
        </w:tc>
      </w:tr>
      <w:tr w:rsidR="000940F7" w:rsidRPr="001B2F81" w14:paraId="722DF7D8" w14:textId="77777777" w:rsidTr="00F77694">
        <w:trPr>
          <w:cantSplit/>
          <w:trHeight w:val="642"/>
        </w:trPr>
        <w:tc>
          <w:tcPr>
            <w:tcW w:w="1560" w:type="dxa"/>
            <w:tcBorders>
              <w:top w:val="nil"/>
              <w:bottom w:val="nil"/>
              <w:right w:val="single" w:sz="4" w:space="0" w:color="auto"/>
            </w:tcBorders>
          </w:tcPr>
          <w:p w14:paraId="3B994F0E"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37A90B9" w14:textId="7E146D6B" w:rsidR="000940F7" w:rsidRPr="00F4063B" w:rsidRDefault="000940F7" w:rsidP="00F77694">
            <w:pPr>
              <w:pStyle w:val="TableTextBase"/>
              <w:rPr>
                <w:sz w:val="16"/>
                <w:szCs w:val="16"/>
              </w:rPr>
            </w:pPr>
            <w:r>
              <w:rPr>
                <w:rFonts w:eastAsia="Calibri" w:cs="Arial"/>
                <w:sz w:val="16"/>
                <w:szCs w:val="16"/>
                <w:lang w:eastAsia="en-US"/>
              </w:rPr>
              <w:t>Percent</w:t>
            </w:r>
            <w:r w:rsidRPr="00F4063B">
              <w:rPr>
                <w:rFonts w:eastAsia="Calibri" w:cs="Arial"/>
                <w:sz w:val="16"/>
                <w:szCs w:val="16"/>
                <w:lang w:eastAsia="en-US"/>
              </w:rPr>
              <w:t>age of contractual arrangements for the Triple Zero Emergency Call Service delivered by Telstra</w:t>
            </w:r>
            <w:r w:rsidR="005B33F4">
              <w:rPr>
                <w:rFonts w:eastAsia="Calibri" w:cs="Arial"/>
                <w:sz w:val="16"/>
                <w:szCs w:val="16"/>
                <w:lang w:eastAsia="en-US"/>
              </w:rPr>
              <w:t xml:space="preserve"> </w:t>
            </w:r>
            <w:r w:rsidRPr="00E25030">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100ECB5F"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100</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contracted arrangements delivered</w:t>
            </w:r>
          </w:p>
          <w:p w14:paraId="229CBDE6"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677A06DB" w14:textId="77777777" w:rsidTr="00F77694">
        <w:trPr>
          <w:cantSplit/>
          <w:trHeight w:val="642"/>
        </w:trPr>
        <w:tc>
          <w:tcPr>
            <w:tcW w:w="1560" w:type="dxa"/>
            <w:tcBorders>
              <w:top w:val="nil"/>
              <w:right w:val="single" w:sz="4" w:space="0" w:color="auto"/>
            </w:tcBorders>
          </w:tcPr>
          <w:p w14:paraId="688A0AC2"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2CBA6E5" w14:textId="77777777" w:rsidR="000940F7" w:rsidRPr="00F4063B" w:rsidRDefault="000940F7" w:rsidP="00F77694">
            <w:pPr>
              <w:pStyle w:val="TableTextBase"/>
              <w:rPr>
                <w:sz w:val="16"/>
                <w:szCs w:val="16"/>
              </w:rPr>
            </w:pPr>
            <w:r w:rsidRPr="00F4063B">
              <w:rPr>
                <w:rFonts w:eastAsia="Calibri" w:cs="Arial"/>
                <w:sz w:val="16"/>
                <w:szCs w:val="16"/>
                <w:lang w:eastAsia="en-US"/>
              </w:rPr>
              <w:t>Amount of new and improved mobile coverage delivered in regions under the Mobile Black Spot Program</w:t>
            </w:r>
          </w:p>
        </w:tc>
        <w:tc>
          <w:tcPr>
            <w:tcW w:w="2977" w:type="dxa"/>
            <w:tcBorders>
              <w:top w:val="single" w:sz="4" w:space="0" w:color="auto"/>
              <w:left w:val="single" w:sz="4" w:space="0" w:color="auto"/>
              <w:bottom w:val="single" w:sz="4" w:space="0" w:color="auto"/>
            </w:tcBorders>
          </w:tcPr>
          <w:p w14:paraId="29CE60AE"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≥90</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of total contracted (predictive) coverage is delivered through new assets, for which asset completion reports are received in financial year</w:t>
            </w:r>
          </w:p>
          <w:p w14:paraId="6D5FC39B"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Target met</w:t>
            </w:r>
          </w:p>
          <w:p w14:paraId="0DE00DB1"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That is, total new handheld coverage delivered exceeded the total contracted metric by 33</w:t>
            </w:r>
            <w:r>
              <w:rPr>
                <w:rFonts w:eastAsia="Calibri" w:cs="Arial"/>
                <w:sz w:val="16"/>
                <w:szCs w:val="16"/>
                <w:lang w:eastAsia="en-US"/>
              </w:rPr>
              <w:t>%</w:t>
            </w:r>
            <w:r w:rsidRPr="00F4063B">
              <w:rPr>
                <w:rFonts w:eastAsia="Calibri" w:cs="Arial"/>
                <w:sz w:val="16"/>
                <w:szCs w:val="16"/>
                <w:lang w:eastAsia="en-US"/>
              </w:rPr>
              <w:t xml:space="preserve"> and the total number of premises to receive new mobile coverage exceeded the total contracted metric by 24</w:t>
            </w:r>
            <w:r>
              <w:rPr>
                <w:rFonts w:eastAsia="Calibri" w:cs="Arial"/>
                <w:sz w:val="16"/>
                <w:szCs w:val="16"/>
                <w:lang w:eastAsia="en-US"/>
              </w:rPr>
              <w:t>%</w:t>
            </w:r>
          </w:p>
        </w:tc>
      </w:tr>
    </w:tbl>
    <w:p w14:paraId="16A61EF2" w14:textId="77777777" w:rsidR="000B0083" w:rsidRDefault="000B0083">
      <w:pPr>
        <w:spacing w:after="0" w:line="240" w:lineRule="auto"/>
        <w:jc w:val="left"/>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0940F7" w:rsidRPr="00160C23" w14:paraId="16CEDDEC" w14:textId="77777777" w:rsidTr="00F77694">
        <w:trPr>
          <w:trHeight w:val="258"/>
        </w:trPr>
        <w:tc>
          <w:tcPr>
            <w:tcW w:w="1560" w:type="dxa"/>
            <w:tcBorders>
              <w:top w:val="double" w:sz="4" w:space="0" w:color="auto"/>
              <w:bottom w:val="single" w:sz="4" w:space="0" w:color="auto"/>
              <w:right w:val="single" w:sz="4" w:space="0" w:color="auto"/>
            </w:tcBorders>
          </w:tcPr>
          <w:p w14:paraId="6B784668" w14:textId="77777777" w:rsidR="000940F7" w:rsidRPr="00160C23" w:rsidRDefault="000940F7" w:rsidP="00F77694">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0031E198" w14:textId="77777777" w:rsidR="000940F7" w:rsidRPr="00160C23" w:rsidRDefault="000940F7" w:rsidP="00F77694">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14A84795" w14:textId="77777777" w:rsidR="000940F7" w:rsidRPr="00160C23" w:rsidRDefault="000940F7" w:rsidP="00F77694">
            <w:pPr>
              <w:pStyle w:val="TableTextBase"/>
              <w:rPr>
                <w:rFonts w:cs="Arial"/>
                <w:b/>
                <w:sz w:val="16"/>
                <w:szCs w:val="16"/>
              </w:rPr>
            </w:pPr>
            <w:r w:rsidRPr="00160C23">
              <w:rPr>
                <w:rFonts w:cs="Arial"/>
                <w:b/>
                <w:sz w:val="16"/>
                <w:szCs w:val="16"/>
              </w:rPr>
              <w:t>Expected Performance Results</w:t>
            </w:r>
          </w:p>
        </w:tc>
      </w:tr>
      <w:tr w:rsidR="000940F7" w:rsidRPr="001B2F81" w14:paraId="44424A2D" w14:textId="77777777" w:rsidTr="00F77694">
        <w:trPr>
          <w:cantSplit/>
          <w:trHeight w:val="642"/>
        </w:trPr>
        <w:tc>
          <w:tcPr>
            <w:tcW w:w="1560" w:type="dxa"/>
            <w:vMerge w:val="restart"/>
            <w:tcBorders>
              <w:right w:val="single" w:sz="4" w:space="0" w:color="auto"/>
            </w:tcBorders>
          </w:tcPr>
          <w:p w14:paraId="192470D3" w14:textId="77777777" w:rsidR="000940F7" w:rsidRPr="00160C23" w:rsidRDefault="000940F7" w:rsidP="00F77694">
            <w:pPr>
              <w:pStyle w:val="TableTextBase"/>
              <w:rPr>
                <w:sz w:val="16"/>
                <w:szCs w:val="16"/>
              </w:rPr>
            </w:pPr>
            <w:r w:rsidRPr="00160C23">
              <w:rPr>
                <w:sz w:val="16"/>
                <w:szCs w:val="16"/>
              </w:rPr>
              <w:t xml:space="preserve">Current year </w:t>
            </w:r>
          </w:p>
          <w:p w14:paraId="2608FC44" w14:textId="77777777" w:rsidR="000940F7" w:rsidRPr="00160C23" w:rsidRDefault="000940F7" w:rsidP="00F77694">
            <w:pPr>
              <w:pStyle w:val="TableTextBase"/>
              <w:rPr>
                <w:sz w:val="16"/>
                <w:szCs w:val="16"/>
              </w:rPr>
            </w:pPr>
            <w:r>
              <w:rPr>
                <w:sz w:val="16"/>
                <w:szCs w:val="16"/>
              </w:rPr>
              <w:t>2021–</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41C28FC8" w14:textId="77777777" w:rsidR="000940F7" w:rsidRPr="00F4063B" w:rsidRDefault="000940F7" w:rsidP="00F77694">
            <w:pPr>
              <w:pStyle w:val="TableTextBase"/>
              <w:rPr>
                <w:sz w:val="16"/>
                <w:szCs w:val="16"/>
              </w:rPr>
            </w:pPr>
            <w:r w:rsidRPr="00F4063B">
              <w:rPr>
                <w:rFonts w:eastAsia="Calibri" w:cs="Arial"/>
                <w:sz w:val="16"/>
                <w:szCs w:val="16"/>
                <w:lang w:eastAsia="en-US"/>
              </w:rPr>
              <w:t>Access to Viewer Access Satellite Television (VAST) for viewers in terrestrial blackspots, to receive direct-to-home free-to-air television safety net services</w:t>
            </w:r>
          </w:p>
        </w:tc>
        <w:tc>
          <w:tcPr>
            <w:tcW w:w="2977" w:type="dxa"/>
            <w:tcBorders>
              <w:top w:val="single" w:sz="4" w:space="0" w:color="auto"/>
              <w:left w:val="single" w:sz="4" w:space="0" w:color="auto"/>
              <w:bottom w:val="single" w:sz="4" w:space="0" w:color="auto"/>
            </w:tcBorders>
          </w:tcPr>
          <w:p w14:paraId="6012B7DB"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In each financial year, access maintained for ≥210,000 households</w:t>
            </w:r>
          </w:p>
          <w:p w14:paraId="49244258"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Target expected to be met </w:t>
            </w:r>
          </w:p>
          <w:p w14:paraId="0F12187E"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At 31 December 2021, 252,644 households were registered for direct to home satellite television services through Viewer Access Satellite Television</w:t>
            </w:r>
          </w:p>
        </w:tc>
      </w:tr>
      <w:tr w:rsidR="000940F7" w:rsidRPr="001B2F81" w14:paraId="3FC7A1D2" w14:textId="77777777" w:rsidTr="00F77694">
        <w:trPr>
          <w:cantSplit/>
          <w:trHeight w:val="366"/>
        </w:trPr>
        <w:tc>
          <w:tcPr>
            <w:tcW w:w="1560" w:type="dxa"/>
            <w:vMerge/>
            <w:tcBorders>
              <w:bottom w:val="nil"/>
              <w:right w:val="single" w:sz="4" w:space="0" w:color="auto"/>
            </w:tcBorders>
          </w:tcPr>
          <w:p w14:paraId="3E24873A"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A647E9C" w14:textId="77777777" w:rsidR="000940F7" w:rsidRPr="00F4063B" w:rsidRDefault="000940F7" w:rsidP="00F77694">
            <w:pPr>
              <w:pStyle w:val="TableTextBase"/>
              <w:rPr>
                <w:sz w:val="16"/>
                <w:szCs w:val="16"/>
              </w:rPr>
            </w:pPr>
            <w:r w:rsidRPr="00F4063B">
              <w:rPr>
                <w:rFonts w:eastAsia="Calibri" w:cs="Arial"/>
                <w:sz w:val="16"/>
                <w:szCs w:val="16"/>
                <w:lang w:eastAsia="en-US"/>
              </w:rPr>
              <w:t xml:space="preserve">Number of online safety complaints by type, and </w:t>
            </w:r>
            <w:r>
              <w:rPr>
                <w:rFonts w:eastAsia="Calibri" w:cs="Arial"/>
                <w:sz w:val="16"/>
                <w:szCs w:val="16"/>
                <w:lang w:eastAsia="en-US"/>
              </w:rPr>
              <w:t>percent</w:t>
            </w:r>
            <w:r w:rsidRPr="00F4063B">
              <w:rPr>
                <w:rFonts w:eastAsia="Calibri" w:cs="Arial"/>
                <w:sz w:val="16"/>
                <w:szCs w:val="16"/>
                <w:lang w:eastAsia="en-US"/>
              </w:rPr>
              <w:t>age change</w:t>
            </w:r>
            <w:r w:rsidRPr="00E25030">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1C59E58A"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Annual target setting is not appropriate as regulators respond to demand</w:t>
            </w:r>
          </w:p>
        </w:tc>
      </w:tr>
      <w:tr w:rsidR="000940F7" w:rsidRPr="001B2F81" w14:paraId="23E84D70" w14:textId="77777777" w:rsidTr="00F77694">
        <w:trPr>
          <w:cantSplit/>
          <w:trHeight w:val="642"/>
        </w:trPr>
        <w:tc>
          <w:tcPr>
            <w:tcW w:w="1560" w:type="dxa"/>
            <w:tcBorders>
              <w:top w:val="nil"/>
              <w:bottom w:val="nil"/>
              <w:right w:val="single" w:sz="4" w:space="0" w:color="auto"/>
            </w:tcBorders>
          </w:tcPr>
          <w:p w14:paraId="6897C217"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0FDCD2A" w14:textId="77777777" w:rsidR="000940F7" w:rsidRPr="00F4063B" w:rsidRDefault="000940F7" w:rsidP="00F77694">
            <w:pPr>
              <w:pStyle w:val="TableTextBase"/>
              <w:rPr>
                <w:sz w:val="16"/>
                <w:szCs w:val="16"/>
              </w:rPr>
            </w:pPr>
            <w:r w:rsidRPr="00F4063B">
              <w:rPr>
                <w:rFonts w:eastAsia="Calibri" w:cs="Arial"/>
                <w:sz w:val="16"/>
                <w:szCs w:val="16"/>
                <w:lang w:eastAsia="en-US"/>
              </w:rPr>
              <w:t>Affordability of telecommunications services (mobile and fixed) on offer</w:t>
            </w:r>
          </w:p>
        </w:tc>
        <w:tc>
          <w:tcPr>
            <w:tcW w:w="2977" w:type="dxa"/>
            <w:tcBorders>
              <w:top w:val="single" w:sz="4" w:space="0" w:color="auto"/>
              <w:left w:val="single" w:sz="4" w:space="0" w:color="auto"/>
              <w:bottom w:val="single" w:sz="4" w:space="0" w:color="auto"/>
            </w:tcBorders>
          </w:tcPr>
          <w:p w14:paraId="43B491CF"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indicates affordability is maintained or increased</w:t>
            </w:r>
          </w:p>
          <w:p w14:paraId="014A8BF8"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04FE7C7B" w14:textId="77777777" w:rsidTr="00F77694">
        <w:trPr>
          <w:cantSplit/>
          <w:trHeight w:val="642"/>
        </w:trPr>
        <w:tc>
          <w:tcPr>
            <w:tcW w:w="1560" w:type="dxa"/>
            <w:tcBorders>
              <w:top w:val="nil"/>
              <w:bottom w:val="nil"/>
              <w:right w:val="single" w:sz="4" w:space="0" w:color="auto"/>
            </w:tcBorders>
          </w:tcPr>
          <w:p w14:paraId="21EF78D7"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AFB8317"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Access to communications for people with a disability, indicated through: </w:t>
            </w:r>
          </w:p>
          <w:p w14:paraId="1DE10DA5" w14:textId="77777777" w:rsidR="000940F7" w:rsidRPr="00F4063B" w:rsidRDefault="000940F7" w:rsidP="005B33F4">
            <w:pPr>
              <w:pStyle w:val="ListParagraph"/>
              <w:numPr>
                <w:ilvl w:val="0"/>
                <w:numId w:val="231"/>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National Relay Service performance quarterly reports on user numbers</w:t>
            </w:r>
          </w:p>
          <w:p w14:paraId="5DD52D9C" w14:textId="77777777" w:rsidR="000940F7" w:rsidRPr="00F4063B" w:rsidRDefault="000940F7" w:rsidP="005B33F4">
            <w:pPr>
              <w:pStyle w:val="ListParagraph"/>
              <w:numPr>
                <w:ilvl w:val="0"/>
                <w:numId w:val="231"/>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audio description implementation by the national broadcasters</w:t>
            </w:r>
          </w:p>
          <w:p w14:paraId="56439C20" w14:textId="77777777" w:rsidR="000940F7" w:rsidRPr="00F4063B" w:rsidRDefault="000940F7" w:rsidP="005B33F4">
            <w:pPr>
              <w:pStyle w:val="ListParagraph"/>
              <w:numPr>
                <w:ilvl w:val="0"/>
                <w:numId w:val="231"/>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broadcaster captioning compliance</w:t>
            </w:r>
          </w:p>
        </w:tc>
        <w:tc>
          <w:tcPr>
            <w:tcW w:w="2977" w:type="dxa"/>
            <w:tcBorders>
              <w:top w:val="single" w:sz="4" w:space="0" w:color="auto"/>
              <w:left w:val="single" w:sz="4" w:space="0" w:color="auto"/>
              <w:bottom w:val="single" w:sz="4" w:space="0" w:color="auto"/>
            </w:tcBorders>
          </w:tcPr>
          <w:p w14:paraId="7AC96B63"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indicates access is maintained or increased</w:t>
            </w:r>
          </w:p>
          <w:p w14:paraId="1C29A728"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4A474C90" w14:textId="77777777" w:rsidTr="00F77694">
        <w:trPr>
          <w:cantSplit/>
          <w:trHeight w:val="642"/>
        </w:trPr>
        <w:tc>
          <w:tcPr>
            <w:tcW w:w="1560" w:type="dxa"/>
            <w:tcBorders>
              <w:top w:val="nil"/>
              <w:bottom w:val="nil"/>
              <w:right w:val="single" w:sz="4" w:space="0" w:color="auto"/>
            </w:tcBorders>
          </w:tcPr>
          <w:p w14:paraId="31FA3115"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639C785" w14:textId="77777777" w:rsidR="000940F7" w:rsidRPr="00F4063B" w:rsidRDefault="000940F7" w:rsidP="00F77694">
            <w:pPr>
              <w:spacing w:before="60" w:after="60" w:line="240" w:lineRule="auto"/>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Complaints data: post</w:t>
            </w:r>
          </w:p>
        </w:tc>
        <w:tc>
          <w:tcPr>
            <w:tcW w:w="2977" w:type="dxa"/>
            <w:tcBorders>
              <w:top w:val="single" w:sz="4" w:space="0" w:color="auto"/>
              <w:left w:val="single" w:sz="4" w:space="0" w:color="auto"/>
              <w:bottom w:val="single" w:sz="4" w:space="0" w:color="auto"/>
            </w:tcBorders>
          </w:tcPr>
          <w:p w14:paraId="51A831CD"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2021–22 shows maintained or improved consumer experience</w:t>
            </w:r>
          </w:p>
          <w:p w14:paraId="3C8B624F"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52AE5D3C" w14:textId="77777777" w:rsidTr="00F77694">
        <w:trPr>
          <w:cantSplit/>
          <w:trHeight w:val="642"/>
        </w:trPr>
        <w:tc>
          <w:tcPr>
            <w:tcW w:w="1560" w:type="dxa"/>
            <w:tcBorders>
              <w:top w:val="nil"/>
              <w:bottom w:val="nil"/>
              <w:right w:val="single" w:sz="4" w:space="0" w:color="auto"/>
            </w:tcBorders>
          </w:tcPr>
          <w:p w14:paraId="2C50FE50"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A392046" w14:textId="77777777" w:rsidR="000940F7" w:rsidRPr="00F4063B" w:rsidRDefault="000940F7" w:rsidP="00F77694">
            <w:pPr>
              <w:spacing w:before="60" w:after="60" w:line="240" w:lineRule="auto"/>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Complaints data: telecommunications</w:t>
            </w:r>
          </w:p>
        </w:tc>
        <w:tc>
          <w:tcPr>
            <w:tcW w:w="2977" w:type="dxa"/>
            <w:tcBorders>
              <w:top w:val="single" w:sz="4" w:space="0" w:color="auto"/>
              <w:left w:val="single" w:sz="4" w:space="0" w:color="auto"/>
              <w:bottom w:val="single" w:sz="4" w:space="0" w:color="auto"/>
            </w:tcBorders>
          </w:tcPr>
          <w:p w14:paraId="3C97F5C5"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2021–22 shows maintained or improved consumer experience</w:t>
            </w:r>
          </w:p>
          <w:p w14:paraId="2CBC6654"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09FC3EAF" w14:textId="77777777" w:rsidTr="00F77694">
        <w:trPr>
          <w:cantSplit/>
          <w:trHeight w:val="642"/>
        </w:trPr>
        <w:tc>
          <w:tcPr>
            <w:tcW w:w="1560" w:type="dxa"/>
            <w:tcBorders>
              <w:top w:val="nil"/>
              <w:bottom w:val="nil"/>
              <w:right w:val="single" w:sz="4" w:space="0" w:color="auto"/>
            </w:tcBorders>
          </w:tcPr>
          <w:p w14:paraId="063BB3E5"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B711DA7" w14:textId="1236EDFB" w:rsidR="000940F7" w:rsidRPr="005B33F4" w:rsidRDefault="000940F7" w:rsidP="00F77694">
            <w:pPr>
              <w:spacing w:before="120" w:after="120" w:line="240" w:lineRule="auto"/>
              <w:contextualSpacing/>
              <w:jc w:val="left"/>
              <w:rPr>
                <w:rFonts w:ascii="Arial" w:eastAsia="Calibri" w:hAnsi="Arial" w:cs="Arial"/>
                <w:sz w:val="16"/>
                <w:szCs w:val="16"/>
                <w:lang w:eastAsia="en-US"/>
              </w:rPr>
            </w:pPr>
            <w:r w:rsidRPr="005B33F4">
              <w:rPr>
                <w:rFonts w:ascii="Arial" w:eastAsia="Calibri" w:hAnsi="Arial" w:cs="Arial"/>
                <w:sz w:val="16"/>
                <w:szCs w:val="16"/>
                <w:lang w:eastAsia="en-US"/>
              </w:rPr>
              <w:t>NBN consumer experience</w:t>
            </w:r>
            <w:r w:rsidR="005B33F4" w:rsidRPr="005B33F4">
              <w:rPr>
                <w:rFonts w:ascii="Arial" w:eastAsia="Calibri" w:hAnsi="Arial" w:cs="Arial"/>
                <w:sz w:val="16"/>
                <w:szCs w:val="16"/>
                <w:lang w:eastAsia="en-US"/>
              </w:rPr>
              <w:t xml:space="preserve"> </w:t>
            </w:r>
            <w:r w:rsidRPr="005B33F4">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7D8B51C0"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positive consumer experience</w:t>
            </w:r>
          </w:p>
          <w:p w14:paraId="64CC3AE5"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14EC155B" w14:textId="77777777" w:rsidTr="00F77694">
        <w:trPr>
          <w:cantSplit/>
          <w:trHeight w:val="642"/>
        </w:trPr>
        <w:tc>
          <w:tcPr>
            <w:tcW w:w="1560" w:type="dxa"/>
            <w:tcBorders>
              <w:top w:val="nil"/>
              <w:bottom w:val="nil"/>
              <w:right w:val="single" w:sz="4" w:space="0" w:color="auto"/>
            </w:tcBorders>
          </w:tcPr>
          <w:p w14:paraId="2CFD6ABC"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0F479C1" w14:textId="541E23E7" w:rsidR="000940F7" w:rsidRPr="005B33F4" w:rsidRDefault="000940F7" w:rsidP="00F77694">
            <w:pPr>
              <w:spacing w:before="120" w:after="120" w:line="240" w:lineRule="auto"/>
              <w:contextualSpacing/>
              <w:jc w:val="left"/>
              <w:rPr>
                <w:rFonts w:ascii="Arial" w:eastAsia="Calibri" w:hAnsi="Arial" w:cs="Arial"/>
                <w:sz w:val="16"/>
                <w:szCs w:val="16"/>
                <w:lang w:eastAsia="en-US"/>
              </w:rPr>
            </w:pPr>
            <w:r w:rsidRPr="005B33F4">
              <w:rPr>
                <w:rFonts w:ascii="Arial" w:eastAsia="Calibri" w:hAnsi="Arial" w:cs="Arial"/>
                <w:sz w:val="16"/>
                <w:szCs w:val="16"/>
                <w:lang w:eastAsia="en-US"/>
              </w:rPr>
              <w:t>Percentage of premises in fixed line areas able to access gigabit speeds</w:t>
            </w:r>
            <w:r w:rsidR="005B33F4" w:rsidRPr="005B33F4">
              <w:rPr>
                <w:rFonts w:ascii="Arial" w:eastAsia="Calibri" w:hAnsi="Arial" w:cs="Arial"/>
                <w:sz w:val="16"/>
                <w:szCs w:val="16"/>
                <w:lang w:eastAsia="en-US"/>
              </w:rPr>
              <w:t xml:space="preserve"> </w:t>
            </w:r>
            <w:r w:rsidRPr="005B33F4">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0DEF9138"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75</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of the fixed line N</w:t>
            </w:r>
            <w:r>
              <w:rPr>
                <w:rFonts w:ascii="Arial" w:eastAsia="Calibri" w:hAnsi="Arial" w:cs="Arial"/>
                <w:sz w:val="16"/>
                <w:szCs w:val="16"/>
                <w:lang w:eastAsia="en-US"/>
              </w:rPr>
              <w:t xml:space="preserve">BN </w:t>
            </w:r>
            <w:r w:rsidRPr="00F4063B">
              <w:rPr>
                <w:rFonts w:ascii="Arial" w:eastAsia="Calibri" w:hAnsi="Arial" w:cs="Arial"/>
                <w:sz w:val="16"/>
                <w:szCs w:val="16"/>
                <w:lang w:eastAsia="en-US"/>
              </w:rPr>
              <w:t xml:space="preserve">enabled for gigabit speeds by 2023.  </w:t>
            </w:r>
          </w:p>
          <w:p w14:paraId="3AA2DC59"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36309141" w14:textId="77777777" w:rsidTr="00F77694">
        <w:trPr>
          <w:cantSplit/>
          <w:trHeight w:val="642"/>
        </w:trPr>
        <w:tc>
          <w:tcPr>
            <w:tcW w:w="1560" w:type="dxa"/>
            <w:tcBorders>
              <w:top w:val="nil"/>
              <w:bottom w:val="nil"/>
              <w:right w:val="single" w:sz="4" w:space="0" w:color="auto"/>
            </w:tcBorders>
          </w:tcPr>
          <w:p w14:paraId="3FFC016D"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CF835F" w14:textId="737FD664" w:rsidR="000940F7" w:rsidRPr="005B33F4" w:rsidRDefault="000940F7" w:rsidP="00F77694">
            <w:pPr>
              <w:spacing w:before="120" w:after="120" w:line="240" w:lineRule="auto"/>
              <w:contextualSpacing/>
              <w:jc w:val="left"/>
              <w:rPr>
                <w:rFonts w:ascii="Arial" w:eastAsia="Calibri" w:hAnsi="Arial" w:cs="Arial"/>
                <w:sz w:val="16"/>
                <w:szCs w:val="16"/>
                <w:lang w:eastAsia="en-US"/>
              </w:rPr>
            </w:pPr>
            <w:r w:rsidRPr="005B33F4">
              <w:rPr>
                <w:rFonts w:ascii="Arial" w:eastAsia="Calibri" w:hAnsi="Arial" w:cs="Arial"/>
                <w:sz w:val="16"/>
                <w:szCs w:val="16"/>
                <w:lang w:eastAsia="en-US"/>
              </w:rPr>
              <w:t>NBN complex connection premises completed</w:t>
            </w:r>
            <w:r w:rsidR="005B33F4" w:rsidRPr="005B33F4">
              <w:rPr>
                <w:rFonts w:ascii="Arial" w:eastAsia="Calibri" w:hAnsi="Arial" w:cs="Arial"/>
                <w:sz w:val="16"/>
                <w:szCs w:val="16"/>
                <w:lang w:eastAsia="en-US"/>
              </w:rPr>
              <w:t xml:space="preserve"> </w:t>
            </w:r>
            <w:r w:rsidRPr="005B33F4">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50EFA602"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Reduction to zero of complex connection premises (yet to ready-to-connect)</w:t>
            </w:r>
          </w:p>
          <w:p w14:paraId="14C0740B"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1B2F81" w14:paraId="1A942D00" w14:textId="77777777" w:rsidTr="0093179B">
        <w:trPr>
          <w:cantSplit/>
          <w:trHeight w:val="642"/>
        </w:trPr>
        <w:tc>
          <w:tcPr>
            <w:tcW w:w="1560" w:type="dxa"/>
            <w:tcBorders>
              <w:top w:val="nil"/>
              <w:bottom w:val="single" w:sz="4" w:space="0" w:color="auto"/>
              <w:right w:val="single" w:sz="4" w:space="0" w:color="auto"/>
            </w:tcBorders>
          </w:tcPr>
          <w:p w14:paraId="00413A7E"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16D9903" w14:textId="02FAE6F1" w:rsidR="000940F7" w:rsidRPr="005B33F4" w:rsidRDefault="000940F7" w:rsidP="00F77694">
            <w:pPr>
              <w:spacing w:before="120" w:after="120" w:line="240" w:lineRule="auto"/>
              <w:contextualSpacing/>
              <w:jc w:val="left"/>
              <w:rPr>
                <w:rFonts w:ascii="Arial" w:eastAsia="Calibri" w:hAnsi="Arial" w:cs="Arial"/>
                <w:sz w:val="16"/>
                <w:szCs w:val="16"/>
                <w:lang w:eastAsia="en-US"/>
              </w:rPr>
            </w:pPr>
            <w:r w:rsidRPr="005B33F4">
              <w:rPr>
                <w:rFonts w:ascii="Arial" w:eastAsia="Calibri" w:hAnsi="Arial" w:cs="Arial"/>
                <w:sz w:val="16"/>
                <w:szCs w:val="16"/>
                <w:lang w:eastAsia="en-US"/>
              </w:rPr>
              <w:t>Investment as a proportion of output in the communications sector</w:t>
            </w:r>
            <w:r w:rsidR="005B33F4" w:rsidRPr="005B33F4">
              <w:rPr>
                <w:rFonts w:ascii="Arial" w:eastAsia="Calibri" w:hAnsi="Arial" w:cs="Arial"/>
                <w:sz w:val="16"/>
                <w:szCs w:val="16"/>
                <w:lang w:eastAsia="en-US"/>
              </w:rPr>
              <w:t xml:space="preserve"> </w:t>
            </w:r>
            <w:r w:rsidRPr="005B33F4">
              <w:rPr>
                <w:rFonts w:ascii="Arial" w:eastAsia="Calibri" w:hAnsi="Arial"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4493EC7F"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Sector investment decisions are on a commercial basis, affected by many factors including COVID-19, and are often made by entities not captured by the regulatory framework.</w:t>
            </w:r>
          </w:p>
          <w:p w14:paraId="79E49548"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Analysis will show trends over coming years with the long-run average (June 1990 to June 2020) is around 35</w:t>
            </w:r>
            <w:r>
              <w:rPr>
                <w:rFonts w:ascii="Arial" w:eastAsia="Calibri" w:hAnsi="Arial" w:cs="Arial"/>
                <w:sz w:val="16"/>
                <w:szCs w:val="16"/>
                <w:lang w:eastAsia="en-US"/>
              </w:rPr>
              <w:t>%</w:t>
            </w:r>
          </w:p>
          <w:p w14:paraId="513FE07E"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No target set. Metric at 34.9</w:t>
            </w:r>
            <w:r>
              <w:rPr>
                <w:rFonts w:eastAsia="Calibri" w:cs="Arial"/>
                <w:sz w:val="16"/>
                <w:szCs w:val="16"/>
                <w:lang w:eastAsia="en-US"/>
              </w:rPr>
              <w:t>%</w:t>
            </w:r>
            <w:r w:rsidRPr="00F4063B">
              <w:rPr>
                <w:rFonts w:eastAsia="Calibri" w:cs="Arial"/>
                <w:sz w:val="16"/>
                <w:szCs w:val="16"/>
                <w:lang w:eastAsia="en-US"/>
              </w:rPr>
              <w:t>, is at long run average</w:t>
            </w:r>
          </w:p>
        </w:tc>
      </w:tr>
      <w:tr w:rsidR="005B33F4" w:rsidRPr="00160C23" w14:paraId="33EBB1AD" w14:textId="77777777" w:rsidTr="000F0CD3">
        <w:trPr>
          <w:trHeight w:val="258"/>
          <w:tblHeader/>
        </w:trPr>
        <w:tc>
          <w:tcPr>
            <w:tcW w:w="1560" w:type="dxa"/>
            <w:tcBorders>
              <w:top w:val="double" w:sz="4" w:space="0" w:color="auto"/>
              <w:bottom w:val="single" w:sz="4" w:space="0" w:color="auto"/>
              <w:right w:val="single" w:sz="4" w:space="0" w:color="auto"/>
            </w:tcBorders>
          </w:tcPr>
          <w:p w14:paraId="196AF055" w14:textId="77777777" w:rsidR="005B33F4" w:rsidRPr="00160C23" w:rsidRDefault="005B33F4" w:rsidP="000F0CD3">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692B0C4" w14:textId="77777777" w:rsidR="005B33F4" w:rsidRPr="00160C23" w:rsidRDefault="005B33F4" w:rsidP="000F0CD3">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34942F69" w14:textId="15CFF452" w:rsidR="005B33F4" w:rsidRPr="00160C23" w:rsidRDefault="005B33F4" w:rsidP="005B33F4">
            <w:pPr>
              <w:pStyle w:val="TableTextBase"/>
              <w:rPr>
                <w:rFonts w:cs="Arial"/>
                <w:b/>
                <w:sz w:val="16"/>
                <w:szCs w:val="16"/>
              </w:rPr>
            </w:pPr>
            <w:r w:rsidRPr="00160C23">
              <w:rPr>
                <w:rFonts w:cs="Arial"/>
                <w:b/>
                <w:sz w:val="16"/>
                <w:szCs w:val="16"/>
              </w:rPr>
              <w:t>Expected Performance Results</w:t>
            </w:r>
          </w:p>
        </w:tc>
      </w:tr>
      <w:tr w:rsidR="000940F7" w:rsidRPr="001B2F81" w14:paraId="7B2DCCC1" w14:textId="77777777" w:rsidTr="00F77694">
        <w:trPr>
          <w:cantSplit/>
          <w:trHeight w:val="642"/>
        </w:trPr>
        <w:tc>
          <w:tcPr>
            <w:tcW w:w="1560" w:type="dxa"/>
            <w:tcBorders>
              <w:top w:val="single" w:sz="4" w:space="0" w:color="auto"/>
              <w:bottom w:val="single" w:sz="4" w:space="0" w:color="auto"/>
              <w:right w:val="single" w:sz="4" w:space="0" w:color="auto"/>
            </w:tcBorders>
          </w:tcPr>
          <w:p w14:paraId="0CAC8328" w14:textId="77777777" w:rsidR="000940F7" w:rsidRPr="00160C23" w:rsidRDefault="000940F7" w:rsidP="00F77694">
            <w:pPr>
              <w:pStyle w:val="TableTextBase"/>
              <w:rPr>
                <w:sz w:val="16"/>
                <w:szCs w:val="16"/>
              </w:rPr>
            </w:pPr>
            <w:r w:rsidRPr="00160C23">
              <w:rPr>
                <w:sz w:val="16"/>
                <w:szCs w:val="16"/>
              </w:rPr>
              <w:t xml:space="preserve">Current year </w:t>
            </w:r>
          </w:p>
          <w:p w14:paraId="51305E36" w14:textId="77777777" w:rsidR="000940F7" w:rsidRPr="00160C23" w:rsidRDefault="000940F7" w:rsidP="00F77694">
            <w:pPr>
              <w:pStyle w:val="TableTextBase"/>
              <w:rPr>
                <w:sz w:val="16"/>
                <w:szCs w:val="16"/>
              </w:rPr>
            </w:pPr>
            <w:r>
              <w:rPr>
                <w:sz w:val="16"/>
                <w:szCs w:val="16"/>
              </w:rPr>
              <w:t>2021–</w:t>
            </w:r>
            <w:r w:rsidRPr="00160C23">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479B1ECD" w14:textId="77777777" w:rsidR="000940F7" w:rsidRPr="00F4063B" w:rsidRDefault="000940F7" w:rsidP="00F77694">
            <w:pPr>
              <w:spacing w:before="120" w:after="120" w:line="240" w:lineRule="auto"/>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GDP contribution enabled by the communications sector</w:t>
            </w:r>
            <w:r>
              <w:rPr>
                <w:rFonts w:ascii="Arial" w:eastAsia="Calibri" w:hAnsi="Arial" w:cs="Arial"/>
                <w:sz w:val="16"/>
                <w:szCs w:val="16"/>
                <w:lang w:eastAsia="en-US"/>
              </w:rPr>
              <w:t xml:space="preserve"> </w:t>
            </w:r>
            <w:r w:rsidRPr="00E25030">
              <w:rPr>
                <w:rFonts w:eastAsia="Calibri" w:cs="Arial"/>
                <w:sz w:val="16"/>
                <w:szCs w:val="16"/>
                <w:vertAlign w:val="superscript"/>
                <w:lang w:eastAsia="en-US"/>
              </w:rPr>
              <w:t>(d)</w:t>
            </w:r>
          </w:p>
        </w:tc>
        <w:tc>
          <w:tcPr>
            <w:tcW w:w="2977" w:type="dxa"/>
            <w:tcBorders>
              <w:top w:val="single" w:sz="4" w:space="0" w:color="auto"/>
              <w:left w:val="single" w:sz="4" w:space="0" w:color="auto"/>
              <w:bottom w:val="single" w:sz="4" w:space="0" w:color="auto"/>
            </w:tcBorders>
          </w:tcPr>
          <w:p w14:paraId="24F96881"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Annual target setting not appropriate, results sought are long term. GDP contribution should generally be maintained or increased over time</w:t>
            </w:r>
          </w:p>
          <w:p w14:paraId="0F2AE207"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Results rely on data not yet published</w:t>
            </w:r>
          </w:p>
        </w:tc>
      </w:tr>
      <w:tr w:rsidR="000940F7" w:rsidRPr="00160C23" w14:paraId="37ACD15C" w14:textId="77777777" w:rsidTr="00F77694">
        <w:trPr>
          <w:trHeight w:val="258"/>
          <w:tblHeader/>
        </w:trPr>
        <w:tc>
          <w:tcPr>
            <w:tcW w:w="1560" w:type="dxa"/>
            <w:tcBorders>
              <w:top w:val="double" w:sz="4" w:space="0" w:color="auto"/>
              <w:bottom w:val="single" w:sz="4" w:space="0" w:color="auto"/>
              <w:right w:val="single" w:sz="4" w:space="0" w:color="auto"/>
            </w:tcBorders>
          </w:tcPr>
          <w:p w14:paraId="2714FA61" w14:textId="77777777" w:rsidR="000940F7" w:rsidRPr="00160C23" w:rsidRDefault="000940F7" w:rsidP="00F77694">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AD6353A" w14:textId="77777777" w:rsidR="000940F7" w:rsidRPr="00160C23" w:rsidRDefault="000940F7" w:rsidP="00F77694">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36C4D1AE" w14:textId="77777777" w:rsidR="000940F7" w:rsidRPr="00160C23" w:rsidRDefault="000940F7" w:rsidP="00F77694">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0940F7" w14:paraId="6993C0C6" w14:textId="77777777" w:rsidTr="00F77694">
        <w:trPr>
          <w:cantSplit/>
          <w:trHeight w:val="642"/>
        </w:trPr>
        <w:tc>
          <w:tcPr>
            <w:tcW w:w="1560" w:type="dxa"/>
            <w:tcBorders>
              <w:top w:val="single" w:sz="4" w:space="0" w:color="auto"/>
              <w:bottom w:val="nil"/>
              <w:right w:val="single" w:sz="4" w:space="0" w:color="auto"/>
            </w:tcBorders>
          </w:tcPr>
          <w:p w14:paraId="7BE88565" w14:textId="77777777" w:rsidR="000940F7" w:rsidRPr="00BE08C4" w:rsidRDefault="000940F7" w:rsidP="00F77694">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22525EC4" w14:textId="77777777" w:rsidR="000940F7" w:rsidRPr="00160C23" w:rsidRDefault="000940F7" w:rsidP="00F77694">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4D0A4E68" w14:textId="77777777" w:rsidR="000940F7" w:rsidRPr="00F4063B" w:rsidRDefault="000940F7" w:rsidP="00F77694">
            <w:pPr>
              <w:spacing w:before="60" w:after="60" w:line="240" w:lineRule="auto"/>
              <w:jc w:val="left"/>
              <w:rPr>
                <w:rFonts w:ascii="Arial" w:eastAsia="Calibri" w:hAnsi="Arial" w:cs="Arial"/>
                <w:i/>
                <w:sz w:val="16"/>
                <w:szCs w:val="16"/>
                <w:lang w:eastAsia="en-US"/>
              </w:rPr>
            </w:pPr>
            <w:r w:rsidRPr="00F4063B">
              <w:rPr>
                <w:rFonts w:ascii="Arial" w:eastAsia="Calibri" w:hAnsi="Arial" w:cs="Arial"/>
                <w:i/>
                <w:sz w:val="16"/>
                <w:szCs w:val="16"/>
                <w:lang w:eastAsia="en-US"/>
              </w:rPr>
              <w:t xml:space="preserve">Develop policy advice to reduce harms associated with the activities of: </w:t>
            </w:r>
          </w:p>
          <w:p w14:paraId="1F6ED761" w14:textId="77777777" w:rsidR="000940F7" w:rsidRPr="00F4063B" w:rsidRDefault="000940F7" w:rsidP="000940F7">
            <w:pPr>
              <w:numPr>
                <w:ilvl w:val="0"/>
                <w:numId w:val="29"/>
              </w:numPr>
              <w:spacing w:before="60" w:after="60" w:line="240" w:lineRule="auto"/>
              <w:ind w:left="284" w:hanging="284"/>
              <w:contextualSpacing/>
              <w:jc w:val="left"/>
              <w:rPr>
                <w:rFonts w:ascii="Arial" w:eastAsia="Calibri" w:hAnsi="Arial" w:cs="Arial"/>
                <w:i/>
                <w:sz w:val="16"/>
                <w:szCs w:val="16"/>
                <w:lang w:eastAsia="en-US"/>
              </w:rPr>
            </w:pPr>
            <w:r w:rsidRPr="00F4063B">
              <w:rPr>
                <w:rFonts w:ascii="Arial" w:eastAsia="Calibri" w:hAnsi="Arial" w:cs="Arial"/>
                <w:i/>
                <w:sz w:val="16"/>
                <w:szCs w:val="16"/>
                <w:lang w:eastAsia="en-US"/>
              </w:rPr>
              <w:t>digital platforms</w:t>
            </w:r>
          </w:p>
          <w:p w14:paraId="7A4977C8" w14:textId="77777777" w:rsidR="000940F7" w:rsidRPr="00F4063B" w:rsidRDefault="000940F7" w:rsidP="000940F7">
            <w:pPr>
              <w:numPr>
                <w:ilvl w:val="0"/>
                <w:numId w:val="29"/>
              </w:numPr>
              <w:spacing w:before="60" w:after="60" w:line="240" w:lineRule="auto"/>
              <w:ind w:left="284" w:hanging="284"/>
              <w:contextualSpacing/>
              <w:jc w:val="left"/>
              <w:rPr>
                <w:rFonts w:ascii="Arial" w:eastAsia="Calibri" w:hAnsi="Arial" w:cs="Arial"/>
                <w:i/>
                <w:sz w:val="16"/>
                <w:szCs w:val="16"/>
                <w:lang w:eastAsia="en-US"/>
              </w:rPr>
            </w:pPr>
            <w:r w:rsidRPr="00F4063B">
              <w:rPr>
                <w:rFonts w:ascii="Arial" w:eastAsia="Calibri" w:hAnsi="Arial" w:cs="Arial"/>
                <w:i/>
                <w:sz w:val="16"/>
                <w:szCs w:val="16"/>
                <w:lang w:eastAsia="en-US"/>
              </w:rPr>
              <w:t>online gambling</w:t>
            </w:r>
          </w:p>
        </w:tc>
        <w:tc>
          <w:tcPr>
            <w:tcW w:w="2977" w:type="dxa"/>
            <w:tcBorders>
              <w:top w:val="single" w:sz="4" w:space="0" w:color="auto"/>
              <w:left w:val="single" w:sz="4" w:space="0" w:color="auto"/>
              <w:bottom w:val="single" w:sz="4" w:space="0" w:color="auto"/>
            </w:tcBorders>
          </w:tcPr>
          <w:p w14:paraId="6F8521CC"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Policy advice is high quality, timely and evidence-based and adapts to the changing environment </w:t>
            </w:r>
          </w:p>
          <w:p w14:paraId="616E8FE9"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Number of illegal online gambling services closed down (ACMA)</w:t>
            </w:r>
          </w:p>
        </w:tc>
      </w:tr>
      <w:tr w:rsidR="000940F7" w14:paraId="442850B0" w14:textId="77777777" w:rsidTr="00F77694">
        <w:trPr>
          <w:cantSplit/>
          <w:trHeight w:val="642"/>
        </w:trPr>
        <w:tc>
          <w:tcPr>
            <w:tcW w:w="1560" w:type="dxa"/>
            <w:tcBorders>
              <w:top w:val="nil"/>
              <w:bottom w:val="nil"/>
              <w:right w:val="single" w:sz="4" w:space="0" w:color="auto"/>
            </w:tcBorders>
          </w:tcPr>
          <w:p w14:paraId="645751AE"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4E573AE" w14:textId="77777777" w:rsidR="000940F7" w:rsidRPr="00F4063B" w:rsidRDefault="000940F7" w:rsidP="00F77694">
            <w:pPr>
              <w:pStyle w:val="TableTextBase"/>
              <w:rPr>
                <w:sz w:val="16"/>
                <w:szCs w:val="16"/>
              </w:rPr>
            </w:pPr>
            <w:r w:rsidRPr="00F4063B">
              <w:rPr>
                <w:rFonts w:eastAsia="Calibri" w:cs="Arial"/>
                <w:sz w:val="16"/>
                <w:szCs w:val="16"/>
                <w:lang w:eastAsia="en-US"/>
              </w:rPr>
              <w:t>Funds administered as part of the Regional Broadband Scheme (RBS) are distributed</w:t>
            </w:r>
          </w:p>
        </w:tc>
        <w:tc>
          <w:tcPr>
            <w:tcW w:w="2977" w:type="dxa"/>
            <w:tcBorders>
              <w:top w:val="single" w:sz="4" w:space="0" w:color="auto"/>
              <w:left w:val="single" w:sz="4" w:space="0" w:color="auto"/>
              <w:bottom w:val="single" w:sz="4" w:space="0" w:color="auto"/>
            </w:tcBorders>
          </w:tcPr>
          <w:p w14:paraId="71938A2A"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In each financial year, funds are distributed in line with legislative requirements</w:t>
            </w:r>
          </w:p>
        </w:tc>
      </w:tr>
      <w:tr w:rsidR="000940F7" w14:paraId="1529688C" w14:textId="77777777" w:rsidTr="00F77694">
        <w:trPr>
          <w:cantSplit/>
          <w:trHeight w:val="642"/>
        </w:trPr>
        <w:tc>
          <w:tcPr>
            <w:tcW w:w="1560" w:type="dxa"/>
            <w:vMerge w:val="restart"/>
            <w:tcBorders>
              <w:top w:val="nil"/>
              <w:bottom w:val="nil"/>
              <w:right w:val="single" w:sz="4" w:space="0" w:color="auto"/>
            </w:tcBorders>
          </w:tcPr>
          <w:p w14:paraId="59AC4B46"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D0A661" w14:textId="77777777" w:rsidR="000940F7" w:rsidRPr="00F4063B" w:rsidRDefault="000940F7" w:rsidP="00F77694">
            <w:pPr>
              <w:spacing w:before="60" w:after="60" w:line="240" w:lineRule="auto"/>
              <w:contextualSpacing/>
              <w:jc w:val="left"/>
              <w:rPr>
                <w:rFonts w:ascii="Arial" w:eastAsia="Calibri" w:hAnsi="Arial" w:cs="Arial"/>
                <w:i/>
                <w:sz w:val="16"/>
                <w:szCs w:val="16"/>
                <w:lang w:eastAsia="en-US"/>
              </w:rPr>
            </w:pPr>
            <w:r w:rsidRPr="00F4063B">
              <w:rPr>
                <w:rFonts w:ascii="Arial" w:eastAsia="Calibri" w:hAnsi="Arial" w:cs="Arial"/>
                <w:sz w:val="16"/>
                <w:szCs w:val="16"/>
                <w:lang w:eastAsia="en-US"/>
              </w:rPr>
              <w:t>Amount of new and improved mobile coverage delivered in regions under the Mobile Black Spot Program</w:t>
            </w:r>
          </w:p>
        </w:tc>
        <w:tc>
          <w:tcPr>
            <w:tcW w:w="2977" w:type="dxa"/>
            <w:tcBorders>
              <w:top w:val="single" w:sz="4" w:space="0" w:color="auto"/>
              <w:left w:val="single" w:sz="4" w:space="0" w:color="auto"/>
              <w:bottom w:val="single" w:sz="4" w:space="0" w:color="auto"/>
            </w:tcBorders>
          </w:tcPr>
          <w:p w14:paraId="7C8BAAEE"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≥90</w:t>
            </w:r>
            <w:r>
              <w:rPr>
                <w:rFonts w:eastAsia="Calibri" w:cs="Arial"/>
                <w:sz w:val="16"/>
                <w:szCs w:val="16"/>
                <w:lang w:eastAsia="en-US"/>
              </w:rPr>
              <w:t>%</w:t>
            </w:r>
            <w:r w:rsidRPr="00F4063B">
              <w:rPr>
                <w:rFonts w:eastAsia="Calibri" w:cs="Arial"/>
                <w:sz w:val="16"/>
                <w:szCs w:val="16"/>
                <w:lang w:eastAsia="en-US"/>
              </w:rPr>
              <w:t xml:space="preserve"> of total contracted (predictive) coverage is delivered through new assets for which asset completion reports are received in the financial year</w:t>
            </w:r>
          </w:p>
        </w:tc>
      </w:tr>
      <w:tr w:rsidR="000940F7" w14:paraId="7F95E5EE" w14:textId="77777777" w:rsidTr="00F77694">
        <w:trPr>
          <w:cantSplit/>
          <w:trHeight w:val="642"/>
        </w:trPr>
        <w:tc>
          <w:tcPr>
            <w:tcW w:w="1560" w:type="dxa"/>
            <w:vMerge/>
            <w:tcBorders>
              <w:top w:val="nil"/>
              <w:bottom w:val="nil"/>
              <w:right w:val="single" w:sz="4" w:space="0" w:color="auto"/>
            </w:tcBorders>
          </w:tcPr>
          <w:p w14:paraId="709C6E8A"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C49A05D"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Access to Viewer Access Satellite Television (VAST) for viewers in terrestrial blackspots, to receive direct-to-home free-to-air television safety net services</w:t>
            </w:r>
          </w:p>
        </w:tc>
        <w:tc>
          <w:tcPr>
            <w:tcW w:w="2977" w:type="dxa"/>
            <w:tcBorders>
              <w:top w:val="single" w:sz="4" w:space="0" w:color="auto"/>
              <w:left w:val="single" w:sz="4" w:space="0" w:color="auto"/>
              <w:bottom w:val="single" w:sz="4" w:space="0" w:color="auto"/>
            </w:tcBorders>
          </w:tcPr>
          <w:p w14:paraId="6F99EFEA" w14:textId="4F2DD35E"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 xml:space="preserve">In each financial year, satellite free-to-air television services, including on-air availability requirements, maintained in accordance with the </w:t>
            </w:r>
            <w:r w:rsidRPr="00F4063B">
              <w:rPr>
                <w:rFonts w:eastAsia="Calibri" w:cs="Arial"/>
                <w:i/>
                <w:sz w:val="16"/>
                <w:szCs w:val="16"/>
                <w:lang w:eastAsia="en-US"/>
              </w:rPr>
              <w:t>Broadcasting Services Act</w:t>
            </w:r>
            <w:r w:rsidR="005B33F4">
              <w:rPr>
                <w:rFonts w:eastAsia="Calibri" w:cs="Arial"/>
                <w:i/>
                <w:sz w:val="16"/>
                <w:szCs w:val="16"/>
                <w:lang w:eastAsia="en-US"/>
              </w:rPr>
              <w:t xml:space="preserve"> 1992</w:t>
            </w:r>
          </w:p>
        </w:tc>
      </w:tr>
      <w:tr w:rsidR="000940F7" w14:paraId="5797BC91" w14:textId="77777777" w:rsidTr="005B33F4">
        <w:trPr>
          <w:cantSplit/>
          <w:trHeight w:val="130"/>
        </w:trPr>
        <w:tc>
          <w:tcPr>
            <w:tcW w:w="1560" w:type="dxa"/>
            <w:vMerge/>
            <w:tcBorders>
              <w:top w:val="nil"/>
              <w:bottom w:val="nil"/>
              <w:right w:val="single" w:sz="4" w:space="0" w:color="auto"/>
            </w:tcBorders>
          </w:tcPr>
          <w:p w14:paraId="34A2DA77"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6A3DC92" w14:textId="77777777" w:rsidR="000940F7" w:rsidRPr="00F4063B" w:rsidRDefault="000940F7" w:rsidP="00F77694">
            <w:pPr>
              <w:pStyle w:val="TableTextBase"/>
              <w:rPr>
                <w:sz w:val="16"/>
                <w:szCs w:val="16"/>
              </w:rPr>
            </w:pPr>
            <w:r w:rsidRPr="00F4063B">
              <w:rPr>
                <w:rFonts w:eastAsia="Calibri" w:cs="Arial"/>
                <w:sz w:val="16"/>
                <w:szCs w:val="16"/>
                <w:lang w:eastAsia="en-US"/>
              </w:rPr>
              <w:t>Affordability of telecommunications services (mobile and fixed) on offer</w:t>
            </w:r>
          </w:p>
        </w:tc>
        <w:tc>
          <w:tcPr>
            <w:tcW w:w="2977" w:type="dxa"/>
            <w:tcBorders>
              <w:top w:val="single" w:sz="4" w:space="0" w:color="auto"/>
              <w:left w:val="single" w:sz="4" w:space="0" w:color="auto"/>
              <w:bottom w:val="single" w:sz="4" w:space="0" w:color="auto"/>
            </w:tcBorders>
          </w:tcPr>
          <w:p w14:paraId="3751C8F9"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Reporting in financial year indicates affordability is maintained or increased</w:t>
            </w:r>
          </w:p>
        </w:tc>
      </w:tr>
      <w:tr w:rsidR="000940F7" w14:paraId="3428D54F" w14:textId="77777777" w:rsidTr="00F77694">
        <w:trPr>
          <w:cantSplit/>
          <w:trHeight w:val="642"/>
        </w:trPr>
        <w:tc>
          <w:tcPr>
            <w:tcW w:w="1560" w:type="dxa"/>
            <w:tcBorders>
              <w:top w:val="nil"/>
              <w:bottom w:val="single" w:sz="4" w:space="0" w:color="auto"/>
              <w:right w:val="single" w:sz="4" w:space="0" w:color="auto"/>
            </w:tcBorders>
          </w:tcPr>
          <w:p w14:paraId="7329E4C8"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93AD241" w14:textId="77777777" w:rsidR="000940F7" w:rsidRPr="00F4063B" w:rsidRDefault="000940F7" w:rsidP="00F77694">
            <w:pPr>
              <w:spacing w:before="60" w:after="60" w:line="240" w:lineRule="auto"/>
              <w:contextualSpacing/>
              <w:jc w:val="left"/>
              <w:rPr>
                <w:rFonts w:ascii="Arial" w:eastAsia="Calibri" w:hAnsi="Arial" w:cs="Arial"/>
                <w:sz w:val="16"/>
                <w:szCs w:val="16"/>
                <w:lang w:eastAsia="en-US"/>
              </w:rPr>
            </w:pPr>
            <w:r w:rsidRPr="00F4063B">
              <w:rPr>
                <w:rFonts w:ascii="Arial" w:eastAsia="Calibri" w:hAnsi="Arial" w:cs="Arial"/>
                <w:i/>
                <w:sz w:val="16"/>
                <w:szCs w:val="16"/>
                <w:lang w:eastAsia="en-US"/>
              </w:rPr>
              <w:t>Develop policy advice and administer programs to support the sustainability of the news and media industry</w:t>
            </w:r>
          </w:p>
        </w:tc>
        <w:tc>
          <w:tcPr>
            <w:tcW w:w="2977" w:type="dxa"/>
            <w:tcBorders>
              <w:top w:val="single" w:sz="4" w:space="0" w:color="auto"/>
              <w:left w:val="single" w:sz="4" w:space="0" w:color="auto"/>
              <w:bottom w:val="single" w:sz="4" w:space="0" w:color="auto"/>
            </w:tcBorders>
          </w:tcPr>
          <w:p w14:paraId="50A0DC5B"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Policy advice is high quality, timely and evidence-based and adapts to the changing news and media industry environment</w:t>
            </w:r>
          </w:p>
          <w:p w14:paraId="4632799B"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Outcomes of the operation and review of the News Media Bargaining Code demonstrate a positive role in supporting the news media industry</w:t>
            </w:r>
          </w:p>
          <w:p w14:paraId="19701464"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100</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of grant opportunities are published/announced and 100</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of grant agreements executed are consistent with the program objectives</w:t>
            </w:r>
          </w:p>
          <w:p w14:paraId="7BCAF513"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Number of media organisations receiving grant funding and outcomes achieved from that fundin</w:t>
            </w:r>
            <w:r>
              <w:rPr>
                <w:rFonts w:eastAsia="Calibri" w:cs="Arial"/>
                <w:sz w:val="16"/>
                <w:szCs w:val="16"/>
                <w:lang w:eastAsia="en-US"/>
              </w:rPr>
              <w:t>g</w:t>
            </w:r>
          </w:p>
        </w:tc>
      </w:tr>
    </w:tbl>
    <w:p w14:paraId="24A2B9F1" w14:textId="32AA7BD5" w:rsidR="00B91F3E" w:rsidRDefault="00B91F3E" w:rsidP="00B91F3E">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0940F7" w:rsidRPr="00160C23" w14:paraId="03C23FA1" w14:textId="77777777" w:rsidTr="00F77694">
        <w:trPr>
          <w:trHeight w:val="258"/>
          <w:tblHeader/>
        </w:trPr>
        <w:tc>
          <w:tcPr>
            <w:tcW w:w="1560" w:type="dxa"/>
            <w:tcBorders>
              <w:top w:val="double" w:sz="4" w:space="0" w:color="auto"/>
              <w:bottom w:val="single" w:sz="4" w:space="0" w:color="auto"/>
              <w:right w:val="single" w:sz="4" w:space="0" w:color="auto"/>
            </w:tcBorders>
          </w:tcPr>
          <w:p w14:paraId="4B3E1641" w14:textId="77777777" w:rsidR="000940F7" w:rsidRPr="00160C23" w:rsidRDefault="000940F7" w:rsidP="00F77694">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7E89A79" w14:textId="77777777" w:rsidR="000940F7" w:rsidRPr="00160C23" w:rsidRDefault="000940F7" w:rsidP="00F77694">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217AEC26" w14:textId="77777777" w:rsidR="000940F7" w:rsidRPr="00160C23" w:rsidRDefault="000940F7" w:rsidP="00F77694">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0940F7" w14:paraId="6C35FED3" w14:textId="77777777" w:rsidTr="00F77694">
        <w:trPr>
          <w:cantSplit/>
          <w:trHeight w:val="642"/>
        </w:trPr>
        <w:tc>
          <w:tcPr>
            <w:tcW w:w="1560" w:type="dxa"/>
            <w:tcBorders>
              <w:top w:val="single" w:sz="4" w:space="0" w:color="auto"/>
              <w:bottom w:val="nil"/>
              <w:right w:val="single" w:sz="4" w:space="0" w:color="auto"/>
            </w:tcBorders>
          </w:tcPr>
          <w:p w14:paraId="4E0FC473" w14:textId="77777777" w:rsidR="000940F7" w:rsidRPr="00BE08C4" w:rsidRDefault="000940F7" w:rsidP="00F77694">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w:t>
            </w:r>
            <w:r w:rsidRPr="00BE08C4">
              <w:rPr>
                <w:rFonts w:ascii="Arial" w:eastAsia="Calibri" w:hAnsi="Arial" w:cs="Arial"/>
                <w:sz w:val="16"/>
                <w:szCs w:val="16"/>
                <w:lang w:eastAsia="en-US"/>
              </w:rPr>
              <w:t>ear</w:t>
            </w:r>
          </w:p>
          <w:p w14:paraId="4DF05C20" w14:textId="77777777" w:rsidR="000940F7" w:rsidRPr="00160C23" w:rsidRDefault="000940F7" w:rsidP="00F77694">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190B0421"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Access to communications for people with a disability, indicated through: </w:t>
            </w:r>
          </w:p>
          <w:p w14:paraId="56AA2AEC" w14:textId="77777777" w:rsidR="000940F7" w:rsidRPr="00F4063B" w:rsidRDefault="000940F7" w:rsidP="005B33F4">
            <w:pPr>
              <w:pStyle w:val="ListParagraph"/>
              <w:numPr>
                <w:ilvl w:val="0"/>
                <w:numId w:val="248"/>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National Relay Service performance quarterly reports on user numbers</w:t>
            </w:r>
          </w:p>
          <w:p w14:paraId="593D7DC5" w14:textId="77777777" w:rsidR="000940F7" w:rsidRPr="00F4063B" w:rsidRDefault="000940F7" w:rsidP="005B33F4">
            <w:pPr>
              <w:pStyle w:val="ListParagraph"/>
              <w:numPr>
                <w:ilvl w:val="0"/>
                <w:numId w:val="248"/>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audio description implementation by the national broadcasters</w:t>
            </w:r>
          </w:p>
          <w:p w14:paraId="270EC6D5" w14:textId="77777777" w:rsidR="000940F7" w:rsidRPr="00F4063B" w:rsidRDefault="000940F7" w:rsidP="005B33F4">
            <w:pPr>
              <w:pStyle w:val="ListParagraph"/>
              <w:numPr>
                <w:ilvl w:val="0"/>
                <w:numId w:val="248"/>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broadcaster captioning compliance</w:t>
            </w:r>
          </w:p>
        </w:tc>
        <w:tc>
          <w:tcPr>
            <w:tcW w:w="2977" w:type="dxa"/>
            <w:tcBorders>
              <w:top w:val="single" w:sz="4" w:space="0" w:color="auto"/>
              <w:left w:val="single" w:sz="4" w:space="0" w:color="auto"/>
              <w:bottom w:val="single" w:sz="4" w:space="0" w:color="auto"/>
            </w:tcBorders>
          </w:tcPr>
          <w:p w14:paraId="7CEEB22A"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Reporting in each financial year indicates access is maintained or increased</w:t>
            </w:r>
          </w:p>
        </w:tc>
      </w:tr>
      <w:tr w:rsidR="000940F7" w14:paraId="52B6A0FE" w14:textId="77777777" w:rsidTr="00F77694">
        <w:trPr>
          <w:cantSplit/>
          <w:trHeight w:val="642"/>
        </w:trPr>
        <w:tc>
          <w:tcPr>
            <w:tcW w:w="1560" w:type="dxa"/>
            <w:vMerge w:val="restart"/>
            <w:tcBorders>
              <w:top w:val="nil"/>
              <w:right w:val="single" w:sz="4" w:space="0" w:color="auto"/>
            </w:tcBorders>
          </w:tcPr>
          <w:p w14:paraId="6E7DD15F"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BD618EE" w14:textId="77777777" w:rsidR="000940F7" w:rsidRPr="00F4063B" w:rsidRDefault="000940F7" w:rsidP="00F77694">
            <w:pPr>
              <w:pStyle w:val="TableTextBase"/>
              <w:rPr>
                <w:sz w:val="16"/>
                <w:szCs w:val="16"/>
              </w:rPr>
            </w:pPr>
            <w:r w:rsidRPr="00F4063B">
              <w:rPr>
                <w:rFonts w:eastAsia="Calibri" w:cs="Arial"/>
                <w:i/>
                <w:sz w:val="16"/>
                <w:szCs w:val="16"/>
                <w:lang w:eastAsia="en-US"/>
              </w:rPr>
              <w:t>Complaints data from telecommunications and post customers improves over time</w:t>
            </w:r>
            <w:r>
              <w:rPr>
                <w:rFonts w:eastAsia="Calibri" w:cs="Arial"/>
                <w:i/>
                <w:sz w:val="16"/>
                <w:szCs w:val="16"/>
                <w:lang w:eastAsia="en-US"/>
              </w:rPr>
              <w:t xml:space="preserve"> </w:t>
            </w:r>
            <w:r w:rsidRPr="00CE7F37">
              <w:rPr>
                <w:rFonts w:eastAsia="Calibri" w:cs="Arial"/>
                <w:i/>
                <w:sz w:val="16"/>
                <w:szCs w:val="16"/>
                <w:vertAlign w:val="superscript"/>
                <w:lang w:eastAsia="en-US"/>
              </w:rPr>
              <w:t>(</w:t>
            </w:r>
            <w:r>
              <w:rPr>
                <w:rFonts w:eastAsia="Calibri" w:cs="Arial"/>
                <w:i/>
                <w:sz w:val="16"/>
                <w:szCs w:val="16"/>
                <w:vertAlign w:val="superscript"/>
                <w:lang w:eastAsia="en-US"/>
              </w:rPr>
              <w:t>e</w:t>
            </w:r>
            <w:r w:rsidRPr="00CE7F37">
              <w:rPr>
                <w:rFonts w:eastAsia="Calibri" w:cs="Arial"/>
                <w:i/>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0F874033"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Reporting in each financial year shows maintained or improved consumer experience</w:t>
            </w:r>
          </w:p>
        </w:tc>
      </w:tr>
      <w:tr w:rsidR="000940F7" w14:paraId="42F26D27" w14:textId="77777777" w:rsidTr="00F77694">
        <w:trPr>
          <w:cantSplit/>
          <w:trHeight w:val="642"/>
        </w:trPr>
        <w:tc>
          <w:tcPr>
            <w:tcW w:w="1560" w:type="dxa"/>
            <w:vMerge/>
            <w:tcBorders>
              <w:top w:val="nil"/>
              <w:right w:val="single" w:sz="4" w:space="0" w:color="auto"/>
            </w:tcBorders>
          </w:tcPr>
          <w:p w14:paraId="434B2084"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42B458A" w14:textId="77777777" w:rsidR="000940F7" w:rsidRPr="00F4063B" w:rsidRDefault="000940F7" w:rsidP="00F77694">
            <w:pPr>
              <w:pStyle w:val="TableTextBase"/>
              <w:rPr>
                <w:sz w:val="16"/>
                <w:szCs w:val="16"/>
              </w:rPr>
            </w:pPr>
            <w:r w:rsidRPr="00F4063B">
              <w:rPr>
                <w:rFonts w:eastAsia="Calibri" w:cs="Arial"/>
                <w:i/>
                <w:sz w:val="16"/>
                <w:szCs w:val="16"/>
                <w:lang w:eastAsia="en-US"/>
              </w:rPr>
              <w:t>Effectiveness of the current Australian content, copyright and classification frameworks</w:t>
            </w:r>
            <w:r>
              <w:rPr>
                <w:rFonts w:eastAsia="Calibri" w:cs="Arial"/>
                <w:i/>
                <w:sz w:val="16"/>
                <w:szCs w:val="16"/>
                <w:lang w:eastAsia="en-US"/>
              </w:rPr>
              <w:t xml:space="preserve"> </w:t>
            </w:r>
            <w:r w:rsidRPr="00792D7C">
              <w:rPr>
                <w:rFonts w:eastAsia="Calibri" w:cs="Arial"/>
                <w:i/>
                <w:sz w:val="16"/>
                <w:szCs w:val="16"/>
                <w:vertAlign w:val="superscript"/>
                <w:lang w:eastAsia="en-US"/>
              </w:rPr>
              <w:t>(</w:t>
            </w:r>
            <w:r>
              <w:rPr>
                <w:rFonts w:eastAsia="Calibri" w:cs="Arial"/>
                <w:i/>
                <w:sz w:val="16"/>
                <w:szCs w:val="16"/>
                <w:vertAlign w:val="superscript"/>
                <w:lang w:eastAsia="en-US"/>
              </w:rPr>
              <w:t>f</w:t>
            </w:r>
            <w:r w:rsidRPr="00792D7C">
              <w:rPr>
                <w:rFonts w:eastAsia="Calibri" w:cs="Arial"/>
                <w:i/>
                <w:sz w:val="16"/>
                <w:szCs w:val="16"/>
                <w:vertAlign w:val="superscript"/>
                <w:lang w:eastAsia="en-US"/>
              </w:rPr>
              <w:t>) (</w:t>
            </w:r>
            <w:r>
              <w:rPr>
                <w:rFonts w:eastAsia="Calibri" w:cs="Arial"/>
                <w:i/>
                <w:sz w:val="16"/>
                <w:szCs w:val="16"/>
                <w:vertAlign w:val="superscript"/>
                <w:lang w:eastAsia="en-US"/>
              </w:rPr>
              <w:t>g</w:t>
            </w:r>
            <w:r w:rsidRPr="00792D7C">
              <w:rPr>
                <w:rFonts w:eastAsia="Calibri" w:cs="Arial"/>
                <w:i/>
                <w:sz w:val="16"/>
                <w:szCs w:val="16"/>
                <w:vertAlign w:val="superscript"/>
                <w:lang w:eastAsia="en-US"/>
              </w:rPr>
              <w:t>)</w:t>
            </w:r>
          </w:p>
        </w:tc>
        <w:tc>
          <w:tcPr>
            <w:tcW w:w="2977" w:type="dxa"/>
            <w:tcBorders>
              <w:top w:val="single" w:sz="4" w:space="0" w:color="auto"/>
              <w:left w:val="single" w:sz="4" w:space="0" w:color="auto"/>
              <w:bottom w:val="single" w:sz="4" w:space="0" w:color="auto"/>
            </w:tcBorders>
          </w:tcPr>
          <w:p w14:paraId="7B1793F3"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frameworks are effective, based on:</w:t>
            </w:r>
          </w:p>
          <w:p w14:paraId="5293C2CB" w14:textId="77777777" w:rsidR="000940F7" w:rsidRPr="00F4063B" w:rsidRDefault="000940F7" w:rsidP="009E60A3">
            <w:pPr>
              <w:pStyle w:val="ListParagraph"/>
              <w:numPr>
                <w:ilvl w:val="0"/>
                <w:numId w:val="232"/>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Australian content quota compliance and the existence of public data on Australian content available on streaming video on demand services</w:t>
            </w:r>
          </w:p>
          <w:p w14:paraId="09A4C6C8" w14:textId="77777777" w:rsidR="000940F7" w:rsidRPr="00F4063B" w:rsidRDefault="000940F7" w:rsidP="009E60A3">
            <w:pPr>
              <w:pStyle w:val="ListParagraph"/>
              <w:numPr>
                <w:ilvl w:val="0"/>
                <w:numId w:val="232"/>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amount of copyright distributions paid to creators by the copyright collecting societies and annual Consumer Survey on Online Copyright Infringement</w:t>
            </w:r>
          </w:p>
          <w:p w14:paraId="116AA2C0" w14:textId="77777777" w:rsidR="000940F7" w:rsidRPr="00F4063B" w:rsidRDefault="000940F7" w:rsidP="009E60A3">
            <w:pPr>
              <w:pStyle w:val="ListParagraph"/>
              <w:numPr>
                <w:ilvl w:val="0"/>
                <w:numId w:val="232"/>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100</w:t>
            </w:r>
            <w:r>
              <w:rPr>
                <w:rFonts w:ascii="Arial" w:hAnsi="Arial" w:cs="Arial"/>
                <w:sz w:val="16"/>
                <w:szCs w:val="16"/>
              </w:rPr>
              <w:t>%</w:t>
            </w:r>
            <w:r w:rsidRPr="00F4063B">
              <w:rPr>
                <w:rFonts w:ascii="Arial" w:hAnsi="Arial" w:cs="Arial"/>
                <w:sz w:val="16"/>
                <w:szCs w:val="16"/>
              </w:rPr>
              <w:t xml:space="preserve"> of Classification decisions by the Classification Board and Classification Review Board made and published on the National Classification Database within statutory timeframes</w:t>
            </w:r>
          </w:p>
        </w:tc>
      </w:tr>
      <w:tr w:rsidR="000940F7" w14:paraId="6849FE5A" w14:textId="77777777" w:rsidTr="00F77694">
        <w:trPr>
          <w:cantSplit/>
          <w:trHeight w:val="642"/>
        </w:trPr>
        <w:tc>
          <w:tcPr>
            <w:tcW w:w="1560" w:type="dxa"/>
            <w:tcBorders>
              <w:bottom w:val="nil"/>
              <w:right w:val="single" w:sz="4" w:space="0" w:color="auto"/>
            </w:tcBorders>
          </w:tcPr>
          <w:p w14:paraId="69523CFE" w14:textId="77777777" w:rsidR="000940F7" w:rsidRPr="00160C23" w:rsidRDefault="000940F7" w:rsidP="00F77694">
            <w:pPr>
              <w:pStyle w:val="TableTextBase"/>
              <w:rPr>
                <w:sz w:val="16"/>
                <w:szCs w:val="16"/>
              </w:rPr>
            </w:pPr>
            <w:r>
              <w:rPr>
                <w:rFonts w:eastAsia="Calibri" w:cs="Arial"/>
                <w:sz w:val="16"/>
                <w:szCs w:val="16"/>
                <w:lang w:eastAsia="en-US"/>
              </w:rPr>
              <w:t xml:space="preserve">Forward Estimates 2023–26 </w:t>
            </w:r>
          </w:p>
        </w:tc>
        <w:tc>
          <w:tcPr>
            <w:tcW w:w="3118" w:type="dxa"/>
            <w:tcBorders>
              <w:top w:val="single" w:sz="4" w:space="0" w:color="auto"/>
              <w:left w:val="single" w:sz="4" w:space="0" w:color="auto"/>
              <w:bottom w:val="single" w:sz="4" w:space="0" w:color="auto"/>
              <w:right w:val="single" w:sz="4" w:space="0" w:color="auto"/>
            </w:tcBorders>
          </w:tcPr>
          <w:p w14:paraId="12FAD596" w14:textId="77777777" w:rsidR="000940F7" w:rsidRPr="00F4063B" w:rsidRDefault="000940F7" w:rsidP="00F77694">
            <w:pPr>
              <w:spacing w:before="60" w:after="60" w:line="240" w:lineRule="auto"/>
              <w:jc w:val="left"/>
              <w:rPr>
                <w:rFonts w:ascii="Arial" w:eastAsia="Calibri" w:hAnsi="Arial" w:cs="Arial"/>
                <w:i/>
                <w:sz w:val="16"/>
                <w:szCs w:val="16"/>
                <w:lang w:eastAsia="en-US"/>
              </w:rPr>
            </w:pPr>
            <w:r w:rsidRPr="00F4063B">
              <w:rPr>
                <w:rFonts w:ascii="Arial" w:eastAsia="Calibri" w:hAnsi="Arial" w:cs="Arial"/>
                <w:i/>
                <w:sz w:val="16"/>
                <w:szCs w:val="16"/>
                <w:lang w:eastAsia="en-US"/>
              </w:rPr>
              <w:t xml:space="preserve">Develop policy advice to reduce harms associated with the activities of: </w:t>
            </w:r>
          </w:p>
          <w:p w14:paraId="3BE091E4" w14:textId="77777777" w:rsidR="000940F7" w:rsidRPr="00B57ACF" w:rsidRDefault="000940F7" w:rsidP="009E60A3">
            <w:pPr>
              <w:pStyle w:val="ListParagraph"/>
              <w:numPr>
                <w:ilvl w:val="0"/>
                <w:numId w:val="229"/>
              </w:numPr>
              <w:spacing w:before="60" w:after="60" w:line="240" w:lineRule="auto"/>
              <w:ind w:left="284" w:hanging="284"/>
              <w:rPr>
                <w:rFonts w:ascii="Arial" w:hAnsi="Arial" w:cs="Arial"/>
                <w:i/>
                <w:sz w:val="16"/>
                <w:szCs w:val="16"/>
              </w:rPr>
            </w:pPr>
            <w:r w:rsidRPr="00B57ACF">
              <w:rPr>
                <w:rFonts w:ascii="Arial" w:hAnsi="Arial" w:cs="Arial"/>
                <w:i/>
                <w:sz w:val="16"/>
                <w:szCs w:val="16"/>
              </w:rPr>
              <w:t>digital platforms</w:t>
            </w:r>
          </w:p>
          <w:p w14:paraId="3149ACB9" w14:textId="77777777" w:rsidR="000940F7" w:rsidRPr="00F4063B" w:rsidRDefault="000940F7" w:rsidP="009E60A3">
            <w:pPr>
              <w:pStyle w:val="TableTextBase"/>
              <w:numPr>
                <w:ilvl w:val="0"/>
                <w:numId w:val="229"/>
              </w:numPr>
              <w:ind w:left="284" w:hanging="284"/>
              <w:rPr>
                <w:rFonts w:eastAsia="Calibri" w:cs="Arial"/>
                <w:i/>
                <w:sz w:val="16"/>
                <w:szCs w:val="16"/>
                <w:lang w:eastAsia="en-US"/>
              </w:rPr>
            </w:pPr>
            <w:r w:rsidRPr="00F4063B">
              <w:rPr>
                <w:rFonts w:eastAsia="Calibri" w:cs="Arial"/>
                <w:i/>
                <w:sz w:val="16"/>
                <w:szCs w:val="16"/>
                <w:lang w:eastAsia="en-US"/>
              </w:rPr>
              <w:t>online gambling</w:t>
            </w:r>
          </w:p>
        </w:tc>
        <w:tc>
          <w:tcPr>
            <w:tcW w:w="2977" w:type="dxa"/>
            <w:tcBorders>
              <w:top w:val="single" w:sz="4" w:space="0" w:color="auto"/>
              <w:left w:val="single" w:sz="4" w:space="0" w:color="auto"/>
              <w:bottom w:val="single" w:sz="4" w:space="0" w:color="auto"/>
            </w:tcBorders>
          </w:tcPr>
          <w:p w14:paraId="72740753"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B57ACF">
              <w:rPr>
                <w:rFonts w:ascii="Arial" w:eastAsia="Calibri" w:hAnsi="Arial" w:cs="Arial"/>
                <w:sz w:val="16"/>
                <w:szCs w:val="16"/>
                <w:lang w:eastAsia="en-US"/>
              </w:rPr>
              <w:t xml:space="preserve">A gap analysis of online safety harms will be undertaken and a review of the </w:t>
            </w:r>
            <w:r w:rsidRPr="00B57ACF">
              <w:rPr>
                <w:rFonts w:ascii="Arial" w:eastAsia="Calibri" w:hAnsi="Arial" w:cs="Arial"/>
                <w:i/>
                <w:sz w:val="16"/>
                <w:szCs w:val="16"/>
                <w:lang w:eastAsia="en-US"/>
              </w:rPr>
              <w:t>Online Safety Act</w:t>
            </w:r>
            <w:r w:rsidRPr="00B57ACF">
              <w:rPr>
                <w:rFonts w:ascii="Arial" w:eastAsia="Calibri" w:hAnsi="Arial" w:cs="Arial"/>
                <w:sz w:val="16"/>
                <w:szCs w:val="16"/>
                <w:lang w:eastAsia="en-US"/>
              </w:rPr>
              <w:t xml:space="preserve"> in 2024-25</w:t>
            </w:r>
          </w:p>
        </w:tc>
      </w:tr>
      <w:tr w:rsidR="000940F7" w14:paraId="362FD7B2" w14:textId="77777777" w:rsidTr="00F77694">
        <w:trPr>
          <w:cantSplit/>
          <w:trHeight w:val="642"/>
        </w:trPr>
        <w:tc>
          <w:tcPr>
            <w:tcW w:w="1560" w:type="dxa"/>
            <w:tcBorders>
              <w:top w:val="nil"/>
              <w:bottom w:val="nil"/>
              <w:right w:val="single" w:sz="4" w:space="0" w:color="auto"/>
            </w:tcBorders>
          </w:tcPr>
          <w:p w14:paraId="79AF9EA1"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16581D2" w14:textId="77777777" w:rsidR="000940F7" w:rsidRPr="00F4063B" w:rsidRDefault="000940F7" w:rsidP="00F77694">
            <w:pPr>
              <w:pStyle w:val="TableTextBase"/>
              <w:rPr>
                <w:rFonts w:eastAsia="Calibri" w:cs="Arial"/>
                <w:i/>
                <w:sz w:val="16"/>
                <w:szCs w:val="16"/>
                <w:lang w:eastAsia="en-US"/>
              </w:rPr>
            </w:pPr>
            <w:r w:rsidRPr="00F4063B">
              <w:rPr>
                <w:rFonts w:eastAsia="Calibri" w:cs="Arial"/>
                <w:sz w:val="16"/>
                <w:szCs w:val="16"/>
                <w:lang w:eastAsia="en-US"/>
              </w:rPr>
              <w:t>Funds administered as part of the Regional Broadband Scheme (RBS) are distributed</w:t>
            </w:r>
          </w:p>
        </w:tc>
        <w:tc>
          <w:tcPr>
            <w:tcW w:w="2977" w:type="dxa"/>
            <w:tcBorders>
              <w:top w:val="single" w:sz="4" w:space="0" w:color="auto"/>
              <w:left w:val="single" w:sz="4" w:space="0" w:color="auto"/>
              <w:bottom w:val="single" w:sz="4" w:space="0" w:color="auto"/>
            </w:tcBorders>
          </w:tcPr>
          <w:p w14:paraId="0E322E88"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B57ACF">
              <w:rPr>
                <w:rFonts w:ascii="Arial" w:eastAsia="Calibri" w:hAnsi="Arial" w:cs="Arial"/>
                <w:sz w:val="16"/>
                <w:szCs w:val="16"/>
                <w:lang w:eastAsia="en-US"/>
              </w:rPr>
              <w:t>In each financial year, funds are distributed in line with legislative requirements</w:t>
            </w:r>
          </w:p>
        </w:tc>
      </w:tr>
      <w:tr w:rsidR="000940F7" w14:paraId="02A9BB4F" w14:textId="77777777" w:rsidTr="00F77694">
        <w:trPr>
          <w:cantSplit/>
          <w:trHeight w:val="642"/>
        </w:trPr>
        <w:tc>
          <w:tcPr>
            <w:tcW w:w="1560" w:type="dxa"/>
            <w:tcBorders>
              <w:top w:val="nil"/>
              <w:bottom w:val="nil"/>
              <w:right w:val="single" w:sz="4" w:space="0" w:color="auto"/>
            </w:tcBorders>
          </w:tcPr>
          <w:p w14:paraId="64729BA8"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BCA6DA0" w14:textId="77777777" w:rsidR="000940F7" w:rsidRPr="00F4063B" w:rsidRDefault="000940F7" w:rsidP="00F77694">
            <w:pPr>
              <w:pStyle w:val="TableTextBase"/>
              <w:rPr>
                <w:rFonts w:eastAsia="Calibri" w:cs="Arial"/>
                <w:i/>
                <w:sz w:val="16"/>
                <w:szCs w:val="16"/>
                <w:lang w:eastAsia="en-US"/>
              </w:rPr>
            </w:pPr>
            <w:r w:rsidRPr="00F4063B">
              <w:rPr>
                <w:rFonts w:eastAsia="Calibri" w:cs="Arial"/>
                <w:sz w:val="16"/>
                <w:szCs w:val="16"/>
                <w:lang w:eastAsia="en-US"/>
              </w:rPr>
              <w:t>Amount of new and improved mobile coverage delivered in regions under the Mobile Black Spot Program</w:t>
            </w:r>
          </w:p>
        </w:tc>
        <w:tc>
          <w:tcPr>
            <w:tcW w:w="2977" w:type="dxa"/>
            <w:tcBorders>
              <w:top w:val="single" w:sz="4" w:space="0" w:color="auto"/>
              <w:left w:val="single" w:sz="4" w:space="0" w:color="auto"/>
              <w:bottom w:val="single" w:sz="4" w:space="0" w:color="auto"/>
            </w:tcBorders>
          </w:tcPr>
          <w:p w14:paraId="3FDC54B0"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B57ACF">
              <w:rPr>
                <w:rFonts w:ascii="Arial" w:eastAsia="Calibri" w:hAnsi="Arial" w:cs="Arial"/>
                <w:sz w:val="16"/>
                <w:szCs w:val="16"/>
                <w:lang w:eastAsia="en-US"/>
              </w:rPr>
              <w:t>≥90</w:t>
            </w:r>
            <w:r>
              <w:rPr>
                <w:rFonts w:ascii="Arial" w:eastAsia="Calibri" w:hAnsi="Arial" w:cs="Arial"/>
                <w:sz w:val="16"/>
                <w:szCs w:val="16"/>
                <w:lang w:eastAsia="en-US"/>
              </w:rPr>
              <w:t>%</w:t>
            </w:r>
            <w:r w:rsidRPr="00B57ACF">
              <w:rPr>
                <w:rFonts w:ascii="Arial" w:eastAsia="Calibri" w:hAnsi="Arial" w:cs="Arial"/>
                <w:sz w:val="16"/>
                <w:szCs w:val="16"/>
                <w:lang w:eastAsia="en-US"/>
              </w:rPr>
              <w:t xml:space="preserve"> of total contracted (predictive) coverage is delivered through new assets for which asset completion reports are received in the financial year</w:t>
            </w:r>
          </w:p>
        </w:tc>
      </w:tr>
      <w:tr w:rsidR="000940F7" w14:paraId="055A044A" w14:textId="77777777" w:rsidTr="00665295">
        <w:trPr>
          <w:cantSplit/>
          <w:trHeight w:val="642"/>
        </w:trPr>
        <w:tc>
          <w:tcPr>
            <w:tcW w:w="1560" w:type="dxa"/>
            <w:tcBorders>
              <w:top w:val="nil"/>
              <w:bottom w:val="nil"/>
              <w:right w:val="single" w:sz="4" w:space="0" w:color="auto"/>
            </w:tcBorders>
          </w:tcPr>
          <w:p w14:paraId="4483713C"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19BD2BC" w14:textId="77777777" w:rsidR="000940F7" w:rsidRPr="00F4063B" w:rsidRDefault="000940F7" w:rsidP="00F77694">
            <w:pPr>
              <w:pStyle w:val="TableTextBase"/>
              <w:rPr>
                <w:rFonts w:eastAsia="Calibri" w:cs="Arial"/>
                <w:i/>
                <w:sz w:val="16"/>
                <w:szCs w:val="16"/>
                <w:lang w:eastAsia="en-US"/>
              </w:rPr>
            </w:pPr>
            <w:r w:rsidRPr="00F4063B">
              <w:rPr>
                <w:rFonts w:eastAsia="Calibri" w:cs="Arial"/>
                <w:sz w:val="16"/>
                <w:szCs w:val="16"/>
                <w:lang w:eastAsia="en-US"/>
              </w:rPr>
              <w:t>Access to Viewer Access Satellite Television (VAST) for viewers in terrestrial blackspots, to receive direct-to-home free-to-air television safety net services</w:t>
            </w:r>
          </w:p>
        </w:tc>
        <w:tc>
          <w:tcPr>
            <w:tcW w:w="2977" w:type="dxa"/>
            <w:tcBorders>
              <w:top w:val="single" w:sz="4" w:space="0" w:color="auto"/>
              <w:left w:val="single" w:sz="4" w:space="0" w:color="auto"/>
              <w:bottom w:val="single" w:sz="4" w:space="0" w:color="auto"/>
            </w:tcBorders>
          </w:tcPr>
          <w:p w14:paraId="51F028CC"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B57ACF">
              <w:rPr>
                <w:rFonts w:ascii="Arial" w:eastAsia="Calibri" w:hAnsi="Arial" w:cs="Arial"/>
                <w:sz w:val="16"/>
                <w:szCs w:val="16"/>
                <w:lang w:eastAsia="en-US"/>
              </w:rPr>
              <w:t xml:space="preserve">In each financial year, satellite free-to-air television services, including on-air availability requirements, maintained in accordance with the </w:t>
            </w:r>
            <w:r w:rsidRPr="00A7725C">
              <w:rPr>
                <w:rFonts w:ascii="Arial" w:eastAsia="Calibri" w:hAnsi="Arial" w:cs="Arial"/>
                <w:i/>
                <w:sz w:val="16"/>
                <w:szCs w:val="16"/>
                <w:lang w:eastAsia="en-US"/>
              </w:rPr>
              <w:t>Broadcasting Services Act</w:t>
            </w:r>
          </w:p>
        </w:tc>
      </w:tr>
      <w:tr w:rsidR="000940F7" w14:paraId="0D5E928D" w14:textId="77777777" w:rsidTr="00665295">
        <w:trPr>
          <w:cantSplit/>
          <w:trHeight w:val="475"/>
        </w:trPr>
        <w:tc>
          <w:tcPr>
            <w:tcW w:w="1560" w:type="dxa"/>
            <w:tcBorders>
              <w:top w:val="nil"/>
              <w:bottom w:val="single" w:sz="4" w:space="0" w:color="auto"/>
              <w:right w:val="single" w:sz="4" w:space="0" w:color="auto"/>
            </w:tcBorders>
          </w:tcPr>
          <w:p w14:paraId="69633238"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D8A760C"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Affordability of telecommunications services (mobile and fixed) on offer</w:t>
            </w:r>
          </w:p>
        </w:tc>
        <w:tc>
          <w:tcPr>
            <w:tcW w:w="2977" w:type="dxa"/>
            <w:tcBorders>
              <w:top w:val="single" w:sz="4" w:space="0" w:color="auto"/>
              <w:left w:val="single" w:sz="4" w:space="0" w:color="auto"/>
              <w:bottom w:val="single" w:sz="4" w:space="0" w:color="auto"/>
            </w:tcBorders>
          </w:tcPr>
          <w:p w14:paraId="63DF6CD2" w14:textId="77777777" w:rsidR="000940F7" w:rsidRPr="00B57ACF" w:rsidRDefault="000940F7" w:rsidP="00F77694">
            <w:pPr>
              <w:spacing w:before="60" w:after="60" w:line="240" w:lineRule="auto"/>
              <w:ind w:right="-12"/>
              <w:jc w:val="left"/>
              <w:rPr>
                <w:rFonts w:ascii="Arial" w:eastAsia="Calibri" w:hAnsi="Arial" w:cs="Arial"/>
                <w:sz w:val="16"/>
                <w:szCs w:val="16"/>
                <w:lang w:eastAsia="en-US"/>
              </w:rPr>
            </w:pPr>
            <w:r w:rsidRPr="00B57ACF">
              <w:rPr>
                <w:rFonts w:ascii="Arial" w:eastAsia="Calibri" w:hAnsi="Arial" w:cs="Arial"/>
                <w:sz w:val="16"/>
                <w:szCs w:val="16"/>
                <w:lang w:eastAsia="en-US"/>
              </w:rPr>
              <w:t>Reporting in financial year indicates affordability is maintained or increased</w:t>
            </w:r>
          </w:p>
        </w:tc>
      </w:tr>
      <w:tr w:rsidR="000940F7" w14:paraId="5B6D185A" w14:textId="77777777" w:rsidTr="00665295">
        <w:trPr>
          <w:cantSplit/>
          <w:trHeight w:val="642"/>
        </w:trPr>
        <w:tc>
          <w:tcPr>
            <w:tcW w:w="1560" w:type="dxa"/>
            <w:vMerge w:val="restart"/>
            <w:tcBorders>
              <w:top w:val="single" w:sz="4" w:space="0" w:color="auto"/>
              <w:right w:val="single" w:sz="4" w:space="0" w:color="auto"/>
            </w:tcBorders>
          </w:tcPr>
          <w:p w14:paraId="0028F209" w14:textId="789D53A1" w:rsidR="000940F7" w:rsidRPr="00160C23" w:rsidRDefault="000940F7" w:rsidP="00F77694">
            <w:pPr>
              <w:pStyle w:val="TableTextBase"/>
              <w:rPr>
                <w:sz w:val="16"/>
                <w:szCs w:val="16"/>
              </w:rPr>
            </w:pPr>
            <w:r>
              <w:rPr>
                <w:rFonts w:eastAsia="Calibri" w:cs="Arial"/>
                <w:sz w:val="16"/>
                <w:szCs w:val="16"/>
                <w:lang w:eastAsia="en-US"/>
              </w:rPr>
              <w:lastRenderedPageBreak/>
              <w:t>Forward Estimates 2023–26</w:t>
            </w:r>
          </w:p>
        </w:tc>
        <w:tc>
          <w:tcPr>
            <w:tcW w:w="3118" w:type="dxa"/>
            <w:tcBorders>
              <w:top w:val="single" w:sz="4" w:space="0" w:color="auto"/>
              <w:left w:val="single" w:sz="4" w:space="0" w:color="auto"/>
              <w:bottom w:val="single" w:sz="4" w:space="0" w:color="auto"/>
              <w:right w:val="single" w:sz="4" w:space="0" w:color="auto"/>
            </w:tcBorders>
          </w:tcPr>
          <w:p w14:paraId="3DD9E955" w14:textId="77777777" w:rsidR="000940F7" w:rsidRPr="00F4063B" w:rsidRDefault="000940F7" w:rsidP="00F77694">
            <w:pPr>
              <w:pStyle w:val="TableTextBase"/>
              <w:rPr>
                <w:rFonts w:eastAsia="Calibri" w:cs="Arial"/>
                <w:sz w:val="16"/>
                <w:szCs w:val="16"/>
                <w:lang w:eastAsia="en-US"/>
              </w:rPr>
            </w:pPr>
            <w:r w:rsidRPr="00F4063B">
              <w:rPr>
                <w:rFonts w:eastAsia="Calibri" w:cs="Arial"/>
                <w:i/>
                <w:sz w:val="16"/>
                <w:szCs w:val="16"/>
                <w:lang w:eastAsia="en-US"/>
              </w:rPr>
              <w:t>Develop policy advice and administer programs to support the sustainability of the news and media industry</w:t>
            </w:r>
          </w:p>
        </w:tc>
        <w:tc>
          <w:tcPr>
            <w:tcW w:w="2977" w:type="dxa"/>
            <w:tcBorders>
              <w:top w:val="single" w:sz="4" w:space="0" w:color="auto"/>
              <w:left w:val="single" w:sz="4" w:space="0" w:color="auto"/>
              <w:bottom w:val="single" w:sz="4" w:space="0" w:color="auto"/>
            </w:tcBorders>
          </w:tcPr>
          <w:p w14:paraId="6BD94635"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Sustainability of the news and media industry improves </w:t>
            </w:r>
          </w:p>
          <w:p w14:paraId="09674FCD" w14:textId="77777777" w:rsidR="000940F7" w:rsidRPr="00F4063B" w:rsidRDefault="000940F7" w:rsidP="00F77694">
            <w:pPr>
              <w:spacing w:before="60" w:after="60" w:line="240" w:lineRule="auto"/>
              <w:ind w:right="-12"/>
              <w:jc w:val="left"/>
              <w:rPr>
                <w:rFonts w:eastAsia="Calibri" w:cs="Arial"/>
                <w:b/>
                <w:sz w:val="16"/>
                <w:szCs w:val="16"/>
                <w:lang w:eastAsia="en-US"/>
              </w:rPr>
            </w:pPr>
            <w:r w:rsidRPr="00B57ACF">
              <w:rPr>
                <w:rFonts w:ascii="Arial" w:eastAsia="Calibri" w:hAnsi="Arial" w:cs="Arial"/>
                <w:sz w:val="16"/>
                <w:szCs w:val="16"/>
                <w:lang w:eastAsia="en-US"/>
              </w:rPr>
              <w:t>Number of media organisations receiving grant funding and outcomes achieved from that funding</w:t>
            </w:r>
          </w:p>
        </w:tc>
      </w:tr>
      <w:tr w:rsidR="000940F7" w14:paraId="1211715C" w14:textId="77777777" w:rsidTr="00F77694">
        <w:trPr>
          <w:cantSplit/>
          <w:trHeight w:val="642"/>
        </w:trPr>
        <w:tc>
          <w:tcPr>
            <w:tcW w:w="1560" w:type="dxa"/>
            <w:vMerge/>
            <w:tcBorders>
              <w:bottom w:val="nil"/>
              <w:right w:val="single" w:sz="4" w:space="0" w:color="auto"/>
            </w:tcBorders>
          </w:tcPr>
          <w:p w14:paraId="034C2D55" w14:textId="6BD9884B" w:rsidR="000940F7" w:rsidRPr="00B57ACF"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C73DA4A" w14:textId="77777777" w:rsidR="000940F7" w:rsidRPr="00B57ACF" w:rsidRDefault="000940F7" w:rsidP="00F77694">
            <w:pPr>
              <w:spacing w:before="60" w:after="60" w:line="240" w:lineRule="auto"/>
              <w:jc w:val="left"/>
              <w:rPr>
                <w:rFonts w:ascii="Arial" w:eastAsia="Calibri" w:hAnsi="Arial" w:cs="Arial"/>
                <w:sz w:val="16"/>
                <w:szCs w:val="16"/>
                <w:lang w:eastAsia="en-US"/>
              </w:rPr>
            </w:pPr>
            <w:r w:rsidRPr="00B57ACF">
              <w:rPr>
                <w:rFonts w:ascii="Arial" w:eastAsia="Calibri" w:hAnsi="Arial" w:cs="Arial"/>
                <w:sz w:val="16"/>
                <w:szCs w:val="16"/>
                <w:lang w:eastAsia="en-US"/>
              </w:rPr>
              <w:t xml:space="preserve">Access to communications for people with a disability, indicated through: </w:t>
            </w:r>
          </w:p>
          <w:p w14:paraId="238A1C82" w14:textId="77777777" w:rsidR="000940F7" w:rsidRPr="00B57ACF" w:rsidRDefault="000940F7" w:rsidP="009E60A3">
            <w:pPr>
              <w:pStyle w:val="ListParagraph"/>
              <w:numPr>
                <w:ilvl w:val="0"/>
                <w:numId w:val="230"/>
              </w:numPr>
              <w:spacing w:before="60" w:after="60" w:line="240" w:lineRule="auto"/>
              <w:ind w:left="284" w:hanging="284"/>
              <w:contextualSpacing w:val="0"/>
              <w:rPr>
                <w:rFonts w:ascii="Arial" w:hAnsi="Arial" w:cs="Arial"/>
                <w:sz w:val="16"/>
                <w:szCs w:val="16"/>
              </w:rPr>
            </w:pPr>
            <w:r w:rsidRPr="00B57ACF">
              <w:rPr>
                <w:rFonts w:ascii="Arial" w:hAnsi="Arial" w:cs="Arial"/>
                <w:sz w:val="16"/>
                <w:szCs w:val="16"/>
              </w:rPr>
              <w:t>National Relay Service performance quarterly reports on user numbers</w:t>
            </w:r>
          </w:p>
          <w:p w14:paraId="0474669F" w14:textId="77777777" w:rsidR="000940F7" w:rsidRPr="00B57ACF" w:rsidRDefault="000940F7" w:rsidP="009E60A3">
            <w:pPr>
              <w:pStyle w:val="ListParagraph"/>
              <w:numPr>
                <w:ilvl w:val="0"/>
                <w:numId w:val="230"/>
              </w:numPr>
              <w:spacing w:before="60" w:after="60" w:line="240" w:lineRule="auto"/>
              <w:ind w:left="284" w:hanging="284"/>
              <w:contextualSpacing w:val="0"/>
              <w:rPr>
                <w:rFonts w:ascii="Arial" w:hAnsi="Arial" w:cs="Arial"/>
                <w:sz w:val="16"/>
                <w:szCs w:val="16"/>
              </w:rPr>
            </w:pPr>
            <w:r w:rsidRPr="00B57ACF">
              <w:rPr>
                <w:rFonts w:ascii="Arial" w:hAnsi="Arial" w:cs="Arial"/>
                <w:sz w:val="16"/>
                <w:szCs w:val="16"/>
              </w:rPr>
              <w:t>audio description implementation by the national broadcasters</w:t>
            </w:r>
          </w:p>
          <w:p w14:paraId="00918881" w14:textId="77777777" w:rsidR="000940F7" w:rsidRPr="00B57ACF" w:rsidRDefault="000940F7" w:rsidP="009E60A3">
            <w:pPr>
              <w:pStyle w:val="TableTextBase"/>
              <w:numPr>
                <w:ilvl w:val="0"/>
                <w:numId w:val="230"/>
              </w:numPr>
              <w:ind w:left="284" w:hanging="284"/>
              <w:rPr>
                <w:rFonts w:eastAsia="Calibri" w:cs="Arial"/>
                <w:sz w:val="16"/>
                <w:szCs w:val="16"/>
                <w:lang w:eastAsia="en-US"/>
              </w:rPr>
            </w:pPr>
            <w:r w:rsidRPr="00B57ACF">
              <w:rPr>
                <w:rFonts w:eastAsia="Calibri" w:cs="Arial"/>
                <w:sz w:val="16"/>
                <w:szCs w:val="16"/>
                <w:lang w:eastAsia="en-US"/>
              </w:rPr>
              <w:t>broadcaster captioning compliance</w:t>
            </w:r>
          </w:p>
        </w:tc>
        <w:tc>
          <w:tcPr>
            <w:tcW w:w="2977" w:type="dxa"/>
            <w:tcBorders>
              <w:top w:val="single" w:sz="4" w:space="0" w:color="auto"/>
              <w:left w:val="single" w:sz="4" w:space="0" w:color="auto"/>
              <w:bottom w:val="single" w:sz="4" w:space="0" w:color="auto"/>
            </w:tcBorders>
          </w:tcPr>
          <w:p w14:paraId="6A2E6CD1" w14:textId="77777777" w:rsidR="000940F7" w:rsidRPr="00F4063B" w:rsidRDefault="000940F7" w:rsidP="00F77694">
            <w:pPr>
              <w:spacing w:before="60" w:after="60" w:line="240" w:lineRule="auto"/>
              <w:ind w:right="-12"/>
              <w:jc w:val="left"/>
              <w:rPr>
                <w:rFonts w:ascii="Arial" w:eastAsia="Calibri" w:hAnsi="Arial" w:cs="Arial"/>
                <w:b/>
                <w:sz w:val="16"/>
                <w:szCs w:val="16"/>
                <w:lang w:eastAsia="en-US"/>
              </w:rPr>
            </w:pPr>
            <w:r w:rsidRPr="00B57ACF">
              <w:rPr>
                <w:rFonts w:ascii="Arial" w:eastAsia="Calibri" w:hAnsi="Arial" w:cs="Arial"/>
                <w:sz w:val="16"/>
                <w:szCs w:val="16"/>
                <w:lang w:eastAsia="en-US"/>
              </w:rPr>
              <w:t>Reporting in each financial year indicates access is maintained or increased</w:t>
            </w:r>
          </w:p>
        </w:tc>
      </w:tr>
      <w:tr w:rsidR="000940F7" w:rsidRPr="00F4063B" w14:paraId="64D17FF7" w14:textId="77777777" w:rsidTr="00F77694">
        <w:trPr>
          <w:cantSplit/>
          <w:trHeight w:val="642"/>
        </w:trPr>
        <w:tc>
          <w:tcPr>
            <w:tcW w:w="1560" w:type="dxa"/>
            <w:vMerge w:val="restart"/>
            <w:tcBorders>
              <w:top w:val="nil"/>
              <w:right w:val="single" w:sz="4" w:space="0" w:color="auto"/>
            </w:tcBorders>
          </w:tcPr>
          <w:p w14:paraId="423696C9"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34377FC" w14:textId="77777777" w:rsidR="000940F7" w:rsidRPr="00F4063B" w:rsidRDefault="000940F7" w:rsidP="00F77694">
            <w:pPr>
              <w:pStyle w:val="TableTextBase"/>
              <w:rPr>
                <w:sz w:val="16"/>
                <w:szCs w:val="16"/>
              </w:rPr>
            </w:pPr>
            <w:r w:rsidRPr="00F4063B">
              <w:rPr>
                <w:rFonts w:eastAsia="Calibri" w:cs="Arial"/>
                <w:i/>
                <w:sz w:val="16"/>
                <w:szCs w:val="16"/>
                <w:lang w:eastAsia="en-US"/>
              </w:rPr>
              <w:t>Complaints data from telecommunications and post customers improves over time</w:t>
            </w:r>
          </w:p>
        </w:tc>
        <w:tc>
          <w:tcPr>
            <w:tcW w:w="2977" w:type="dxa"/>
            <w:tcBorders>
              <w:top w:val="single" w:sz="4" w:space="0" w:color="auto"/>
              <w:left w:val="single" w:sz="4" w:space="0" w:color="auto"/>
              <w:bottom w:val="single" w:sz="4" w:space="0" w:color="auto"/>
            </w:tcBorders>
          </w:tcPr>
          <w:p w14:paraId="0E5EC5A8"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Reporting in each financial year shows maintained or improved consumer experience</w:t>
            </w:r>
          </w:p>
        </w:tc>
      </w:tr>
      <w:tr w:rsidR="000940F7" w:rsidRPr="00F4063B" w14:paraId="6E43496E" w14:textId="77777777" w:rsidTr="00F77694">
        <w:trPr>
          <w:cantSplit/>
          <w:trHeight w:val="642"/>
        </w:trPr>
        <w:tc>
          <w:tcPr>
            <w:tcW w:w="1560" w:type="dxa"/>
            <w:vMerge/>
            <w:tcBorders>
              <w:top w:val="nil"/>
              <w:right w:val="single" w:sz="4" w:space="0" w:color="auto"/>
            </w:tcBorders>
          </w:tcPr>
          <w:p w14:paraId="542720F0"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C277AD7" w14:textId="77777777" w:rsidR="000940F7" w:rsidRPr="00F4063B" w:rsidRDefault="000940F7" w:rsidP="00F77694">
            <w:pPr>
              <w:pStyle w:val="TableTextBase"/>
              <w:rPr>
                <w:sz w:val="16"/>
                <w:szCs w:val="16"/>
              </w:rPr>
            </w:pPr>
            <w:r w:rsidRPr="00F4063B">
              <w:rPr>
                <w:rFonts w:eastAsia="Calibri" w:cs="Arial"/>
                <w:i/>
                <w:sz w:val="16"/>
                <w:szCs w:val="16"/>
                <w:lang w:eastAsia="en-US"/>
              </w:rPr>
              <w:t>Effectiveness of the current Australian content, copyright and classification frameworks</w:t>
            </w:r>
          </w:p>
        </w:tc>
        <w:tc>
          <w:tcPr>
            <w:tcW w:w="2977" w:type="dxa"/>
            <w:tcBorders>
              <w:top w:val="single" w:sz="4" w:space="0" w:color="auto"/>
              <w:left w:val="single" w:sz="4" w:space="0" w:color="auto"/>
              <w:bottom w:val="single" w:sz="4" w:space="0" w:color="auto"/>
            </w:tcBorders>
          </w:tcPr>
          <w:p w14:paraId="11A07A47"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frameworks are effective, based on:</w:t>
            </w:r>
          </w:p>
          <w:p w14:paraId="547FA61F" w14:textId="77777777" w:rsidR="000940F7" w:rsidRPr="00F4063B" w:rsidRDefault="000940F7" w:rsidP="009E60A3">
            <w:pPr>
              <w:pStyle w:val="ListParagraph"/>
              <w:numPr>
                <w:ilvl w:val="0"/>
                <w:numId w:val="233"/>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Australian content quota compliance and the existence of public data on Australian content available on streaming video on demand services</w:t>
            </w:r>
          </w:p>
          <w:p w14:paraId="4014D32C" w14:textId="77777777" w:rsidR="000940F7" w:rsidRPr="00F4063B" w:rsidRDefault="000940F7" w:rsidP="009E60A3">
            <w:pPr>
              <w:pStyle w:val="ListParagraph"/>
              <w:numPr>
                <w:ilvl w:val="0"/>
                <w:numId w:val="233"/>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amount of copyright distributions paid to creators by the copyright collecting societies and annual Consumer Survey on Online Copyright Infringement</w:t>
            </w:r>
          </w:p>
          <w:p w14:paraId="79F605A3" w14:textId="77777777" w:rsidR="000940F7" w:rsidRPr="00F4063B" w:rsidRDefault="000940F7" w:rsidP="009E60A3">
            <w:pPr>
              <w:pStyle w:val="ListParagraph"/>
              <w:numPr>
                <w:ilvl w:val="0"/>
                <w:numId w:val="233"/>
              </w:numPr>
              <w:spacing w:before="60" w:after="60" w:line="240" w:lineRule="auto"/>
              <w:ind w:left="284" w:hanging="284"/>
              <w:contextualSpacing w:val="0"/>
              <w:rPr>
                <w:rFonts w:ascii="Arial" w:hAnsi="Arial" w:cs="Arial"/>
                <w:sz w:val="16"/>
                <w:szCs w:val="16"/>
              </w:rPr>
            </w:pPr>
            <w:r w:rsidRPr="00F4063B">
              <w:rPr>
                <w:rFonts w:ascii="Arial" w:hAnsi="Arial" w:cs="Arial"/>
                <w:sz w:val="16"/>
                <w:szCs w:val="16"/>
              </w:rPr>
              <w:t>100</w:t>
            </w:r>
            <w:r>
              <w:rPr>
                <w:rFonts w:ascii="Arial" w:hAnsi="Arial" w:cs="Arial"/>
                <w:sz w:val="16"/>
                <w:szCs w:val="16"/>
              </w:rPr>
              <w:t>%</w:t>
            </w:r>
            <w:r w:rsidRPr="00F4063B">
              <w:rPr>
                <w:rFonts w:ascii="Arial" w:hAnsi="Arial" w:cs="Arial"/>
                <w:sz w:val="16"/>
                <w:szCs w:val="16"/>
              </w:rPr>
              <w:t xml:space="preserve"> of Classification decisions by the Classification Board and Classification Review Board made and published on the National Classification Database within statutory timeframes</w:t>
            </w:r>
          </w:p>
        </w:tc>
      </w:tr>
    </w:tbl>
    <w:p w14:paraId="667377A0" w14:textId="77777777" w:rsidR="000940F7" w:rsidRDefault="000940F7" w:rsidP="000940F7">
      <w:pPr>
        <w:pStyle w:val="ChartandTableFootnoteAlpha"/>
        <w:numPr>
          <w:ilvl w:val="0"/>
          <w:numId w:val="0"/>
        </w:numPr>
        <w:spacing w:before="60"/>
        <w:ind w:left="284" w:hanging="284"/>
      </w:pPr>
      <w:r w:rsidRPr="009556D5">
        <w:t xml:space="preserve">New or modified performance measures that reflect new or materially changed programs are shown in </w:t>
      </w:r>
      <w:r w:rsidRPr="00E824FB">
        <w:rPr>
          <w:i/>
        </w:rPr>
        <w:t>italics</w:t>
      </w:r>
      <w:r w:rsidRPr="009556D5">
        <w:t>.</w:t>
      </w:r>
    </w:p>
    <w:p w14:paraId="76C1278A" w14:textId="77777777" w:rsidR="000940F7" w:rsidRPr="00C62705" w:rsidRDefault="000940F7" w:rsidP="000940F7">
      <w:pPr>
        <w:pStyle w:val="ChartandTableFootnoteAlpha"/>
        <w:numPr>
          <w:ilvl w:val="0"/>
          <w:numId w:val="0"/>
        </w:numPr>
        <w:ind w:left="284" w:hanging="284"/>
        <w:rPr>
          <w:rFonts w:cs="Arial"/>
          <w:szCs w:val="14"/>
        </w:rPr>
      </w:pPr>
      <w:r w:rsidRPr="00C62705">
        <w:rPr>
          <w:rFonts w:cs="Arial"/>
          <w:szCs w:val="14"/>
        </w:rPr>
        <w:t>(a) The following key activities referenced in the 2021–22 Corporate Plan have been removed:</w:t>
      </w:r>
    </w:p>
    <w:p w14:paraId="6B16C0FB" w14:textId="77777777" w:rsidR="000940F7" w:rsidRPr="00C62705" w:rsidRDefault="000940F7" w:rsidP="009E60A3">
      <w:pPr>
        <w:pStyle w:val="ChartandTableFootnoteAlpha"/>
        <w:numPr>
          <w:ilvl w:val="0"/>
          <w:numId w:val="234"/>
        </w:numPr>
        <w:rPr>
          <w:rFonts w:cs="Arial"/>
          <w:szCs w:val="14"/>
        </w:rPr>
      </w:pPr>
      <w:r w:rsidRPr="00C62705">
        <w:rPr>
          <w:rFonts w:cs="Arial"/>
          <w:szCs w:val="14"/>
        </w:rPr>
        <w:t>Provide policy advice and operational support to the classification regulatory framework</w:t>
      </w:r>
    </w:p>
    <w:p w14:paraId="62F65418" w14:textId="77777777" w:rsidR="000940F7" w:rsidRPr="00C62705" w:rsidRDefault="000940F7" w:rsidP="009E60A3">
      <w:pPr>
        <w:pStyle w:val="ChartandTableFootnoteAlpha"/>
        <w:numPr>
          <w:ilvl w:val="0"/>
          <w:numId w:val="234"/>
        </w:numPr>
        <w:rPr>
          <w:rFonts w:cs="Arial"/>
          <w:szCs w:val="14"/>
        </w:rPr>
      </w:pPr>
      <w:r w:rsidRPr="00C62705">
        <w:rPr>
          <w:rFonts w:cs="Arial"/>
          <w:szCs w:val="14"/>
        </w:rPr>
        <w:t>Support and advocate Australia’s interests in international telecommunications, internet governance and postal forums</w:t>
      </w:r>
    </w:p>
    <w:p w14:paraId="1F0500C0" w14:textId="77777777" w:rsidR="000940F7" w:rsidRPr="00C62705" w:rsidRDefault="000940F7" w:rsidP="009E60A3">
      <w:pPr>
        <w:pStyle w:val="ChartandTableFootnoteAlpha"/>
        <w:numPr>
          <w:ilvl w:val="0"/>
          <w:numId w:val="234"/>
        </w:numPr>
        <w:rPr>
          <w:rFonts w:cs="Arial"/>
          <w:szCs w:val="14"/>
        </w:rPr>
      </w:pPr>
      <w:r w:rsidRPr="00C62705">
        <w:rPr>
          <w:rFonts w:cs="Arial"/>
          <w:szCs w:val="14"/>
        </w:rPr>
        <w:t>Advise on postal sector policy, including Australia Post governance and performance</w:t>
      </w:r>
    </w:p>
    <w:p w14:paraId="1DFA8C09" w14:textId="77777777" w:rsidR="000940F7" w:rsidRPr="00C62705" w:rsidRDefault="000940F7" w:rsidP="009E60A3">
      <w:pPr>
        <w:pStyle w:val="ChartandTableFootnoteAlpha"/>
        <w:numPr>
          <w:ilvl w:val="0"/>
          <w:numId w:val="234"/>
        </w:numPr>
        <w:rPr>
          <w:rFonts w:cs="Arial"/>
          <w:szCs w:val="14"/>
        </w:rPr>
      </w:pPr>
      <w:r w:rsidRPr="00C62705">
        <w:rPr>
          <w:rFonts w:cs="Arial"/>
          <w:szCs w:val="14"/>
        </w:rPr>
        <w:t xml:space="preserve">Provide policy advice for inclusive telecommunications access, including the modernisation of consumer safeguards, and oversee the performance of public interest services </w:t>
      </w:r>
    </w:p>
    <w:p w14:paraId="2FDAF748" w14:textId="77777777" w:rsidR="000940F7" w:rsidRPr="00C62705" w:rsidRDefault="000940F7" w:rsidP="000940F7">
      <w:pPr>
        <w:pStyle w:val="ChartandTableFootnoteAlpha"/>
        <w:numPr>
          <w:ilvl w:val="0"/>
          <w:numId w:val="0"/>
        </w:numPr>
        <w:ind w:left="284" w:hanging="284"/>
        <w:rPr>
          <w:rFonts w:cs="Arial"/>
          <w:szCs w:val="14"/>
        </w:rPr>
      </w:pPr>
      <w:r w:rsidRPr="00C62705">
        <w:rPr>
          <w:rFonts w:eastAsia="Calibri" w:cs="Arial"/>
          <w:szCs w:val="22"/>
          <w:lang w:val="en-US" w:eastAsia="en-US"/>
        </w:rPr>
        <w:t xml:space="preserve">(b) </w:t>
      </w:r>
      <w:r w:rsidRPr="00C62705">
        <w:rPr>
          <w:rFonts w:cs="Arial"/>
          <w:szCs w:val="14"/>
        </w:rPr>
        <w:t>Refers to updated key activity that will be reflected in the 2022–23 Corporate Plan.</w:t>
      </w:r>
    </w:p>
    <w:p w14:paraId="7E4D5FF7" w14:textId="77777777" w:rsidR="000940F7" w:rsidRPr="00C62705" w:rsidRDefault="000940F7" w:rsidP="000940F7">
      <w:pPr>
        <w:pStyle w:val="ChartandTableFootnoteAlpha"/>
        <w:numPr>
          <w:ilvl w:val="0"/>
          <w:numId w:val="0"/>
        </w:numPr>
        <w:ind w:left="284" w:hanging="284"/>
        <w:rPr>
          <w:rFonts w:cs="Arial"/>
          <w:szCs w:val="14"/>
        </w:rPr>
      </w:pPr>
      <w:r w:rsidRPr="00C62705">
        <w:rPr>
          <w:rFonts w:cs="Arial"/>
          <w:szCs w:val="14"/>
        </w:rPr>
        <w:t>(c) New key activity to be reflected in the 2022–23 Corporate Plan.</w:t>
      </w:r>
    </w:p>
    <w:p w14:paraId="79678CA0" w14:textId="77777777" w:rsidR="000940F7" w:rsidRDefault="000940F7" w:rsidP="000940F7">
      <w:pPr>
        <w:pStyle w:val="ChartandTableFootnoteAlpha"/>
        <w:numPr>
          <w:ilvl w:val="0"/>
          <w:numId w:val="0"/>
        </w:numPr>
        <w:ind w:left="284" w:hanging="284"/>
        <w:rPr>
          <w:rFonts w:cs="Arial"/>
          <w:szCs w:val="14"/>
        </w:rPr>
      </w:pPr>
      <w:r w:rsidRPr="00C62705">
        <w:rPr>
          <w:rFonts w:cs="Arial"/>
          <w:szCs w:val="14"/>
        </w:rPr>
        <w:t>(d) Final reporting period for this measure. Further details will be included in the 2022–23 Corporate Plan.</w:t>
      </w:r>
    </w:p>
    <w:p w14:paraId="148AC6BF" w14:textId="77777777" w:rsidR="000940F7" w:rsidRPr="005C412F" w:rsidRDefault="000940F7" w:rsidP="000940F7">
      <w:pPr>
        <w:pStyle w:val="ListParagraph"/>
        <w:numPr>
          <w:ilvl w:val="0"/>
          <w:numId w:val="54"/>
        </w:numPr>
        <w:ind w:left="284" w:hanging="284"/>
        <w:rPr>
          <w:sz w:val="16"/>
          <w:szCs w:val="16"/>
        </w:rPr>
      </w:pPr>
      <w:r w:rsidRPr="00502311">
        <w:rPr>
          <w:rFonts w:ascii="Arial" w:hAnsi="Arial" w:cs="Arial"/>
          <w:sz w:val="16"/>
        </w:rPr>
        <w:t>T</w:t>
      </w:r>
      <w:r>
        <w:rPr>
          <w:rFonts w:ascii="Arial" w:hAnsi="Arial" w:cs="Arial"/>
          <w:sz w:val="16"/>
        </w:rPr>
        <w:t>his 2022–23 measure combines two</w:t>
      </w:r>
      <w:r w:rsidRPr="00502311">
        <w:rPr>
          <w:rFonts w:ascii="Arial" w:hAnsi="Arial" w:cs="Arial"/>
          <w:sz w:val="16"/>
        </w:rPr>
        <w:t xml:space="preserve"> 2021–22 measures</w:t>
      </w:r>
      <w:r>
        <w:rPr>
          <w:rFonts w:ascii="Arial" w:hAnsi="Arial" w:cs="Arial"/>
          <w:sz w:val="16"/>
        </w:rPr>
        <w:t>.</w:t>
      </w:r>
    </w:p>
    <w:p w14:paraId="2AF7412A" w14:textId="77777777" w:rsidR="000940F7" w:rsidRPr="005C412F" w:rsidRDefault="000940F7" w:rsidP="000940F7">
      <w:pPr>
        <w:pStyle w:val="ListParagraph"/>
        <w:numPr>
          <w:ilvl w:val="0"/>
          <w:numId w:val="54"/>
        </w:numPr>
        <w:ind w:left="284" w:hanging="284"/>
        <w:rPr>
          <w:sz w:val="16"/>
          <w:szCs w:val="16"/>
        </w:rPr>
      </w:pPr>
      <w:r w:rsidRPr="00502311">
        <w:rPr>
          <w:rFonts w:ascii="Arial" w:hAnsi="Arial" w:cs="Arial"/>
          <w:sz w:val="16"/>
        </w:rPr>
        <w:t>This 2022–23 measure combines three 2021–22 measures</w:t>
      </w:r>
      <w:r>
        <w:rPr>
          <w:rFonts w:ascii="Arial" w:hAnsi="Arial" w:cs="Arial"/>
          <w:sz w:val="16"/>
        </w:rPr>
        <w:t>.</w:t>
      </w:r>
    </w:p>
    <w:p w14:paraId="6A8BAF70" w14:textId="16202D49" w:rsidR="000940F7" w:rsidRPr="005C412F" w:rsidRDefault="000940F7" w:rsidP="000940F7">
      <w:pPr>
        <w:pStyle w:val="ListParagraph"/>
        <w:numPr>
          <w:ilvl w:val="0"/>
          <w:numId w:val="54"/>
        </w:numPr>
        <w:ind w:left="284" w:hanging="284"/>
        <w:rPr>
          <w:rFonts w:ascii="Arial" w:hAnsi="Arial" w:cs="Arial"/>
          <w:sz w:val="16"/>
        </w:rPr>
      </w:pPr>
      <w:r w:rsidRPr="005C412F">
        <w:rPr>
          <w:rFonts w:ascii="Arial" w:hAnsi="Arial" w:cs="Arial"/>
          <w:sz w:val="16"/>
        </w:rPr>
        <w:t>This measure is linked to Program 5.1 Digital Technologies and Communications Services and Program</w:t>
      </w:r>
      <w:r w:rsidR="00665295">
        <w:rPr>
          <w:rFonts w:ascii="Arial" w:hAnsi="Arial" w:cs="Arial"/>
          <w:sz w:val="16"/>
        </w:rPr>
        <w:t> </w:t>
      </w:r>
      <w:r w:rsidRPr="005C412F">
        <w:rPr>
          <w:rFonts w:ascii="Arial" w:hAnsi="Arial" w:cs="Arial"/>
          <w:sz w:val="16"/>
        </w:rPr>
        <w:t>6.1 Arts and Cultural Development.</w:t>
      </w:r>
    </w:p>
    <w:p w14:paraId="6CEFBB4D" w14:textId="77777777" w:rsidR="00B91F3E" w:rsidRPr="000940F7" w:rsidRDefault="00B91F3E" w:rsidP="000940F7">
      <w:pPr>
        <w:rPr>
          <w:rFonts w:ascii="Arial" w:hAnsi="Arial" w:cs="Arial"/>
          <w:sz w:val="16"/>
          <w:szCs w:val="16"/>
        </w:rPr>
      </w:pPr>
      <w:r w:rsidRPr="000940F7">
        <w:rPr>
          <w:rFonts w:ascii="Arial" w:hAnsi="Arial" w:cs="Arial"/>
          <w:sz w:val="16"/>
          <w:szCs w:val="16"/>
        </w:rPr>
        <w:br w:type="page"/>
      </w:r>
    </w:p>
    <w:p w14:paraId="4BA1C505" w14:textId="0CEFEB0B" w:rsidR="00B91F3E" w:rsidRPr="00C000B8" w:rsidRDefault="00B91F3E" w:rsidP="00C000B8">
      <w:pPr>
        <w:pStyle w:val="Heading3-DITRDC"/>
      </w:pPr>
      <w:bookmarkStart w:id="43" w:name="_Toc99295953"/>
      <w:r w:rsidRPr="00C000B8">
        <w:lastRenderedPageBreak/>
        <w:t xml:space="preserve">2.6 </w:t>
      </w:r>
      <w:r w:rsidRPr="00C000B8">
        <w:tab/>
        <w:t>Budgeted expenses and performance for Outcome 6</w:t>
      </w:r>
      <w:bookmarkEnd w:id="4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10"/>
      </w:tblGrid>
      <w:tr w:rsidR="00B91F3E" w:rsidRPr="005E6F2B" w14:paraId="3D89747E" w14:textId="77777777" w:rsidTr="00F96D8A">
        <w:tc>
          <w:tcPr>
            <w:tcW w:w="7510" w:type="dxa"/>
            <w:shd w:val="clear" w:color="auto" w:fill="E6E6E6"/>
          </w:tcPr>
          <w:p w14:paraId="18101F32" w14:textId="77777777" w:rsidR="00B91F3E" w:rsidRPr="005E6F2B" w:rsidRDefault="00B91F3E" w:rsidP="00F96D8A">
            <w:pPr>
              <w:pStyle w:val="TableColumnHeadingLeft"/>
            </w:pPr>
            <w:r w:rsidRPr="00F862B3">
              <w:t xml:space="preserve">Outcome </w:t>
            </w:r>
            <w:r w:rsidRPr="00842923">
              <w:t>6: Participation in, and access to, Australia’s arts and culture through developing and supporting cultural expression</w:t>
            </w:r>
          </w:p>
        </w:tc>
      </w:tr>
    </w:tbl>
    <w:p w14:paraId="5D46C982" w14:textId="77777777" w:rsidR="00B91F3E" w:rsidRPr="005E6F2B" w:rsidRDefault="00B91F3E" w:rsidP="00B91F3E">
      <w:pPr>
        <w:pStyle w:val="NoSpacing"/>
      </w:pPr>
    </w:p>
    <w:p w14:paraId="64B8D600" w14:textId="77777777" w:rsidR="00B91F3E" w:rsidRPr="00302493" w:rsidRDefault="00B91F3E" w:rsidP="00B91F3E">
      <w:pPr>
        <w:pStyle w:val="Heading5"/>
        <w:rPr>
          <w:b/>
        </w:rPr>
      </w:pPr>
      <w:r w:rsidRPr="00302493">
        <w:rPr>
          <w:b/>
        </w:rPr>
        <w:t>Budgeted expenses for Outcome 6</w:t>
      </w:r>
    </w:p>
    <w:p w14:paraId="21F69AC3" w14:textId="75591B7C" w:rsidR="00B91F3E" w:rsidRDefault="00B91F3E" w:rsidP="00B91F3E">
      <w:pPr>
        <w:jc w:val="left"/>
      </w:pPr>
      <w:r w:rsidRPr="00950281">
        <w:t xml:space="preserve">This table shows how much the </w:t>
      </w:r>
      <w:r w:rsidR="003C4CC6">
        <w:t>Department</w:t>
      </w:r>
      <w:r w:rsidRPr="00950281">
        <w:t xml:space="preserve"> intends to spend (on an accrual basis) on achieving the outcome, broken down by program, as well as by </w:t>
      </w:r>
      <w:r w:rsidR="00251746">
        <w:t>a</w:t>
      </w:r>
      <w:r w:rsidRPr="00950281">
        <w:t>dministered an</w:t>
      </w:r>
      <w:r>
        <w:t xml:space="preserve">d </w:t>
      </w:r>
      <w:r w:rsidR="00251746">
        <w:t>d</w:t>
      </w:r>
      <w:r w:rsidR="003C4CC6">
        <w:t>epartment</w:t>
      </w:r>
      <w:r>
        <w:t>al funding sources.</w:t>
      </w:r>
    </w:p>
    <w:p w14:paraId="0C9BFFBD" w14:textId="77777777" w:rsidR="00B91F3E" w:rsidRPr="00302493" w:rsidRDefault="00B91F3E" w:rsidP="00B91F3E">
      <w:pPr>
        <w:spacing w:after="0"/>
        <w:rPr>
          <w:rFonts w:ascii="Arial" w:hAnsi="Arial" w:cs="Arial"/>
          <w:b/>
        </w:rPr>
      </w:pPr>
      <w:r w:rsidRPr="00302493">
        <w:rPr>
          <w:rFonts w:ascii="Arial" w:hAnsi="Arial" w:cs="Arial"/>
          <w:b/>
        </w:rPr>
        <w:t>Table 2.6.1: Budgeted expenses for Outcome 6</w:t>
      </w:r>
    </w:p>
    <w:tbl>
      <w:tblPr>
        <w:tblW w:w="7578" w:type="dxa"/>
        <w:tblLook w:val="04A0" w:firstRow="1" w:lastRow="0" w:firstColumn="1" w:lastColumn="0" w:noHBand="0" w:noVBand="1"/>
      </w:tblPr>
      <w:tblGrid>
        <w:gridCol w:w="2694"/>
        <w:gridCol w:w="977"/>
        <w:gridCol w:w="976"/>
        <w:gridCol w:w="977"/>
        <w:gridCol w:w="977"/>
        <w:gridCol w:w="977"/>
      </w:tblGrid>
      <w:tr w:rsidR="00B91F3E" w:rsidRPr="00AE5F13" w14:paraId="6323ACC1" w14:textId="77777777" w:rsidTr="00251746">
        <w:trPr>
          <w:trHeight w:val="204"/>
        </w:trPr>
        <w:tc>
          <w:tcPr>
            <w:tcW w:w="2694" w:type="dxa"/>
            <w:tcBorders>
              <w:top w:val="single" w:sz="4" w:space="0" w:color="auto"/>
              <w:left w:val="nil"/>
              <w:bottom w:val="single" w:sz="4" w:space="0" w:color="auto"/>
              <w:right w:val="nil"/>
            </w:tcBorders>
            <w:shd w:val="clear" w:color="auto" w:fill="auto"/>
            <w:noWrap/>
            <w:vAlign w:val="bottom"/>
            <w:hideMark/>
          </w:tcPr>
          <w:p w14:paraId="57AEA16B" w14:textId="77777777" w:rsidR="00B91F3E" w:rsidRPr="00AE5F13" w:rsidRDefault="00B91F3E" w:rsidP="00F96D8A">
            <w:pPr>
              <w:spacing w:after="0" w:line="240" w:lineRule="auto"/>
              <w:jc w:val="left"/>
              <w:rPr>
                <w:rFonts w:ascii="Arial" w:hAnsi="Arial" w:cs="Arial"/>
                <w:sz w:val="15"/>
                <w:szCs w:val="15"/>
              </w:rPr>
            </w:pPr>
            <w:r w:rsidRPr="00AE5F13">
              <w:rPr>
                <w:rFonts w:ascii="Arial" w:hAnsi="Arial" w:cs="Arial"/>
                <w:sz w:val="15"/>
                <w:szCs w:val="15"/>
              </w:rPr>
              <w:t> </w:t>
            </w:r>
          </w:p>
        </w:tc>
        <w:tc>
          <w:tcPr>
            <w:tcW w:w="977" w:type="dxa"/>
            <w:tcBorders>
              <w:top w:val="single" w:sz="4" w:space="0" w:color="auto"/>
              <w:left w:val="nil"/>
              <w:bottom w:val="single" w:sz="4" w:space="0" w:color="auto"/>
              <w:right w:val="nil"/>
            </w:tcBorders>
            <w:shd w:val="clear" w:color="auto" w:fill="auto"/>
            <w:vAlign w:val="bottom"/>
            <w:hideMark/>
          </w:tcPr>
          <w:p w14:paraId="617362B5" w14:textId="77777777" w:rsidR="00B91F3E" w:rsidRPr="00251746" w:rsidRDefault="00B91F3E" w:rsidP="00F96D8A">
            <w:pPr>
              <w:spacing w:after="0" w:line="240" w:lineRule="auto"/>
              <w:jc w:val="right"/>
              <w:rPr>
                <w:rFonts w:ascii="Arial" w:hAnsi="Arial" w:cs="Arial"/>
                <w:sz w:val="16"/>
                <w:szCs w:val="16"/>
              </w:rPr>
            </w:pPr>
            <w:r w:rsidRPr="00251746">
              <w:rPr>
                <w:rFonts w:ascii="Arial" w:hAnsi="Arial" w:cs="Arial"/>
                <w:sz w:val="16"/>
                <w:szCs w:val="16"/>
              </w:rPr>
              <w:t>2021-22</w:t>
            </w:r>
            <w:r w:rsidRPr="00251746">
              <w:rPr>
                <w:rFonts w:ascii="Arial" w:hAnsi="Arial" w:cs="Arial"/>
                <w:sz w:val="16"/>
                <w:szCs w:val="16"/>
              </w:rPr>
              <w:br/>
              <w:t>Estimated  actual</w:t>
            </w:r>
            <w:r w:rsidRPr="00251746">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000000" w:fill="E6E6E6"/>
            <w:vAlign w:val="bottom"/>
            <w:hideMark/>
          </w:tcPr>
          <w:p w14:paraId="229E959E" w14:textId="77777777" w:rsidR="00B91F3E" w:rsidRPr="00251746" w:rsidRDefault="00B91F3E" w:rsidP="00F96D8A">
            <w:pPr>
              <w:spacing w:after="0" w:line="240" w:lineRule="auto"/>
              <w:jc w:val="right"/>
              <w:rPr>
                <w:rFonts w:ascii="Arial" w:hAnsi="Arial" w:cs="Arial"/>
                <w:sz w:val="16"/>
                <w:szCs w:val="16"/>
              </w:rPr>
            </w:pPr>
            <w:r w:rsidRPr="00251746">
              <w:rPr>
                <w:rFonts w:ascii="Arial" w:hAnsi="Arial" w:cs="Arial"/>
                <w:sz w:val="16"/>
                <w:szCs w:val="16"/>
              </w:rPr>
              <w:t>2022-23</w:t>
            </w:r>
            <w:r w:rsidRPr="00251746">
              <w:rPr>
                <w:rFonts w:ascii="Arial" w:hAnsi="Arial" w:cs="Arial"/>
                <w:sz w:val="16"/>
                <w:szCs w:val="16"/>
              </w:rPr>
              <w:br/>
              <w:t xml:space="preserve"> Budget</w:t>
            </w:r>
            <w:r w:rsidRPr="00251746">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38DE9C66" w14:textId="77777777" w:rsidR="00B91F3E" w:rsidRPr="00251746" w:rsidRDefault="00B91F3E" w:rsidP="00F96D8A">
            <w:pPr>
              <w:spacing w:after="0" w:line="240" w:lineRule="auto"/>
              <w:jc w:val="right"/>
              <w:rPr>
                <w:rFonts w:ascii="Arial" w:hAnsi="Arial" w:cs="Arial"/>
                <w:sz w:val="16"/>
                <w:szCs w:val="16"/>
              </w:rPr>
            </w:pPr>
            <w:r w:rsidRPr="00251746">
              <w:rPr>
                <w:rFonts w:ascii="Arial" w:hAnsi="Arial" w:cs="Arial"/>
                <w:sz w:val="16"/>
                <w:szCs w:val="16"/>
              </w:rPr>
              <w:t>2023-24</w:t>
            </w:r>
            <w:r w:rsidRPr="00251746">
              <w:rPr>
                <w:rFonts w:ascii="Arial" w:hAnsi="Arial" w:cs="Arial"/>
                <w:sz w:val="16"/>
                <w:szCs w:val="16"/>
              </w:rPr>
              <w:br/>
              <w:t>Forward estimate</w:t>
            </w:r>
            <w:r w:rsidRPr="00251746">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4F22D244" w14:textId="77777777" w:rsidR="00B91F3E" w:rsidRPr="00251746" w:rsidRDefault="00B91F3E" w:rsidP="00F96D8A">
            <w:pPr>
              <w:spacing w:after="0" w:line="240" w:lineRule="auto"/>
              <w:jc w:val="right"/>
              <w:rPr>
                <w:rFonts w:ascii="Arial" w:hAnsi="Arial" w:cs="Arial"/>
                <w:sz w:val="16"/>
                <w:szCs w:val="16"/>
              </w:rPr>
            </w:pPr>
            <w:r w:rsidRPr="00251746">
              <w:rPr>
                <w:rFonts w:ascii="Arial" w:hAnsi="Arial" w:cs="Arial"/>
                <w:sz w:val="16"/>
                <w:szCs w:val="16"/>
              </w:rPr>
              <w:t>2024-25</w:t>
            </w:r>
            <w:r w:rsidRPr="00251746">
              <w:rPr>
                <w:rFonts w:ascii="Arial" w:hAnsi="Arial" w:cs="Arial"/>
                <w:sz w:val="16"/>
                <w:szCs w:val="16"/>
              </w:rPr>
              <w:br/>
              <w:t>Forward estimate</w:t>
            </w:r>
            <w:r w:rsidRPr="00251746">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05E9530C" w14:textId="77777777" w:rsidR="00B91F3E" w:rsidRPr="00251746" w:rsidRDefault="00B91F3E" w:rsidP="00F96D8A">
            <w:pPr>
              <w:spacing w:after="0" w:line="240" w:lineRule="auto"/>
              <w:jc w:val="right"/>
              <w:rPr>
                <w:rFonts w:ascii="Arial" w:hAnsi="Arial" w:cs="Arial"/>
                <w:sz w:val="16"/>
                <w:szCs w:val="16"/>
              </w:rPr>
            </w:pPr>
            <w:r w:rsidRPr="00251746">
              <w:rPr>
                <w:rFonts w:ascii="Arial" w:hAnsi="Arial" w:cs="Arial"/>
                <w:sz w:val="16"/>
                <w:szCs w:val="16"/>
              </w:rPr>
              <w:t>2025-26</w:t>
            </w:r>
            <w:r w:rsidRPr="00251746">
              <w:rPr>
                <w:rFonts w:ascii="Arial" w:hAnsi="Arial" w:cs="Arial"/>
                <w:sz w:val="16"/>
                <w:szCs w:val="16"/>
              </w:rPr>
              <w:br/>
              <w:t>Forward estimate</w:t>
            </w:r>
            <w:r w:rsidRPr="00251746">
              <w:rPr>
                <w:rFonts w:ascii="Arial" w:hAnsi="Arial" w:cs="Arial"/>
                <w:sz w:val="16"/>
                <w:szCs w:val="16"/>
              </w:rPr>
              <w:br/>
              <w:t>$'000</w:t>
            </w:r>
          </w:p>
        </w:tc>
      </w:tr>
      <w:tr w:rsidR="00B91F3E" w:rsidRPr="00AE5F13" w14:paraId="2E633643" w14:textId="77777777" w:rsidTr="00B860E6">
        <w:trPr>
          <w:trHeight w:val="204"/>
        </w:trPr>
        <w:tc>
          <w:tcPr>
            <w:tcW w:w="7578" w:type="dxa"/>
            <w:gridSpan w:val="6"/>
            <w:tcBorders>
              <w:top w:val="nil"/>
              <w:left w:val="nil"/>
              <w:bottom w:val="single" w:sz="4" w:space="0" w:color="auto"/>
              <w:right w:val="nil"/>
            </w:tcBorders>
            <w:shd w:val="clear" w:color="000000" w:fill="E6E6E6"/>
            <w:noWrap/>
            <w:vAlign w:val="bottom"/>
            <w:hideMark/>
          </w:tcPr>
          <w:p w14:paraId="6AA74732" w14:textId="77777777" w:rsidR="00B91F3E" w:rsidRPr="00251746" w:rsidRDefault="00B91F3E" w:rsidP="00F96D8A">
            <w:pPr>
              <w:spacing w:after="0" w:line="240" w:lineRule="auto"/>
              <w:jc w:val="left"/>
              <w:rPr>
                <w:rFonts w:ascii="Arial" w:hAnsi="Arial" w:cs="Arial"/>
                <w:sz w:val="16"/>
                <w:szCs w:val="16"/>
              </w:rPr>
            </w:pPr>
            <w:r w:rsidRPr="00251746">
              <w:rPr>
                <w:rFonts w:ascii="Arial" w:hAnsi="Arial" w:cs="Arial"/>
                <w:b/>
                <w:bCs/>
                <w:sz w:val="16"/>
                <w:szCs w:val="16"/>
              </w:rPr>
              <w:t>Program 6.1: Arts and Cultural Development</w:t>
            </w:r>
          </w:p>
        </w:tc>
      </w:tr>
      <w:tr w:rsidR="00B91F3E" w:rsidRPr="00AE5F13" w14:paraId="441C0BBA" w14:textId="77777777" w:rsidTr="00251746">
        <w:trPr>
          <w:trHeight w:val="204"/>
        </w:trPr>
        <w:tc>
          <w:tcPr>
            <w:tcW w:w="2694" w:type="dxa"/>
            <w:tcBorders>
              <w:top w:val="nil"/>
              <w:left w:val="nil"/>
              <w:bottom w:val="nil"/>
              <w:right w:val="nil"/>
            </w:tcBorders>
            <w:shd w:val="clear" w:color="auto" w:fill="auto"/>
            <w:vAlign w:val="bottom"/>
            <w:hideMark/>
          </w:tcPr>
          <w:p w14:paraId="2F256DCD" w14:textId="77777777" w:rsidR="00B91F3E" w:rsidRPr="00251746" w:rsidRDefault="00B91F3E" w:rsidP="00F96D8A">
            <w:pPr>
              <w:spacing w:after="0" w:line="240" w:lineRule="auto"/>
              <w:jc w:val="left"/>
              <w:rPr>
                <w:rFonts w:ascii="Arial" w:hAnsi="Arial" w:cs="Arial"/>
                <w:sz w:val="16"/>
                <w:szCs w:val="16"/>
              </w:rPr>
            </w:pPr>
            <w:r w:rsidRPr="00251746">
              <w:rPr>
                <w:rFonts w:ascii="Arial" w:hAnsi="Arial" w:cs="Arial"/>
                <w:sz w:val="16"/>
                <w:szCs w:val="16"/>
              </w:rPr>
              <w:t>Administered expenses</w:t>
            </w:r>
          </w:p>
        </w:tc>
        <w:tc>
          <w:tcPr>
            <w:tcW w:w="977" w:type="dxa"/>
            <w:tcBorders>
              <w:top w:val="nil"/>
              <w:left w:val="nil"/>
              <w:bottom w:val="nil"/>
              <w:right w:val="nil"/>
            </w:tcBorders>
            <w:shd w:val="clear" w:color="auto" w:fill="auto"/>
            <w:noWrap/>
            <w:vAlign w:val="bottom"/>
            <w:hideMark/>
          </w:tcPr>
          <w:p w14:paraId="49F2138F" w14:textId="77777777" w:rsidR="00B91F3E" w:rsidRPr="00251746"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66E536BB" w14:textId="77777777" w:rsidR="00B91F3E" w:rsidRPr="00251746"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2717F5A" w14:textId="77777777" w:rsidR="00B91F3E" w:rsidRPr="00251746"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72F43E2" w14:textId="77777777" w:rsidR="00B91F3E" w:rsidRPr="00251746"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B4C2B0A" w14:textId="77777777" w:rsidR="00B91F3E" w:rsidRPr="00251746" w:rsidRDefault="00B91F3E" w:rsidP="00F96D8A">
            <w:pPr>
              <w:spacing w:after="0" w:line="240" w:lineRule="auto"/>
              <w:jc w:val="right"/>
              <w:rPr>
                <w:rFonts w:ascii="Arial" w:hAnsi="Arial" w:cs="Arial"/>
                <w:sz w:val="16"/>
                <w:szCs w:val="16"/>
              </w:rPr>
            </w:pPr>
          </w:p>
        </w:tc>
      </w:tr>
      <w:tr w:rsidR="00B860E6" w:rsidRPr="00AE5F13" w14:paraId="7EA9ADD1" w14:textId="77777777" w:rsidTr="00251746">
        <w:trPr>
          <w:trHeight w:val="204"/>
        </w:trPr>
        <w:tc>
          <w:tcPr>
            <w:tcW w:w="2694" w:type="dxa"/>
            <w:tcBorders>
              <w:top w:val="nil"/>
              <w:left w:val="nil"/>
              <w:bottom w:val="nil"/>
              <w:right w:val="nil"/>
            </w:tcBorders>
            <w:shd w:val="clear" w:color="auto" w:fill="auto"/>
            <w:vAlign w:val="bottom"/>
            <w:hideMark/>
          </w:tcPr>
          <w:p w14:paraId="02FACA65" w14:textId="77777777" w:rsidR="00B860E6" w:rsidRPr="00251746" w:rsidRDefault="00B860E6" w:rsidP="00B860E6">
            <w:pPr>
              <w:spacing w:after="0" w:line="240" w:lineRule="auto"/>
              <w:ind w:left="113"/>
              <w:jc w:val="left"/>
              <w:rPr>
                <w:rFonts w:ascii="Arial" w:hAnsi="Arial" w:cs="Arial"/>
                <w:sz w:val="16"/>
                <w:szCs w:val="16"/>
              </w:rPr>
            </w:pPr>
            <w:r w:rsidRPr="00251746">
              <w:rPr>
                <w:rFonts w:ascii="Arial" w:hAnsi="Arial" w:cs="Arial"/>
                <w:sz w:val="16"/>
                <w:szCs w:val="16"/>
              </w:rPr>
              <w:t>Ordinary Annual Services (Appropriation Act No. 1 and Bill No. 3)</w:t>
            </w:r>
          </w:p>
        </w:tc>
        <w:tc>
          <w:tcPr>
            <w:tcW w:w="977" w:type="dxa"/>
            <w:tcBorders>
              <w:top w:val="nil"/>
              <w:left w:val="nil"/>
              <w:bottom w:val="nil"/>
              <w:right w:val="nil"/>
            </w:tcBorders>
            <w:shd w:val="clear" w:color="auto" w:fill="auto"/>
            <w:noWrap/>
            <w:vAlign w:val="bottom"/>
            <w:hideMark/>
          </w:tcPr>
          <w:p w14:paraId="6A3346C7" w14:textId="4B1B1E38"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475,252 </w:t>
            </w:r>
          </w:p>
        </w:tc>
        <w:tc>
          <w:tcPr>
            <w:tcW w:w="976" w:type="dxa"/>
            <w:tcBorders>
              <w:top w:val="nil"/>
              <w:left w:val="nil"/>
              <w:bottom w:val="nil"/>
              <w:right w:val="nil"/>
            </w:tcBorders>
            <w:shd w:val="clear" w:color="000000" w:fill="E6E6E6"/>
            <w:noWrap/>
            <w:vAlign w:val="bottom"/>
            <w:hideMark/>
          </w:tcPr>
          <w:p w14:paraId="4C2F2214" w14:textId="76A12591"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301,052 </w:t>
            </w:r>
          </w:p>
        </w:tc>
        <w:tc>
          <w:tcPr>
            <w:tcW w:w="977" w:type="dxa"/>
            <w:tcBorders>
              <w:top w:val="nil"/>
              <w:left w:val="nil"/>
              <w:bottom w:val="nil"/>
              <w:right w:val="nil"/>
            </w:tcBorders>
            <w:shd w:val="clear" w:color="auto" w:fill="auto"/>
            <w:noWrap/>
            <w:vAlign w:val="bottom"/>
            <w:hideMark/>
          </w:tcPr>
          <w:p w14:paraId="473B2551" w14:textId="522037DF"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284,854 </w:t>
            </w:r>
          </w:p>
        </w:tc>
        <w:tc>
          <w:tcPr>
            <w:tcW w:w="977" w:type="dxa"/>
            <w:tcBorders>
              <w:top w:val="nil"/>
              <w:left w:val="nil"/>
              <w:bottom w:val="nil"/>
              <w:right w:val="nil"/>
            </w:tcBorders>
            <w:shd w:val="clear" w:color="auto" w:fill="auto"/>
            <w:noWrap/>
            <w:vAlign w:val="bottom"/>
            <w:hideMark/>
          </w:tcPr>
          <w:p w14:paraId="43137C47" w14:textId="2858E495"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279,995 </w:t>
            </w:r>
          </w:p>
        </w:tc>
        <w:tc>
          <w:tcPr>
            <w:tcW w:w="977" w:type="dxa"/>
            <w:tcBorders>
              <w:top w:val="nil"/>
              <w:left w:val="nil"/>
              <w:bottom w:val="nil"/>
              <w:right w:val="nil"/>
            </w:tcBorders>
            <w:shd w:val="clear" w:color="auto" w:fill="auto"/>
            <w:noWrap/>
            <w:vAlign w:val="bottom"/>
            <w:hideMark/>
          </w:tcPr>
          <w:p w14:paraId="5D938031" w14:textId="15E0E5A5"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282,163 </w:t>
            </w:r>
          </w:p>
        </w:tc>
      </w:tr>
      <w:tr w:rsidR="00B860E6" w:rsidRPr="00AE5F13" w14:paraId="05F42BB1" w14:textId="77777777" w:rsidTr="00251746">
        <w:trPr>
          <w:trHeight w:val="204"/>
        </w:trPr>
        <w:tc>
          <w:tcPr>
            <w:tcW w:w="2694" w:type="dxa"/>
            <w:tcBorders>
              <w:top w:val="nil"/>
              <w:left w:val="nil"/>
              <w:bottom w:val="nil"/>
              <w:right w:val="nil"/>
            </w:tcBorders>
            <w:shd w:val="clear" w:color="auto" w:fill="auto"/>
            <w:vAlign w:val="bottom"/>
            <w:hideMark/>
          </w:tcPr>
          <w:p w14:paraId="4E7E18D8" w14:textId="77777777" w:rsidR="00B860E6" w:rsidRPr="00251746" w:rsidRDefault="00B860E6" w:rsidP="00B860E6">
            <w:pPr>
              <w:spacing w:after="0" w:line="240" w:lineRule="auto"/>
              <w:ind w:left="113"/>
              <w:jc w:val="left"/>
              <w:rPr>
                <w:rFonts w:ascii="Arial" w:hAnsi="Arial" w:cs="Arial"/>
                <w:sz w:val="16"/>
                <w:szCs w:val="16"/>
              </w:rPr>
            </w:pPr>
            <w:r w:rsidRPr="00251746">
              <w:rPr>
                <w:rFonts w:ascii="Arial" w:hAnsi="Arial" w:cs="Arial"/>
                <w:sz w:val="16"/>
                <w:szCs w:val="16"/>
              </w:rPr>
              <w:t>Special accounts</w:t>
            </w:r>
          </w:p>
        </w:tc>
        <w:tc>
          <w:tcPr>
            <w:tcW w:w="977" w:type="dxa"/>
            <w:tcBorders>
              <w:top w:val="nil"/>
              <w:left w:val="nil"/>
              <w:bottom w:val="nil"/>
              <w:right w:val="nil"/>
            </w:tcBorders>
            <w:shd w:val="clear" w:color="auto" w:fill="auto"/>
            <w:noWrap/>
            <w:vAlign w:val="bottom"/>
            <w:hideMark/>
          </w:tcPr>
          <w:p w14:paraId="568C024A" w14:textId="77777777" w:rsidR="00B860E6" w:rsidRPr="00251746" w:rsidRDefault="00B860E6" w:rsidP="00B860E6">
            <w:pPr>
              <w:spacing w:after="0" w:line="240" w:lineRule="auto"/>
              <w:ind w:firstLineChars="100" w:firstLine="160"/>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5440B955" w14:textId="6FD6A89B"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212D3A9" w14:textId="77777777" w:rsidR="00B860E6" w:rsidRPr="00251746" w:rsidRDefault="00B860E6" w:rsidP="00B860E6">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74ED5CF" w14:textId="77777777" w:rsidR="00B860E6" w:rsidRPr="00251746" w:rsidRDefault="00B860E6" w:rsidP="00B860E6">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66D30C0" w14:textId="77777777" w:rsidR="00B860E6" w:rsidRPr="00251746" w:rsidRDefault="00B860E6" w:rsidP="00B860E6">
            <w:pPr>
              <w:spacing w:after="0" w:line="240" w:lineRule="auto"/>
              <w:jc w:val="right"/>
              <w:rPr>
                <w:rFonts w:ascii="Arial" w:hAnsi="Arial" w:cs="Arial"/>
                <w:sz w:val="16"/>
                <w:szCs w:val="16"/>
              </w:rPr>
            </w:pPr>
          </w:p>
        </w:tc>
      </w:tr>
      <w:tr w:rsidR="00B860E6" w:rsidRPr="00AE5F13" w14:paraId="0ABF8A36" w14:textId="77777777" w:rsidTr="00251746">
        <w:trPr>
          <w:trHeight w:val="204"/>
        </w:trPr>
        <w:tc>
          <w:tcPr>
            <w:tcW w:w="2694" w:type="dxa"/>
            <w:tcBorders>
              <w:top w:val="nil"/>
              <w:left w:val="nil"/>
              <w:bottom w:val="nil"/>
              <w:right w:val="nil"/>
            </w:tcBorders>
            <w:shd w:val="clear" w:color="auto" w:fill="auto"/>
            <w:vAlign w:val="bottom"/>
            <w:hideMark/>
          </w:tcPr>
          <w:p w14:paraId="033CD509" w14:textId="77777777" w:rsidR="00B860E6" w:rsidRPr="00251746" w:rsidRDefault="00B860E6" w:rsidP="00B860E6">
            <w:pPr>
              <w:spacing w:after="0" w:line="240" w:lineRule="auto"/>
              <w:ind w:left="227"/>
              <w:jc w:val="left"/>
              <w:rPr>
                <w:rFonts w:ascii="Arial" w:hAnsi="Arial" w:cs="Arial"/>
                <w:sz w:val="16"/>
                <w:szCs w:val="16"/>
              </w:rPr>
            </w:pPr>
            <w:r w:rsidRPr="00251746">
              <w:rPr>
                <w:rFonts w:ascii="Arial" w:hAnsi="Arial" w:cs="Arial"/>
                <w:sz w:val="16"/>
                <w:szCs w:val="16"/>
              </w:rPr>
              <w:t>National Cultural Heritage Account</w:t>
            </w:r>
          </w:p>
        </w:tc>
        <w:tc>
          <w:tcPr>
            <w:tcW w:w="977" w:type="dxa"/>
            <w:tcBorders>
              <w:top w:val="nil"/>
              <w:left w:val="nil"/>
              <w:bottom w:val="nil"/>
              <w:right w:val="nil"/>
            </w:tcBorders>
            <w:shd w:val="clear" w:color="auto" w:fill="auto"/>
            <w:noWrap/>
            <w:vAlign w:val="bottom"/>
            <w:hideMark/>
          </w:tcPr>
          <w:p w14:paraId="4FC5626E" w14:textId="76892F2A"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76" w:type="dxa"/>
            <w:tcBorders>
              <w:top w:val="nil"/>
              <w:left w:val="nil"/>
              <w:bottom w:val="nil"/>
              <w:right w:val="nil"/>
            </w:tcBorders>
            <w:shd w:val="clear" w:color="000000" w:fill="E6E6E6"/>
            <w:noWrap/>
            <w:vAlign w:val="bottom"/>
            <w:hideMark/>
          </w:tcPr>
          <w:p w14:paraId="625DFD96" w14:textId="3527EF2B"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auto"/>
            <w:noWrap/>
            <w:vAlign w:val="bottom"/>
            <w:hideMark/>
          </w:tcPr>
          <w:p w14:paraId="4AD65C5A" w14:textId="56EB0838"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auto"/>
            <w:noWrap/>
            <w:vAlign w:val="bottom"/>
            <w:hideMark/>
          </w:tcPr>
          <w:p w14:paraId="1CA1C203" w14:textId="56A6F145"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auto"/>
            <w:noWrap/>
            <w:vAlign w:val="bottom"/>
            <w:hideMark/>
          </w:tcPr>
          <w:p w14:paraId="049CB45A" w14:textId="7ABC6A76"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r>
      <w:tr w:rsidR="00B860E6" w:rsidRPr="00AE5F13" w14:paraId="7D3C123D" w14:textId="77777777" w:rsidTr="00251746">
        <w:trPr>
          <w:trHeight w:val="204"/>
        </w:trPr>
        <w:tc>
          <w:tcPr>
            <w:tcW w:w="2694" w:type="dxa"/>
            <w:tcBorders>
              <w:top w:val="nil"/>
              <w:left w:val="nil"/>
              <w:bottom w:val="nil"/>
              <w:right w:val="nil"/>
            </w:tcBorders>
            <w:shd w:val="clear" w:color="auto" w:fill="auto"/>
            <w:vAlign w:val="bottom"/>
            <w:hideMark/>
          </w:tcPr>
          <w:p w14:paraId="7125DEDB" w14:textId="0B18E21D" w:rsidR="00B860E6" w:rsidRPr="00251746" w:rsidRDefault="00B860E6" w:rsidP="00B860E6">
            <w:pPr>
              <w:spacing w:after="0" w:line="240" w:lineRule="auto"/>
              <w:ind w:left="113"/>
              <w:jc w:val="left"/>
              <w:rPr>
                <w:rFonts w:ascii="Arial" w:hAnsi="Arial" w:cs="Arial"/>
                <w:sz w:val="16"/>
                <w:szCs w:val="16"/>
              </w:rPr>
            </w:pPr>
            <w:r w:rsidRPr="00251746">
              <w:rPr>
                <w:rFonts w:ascii="Arial" w:hAnsi="Arial" w:cs="Arial"/>
                <w:sz w:val="16"/>
                <w:szCs w:val="16"/>
              </w:rPr>
              <w:t>Payments to corporate entities</w:t>
            </w:r>
            <w:r>
              <w:rPr>
                <w:rFonts w:ascii="Arial" w:hAnsi="Arial" w:cs="Arial"/>
                <w:sz w:val="16"/>
                <w:szCs w:val="16"/>
              </w:rPr>
              <w:t> </w:t>
            </w:r>
            <w:r w:rsidRPr="00251746">
              <w:rPr>
                <w:rFonts w:ascii="Arial" w:hAnsi="Arial" w:cs="Arial"/>
                <w:sz w:val="16"/>
                <w:szCs w:val="16"/>
                <w:vertAlign w:val="superscript"/>
              </w:rPr>
              <w:t>(</w:t>
            </w:r>
            <w:r>
              <w:rPr>
                <w:rFonts w:ascii="Arial" w:hAnsi="Arial" w:cs="Arial"/>
                <w:sz w:val="16"/>
                <w:szCs w:val="16"/>
                <w:vertAlign w:val="superscript"/>
              </w:rPr>
              <w:t>a</w:t>
            </w:r>
            <w:r w:rsidRPr="00251746">
              <w:rPr>
                <w:rFonts w:ascii="Arial" w:hAnsi="Arial" w:cs="Arial"/>
                <w:sz w:val="16"/>
                <w:szCs w:val="16"/>
                <w:vertAlign w:val="superscript"/>
              </w:rPr>
              <w:t>)</w:t>
            </w:r>
          </w:p>
        </w:tc>
        <w:tc>
          <w:tcPr>
            <w:tcW w:w="977" w:type="dxa"/>
            <w:tcBorders>
              <w:top w:val="nil"/>
              <w:left w:val="nil"/>
              <w:bottom w:val="nil"/>
              <w:right w:val="nil"/>
            </w:tcBorders>
            <w:shd w:val="clear" w:color="auto" w:fill="auto"/>
            <w:noWrap/>
            <w:vAlign w:val="bottom"/>
            <w:hideMark/>
          </w:tcPr>
          <w:p w14:paraId="54E35BF6" w14:textId="0EC84F17"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495,092 </w:t>
            </w:r>
          </w:p>
        </w:tc>
        <w:tc>
          <w:tcPr>
            <w:tcW w:w="976" w:type="dxa"/>
            <w:tcBorders>
              <w:top w:val="nil"/>
              <w:left w:val="nil"/>
              <w:bottom w:val="nil"/>
              <w:right w:val="nil"/>
            </w:tcBorders>
            <w:shd w:val="clear" w:color="000000" w:fill="E6E6E6"/>
            <w:noWrap/>
            <w:vAlign w:val="bottom"/>
            <w:hideMark/>
          </w:tcPr>
          <w:p w14:paraId="314BD57E" w14:textId="42FEE21D"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497,642 </w:t>
            </w:r>
          </w:p>
        </w:tc>
        <w:tc>
          <w:tcPr>
            <w:tcW w:w="977" w:type="dxa"/>
            <w:tcBorders>
              <w:top w:val="nil"/>
              <w:left w:val="nil"/>
              <w:bottom w:val="nil"/>
              <w:right w:val="nil"/>
            </w:tcBorders>
            <w:shd w:val="clear" w:color="auto" w:fill="auto"/>
            <w:noWrap/>
            <w:vAlign w:val="bottom"/>
            <w:hideMark/>
          </w:tcPr>
          <w:p w14:paraId="454A168B" w14:textId="61D13B47"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451,622 </w:t>
            </w:r>
          </w:p>
        </w:tc>
        <w:tc>
          <w:tcPr>
            <w:tcW w:w="977" w:type="dxa"/>
            <w:tcBorders>
              <w:top w:val="nil"/>
              <w:left w:val="nil"/>
              <w:bottom w:val="nil"/>
              <w:right w:val="nil"/>
            </w:tcBorders>
            <w:shd w:val="clear" w:color="auto" w:fill="auto"/>
            <w:noWrap/>
            <w:vAlign w:val="bottom"/>
            <w:hideMark/>
          </w:tcPr>
          <w:p w14:paraId="464FAF2F" w14:textId="3F44B8A5"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456,985 </w:t>
            </w:r>
          </w:p>
        </w:tc>
        <w:tc>
          <w:tcPr>
            <w:tcW w:w="977" w:type="dxa"/>
            <w:tcBorders>
              <w:top w:val="nil"/>
              <w:left w:val="nil"/>
              <w:bottom w:val="nil"/>
              <w:right w:val="nil"/>
            </w:tcBorders>
            <w:shd w:val="clear" w:color="auto" w:fill="auto"/>
            <w:noWrap/>
            <w:vAlign w:val="bottom"/>
            <w:hideMark/>
          </w:tcPr>
          <w:p w14:paraId="7A006BFF" w14:textId="3DE278A5"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462,325 </w:t>
            </w:r>
          </w:p>
        </w:tc>
      </w:tr>
      <w:tr w:rsidR="00B860E6" w:rsidRPr="00AE5F13" w14:paraId="35A5E7CC" w14:textId="77777777" w:rsidTr="00251746">
        <w:trPr>
          <w:trHeight w:val="204"/>
        </w:trPr>
        <w:tc>
          <w:tcPr>
            <w:tcW w:w="2694" w:type="dxa"/>
            <w:tcBorders>
              <w:top w:val="nil"/>
              <w:left w:val="nil"/>
              <w:right w:val="nil"/>
            </w:tcBorders>
            <w:shd w:val="clear" w:color="auto" w:fill="auto"/>
            <w:vAlign w:val="bottom"/>
            <w:hideMark/>
          </w:tcPr>
          <w:p w14:paraId="0494B110" w14:textId="3654EF75" w:rsidR="00B860E6" w:rsidRPr="00251746" w:rsidRDefault="00B860E6" w:rsidP="00B860E6">
            <w:pPr>
              <w:spacing w:after="0" w:line="240" w:lineRule="auto"/>
              <w:ind w:left="113"/>
              <w:jc w:val="left"/>
              <w:rPr>
                <w:rFonts w:ascii="Arial" w:hAnsi="Arial" w:cs="Arial"/>
                <w:sz w:val="16"/>
                <w:szCs w:val="16"/>
              </w:rPr>
            </w:pPr>
            <w:r w:rsidRPr="00251746">
              <w:rPr>
                <w:rFonts w:ascii="Arial" w:hAnsi="Arial" w:cs="Arial"/>
                <w:sz w:val="16"/>
                <w:szCs w:val="16"/>
              </w:rPr>
              <w:t>Expenses not requiring appropriation in the Budget year </w:t>
            </w:r>
            <w:r w:rsidRPr="00251746">
              <w:rPr>
                <w:rFonts w:ascii="Arial" w:hAnsi="Arial" w:cs="Arial"/>
                <w:sz w:val="16"/>
                <w:szCs w:val="16"/>
                <w:vertAlign w:val="superscript"/>
              </w:rPr>
              <w:t>(</w:t>
            </w:r>
            <w:r>
              <w:rPr>
                <w:rFonts w:ascii="Arial" w:hAnsi="Arial" w:cs="Arial"/>
                <w:sz w:val="16"/>
                <w:szCs w:val="16"/>
                <w:vertAlign w:val="superscript"/>
              </w:rPr>
              <w:t>b</w:t>
            </w:r>
            <w:r w:rsidRPr="00251746">
              <w:rPr>
                <w:rFonts w:ascii="Arial" w:hAnsi="Arial" w:cs="Arial"/>
                <w:sz w:val="16"/>
                <w:szCs w:val="16"/>
                <w:vertAlign w:val="superscript"/>
              </w:rPr>
              <w:t>)</w:t>
            </w:r>
          </w:p>
        </w:tc>
        <w:tc>
          <w:tcPr>
            <w:tcW w:w="977" w:type="dxa"/>
            <w:tcBorders>
              <w:top w:val="nil"/>
              <w:left w:val="nil"/>
              <w:bottom w:val="nil"/>
              <w:right w:val="nil"/>
            </w:tcBorders>
            <w:shd w:val="clear" w:color="auto" w:fill="auto"/>
            <w:noWrap/>
            <w:vAlign w:val="bottom"/>
            <w:hideMark/>
          </w:tcPr>
          <w:p w14:paraId="575972E0" w14:textId="5DCC00A9"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18,839 </w:t>
            </w:r>
          </w:p>
        </w:tc>
        <w:tc>
          <w:tcPr>
            <w:tcW w:w="976" w:type="dxa"/>
            <w:tcBorders>
              <w:top w:val="nil"/>
              <w:left w:val="nil"/>
              <w:bottom w:val="nil"/>
              <w:right w:val="nil"/>
            </w:tcBorders>
            <w:shd w:val="clear" w:color="000000" w:fill="E6E6E6"/>
            <w:noWrap/>
            <w:vAlign w:val="bottom"/>
            <w:hideMark/>
          </w:tcPr>
          <w:p w14:paraId="1D98E0D5" w14:textId="685A5417"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CF5FC9C" w14:textId="2900BFC4"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3E8AD1C" w14:textId="79B9CE9A"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045ED1B" w14:textId="421EDC92" w:rsidR="00B860E6" w:rsidRPr="00251746"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r>
      <w:tr w:rsidR="00B860E6" w:rsidRPr="00AE5F13" w14:paraId="75764579" w14:textId="77777777" w:rsidTr="00251746">
        <w:trPr>
          <w:trHeight w:val="204"/>
        </w:trPr>
        <w:tc>
          <w:tcPr>
            <w:tcW w:w="2694" w:type="dxa"/>
            <w:tcBorders>
              <w:top w:val="nil"/>
              <w:left w:val="nil"/>
              <w:bottom w:val="single" w:sz="4" w:space="0" w:color="auto"/>
              <w:right w:val="nil"/>
            </w:tcBorders>
            <w:shd w:val="clear" w:color="auto" w:fill="auto"/>
            <w:noWrap/>
            <w:vAlign w:val="bottom"/>
            <w:hideMark/>
          </w:tcPr>
          <w:p w14:paraId="38BA3F6C" w14:textId="77777777" w:rsidR="00B860E6" w:rsidRPr="00251746" w:rsidRDefault="00B860E6" w:rsidP="00B860E6">
            <w:pPr>
              <w:spacing w:after="0" w:line="240" w:lineRule="auto"/>
              <w:jc w:val="left"/>
              <w:rPr>
                <w:rFonts w:ascii="Arial" w:hAnsi="Arial" w:cs="Arial"/>
                <w:b/>
                <w:bCs/>
                <w:sz w:val="16"/>
                <w:szCs w:val="16"/>
              </w:rPr>
            </w:pPr>
            <w:r w:rsidRPr="00251746">
              <w:rPr>
                <w:rFonts w:ascii="Arial" w:hAnsi="Arial" w:cs="Arial"/>
                <w:b/>
                <w:bCs/>
                <w:sz w:val="16"/>
                <w:szCs w:val="16"/>
              </w:rPr>
              <w:t>Total expenses for Program 6.1</w:t>
            </w:r>
          </w:p>
        </w:tc>
        <w:tc>
          <w:tcPr>
            <w:tcW w:w="977" w:type="dxa"/>
            <w:tcBorders>
              <w:top w:val="single" w:sz="4" w:space="0" w:color="auto"/>
              <w:left w:val="nil"/>
              <w:bottom w:val="single" w:sz="4" w:space="0" w:color="auto"/>
              <w:right w:val="nil"/>
            </w:tcBorders>
            <w:shd w:val="clear" w:color="auto" w:fill="auto"/>
            <w:noWrap/>
            <w:vAlign w:val="bottom"/>
            <w:hideMark/>
          </w:tcPr>
          <w:p w14:paraId="5C1FE28E" w14:textId="76BB2423" w:rsidR="00B860E6" w:rsidRPr="00251746"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989,683 </w:t>
            </w:r>
          </w:p>
        </w:tc>
        <w:tc>
          <w:tcPr>
            <w:tcW w:w="976" w:type="dxa"/>
            <w:tcBorders>
              <w:top w:val="single" w:sz="4" w:space="0" w:color="auto"/>
              <w:left w:val="nil"/>
              <w:bottom w:val="single" w:sz="4" w:space="0" w:color="auto"/>
              <w:right w:val="nil"/>
            </w:tcBorders>
            <w:shd w:val="clear" w:color="000000" w:fill="E6E6E6"/>
            <w:noWrap/>
            <w:vAlign w:val="bottom"/>
            <w:hideMark/>
          </w:tcPr>
          <w:p w14:paraId="4E4356FF" w14:textId="646DF45B" w:rsidR="00B860E6" w:rsidRPr="00251746"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799,194 </w:t>
            </w:r>
          </w:p>
        </w:tc>
        <w:tc>
          <w:tcPr>
            <w:tcW w:w="977" w:type="dxa"/>
            <w:tcBorders>
              <w:top w:val="single" w:sz="4" w:space="0" w:color="auto"/>
              <w:left w:val="nil"/>
              <w:bottom w:val="single" w:sz="4" w:space="0" w:color="auto"/>
              <w:right w:val="nil"/>
            </w:tcBorders>
            <w:shd w:val="clear" w:color="auto" w:fill="auto"/>
            <w:noWrap/>
            <w:vAlign w:val="bottom"/>
            <w:hideMark/>
          </w:tcPr>
          <w:p w14:paraId="086D66AE" w14:textId="77837425" w:rsidR="00B860E6" w:rsidRPr="00251746"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736,976 </w:t>
            </w:r>
          </w:p>
        </w:tc>
        <w:tc>
          <w:tcPr>
            <w:tcW w:w="977" w:type="dxa"/>
            <w:tcBorders>
              <w:top w:val="single" w:sz="4" w:space="0" w:color="auto"/>
              <w:left w:val="nil"/>
              <w:bottom w:val="single" w:sz="4" w:space="0" w:color="auto"/>
              <w:right w:val="nil"/>
            </w:tcBorders>
            <w:shd w:val="clear" w:color="auto" w:fill="auto"/>
            <w:noWrap/>
            <w:vAlign w:val="bottom"/>
            <w:hideMark/>
          </w:tcPr>
          <w:p w14:paraId="6808E638" w14:textId="1D5EA125" w:rsidR="00B860E6" w:rsidRPr="00251746"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737,480 </w:t>
            </w:r>
          </w:p>
        </w:tc>
        <w:tc>
          <w:tcPr>
            <w:tcW w:w="977" w:type="dxa"/>
            <w:tcBorders>
              <w:top w:val="single" w:sz="4" w:space="0" w:color="auto"/>
              <w:left w:val="nil"/>
              <w:bottom w:val="single" w:sz="4" w:space="0" w:color="auto"/>
              <w:right w:val="nil"/>
            </w:tcBorders>
            <w:shd w:val="clear" w:color="auto" w:fill="auto"/>
            <w:noWrap/>
            <w:vAlign w:val="bottom"/>
            <w:hideMark/>
          </w:tcPr>
          <w:p w14:paraId="3874D759" w14:textId="3507EBAF" w:rsidR="00B860E6" w:rsidRPr="00251746"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744,988 </w:t>
            </w:r>
          </w:p>
        </w:tc>
      </w:tr>
      <w:tr w:rsidR="00B91F3E" w:rsidRPr="00AE5F13" w14:paraId="1A219EE2" w14:textId="77777777" w:rsidTr="00B860E6">
        <w:trPr>
          <w:trHeight w:val="204"/>
        </w:trPr>
        <w:tc>
          <w:tcPr>
            <w:tcW w:w="7578" w:type="dxa"/>
            <w:gridSpan w:val="6"/>
            <w:tcBorders>
              <w:top w:val="single" w:sz="4" w:space="0" w:color="auto"/>
              <w:left w:val="nil"/>
              <w:bottom w:val="single" w:sz="4" w:space="0" w:color="auto"/>
              <w:right w:val="nil"/>
            </w:tcBorders>
            <w:shd w:val="clear" w:color="000000" w:fill="E6E6E6"/>
            <w:noWrap/>
            <w:vAlign w:val="bottom"/>
            <w:hideMark/>
          </w:tcPr>
          <w:p w14:paraId="5554327C" w14:textId="77777777" w:rsidR="00B91F3E" w:rsidRPr="00251746" w:rsidRDefault="00B91F3E" w:rsidP="00F96D8A">
            <w:pPr>
              <w:spacing w:after="0" w:line="240" w:lineRule="auto"/>
              <w:jc w:val="left"/>
              <w:rPr>
                <w:rFonts w:ascii="Arial" w:hAnsi="Arial" w:cs="Arial"/>
                <w:sz w:val="16"/>
                <w:szCs w:val="16"/>
              </w:rPr>
            </w:pPr>
            <w:r w:rsidRPr="00251746">
              <w:rPr>
                <w:rFonts w:ascii="Arial" w:hAnsi="Arial" w:cs="Arial"/>
                <w:b/>
                <w:bCs/>
                <w:sz w:val="16"/>
                <w:szCs w:val="16"/>
              </w:rPr>
              <w:t>Program 6.2 Program Support for Outcome 6</w:t>
            </w:r>
          </w:p>
        </w:tc>
      </w:tr>
      <w:tr w:rsidR="00B91F3E" w:rsidRPr="00AE5F13" w14:paraId="1E45CEE1" w14:textId="77777777" w:rsidTr="00251746">
        <w:trPr>
          <w:trHeight w:val="204"/>
        </w:trPr>
        <w:tc>
          <w:tcPr>
            <w:tcW w:w="2694" w:type="dxa"/>
            <w:tcBorders>
              <w:top w:val="nil"/>
              <w:left w:val="nil"/>
              <w:bottom w:val="nil"/>
              <w:right w:val="nil"/>
            </w:tcBorders>
            <w:shd w:val="clear" w:color="auto" w:fill="auto"/>
            <w:noWrap/>
            <w:vAlign w:val="bottom"/>
            <w:hideMark/>
          </w:tcPr>
          <w:p w14:paraId="16D903CB" w14:textId="0D60FC41" w:rsidR="00B91F3E" w:rsidRPr="00251746" w:rsidRDefault="003C4CC6" w:rsidP="00F96D8A">
            <w:pPr>
              <w:spacing w:after="0" w:line="240" w:lineRule="auto"/>
              <w:jc w:val="left"/>
              <w:rPr>
                <w:rFonts w:ascii="Arial" w:hAnsi="Arial" w:cs="Arial"/>
                <w:sz w:val="16"/>
                <w:szCs w:val="16"/>
              </w:rPr>
            </w:pPr>
            <w:r w:rsidRPr="00251746">
              <w:rPr>
                <w:rFonts w:ascii="Arial" w:hAnsi="Arial" w:cs="Arial"/>
                <w:sz w:val="16"/>
                <w:szCs w:val="16"/>
              </w:rPr>
              <w:t>Department</w:t>
            </w:r>
            <w:r w:rsidR="00B91F3E" w:rsidRPr="00251746">
              <w:rPr>
                <w:rFonts w:ascii="Arial" w:hAnsi="Arial" w:cs="Arial"/>
                <w:sz w:val="16"/>
                <w:szCs w:val="16"/>
              </w:rPr>
              <w:t>al expenses</w:t>
            </w:r>
          </w:p>
        </w:tc>
        <w:tc>
          <w:tcPr>
            <w:tcW w:w="977" w:type="dxa"/>
            <w:tcBorders>
              <w:top w:val="nil"/>
              <w:left w:val="nil"/>
              <w:bottom w:val="nil"/>
              <w:right w:val="nil"/>
            </w:tcBorders>
            <w:shd w:val="clear" w:color="auto" w:fill="auto"/>
            <w:noWrap/>
            <w:vAlign w:val="bottom"/>
            <w:hideMark/>
          </w:tcPr>
          <w:p w14:paraId="1E73455C" w14:textId="77777777" w:rsidR="00B91F3E" w:rsidRPr="00251746"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E6E6E6"/>
            <w:noWrap/>
            <w:vAlign w:val="bottom"/>
            <w:hideMark/>
          </w:tcPr>
          <w:p w14:paraId="4738A041" w14:textId="77777777" w:rsidR="00B91F3E" w:rsidRPr="00251746"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268C28A" w14:textId="77777777" w:rsidR="00B91F3E" w:rsidRPr="00251746"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7FC1BAC" w14:textId="77777777" w:rsidR="00B91F3E" w:rsidRPr="00251746"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DBE72C5" w14:textId="77777777" w:rsidR="00B91F3E" w:rsidRPr="00251746" w:rsidRDefault="00B91F3E" w:rsidP="00F96D8A">
            <w:pPr>
              <w:spacing w:after="0" w:line="240" w:lineRule="auto"/>
              <w:jc w:val="right"/>
              <w:rPr>
                <w:rFonts w:ascii="Arial" w:hAnsi="Arial" w:cs="Arial"/>
                <w:sz w:val="16"/>
                <w:szCs w:val="16"/>
              </w:rPr>
            </w:pPr>
          </w:p>
        </w:tc>
      </w:tr>
      <w:tr w:rsidR="00B860E6" w:rsidRPr="00AE5F13" w14:paraId="2F8DA902" w14:textId="77777777" w:rsidTr="00251746">
        <w:trPr>
          <w:trHeight w:val="204"/>
        </w:trPr>
        <w:tc>
          <w:tcPr>
            <w:tcW w:w="2694" w:type="dxa"/>
            <w:tcBorders>
              <w:top w:val="nil"/>
              <w:left w:val="nil"/>
              <w:bottom w:val="nil"/>
              <w:right w:val="nil"/>
            </w:tcBorders>
            <w:shd w:val="clear" w:color="auto" w:fill="auto"/>
            <w:vAlign w:val="bottom"/>
            <w:hideMark/>
          </w:tcPr>
          <w:p w14:paraId="771E4302" w14:textId="5CAB41EE" w:rsidR="00B860E6" w:rsidRPr="00B860E6" w:rsidRDefault="00B860E6" w:rsidP="00B860E6">
            <w:pPr>
              <w:spacing w:after="0" w:line="240" w:lineRule="auto"/>
              <w:ind w:left="113"/>
              <w:jc w:val="left"/>
              <w:rPr>
                <w:rFonts w:ascii="Arial" w:hAnsi="Arial" w:cs="Arial"/>
                <w:sz w:val="16"/>
                <w:szCs w:val="16"/>
              </w:rPr>
            </w:pPr>
            <w:r w:rsidRPr="00B860E6">
              <w:rPr>
                <w:rFonts w:ascii="Arial" w:hAnsi="Arial" w:cs="Arial"/>
                <w:sz w:val="16"/>
                <w:szCs w:val="16"/>
              </w:rPr>
              <w:t>Departmental appropriation</w:t>
            </w:r>
          </w:p>
        </w:tc>
        <w:tc>
          <w:tcPr>
            <w:tcW w:w="977" w:type="dxa"/>
            <w:tcBorders>
              <w:top w:val="nil"/>
              <w:left w:val="nil"/>
              <w:bottom w:val="nil"/>
              <w:right w:val="nil"/>
            </w:tcBorders>
            <w:shd w:val="clear" w:color="auto" w:fill="auto"/>
            <w:noWrap/>
            <w:vAlign w:val="bottom"/>
            <w:hideMark/>
          </w:tcPr>
          <w:p w14:paraId="5EFDA98C" w14:textId="5FEE76B4"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49,217 </w:t>
            </w:r>
          </w:p>
        </w:tc>
        <w:tc>
          <w:tcPr>
            <w:tcW w:w="976" w:type="dxa"/>
            <w:tcBorders>
              <w:top w:val="nil"/>
              <w:left w:val="nil"/>
              <w:bottom w:val="nil"/>
              <w:right w:val="nil"/>
            </w:tcBorders>
            <w:shd w:val="clear" w:color="auto" w:fill="E6E6E6"/>
            <w:noWrap/>
            <w:vAlign w:val="bottom"/>
            <w:hideMark/>
          </w:tcPr>
          <w:p w14:paraId="445E4995" w14:textId="4D62BD25"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54,842 </w:t>
            </w:r>
          </w:p>
        </w:tc>
        <w:tc>
          <w:tcPr>
            <w:tcW w:w="977" w:type="dxa"/>
            <w:tcBorders>
              <w:top w:val="nil"/>
              <w:left w:val="nil"/>
              <w:bottom w:val="nil"/>
              <w:right w:val="nil"/>
            </w:tcBorders>
            <w:shd w:val="clear" w:color="auto" w:fill="auto"/>
            <w:noWrap/>
            <w:vAlign w:val="bottom"/>
            <w:hideMark/>
          </w:tcPr>
          <w:p w14:paraId="7039BE48" w14:textId="584C40E3"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49,422 </w:t>
            </w:r>
          </w:p>
        </w:tc>
        <w:tc>
          <w:tcPr>
            <w:tcW w:w="977" w:type="dxa"/>
            <w:tcBorders>
              <w:top w:val="nil"/>
              <w:left w:val="nil"/>
              <w:bottom w:val="nil"/>
              <w:right w:val="nil"/>
            </w:tcBorders>
            <w:shd w:val="clear" w:color="auto" w:fill="auto"/>
            <w:noWrap/>
            <w:vAlign w:val="bottom"/>
            <w:hideMark/>
          </w:tcPr>
          <w:p w14:paraId="7245B23C" w14:textId="4EB5CD91"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44,413 </w:t>
            </w:r>
          </w:p>
        </w:tc>
        <w:tc>
          <w:tcPr>
            <w:tcW w:w="977" w:type="dxa"/>
            <w:tcBorders>
              <w:top w:val="nil"/>
              <w:left w:val="nil"/>
              <w:bottom w:val="nil"/>
              <w:right w:val="nil"/>
            </w:tcBorders>
            <w:shd w:val="clear" w:color="auto" w:fill="auto"/>
            <w:noWrap/>
            <w:vAlign w:val="bottom"/>
            <w:hideMark/>
          </w:tcPr>
          <w:p w14:paraId="76D39F28" w14:textId="143D58CB"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44,415 </w:t>
            </w:r>
          </w:p>
        </w:tc>
      </w:tr>
      <w:tr w:rsidR="00B860E6" w:rsidRPr="00AE5F13" w14:paraId="3239ED5C" w14:textId="77777777" w:rsidTr="00251746">
        <w:trPr>
          <w:trHeight w:val="204"/>
        </w:trPr>
        <w:tc>
          <w:tcPr>
            <w:tcW w:w="2694" w:type="dxa"/>
            <w:tcBorders>
              <w:top w:val="nil"/>
              <w:left w:val="nil"/>
              <w:bottom w:val="nil"/>
              <w:right w:val="nil"/>
            </w:tcBorders>
            <w:shd w:val="clear" w:color="auto" w:fill="auto"/>
            <w:vAlign w:val="bottom"/>
            <w:hideMark/>
          </w:tcPr>
          <w:p w14:paraId="689985B8" w14:textId="3919793F" w:rsidR="00B860E6" w:rsidRPr="00B860E6" w:rsidRDefault="00B860E6" w:rsidP="00B860E6">
            <w:pPr>
              <w:spacing w:after="0" w:line="240" w:lineRule="auto"/>
              <w:ind w:left="113"/>
              <w:jc w:val="left"/>
              <w:rPr>
                <w:rFonts w:ascii="Arial" w:hAnsi="Arial" w:cs="Arial"/>
                <w:sz w:val="16"/>
                <w:szCs w:val="16"/>
              </w:rPr>
            </w:pPr>
            <w:r w:rsidRPr="00B860E6">
              <w:rPr>
                <w:rFonts w:ascii="Arial" w:hAnsi="Arial" w:cs="Arial"/>
                <w:sz w:val="16"/>
                <w:szCs w:val="16"/>
              </w:rPr>
              <w:t xml:space="preserve">s74 external revenues </w:t>
            </w:r>
            <w:r w:rsidRPr="00B860E6">
              <w:rPr>
                <w:rFonts w:ascii="Arial" w:hAnsi="Arial" w:cs="Arial"/>
                <w:sz w:val="16"/>
                <w:szCs w:val="16"/>
                <w:vertAlign w:val="superscript"/>
              </w:rPr>
              <w:t>(c)</w:t>
            </w:r>
          </w:p>
        </w:tc>
        <w:tc>
          <w:tcPr>
            <w:tcW w:w="977" w:type="dxa"/>
            <w:tcBorders>
              <w:top w:val="nil"/>
              <w:left w:val="nil"/>
              <w:bottom w:val="nil"/>
              <w:right w:val="nil"/>
            </w:tcBorders>
            <w:shd w:val="clear" w:color="auto" w:fill="auto"/>
            <w:noWrap/>
            <w:vAlign w:val="bottom"/>
            <w:hideMark/>
          </w:tcPr>
          <w:p w14:paraId="64ABD56F" w14:textId="2B5636F6"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1,405 </w:t>
            </w:r>
          </w:p>
        </w:tc>
        <w:tc>
          <w:tcPr>
            <w:tcW w:w="976" w:type="dxa"/>
            <w:tcBorders>
              <w:top w:val="nil"/>
              <w:left w:val="nil"/>
              <w:bottom w:val="nil"/>
              <w:right w:val="nil"/>
            </w:tcBorders>
            <w:shd w:val="clear" w:color="auto" w:fill="E6E6E6"/>
            <w:noWrap/>
            <w:vAlign w:val="bottom"/>
            <w:hideMark/>
          </w:tcPr>
          <w:p w14:paraId="2F27EB40" w14:textId="4F8435F9"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1,296 </w:t>
            </w:r>
          </w:p>
        </w:tc>
        <w:tc>
          <w:tcPr>
            <w:tcW w:w="977" w:type="dxa"/>
            <w:tcBorders>
              <w:top w:val="nil"/>
              <w:left w:val="nil"/>
              <w:bottom w:val="nil"/>
              <w:right w:val="nil"/>
            </w:tcBorders>
            <w:shd w:val="clear" w:color="auto" w:fill="auto"/>
            <w:noWrap/>
            <w:vAlign w:val="bottom"/>
            <w:hideMark/>
          </w:tcPr>
          <w:p w14:paraId="2978CD9E" w14:textId="06B50F2B"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1,525 </w:t>
            </w:r>
          </w:p>
        </w:tc>
        <w:tc>
          <w:tcPr>
            <w:tcW w:w="977" w:type="dxa"/>
            <w:tcBorders>
              <w:top w:val="nil"/>
              <w:left w:val="nil"/>
              <w:bottom w:val="nil"/>
              <w:right w:val="nil"/>
            </w:tcBorders>
            <w:shd w:val="clear" w:color="auto" w:fill="auto"/>
            <w:noWrap/>
            <w:vAlign w:val="bottom"/>
            <w:hideMark/>
          </w:tcPr>
          <w:p w14:paraId="1A74F84C" w14:textId="6AA79E47"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1,572 </w:t>
            </w:r>
          </w:p>
        </w:tc>
        <w:tc>
          <w:tcPr>
            <w:tcW w:w="977" w:type="dxa"/>
            <w:tcBorders>
              <w:top w:val="nil"/>
              <w:left w:val="nil"/>
              <w:bottom w:val="nil"/>
              <w:right w:val="nil"/>
            </w:tcBorders>
            <w:shd w:val="clear" w:color="auto" w:fill="auto"/>
            <w:noWrap/>
            <w:vAlign w:val="bottom"/>
            <w:hideMark/>
          </w:tcPr>
          <w:p w14:paraId="1466438B" w14:textId="5025FC62"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1,607 </w:t>
            </w:r>
          </w:p>
        </w:tc>
      </w:tr>
      <w:tr w:rsidR="00B860E6" w:rsidRPr="00AE5F13" w14:paraId="75F39187" w14:textId="77777777" w:rsidTr="00251746">
        <w:trPr>
          <w:trHeight w:val="204"/>
        </w:trPr>
        <w:tc>
          <w:tcPr>
            <w:tcW w:w="2694" w:type="dxa"/>
            <w:tcBorders>
              <w:top w:val="nil"/>
              <w:left w:val="nil"/>
              <w:bottom w:val="nil"/>
              <w:right w:val="nil"/>
            </w:tcBorders>
            <w:shd w:val="clear" w:color="auto" w:fill="auto"/>
            <w:vAlign w:val="bottom"/>
            <w:hideMark/>
          </w:tcPr>
          <w:p w14:paraId="7353AF4C" w14:textId="07D79BC7" w:rsidR="00B860E6" w:rsidRPr="00B860E6" w:rsidRDefault="00B860E6" w:rsidP="00B860E6">
            <w:pPr>
              <w:spacing w:after="0" w:line="240" w:lineRule="auto"/>
              <w:ind w:left="113"/>
              <w:jc w:val="left"/>
              <w:rPr>
                <w:rFonts w:ascii="Arial" w:hAnsi="Arial" w:cs="Arial"/>
                <w:sz w:val="16"/>
                <w:szCs w:val="16"/>
              </w:rPr>
            </w:pPr>
            <w:r w:rsidRPr="00B860E6">
              <w:rPr>
                <w:rFonts w:ascii="Arial" w:hAnsi="Arial" w:cs="Arial"/>
                <w:sz w:val="16"/>
                <w:szCs w:val="16"/>
              </w:rPr>
              <w:t>Special Accounts</w:t>
            </w:r>
          </w:p>
        </w:tc>
        <w:tc>
          <w:tcPr>
            <w:tcW w:w="977" w:type="dxa"/>
            <w:tcBorders>
              <w:top w:val="nil"/>
              <w:left w:val="nil"/>
              <w:bottom w:val="nil"/>
              <w:right w:val="nil"/>
            </w:tcBorders>
            <w:shd w:val="clear" w:color="auto" w:fill="auto"/>
            <w:noWrap/>
            <w:vAlign w:val="bottom"/>
            <w:hideMark/>
          </w:tcPr>
          <w:p w14:paraId="6C78DE62" w14:textId="757FD690"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w:t>
            </w:r>
          </w:p>
        </w:tc>
        <w:tc>
          <w:tcPr>
            <w:tcW w:w="976" w:type="dxa"/>
            <w:tcBorders>
              <w:top w:val="nil"/>
              <w:left w:val="nil"/>
              <w:bottom w:val="nil"/>
              <w:right w:val="nil"/>
            </w:tcBorders>
            <w:shd w:val="clear" w:color="auto" w:fill="E6E6E6"/>
            <w:noWrap/>
            <w:vAlign w:val="bottom"/>
            <w:hideMark/>
          </w:tcPr>
          <w:p w14:paraId="73F84577" w14:textId="44575822"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168DEDC7" w14:textId="65DCFA13"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DE7B565" w14:textId="6972900E"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1D26D62F" w14:textId="6B0D4B2A"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w:t>
            </w:r>
          </w:p>
        </w:tc>
      </w:tr>
      <w:tr w:rsidR="00B860E6" w:rsidRPr="00AE5F13" w14:paraId="6499FB42" w14:textId="77777777" w:rsidTr="00251746">
        <w:trPr>
          <w:trHeight w:val="204"/>
        </w:trPr>
        <w:tc>
          <w:tcPr>
            <w:tcW w:w="2694" w:type="dxa"/>
            <w:tcBorders>
              <w:top w:val="nil"/>
              <w:left w:val="nil"/>
              <w:bottom w:val="nil"/>
              <w:right w:val="nil"/>
            </w:tcBorders>
            <w:shd w:val="clear" w:color="auto" w:fill="auto"/>
            <w:vAlign w:val="bottom"/>
            <w:hideMark/>
          </w:tcPr>
          <w:p w14:paraId="1C22DAB0" w14:textId="1FBB91EE" w:rsidR="00B860E6" w:rsidRPr="00B860E6" w:rsidRDefault="00B860E6" w:rsidP="00B860E6">
            <w:pPr>
              <w:spacing w:after="0" w:line="240" w:lineRule="auto"/>
              <w:ind w:left="227"/>
              <w:jc w:val="left"/>
              <w:rPr>
                <w:rFonts w:ascii="Arial" w:hAnsi="Arial" w:cs="Arial"/>
                <w:sz w:val="16"/>
                <w:szCs w:val="16"/>
              </w:rPr>
            </w:pPr>
            <w:r w:rsidRPr="00B860E6">
              <w:rPr>
                <w:rFonts w:ascii="Arial" w:hAnsi="Arial" w:cs="Arial"/>
                <w:sz w:val="16"/>
                <w:szCs w:val="16"/>
              </w:rPr>
              <w:t>Art Rental Special Account</w:t>
            </w:r>
          </w:p>
        </w:tc>
        <w:tc>
          <w:tcPr>
            <w:tcW w:w="977" w:type="dxa"/>
            <w:tcBorders>
              <w:top w:val="nil"/>
              <w:left w:val="nil"/>
              <w:bottom w:val="nil"/>
              <w:right w:val="nil"/>
            </w:tcBorders>
            <w:shd w:val="clear" w:color="auto" w:fill="auto"/>
            <w:noWrap/>
            <w:vAlign w:val="bottom"/>
            <w:hideMark/>
          </w:tcPr>
          <w:p w14:paraId="002C421F" w14:textId="4154B7A6"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3,608 </w:t>
            </w:r>
          </w:p>
        </w:tc>
        <w:tc>
          <w:tcPr>
            <w:tcW w:w="976" w:type="dxa"/>
            <w:tcBorders>
              <w:top w:val="nil"/>
              <w:left w:val="nil"/>
              <w:bottom w:val="nil"/>
              <w:right w:val="nil"/>
            </w:tcBorders>
            <w:shd w:val="clear" w:color="auto" w:fill="E6E6E6"/>
            <w:noWrap/>
            <w:vAlign w:val="bottom"/>
            <w:hideMark/>
          </w:tcPr>
          <w:p w14:paraId="3CF14ADF" w14:textId="6DDCC252"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3,680 </w:t>
            </w:r>
          </w:p>
        </w:tc>
        <w:tc>
          <w:tcPr>
            <w:tcW w:w="977" w:type="dxa"/>
            <w:tcBorders>
              <w:top w:val="nil"/>
              <w:left w:val="nil"/>
              <w:bottom w:val="nil"/>
              <w:right w:val="nil"/>
            </w:tcBorders>
            <w:shd w:val="clear" w:color="auto" w:fill="auto"/>
            <w:noWrap/>
            <w:vAlign w:val="bottom"/>
            <w:hideMark/>
          </w:tcPr>
          <w:p w14:paraId="0FD21BEA" w14:textId="302874A0"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3,680 </w:t>
            </w:r>
          </w:p>
        </w:tc>
        <w:tc>
          <w:tcPr>
            <w:tcW w:w="977" w:type="dxa"/>
            <w:tcBorders>
              <w:top w:val="nil"/>
              <w:left w:val="nil"/>
              <w:bottom w:val="nil"/>
              <w:right w:val="nil"/>
            </w:tcBorders>
            <w:shd w:val="clear" w:color="auto" w:fill="auto"/>
            <w:noWrap/>
            <w:vAlign w:val="bottom"/>
            <w:hideMark/>
          </w:tcPr>
          <w:p w14:paraId="0A85AC23" w14:textId="25859059"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3,680 </w:t>
            </w:r>
          </w:p>
        </w:tc>
        <w:tc>
          <w:tcPr>
            <w:tcW w:w="977" w:type="dxa"/>
            <w:tcBorders>
              <w:top w:val="nil"/>
              <w:left w:val="nil"/>
              <w:bottom w:val="nil"/>
              <w:right w:val="nil"/>
            </w:tcBorders>
            <w:shd w:val="clear" w:color="auto" w:fill="auto"/>
            <w:noWrap/>
            <w:vAlign w:val="bottom"/>
            <w:hideMark/>
          </w:tcPr>
          <w:p w14:paraId="4529832C" w14:textId="5524A957"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3,680 </w:t>
            </w:r>
          </w:p>
        </w:tc>
      </w:tr>
      <w:tr w:rsidR="00B860E6" w:rsidRPr="00AE5F13" w14:paraId="288158C6" w14:textId="77777777" w:rsidTr="00251746">
        <w:trPr>
          <w:trHeight w:val="204"/>
        </w:trPr>
        <w:tc>
          <w:tcPr>
            <w:tcW w:w="2694" w:type="dxa"/>
            <w:tcBorders>
              <w:top w:val="nil"/>
              <w:left w:val="nil"/>
              <w:bottom w:val="nil"/>
              <w:right w:val="nil"/>
            </w:tcBorders>
            <w:shd w:val="clear" w:color="auto" w:fill="auto"/>
            <w:vAlign w:val="bottom"/>
            <w:hideMark/>
          </w:tcPr>
          <w:p w14:paraId="02490FBC" w14:textId="4E885AC8" w:rsidR="00B860E6" w:rsidRPr="00B860E6" w:rsidRDefault="00B860E6" w:rsidP="00B860E6">
            <w:pPr>
              <w:spacing w:after="0" w:line="240" w:lineRule="auto"/>
              <w:ind w:left="227"/>
              <w:jc w:val="left"/>
              <w:rPr>
                <w:rFonts w:ascii="Arial" w:hAnsi="Arial" w:cs="Arial"/>
                <w:sz w:val="16"/>
                <w:szCs w:val="16"/>
              </w:rPr>
            </w:pPr>
            <w:r w:rsidRPr="00B860E6">
              <w:rPr>
                <w:rFonts w:ascii="Arial" w:hAnsi="Arial" w:cs="Arial"/>
                <w:sz w:val="16"/>
                <w:szCs w:val="16"/>
              </w:rPr>
              <w:t>Indigenous Repatriation Special Account</w:t>
            </w:r>
          </w:p>
        </w:tc>
        <w:tc>
          <w:tcPr>
            <w:tcW w:w="977" w:type="dxa"/>
            <w:tcBorders>
              <w:top w:val="nil"/>
              <w:left w:val="nil"/>
              <w:bottom w:val="nil"/>
              <w:right w:val="nil"/>
            </w:tcBorders>
            <w:shd w:val="clear" w:color="auto" w:fill="auto"/>
            <w:noWrap/>
            <w:vAlign w:val="bottom"/>
            <w:hideMark/>
          </w:tcPr>
          <w:p w14:paraId="47ED6355" w14:textId="4F12C588"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694 </w:t>
            </w:r>
          </w:p>
        </w:tc>
        <w:tc>
          <w:tcPr>
            <w:tcW w:w="976" w:type="dxa"/>
            <w:tcBorders>
              <w:top w:val="nil"/>
              <w:left w:val="nil"/>
              <w:bottom w:val="nil"/>
              <w:right w:val="nil"/>
            </w:tcBorders>
            <w:shd w:val="clear" w:color="auto" w:fill="E6E6E6"/>
            <w:noWrap/>
            <w:vAlign w:val="bottom"/>
            <w:hideMark/>
          </w:tcPr>
          <w:p w14:paraId="79088B05" w14:textId="51BF170F"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706 </w:t>
            </w:r>
          </w:p>
        </w:tc>
        <w:tc>
          <w:tcPr>
            <w:tcW w:w="977" w:type="dxa"/>
            <w:tcBorders>
              <w:top w:val="nil"/>
              <w:left w:val="nil"/>
              <w:bottom w:val="nil"/>
              <w:right w:val="nil"/>
            </w:tcBorders>
            <w:shd w:val="clear" w:color="auto" w:fill="auto"/>
            <w:noWrap/>
            <w:vAlign w:val="bottom"/>
            <w:hideMark/>
          </w:tcPr>
          <w:p w14:paraId="57CA392C" w14:textId="17E99C98"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706 </w:t>
            </w:r>
          </w:p>
        </w:tc>
        <w:tc>
          <w:tcPr>
            <w:tcW w:w="977" w:type="dxa"/>
            <w:tcBorders>
              <w:top w:val="nil"/>
              <w:left w:val="nil"/>
              <w:bottom w:val="nil"/>
              <w:right w:val="nil"/>
            </w:tcBorders>
            <w:shd w:val="clear" w:color="auto" w:fill="auto"/>
            <w:noWrap/>
            <w:vAlign w:val="bottom"/>
            <w:hideMark/>
          </w:tcPr>
          <w:p w14:paraId="04003EA8" w14:textId="5F8477E7"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706 </w:t>
            </w:r>
          </w:p>
        </w:tc>
        <w:tc>
          <w:tcPr>
            <w:tcW w:w="977" w:type="dxa"/>
            <w:tcBorders>
              <w:top w:val="nil"/>
              <w:left w:val="nil"/>
              <w:bottom w:val="nil"/>
              <w:right w:val="nil"/>
            </w:tcBorders>
            <w:shd w:val="clear" w:color="auto" w:fill="auto"/>
            <w:noWrap/>
            <w:vAlign w:val="bottom"/>
            <w:hideMark/>
          </w:tcPr>
          <w:p w14:paraId="18705534" w14:textId="1B058D1E"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706 </w:t>
            </w:r>
          </w:p>
        </w:tc>
      </w:tr>
      <w:tr w:rsidR="00B860E6" w:rsidRPr="00AE5F13" w14:paraId="089790E3" w14:textId="77777777" w:rsidTr="00251746">
        <w:trPr>
          <w:trHeight w:val="204"/>
        </w:trPr>
        <w:tc>
          <w:tcPr>
            <w:tcW w:w="2694" w:type="dxa"/>
            <w:tcBorders>
              <w:top w:val="nil"/>
              <w:left w:val="nil"/>
              <w:bottom w:val="nil"/>
              <w:right w:val="nil"/>
            </w:tcBorders>
            <w:shd w:val="clear" w:color="auto" w:fill="auto"/>
            <w:vAlign w:val="bottom"/>
            <w:hideMark/>
          </w:tcPr>
          <w:p w14:paraId="05377634" w14:textId="17FC8073" w:rsidR="00B860E6" w:rsidRPr="00B860E6" w:rsidRDefault="00B860E6" w:rsidP="00CB38A3">
            <w:pPr>
              <w:spacing w:after="0" w:line="240" w:lineRule="auto"/>
              <w:ind w:left="227"/>
              <w:jc w:val="left"/>
              <w:rPr>
                <w:rFonts w:ascii="Arial" w:hAnsi="Arial" w:cs="Arial"/>
                <w:sz w:val="16"/>
                <w:szCs w:val="16"/>
              </w:rPr>
            </w:pPr>
            <w:r w:rsidRPr="00B860E6">
              <w:rPr>
                <w:rFonts w:ascii="Arial" w:hAnsi="Arial" w:cs="Arial"/>
                <w:sz w:val="16"/>
                <w:szCs w:val="16"/>
              </w:rPr>
              <w:t>Services for Other Entities and Trust Money</w:t>
            </w:r>
            <w:r w:rsidR="00CB38A3">
              <w:rPr>
                <w:rFonts w:ascii="Arial" w:hAnsi="Arial" w:cs="Arial"/>
                <w:sz w:val="16"/>
                <w:szCs w:val="16"/>
              </w:rPr>
              <w:t>s</w:t>
            </w:r>
            <w:r w:rsidRPr="00B860E6">
              <w:rPr>
                <w:rFonts w:ascii="Arial" w:hAnsi="Arial" w:cs="Arial"/>
                <w:sz w:val="16"/>
                <w:szCs w:val="16"/>
              </w:rPr>
              <w:t xml:space="preserve"> Special Account</w:t>
            </w:r>
            <w:r w:rsidR="00CB38A3">
              <w:rPr>
                <w:rFonts w:ascii="Arial" w:hAnsi="Arial" w:cs="Arial"/>
                <w:sz w:val="16"/>
                <w:szCs w:val="16"/>
              </w:rPr>
              <w:t> </w:t>
            </w:r>
            <w:r w:rsidRPr="00B860E6">
              <w:rPr>
                <w:rFonts w:ascii="Arial" w:hAnsi="Arial" w:cs="Arial"/>
                <w:sz w:val="16"/>
                <w:szCs w:val="16"/>
                <w:vertAlign w:val="superscript"/>
              </w:rPr>
              <w:t>(d)</w:t>
            </w:r>
          </w:p>
        </w:tc>
        <w:tc>
          <w:tcPr>
            <w:tcW w:w="977" w:type="dxa"/>
            <w:tcBorders>
              <w:top w:val="nil"/>
              <w:left w:val="nil"/>
              <w:bottom w:val="nil"/>
              <w:right w:val="nil"/>
            </w:tcBorders>
            <w:shd w:val="clear" w:color="auto" w:fill="auto"/>
            <w:noWrap/>
            <w:vAlign w:val="bottom"/>
            <w:hideMark/>
          </w:tcPr>
          <w:p w14:paraId="3BBE6D4D" w14:textId="1D86A245"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968 </w:t>
            </w:r>
          </w:p>
        </w:tc>
        <w:tc>
          <w:tcPr>
            <w:tcW w:w="976" w:type="dxa"/>
            <w:tcBorders>
              <w:top w:val="nil"/>
              <w:left w:val="nil"/>
              <w:bottom w:val="nil"/>
              <w:right w:val="nil"/>
            </w:tcBorders>
            <w:shd w:val="clear" w:color="auto" w:fill="E6E6E6"/>
            <w:noWrap/>
            <w:vAlign w:val="bottom"/>
            <w:hideMark/>
          </w:tcPr>
          <w:p w14:paraId="1373F698" w14:textId="503D1AD0"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394 </w:t>
            </w:r>
          </w:p>
        </w:tc>
        <w:tc>
          <w:tcPr>
            <w:tcW w:w="977" w:type="dxa"/>
            <w:tcBorders>
              <w:top w:val="nil"/>
              <w:left w:val="nil"/>
              <w:bottom w:val="nil"/>
              <w:right w:val="nil"/>
            </w:tcBorders>
            <w:shd w:val="clear" w:color="auto" w:fill="auto"/>
            <w:noWrap/>
            <w:vAlign w:val="bottom"/>
            <w:hideMark/>
          </w:tcPr>
          <w:p w14:paraId="62C7F3F7" w14:textId="0808B94E"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394 </w:t>
            </w:r>
          </w:p>
        </w:tc>
        <w:tc>
          <w:tcPr>
            <w:tcW w:w="977" w:type="dxa"/>
            <w:tcBorders>
              <w:top w:val="nil"/>
              <w:left w:val="nil"/>
              <w:bottom w:val="nil"/>
              <w:right w:val="nil"/>
            </w:tcBorders>
            <w:shd w:val="clear" w:color="auto" w:fill="auto"/>
            <w:noWrap/>
            <w:vAlign w:val="bottom"/>
            <w:hideMark/>
          </w:tcPr>
          <w:p w14:paraId="2BE74743" w14:textId="58AF4F28"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392 </w:t>
            </w:r>
          </w:p>
        </w:tc>
        <w:tc>
          <w:tcPr>
            <w:tcW w:w="977" w:type="dxa"/>
            <w:tcBorders>
              <w:top w:val="nil"/>
              <w:left w:val="nil"/>
              <w:bottom w:val="nil"/>
              <w:right w:val="nil"/>
            </w:tcBorders>
            <w:shd w:val="clear" w:color="auto" w:fill="auto"/>
            <w:noWrap/>
            <w:vAlign w:val="bottom"/>
            <w:hideMark/>
          </w:tcPr>
          <w:p w14:paraId="62A5AAD5" w14:textId="3CA27131"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392 </w:t>
            </w:r>
          </w:p>
        </w:tc>
      </w:tr>
      <w:tr w:rsidR="00B860E6" w:rsidRPr="00AE5F13" w14:paraId="3B4B0049" w14:textId="77777777" w:rsidTr="00251746">
        <w:trPr>
          <w:trHeight w:val="204"/>
        </w:trPr>
        <w:tc>
          <w:tcPr>
            <w:tcW w:w="2694" w:type="dxa"/>
            <w:tcBorders>
              <w:top w:val="nil"/>
              <w:left w:val="nil"/>
              <w:right w:val="nil"/>
            </w:tcBorders>
            <w:shd w:val="clear" w:color="auto" w:fill="auto"/>
            <w:vAlign w:val="bottom"/>
            <w:hideMark/>
          </w:tcPr>
          <w:p w14:paraId="399E1055" w14:textId="6D3EC57E" w:rsidR="00B860E6" w:rsidRPr="00B860E6" w:rsidRDefault="00B860E6" w:rsidP="00B860E6">
            <w:pPr>
              <w:spacing w:after="0" w:line="240" w:lineRule="auto"/>
              <w:ind w:left="113"/>
              <w:jc w:val="left"/>
              <w:rPr>
                <w:rFonts w:ascii="Arial" w:hAnsi="Arial" w:cs="Arial"/>
                <w:sz w:val="16"/>
                <w:szCs w:val="16"/>
              </w:rPr>
            </w:pPr>
            <w:r w:rsidRPr="00B860E6">
              <w:rPr>
                <w:rFonts w:ascii="Arial" w:hAnsi="Arial" w:cs="Arial"/>
                <w:sz w:val="16"/>
                <w:szCs w:val="16"/>
              </w:rPr>
              <w:t>Expenses not requiring appropriation in the Budget year</w:t>
            </w:r>
            <w:r>
              <w:rPr>
                <w:rFonts w:ascii="Arial" w:hAnsi="Arial" w:cs="Arial"/>
                <w:sz w:val="16"/>
                <w:szCs w:val="16"/>
              </w:rPr>
              <w:t> </w:t>
            </w:r>
            <w:r w:rsidRPr="00B860E6">
              <w:rPr>
                <w:rFonts w:ascii="Arial" w:hAnsi="Arial" w:cs="Arial"/>
                <w:sz w:val="16"/>
                <w:szCs w:val="16"/>
                <w:vertAlign w:val="superscript"/>
              </w:rPr>
              <w:t>(e)</w:t>
            </w:r>
          </w:p>
        </w:tc>
        <w:tc>
          <w:tcPr>
            <w:tcW w:w="977" w:type="dxa"/>
            <w:tcBorders>
              <w:top w:val="nil"/>
              <w:left w:val="nil"/>
              <w:bottom w:val="nil"/>
              <w:right w:val="nil"/>
            </w:tcBorders>
            <w:shd w:val="clear" w:color="auto" w:fill="auto"/>
            <w:noWrap/>
            <w:vAlign w:val="bottom"/>
            <w:hideMark/>
          </w:tcPr>
          <w:p w14:paraId="7FE56BBC" w14:textId="5432A5DA"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947 </w:t>
            </w:r>
          </w:p>
        </w:tc>
        <w:tc>
          <w:tcPr>
            <w:tcW w:w="976" w:type="dxa"/>
            <w:tcBorders>
              <w:top w:val="nil"/>
              <w:left w:val="nil"/>
              <w:bottom w:val="nil"/>
              <w:right w:val="nil"/>
            </w:tcBorders>
            <w:shd w:val="clear" w:color="auto" w:fill="E6E6E6"/>
            <w:noWrap/>
            <w:vAlign w:val="bottom"/>
            <w:hideMark/>
          </w:tcPr>
          <w:p w14:paraId="1F6309DA" w14:textId="5AC3FC95"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933 </w:t>
            </w:r>
          </w:p>
        </w:tc>
        <w:tc>
          <w:tcPr>
            <w:tcW w:w="977" w:type="dxa"/>
            <w:tcBorders>
              <w:top w:val="nil"/>
              <w:left w:val="nil"/>
              <w:bottom w:val="nil"/>
              <w:right w:val="nil"/>
            </w:tcBorders>
            <w:shd w:val="clear" w:color="auto" w:fill="auto"/>
            <w:noWrap/>
            <w:vAlign w:val="bottom"/>
            <w:hideMark/>
          </w:tcPr>
          <w:p w14:paraId="357DC218" w14:textId="29660754"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985 </w:t>
            </w:r>
          </w:p>
        </w:tc>
        <w:tc>
          <w:tcPr>
            <w:tcW w:w="977" w:type="dxa"/>
            <w:tcBorders>
              <w:top w:val="nil"/>
              <w:left w:val="nil"/>
              <w:bottom w:val="nil"/>
              <w:right w:val="nil"/>
            </w:tcBorders>
            <w:shd w:val="clear" w:color="auto" w:fill="auto"/>
            <w:noWrap/>
            <w:vAlign w:val="bottom"/>
            <w:hideMark/>
          </w:tcPr>
          <w:p w14:paraId="348BDAA7" w14:textId="42567C3F"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507 </w:t>
            </w:r>
          </w:p>
        </w:tc>
        <w:tc>
          <w:tcPr>
            <w:tcW w:w="977" w:type="dxa"/>
            <w:tcBorders>
              <w:top w:val="nil"/>
              <w:left w:val="nil"/>
              <w:bottom w:val="nil"/>
              <w:right w:val="nil"/>
            </w:tcBorders>
            <w:shd w:val="clear" w:color="auto" w:fill="auto"/>
            <w:noWrap/>
            <w:vAlign w:val="bottom"/>
            <w:hideMark/>
          </w:tcPr>
          <w:p w14:paraId="744FFA87" w14:textId="344C53C5" w:rsidR="00B860E6" w:rsidRPr="00B860E6" w:rsidRDefault="00B860E6" w:rsidP="00B860E6">
            <w:pPr>
              <w:spacing w:after="0" w:line="240" w:lineRule="auto"/>
              <w:jc w:val="right"/>
              <w:rPr>
                <w:rFonts w:ascii="Arial" w:hAnsi="Arial" w:cs="Arial"/>
                <w:sz w:val="16"/>
                <w:szCs w:val="16"/>
              </w:rPr>
            </w:pPr>
            <w:r w:rsidRPr="00B860E6">
              <w:rPr>
                <w:rFonts w:ascii="Arial" w:hAnsi="Arial" w:cs="Arial"/>
                <w:sz w:val="16"/>
                <w:szCs w:val="16"/>
              </w:rPr>
              <w:t xml:space="preserve">518 </w:t>
            </w:r>
          </w:p>
        </w:tc>
      </w:tr>
      <w:tr w:rsidR="00B860E6" w:rsidRPr="00AE5F13" w14:paraId="53433921" w14:textId="77777777" w:rsidTr="00251746">
        <w:trPr>
          <w:trHeight w:val="204"/>
        </w:trPr>
        <w:tc>
          <w:tcPr>
            <w:tcW w:w="2694" w:type="dxa"/>
            <w:tcBorders>
              <w:top w:val="nil"/>
              <w:left w:val="nil"/>
              <w:bottom w:val="single" w:sz="4" w:space="0" w:color="auto"/>
              <w:right w:val="nil"/>
            </w:tcBorders>
            <w:shd w:val="clear" w:color="auto" w:fill="auto"/>
            <w:noWrap/>
            <w:vAlign w:val="bottom"/>
            <w:hideMark/>
          </w:tcPr>
          <w:p w14:paraId="4756B215" w14:textId="185C4624" w:rsidR="00B860E6" w:rsidRPr="00B860E6" w:rsidRDefault="00B860E6" w:rsidP="00B860E6">
            <w:pPr>
              <w:spacing w:after="0" w:line="240" w:lineRule="auto"/>
              <w:jc w:val="left"/>
              <w:rPr>
                <w:rFonts w:ascii="Arial" w:hAnsi="Arial" w:cs="Arial"/>
                <w:b/>
                <w:bCs/>
                <w:sz w:val="16"/>
                <w:szCs w:val="16"/>
              </w:rPr>
            </w:pPr>
            <w:r w:rsidRPr="00B860E6">
              <w:rPr>
                <w:rFonts w:ascii="Arial" w:hAnsi="Arial" w:cs="Arial"/>
                <w:b/>
                <w:bCs/>
                <w:sz w:val="16"/>
                <w:szCs w:val="16"/>
              </w:rPr>
              <w:t>Total expenses for Program 6.2</w:t>
            </w:r>
          </w:p>
        </w:tc>
        <w:tc>
          <w:tcPr>
            <w:tcW w:w="977" w:type="dxa"/>
            <w:tcBorders>
              <w:top w:val="single" w:sz="4" w:space="0" w:color="auto"/>
              <w:left w:val="nil"/>
              <w:bottom w:val="single" w:sz="4" w:space="0" w:color="auto"/>
              <w:right w:val="nil"/>
            </w:tcBorders>
            <w:shd w:val="clear" w:color="auto" w:fill="auto"/>
            <w:noWrap/>
            <w:vAlign w:val="bottom"/>
            <w:hideMark/>
          </w:tcPr>
          <w:p w14:paraId="63FAA6FE" w14:textId="19859159" w:rsidR="00B860E6" w:rsidRPr="00B860E6" w:rsidRDefault="00B860E6" w:rsidP="00B860E6">
            <w:pPr>
              <w:spacing w:after="0" w:line="240" w:lineRule="auto"/>
              <w:jc w:val="right"/>
              <w:rPr>
                <w:rFonts w:ascii="Arial" w:hAnsi="Arial" w:cs="Arial"/>
                <w:b/>
                <w:bCs/>
                <w:sz w:val="16"/>
                <w:szCs w:val="16"/>
              </w:rPr>
            </w:pPr>
            <w:r w:rsidRPr="00B860E6">
              <w:rPr>
                <w:rFonts w:ascii="Arial" w:hAnsi="Arial" w:cs="Arial"/>
                <w:b/>
                <w:bCs/>
                <w:sz w:val="16"/>
                <w:szCs w:val="16"/>
              </w:rPr>
              <w:t xml:space="preserve">56,839 </w:t>
            </w:r>
          </w:p>
        </w:tc>
        <w:tc>
          <w:tcPr>
            <w:tcW w:w="976" w:type="dxa"/>
            <w:tcBorders>
              <w:top w:val="single" w:sz="4" w:space="0" w:color="auto"/>
              <w:left w:val="nil"/>
              <w:bottom w:val="single" w:sz="4" w:space="0" w:color="auto"/>
              <w:right w:val="nil"/>
            </w:tcBorders>
            <w:shd w:val="clear" w:color="000000" w:fill="E6E6E6"/>
            <w:noWrap/>
            <w:vAlign w:val="bottom"/>
            <w:hideMark/>
          </w:tcPr>
          <w:p w14:paraId="21E55689" w14:textId="27FF5C8F" w:rsidR="00B860E6" w:rsidRPr="00B860E6" w:rsidRDefault="00B860E6" w:rsidP="00B860E6">
            <w:pPr>
              <w:spacing w:after="0" w:line="240" w:lineRule="auto"/>
              <w:jc w:val="right"/>
              <w:rPr>
                <w:rFonts w:ascii="Arial" w:hAnsi="Arial" w:cs="Arial"/>
                <w:b/>
                <w:bCs/>
                <w:sz w:val="16"/>
                <w:szCs w:val="16"/>
              </w:rPr>
            </w:pPr>
            <w:r w:rsidRPr="00B860E6">
              <w:rPr>
                <w:rFonts w:ascii="Arial" w:hAnsi="Arial" w:cs="Arial"/>
                <w:b/>
                <w:bCs/>
                <w:sz w:val="16"/>
                <w:szCs w:val="16"/>
              </w:rPr>
              <w:t xml:space="preserve">61,851 </w:t>
            </w:r>
          </w:p>
        </w:tc>
        <w:tc>
          <w:tcPr>
            <w:tcW w:w="977" w:type="dxa"/>
            <w:tcBorders>
              <w:top w:val="single" w:sz="4" w:space="0" w:color="auto"/>
              <w:left w:val="nil"/>
              <w:bottom w:val="single" w:sz="4" w:space="0" w:color="auto"/>
              <w:right w:val="nil"/>
            </w:tcBorders>
            <w:shd w:val="clear" w:color="auto" w:fill="auto"/>
            <w:noWrap/>
            <w:vAlign w:val="bottom"/>
            <w:hideMark/>
          </w:tcPr>
          <w:p w14:paraId="76358DB3" w14:textId="1E636BC4" w:rsidR="00B860E6" w:rsidRPr="00B860E6" w:rsidRDefault="00B860E6" w:rsidP="00B860E6">
            <w:pPr>
              <w:spacing w:after="0" w:line="240" w:lineRule="auto"/>
              <w:jc w:val="right"/>
              <w:rPr>
                <w:rFonts w:ascii="Arial" w:hAnsi="Arial" w:cs="Arial"/>
                <w:b/>
                <w:bCs/>
                <w:sz w:val="16"/>
                <w:szCs w:val="16"/>
              </w:rPr>
            </w:pPr>
            <w:r w:rsidRPr="00B860E6">
              <w:rPr>
                <w:rFonts w:ascii="Arial" w:hAnsi="Arial" w:cs="Arial"/>
                <w:b/>
                <w:bCs/>
                <w:sz w:val="16"/>
                <w:szCs w:val="16"/>
              </w:rPr>
              <w:t xml:space="preserve">56,712 </w:t>
            </w:r>
          </w:p>
        </w:tc>
        <w:tc>
          <w:tcPr>
            <w:tcW w:w="977" w:type="dxa"/>
            <w:tcBorders>
              <w:top w:val="single" w:sz="4" w:space="0" w:color="auto"/>
              <w:left w:val="nil"/>
              <w:bottom w:val="single" w:sz="4" w:space="0" w:color="auto"/>
              <w:right w:val="nil"/>
            </w:tcBorders>
            <w:shd w:val="clear" w:color="auto" w:fill="auto"/>
            <w:noWrap/>
            <w:vAlign w:val="bottom"/>
            <w:hideMark/>
          </w:tcPr>
          <w:p w14:paraId="7F89F440" w14:textId="5151590D" w:rsidR="00B860E6" w:rsidRPr="00B860E6" w:rsidRDefault="00B860E6" w:rsidP="00B860E6">
            <w:pPr>
              <w:spacing w:after="0" w:line="240" w:lineRule="auto"/>
              <w:jc w:val="right"/>
              <w:rPr>
                <w:rFonts w:ascii="Arial" w:hAnsi="Arial" w:cs="Arial"/>
                <w:b/>
                <w:bCs/>
                <w:sz w:val="16"/>
                <w:szCs w:val="16"/>
              </w:rPr>
            </w:pPr>
            <w:r w:rsidRPr="00B860E6">
              <w:rPr>
                <w:rFonts w:ascii="Arial" w:hAnsi="Arial" w:cs="Arial"/>
                <w:b/>
                <w:bCs/>
                <w:sz w:val="16"/>
                <w:szCs w:val="16"/>
              </w:rPr>
              <w:t xml:space="preserve">51,270 </w:t>
            </w:r>
          </w:p>
        </w:tc>
        <w:tc>
          <w:tcPr>
            <w:tcW w:w="977" w:type="dxa"/>
            <w:tcBorders>
              <w:top w:val="single" w:sz="4" w:space="0" w:color="auto"/>
              <w:left w:val="nil"/>
              <w:bottom w:val="single" w:sz="4" w:space="0" w:color="auto"/>
              <w:right w:val="nil"/>
            </w:tcBorders>
            <w:shd w:val="clear" w:color="auto" w:fill="auto"/>
            <w:noWrap/>
            <w:vAlign w:val="bottom"/>
            <w:hideMark/>
          </w:tcPr>
          <w:p w14:paraId="6A6C2E90" w14:textId="72750AED" w:rsidR="00B860E6" w:rsidRPr="00B860E6" w:rsidRDefault="00B860E6" w:rsidP="00B860E6">
            <w:pPr>
              <w:spacing w:after="0" w:line="240" w:lineRule="auto"/>
              <w:jc w:val="right"/>
              <w:rPr>
                <w:rFonts w:ascii="Arial" w:hAnsi="Arial" w:cs="Arial"/>
                <w:b/>
                <w:bCs/>
                <w:sz w:val="16"/>
                <w:szCs w:val="16"/>
              </w:rPr>
            </w:pPr>
            <w:r w:rsidRPr="00B860E6">
              <w:rPr>
                <w:rFonts w:ascii="Arial" w:hAnsi="Arial" w:cs="Arial"/>
                <w:b/>
                <w:bCs/>
                <w:sz w:val="16"/>
                <w:szCs w:val="16"/>
              </w:rPr>
              <w:t xml:space="preserve">51,318 </w:t>
            </w:r>
          </w:p>
        </w:tc>
      </w:tr>
    </w:tbl>
    <w:p w14:paraId="54F399A1" w14:textId="77777777" w:rsidR="00B91F3E" w:rsidRDefault="00B91F3E" w:rsidP="00B91F3E">
      <w:pPr>
        <w:spacing w:after="0"/>
        <w:rPr>
          <w:rFonts w:ascii="Arial" w:hAnsi="Arial" w:cs="Arial"/>
          <w:b/>
        </w:rPr>
      </w:pPr>
    </w:p>
    <w:p w14:paraId="20598BE2" w14:textId="77777777" w:rsidR="00B91F3E" w:rsidRDefault="00B91F3E" w:rsidP="00B91F3E">
      <w:pPr>
        <w:spacing w:after="160" w:line="259" w:lineRule="auto"/>
        <w:jc w:val="left"/>
        <w:rPr>
          <w:rFonts w:ascii="Arial" w:hAnsi="Arial" w:cs="Arial"/>
          <w:b/>
        </w:rPr>
      </w:pPr>
      <w:r>
        <w:rPr>
          <w:rFonts w:ascii="Arial" w:hAnsi="Arial" w:cs="Arial"/>
          <w:b/>
        </w:rPr>
        <w:br w:type="page"/>
      </w:r>
    </w:p>
    <w:p w14:paraId="26582123" w14:textId="77777777" w:rsidR="00B91F3E" w:rsidRDefault="00B91F3E" w:rsidP="00B91F3E">
      <w:pPr>
        <w:spacing w:after="0"/>
        <w:rPr>
          <w:rFonts w:ascii="Arial" w:hAnsi="Arial" w:cs="Arial"/>
          <w:b/>
        </w:rPr>
      </w:pPr>
      <w:r w:rsidRPr="00302493">
        <w:rPr>
          <w:rFonts w:ascii="Arial" w:hAnsi="Arial" w:cs="Arial"/>
          <w:b/>
        </w:rPr>
        <w:lastRenderedPageBreak/>
        <w:t>Table 2.6.1: Budgeted expenses for Outcome 6</w:t>
      </w:r>
      <w:r>
        <w:rPr>
          <w:rFonts w:ascii="Arial" w:hAnsi="Arial" w:cs="Arial"/>
          <w:b/>
        </w:rPr>
        <w:t xml:space="preserve"> (continued)</w:t>
      </w:r>
    </w:p>
    <w:tbl>
      <w:tblPr>
        <w:tblW w:w="7459" w:type="dxa"/>
        <w:tblLook w:val="04A0" w:firstRow="1" w:lastRow="0" w:firstColumn="1" w:lastColumn="0" w:noHBand="0" w:noVBand="1"/>
      </w:tblPr>
      <w:tblGrid>
        <w:gridCol w:w="2553"/>
        <w:gridCol w:w="980"/>
        <w:gridCol w:w="980"/>
        <w:gridCol w:w="980"/>
        <w:gridCol w:w="980"/>
        <w:gridCol w:w="986"/>
      </w:tblGrid>
      <w:tr w:rsidR="00B91F3E" w:rsidRPr="00020C9D" w14:paraId="76CF7D8D" w14:textId="77777777" w:rsidTr="00B860E6">
        <w:trPr>
          <w:trHeight w:val="204"/>
        </w:trPr>
        <w:tc>
          <w:tcPr>
            <w:tcW w:w="2553" w:type="dxa"/>
            <w:tcBorders>
              <w:top w:val="single" w:sz="4" w:space="0" w:color="auto"/>
              <w:left w:val="nil"/>
              <w:bottom w:val="single" w:sz="4" w:space="0" w:color="auto"/>
              <w:right w:val="nil"/>
            </w:tcBorders>
            <w:shd w:val="clear" w:color="auto" w:fill="auto"/>
            <w:vAlign w:val="bottom"/>
            <w:hideMark/>
          </w:tcPr>
          <w:p w14:paraId="1DFC12DC" w14:textId="77777777" w:rsidR="00B91F3E" w:rsidRPr="00020C9D" w:rsidRDefault="00B91F3E" w:rsidP="00F96D8A">
            <w:pPr>
              <w:spacing w:after="0" w:line="240" w:lineRule="auto"/>
              <w:jc w:val="left"/>
              <w:rPr>
                <w:rFonts w:ascii="Arial" w:hAnsi="Arial" w:cs="Arial"/>
                <w:sz w:val="16"/>
                <w:szCs w:val="16"/>
              </w:rPr>
            </w:pPr>
            <w:r w:rsidRPr="00020C9D">
              <w:rPr>
                <w:rFonts w:ascii="Arial" w:hAnsi="Arial"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6A6C3EE9" w14:textId="77777777" w:rsidR="00B91F3E" w:rsidRPr="00020C9D" w:rsidRDefault="00B91F3E" w:rsidP="00F96D8A">
            <w:pPr>
              <w:spacing w:after="0" w:line="240" w:lineRule="auto"/>
              <w:jc w:val="right"/>
              <w:rPr>
                <w:rFonts w:ascii="Arial" w:hAnsi="Arial" w:cs="Arial"/>
                <w:sz w:val="16"/>
                <w:szCs w:val="16"/>
              </w:rPr>
            </w:pPr>
            <w:r w:rsidRPr="00020C9D">
              <w:rPr>
                <w:rFonts w:ascii="Arial" w:hAnsi="Arial" w:cs="Arial"/>
                <w:sz w:val="16"/>
                <w:szCs w:val="16"/>
              </w:rPr>
              <w:t>2021-22</w:t>
            </w:r>
            <w:r w:rsidRPr="00020C9D">
              <w:rPr>
                <w:rFonts w:ascii="Arial" w:hAnsi="Arial" w:cs="Arial"/>
                <w:sz w:val="16"/>
                <w:szCs w:val="16"/>
              </w:rPr>
              <w:br/>
              <w:t>Estimated  actual</w:t>
            </w:r>
            <w:r w:rsidRPr="00020C9D">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vAlign w:val="bottom"/>
            <w:hideMark/>
          </w:tcPr>
          <w:p w14:paraId="55B66B4D" w14:textId="77777777" w:rsidR="00B91F3E" w:rsidRPr="00020C9D" w:rsidRDefault="00B91F3E" w:rsidP="00F96D8A">
            <w:pPr>
              <w:spacing w:after="0" w:line="240" w:lineRule="auto"/>
              <w:jc w:val="right"/>
              <w:rPr>
                <w:rFonts w:ascii="Arial" w:hAnsi="Arial" w:cs="Arial"/>
                <w:sz w:val="16"/>
                <w:szCs w:val="16"/>
              </w:rPr>
            </w:pPr>
            <w:r w:rsidRPr="00020C9D">
              <w:rPr>
                <w:rFonts w:ascii="Arial" w:hAnsi="Arial" w:cs="Arial"/>
                <w:sz w:val="16"/>
                <w:szCs w:val="16"/>
              </w:rPr>
              <w:t>2022-23</w:t>
            </w:r>
            <w:r w:rsidRPr="00020C9D">
              <w:rPr>
                <w:rFonts w:ascii="Arial" w:hAnsi="Arial" w:cs="Arial"/>
                <w:sz w:val="16"/>
                <w:szCs w:val="16"/>
              </w:rPr>
              <w:br/>
              <w:t xml:space="preserve"> Budget</w:t>
            </w:r>
            <w:r w:rsidRPr="00020C9D">
              <w:rPr>
                <w:rFonts w:ascii="Arial" w:hAnsi="Arial" w:cs="Arial"/>
                <w:sz w:val="16"/>
                <w:szCs w:val="16"/>
              </w:rPr>
              <w:br/>
              <w:t xml:space="preserve">                                      $'000</w:t>
            </w:r>
          </w:p>
        </w:tc>
        <w:tc>
          <w:tcPr>
            <w:tcW w:w="980" w:type="dxa"/>
            <w:tcBorders>
              <w:top w:val="single" w:sz="4" w:space="0" w:color="auto"/>
              <w:left w:val="nil"/>
              <w:bottom w:val="single" w:sz="4" w:space="0" w:color="auto"/>
              <w:right w:val="nil"/>
            </w:tcBorders>
            <w:shd w:val="clear" w:color="auto" w:fill="auto"/>
            <w:vAlign w:val="bottom"/>
            <w:hideMark/>
          </w:tcPr>
          <w:p w14:paraId="523F5013" w14:textId="77777777" w:rsidR="00B91F3E" w:rsidRPr="00020C9D" w:rsidRDefault="00B91F3E" w:rsidP="00F96D8A">
            <w:pPr>
              <w:spacing w:after="0" w:line="240" w:lineRule="auto"/>
              <w:jc w:val="right"/>
              <w:rPr>
                <w:rFonts w:ascii="Arial" w:hAnsi="Arial" w:cs="Arial"/>
                <w:sz w:val="16"/>
                <w:szCs w:val="16"/>
              </w:rPr>
            </w:pPr>
            <w:r w:rsidRPr="00020C9D">
              <w:rPr>
                <w:rFonts w:ascii="Arial" w:hAnsi="Arial" w:cs="Arial"/>
                <w:sz w:val="16"/>
                <w:szCs w:val="16"/>
              </w:rPr>
              <w:t>2023-24</w:t>
            </w:r>
            <w:r w:rsidRPr="00020C9D">
              <w:rPr>
                <w:rFonts w:ascii="Arial" w:hAnsi="Arial" w:cs="Arial"/>
                <w:sz w:val="16"/>
                <w:szCs w:val="16"/>
              </w:rPr>
              <w:br/>
              <w:t>Forward estimate</w:t>
            </w:r>
            <w:r w:rsidRPr="00020C9D">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61EFC058" w14:textId="77777777" w:rsidR="00B91F3E" w:rsidRPr="00020C9D" w:rsidRDefault="00B91F3E" w:rsidP="00F96D8A">
            <w:pPr>
              <w:spacing w:after="0" w:line="240" w:lineRule="auto"/>
              <w:jc w:val="right"/>
              <w:rPr>
                <w:rFonts w:ascii="Arial" w:hAnsi="Arial" w:cs="Arial"/>
                <w:sz w:val="16"/>
                <w:szCs w:val="16"/>
              </w:rPr>
            </w:pPr>
            <w:r w:rsidRPr="00020C9D">
              <w:rPr>
                <w:rFonts w:ascii="Arial" w:hAnsi="Arial" w:cs="Arial"/>
                <w:sz w:val="16"/>
                <w:szCs w:val="16"/>
              </w:rPr>
              <w:t>2024-25</w:t>
            </w:r>
            <w:r w:rsidRPr="00020C9D">
              <w:rPr>
                <w:rFonts w:ascii="Arial" w:hAnsi="Arial" w:cs="Arial"/>
                <w:sz w:val="16"/>
                <w:szCs w:val="16"/>
              </w:rPr>
              <w:br/>
              <w:t>Forward estimate</w:t>
            </w:r>
            <w:r w:rsidRPr="00020C9D">
              <w:rPr>
                <w:rFonts w:ascii="Arial" w:hAnsi="Arial" w:cs="Arial"/>
                <w:sz w:val="16"/>
                <w:szCs w:val="16"/>
              </w:rPr>
              <w:br/>
              <w:t>$'000</w:t>
            </w:r>
          </w:p>
        </w:tc>
        <w:tc>
          <w:tcPr>
            <w:tcW w:w="986" w:type="dxa"/>
            <w:tcBorders>
              <w:top w:val="single" w:sz="4" w:space="0" w:color="auto"/>
              <w:left w:val="nil"/>
              <w:bottom w:val="single" w:sz="4" w:space="0" w:color="auto"/>
              <w:right w:val="nil"/>
            </w:tcBorders>
            <w:shd w:val="clear" w:color="auto" w:fill="auto"/>
            <w:vAlign w:val="bottom"/>
            <w:hideMark/>
          </w:tcPr>
          <w:p w14:paraId="45B2C8D5" w14:textId="77777777" w:rsidR="00B91F3E" w:rsidRPr="00020C9D" w:rsidRDefault="00B91F3E" w:rsidP="00F96D8A">
            <w:pPr>
              <w:spacing w:after="0" w:line="240" w:lineRule="auto"/>
              <w:jc w:val="right"/>
              <w:rPr>
                <w:rFonts w:ascii="Arial" w:hAnsi="Arial" w:cs="Arial"/>
                <w:sz w:val="16"/>
                <w:szCs w:val="16"/>
              </w:rPr>
            </w:pPr>
            <w:r w:rsidRPr="00020C9D">
              <w:rPr>
                <w:rFonts w:ascii="Arial" w:hAnsi="Arial" w:cs="Arial"/>
                <w:sz w:val="16"/>
                <w:szCs w:val="16"/>
              </w:rPr>
              <w:t>2025-26</w:t>
            </w:r>
            <w:r w:rsidRPr="00020C9D">
              <w:rPr>
                <w:rFonts w:ascii="Arial" w:hAnsi="Arial" w:cs="Arial"/>
                <w:sz w:val="16"/>
                <w:szCs w:val="16"/>
              </w:rPr>
              <w:br/>
              <w:t>Forward estimate</w:t>
            </w:r>
            <w:r w:rsidRPr="00020C9D">
              <w:rPr>
                <w:rFonts w:ascii="Arial" w:hAnsi="Arial" w:cs="Arial"/>
                <w:sz w:val="16"/>
                <w:szCs w:val="16"/>
              </w:rPr>
              <w:br/>
              <w:t>$'000</w:t>
            </w:r>
          </w:p>
        </w:tc>
      </w:tr>
      <w:tr w:rsidR="00B91F3E" w:rsidRPr="00020C9D" w14:paraId="3F11D202" w14:textId="77777777" w:rsidTr="000B6A86">
        <w:trPr>
          <w:trHeight w:val="204"/>
        </w:trPr>
        <w:tc>
          <w:tcPr>
            <w:tcW w:w="7459" w:type="dxa"/>
            <w:gridSpan w:val="6"/>
            <w:tcBorders>
              <w:top w:val="single" w:sz="4" w:space="0" w:color="auto"/>
              <w:left w:val="nil"/>
              <w:bottom w:val="single" w:sz="4" w:space="0" w:color="auto"/>
              <w:right w:val="nil"/>
            </w:tcBorders>
            <w:shd w:val="clear" w:color="000000" w:fill="E6E6E6"/>
            <w:noWrap/>
            <w:vAlign w:val="bottom"/>
            <w:hideMark/>
          </w:tcPr>
          <w:p w14:paraId="111072D3" w14:textId="77777777" w:rsidR="00B91F3E" w:rsidRPr="00020C9D" w:rsidRDefault="00B91F3E" w:rsidP="00F96D8A">
            <w:pPr>
              <w:spacing w:after="0" w:line="240" w:lineRule="auto"/>
              <w:jc w:val="left"/>
              <w:rPr>
                <w:rFonts w:ascii="Arial" w:hAnsi="Arial" w:cs="Arial"/>
                <w:sz w:val="16"/>
                <w:szCs w:val="16"/>
              </w:rPr>
            </w:pPr>
            <w:r w:rsidRPr="00020C9D">
              <w:rPr>
                <w:rFonts w:ascii="Arial" w:hAnsi="Arial" w:cs="Arial"/>
                <w:b/>
                <w:bCs/>
                <w:sz w:val="16"/>
                <w:szCs w:val="16"/>
              </w:rPr>
              <w:t>Outcome 6 Totals by appropriation type</w:t>
            </w:r>
          </w:p>
        </w:tc>
      </w:tr>
      <w:tr w:rsidR="00B91F3E" w:rsidRPr="00020C9D" w14:paraId="76D9C866" w14:textId="77777777" w:rsidTr="00B860E6">
        <w:trPr>
          <w:trHeight w:val="204"/>
        </w:trPr>
        <w:tc>
          <w:tcPr>
            <w:tcW w:w="2553" w:type="dxa"/>
            <w:tcBorders>
              <w:top w:val="nil"/>
              <w:left w:val="nil"/>
              <w:bottom w:val="nil"/>
              <w:right w:val="nil"/>
            </w:tcBorders>
            <w:shd w:val="clear" w:color="auto" w:fill="auto"/>
            <w:noWrap/>
            <w:vAlign w:val="bottom"/>
            <w:hideMark/>
          </w:tcPr>
          <w:p w14:paraId="29B269E6" w14:textId="77777777" w:rsidR="00B91F3E" w:rsidRPr="00020C9D" w:rsidRDefault="00B91F3E" w:rsidP="00F96D8A">
            <w:pPr>
              <w:spacing w:after="0" w:line="240" w:lineRule="auto"/>
              <w:jc w:val="left"/>
              <w:rPr>
                <w:rFonts w:ascii="Arial" w:hAnsi="Arial" w:cs="Arial"/>
                <w:sz w:val="16"/>
                <w:szCs w:val="16"/>
              </w:rPr>
            </w:pPr>
            <w:r w:rsidRPr="00020C9D">
              <w:rPr>
                <w:rFonts w:ascii="Arial" w:hAnsi="Arial" w:cs="Arial"/>
                <w:sz w:val="16"/>
                <w:szCs w:val="16"/>
              </w:rPr>
              <w:t>Administered expenses</w:t>
            </w:r>
          </w:p>
        </w:tc>
        <w:tc>
          <w:tcPr>
            <w:tcW w:w="980" w:type="dxa"/>
            <w:tcBorders>
              <w:top w:val="nil"/>
              <w:left w:val="nil"/>
              <w:bottom w:val="nil"/>
              <w:right w:val="nil"/>
            </w:tcBorders>
            <w:shd w:val="clear" w:color="auto" w:fill="auto"/>
            <w:noWrap/>
            <w:vAlign w:val="bottom"/>
            <w:hideMark/>
          </w:tcPr>
          <w:p w14:paraId="3C9567DC" w14:textId="77777777" w:rsidR="00B91F3E" w:rsidRPr="00020C9D" w:rsidRDefault="00B91F3E" w:rsidP="00F96D8A">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14:paraId="4ABE2B74" w14:textId="77777777" w:rsidR="00B91F3E" w:rsidRPr="00020C9D" w:rsidRDefault="00B91F3E" w:rsidP="00F96D8A">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7C95D462" w14:textId="77777777" w:rsidR="00B91F3E" w:rsidRPr="00020C9D" w:rsidRDefault="00B91F3E" w:rsidP="00F96D8A">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1B01AC3D" w14:textId="77777777" w:rsidR="00B91F3E" w:rsidRPr="00020C9D" w:rsidRDefault="00B91F3E" w:rsidP="00F96D8A">
            <w:pPr>
              <w:spacing w:after="0" w:line="240" w:lineRule="auto"/>
              <w:jc w:val="right"/>
              <w:rPr>
                <w:rFonts w:ascii="Arial" w:hAnsi="Arial" w:cs="Arial"/>
                <w:b/>
                <w:bCs/>
                <w:sz w:val="16"/>
                <w:szCs w:val="16"/>
              </w:rPr>
            </w:pPr>
          </w:p>
        </w:tc>
        <w:tc>
          <w:tcPr>
            <w:tcW w:w="986" w:type="dxa"/>
            <w:tcBorders>
              <w:top w:val="nil"/>
              <w:left w:val="nil"/>
              <w:bottom w:val="nil"/>
              <w:right w:val="nil"/>
            </w:tcBorders>
            <w:shd w:val="clear" w:color="auto" w:fill="auto"/>
            <w:noWrap/>
            <w:vAlign w:val="bottom"/>
            <w:hideMark/>
          </w:tcPr>
          <w:p w14:paraId="2A3964B9" w14:textId="77777777" w:rsidR="00B91F3E" w:rsidRPr="00020C9D" w:rsidRDefault="00B91F3E" w:rsidP="00F96D8A">
            <w:pPr>
              <w:spacing w:after="0" w:line="240" w:lineRule="auto"/>
              <w:jc w:val="right"/>
              <w:rPr>
                <w:rFonts w:ascii="Arial" w:hAnsi="Arial" w:cs="Arial"/>
                <w:b/>
                <w:bCs/>
                <w:sz w:val="16"/>
                <w:szCs w:val="16"/>
              </w:rPr>
            </w:pPr>
          </w:p>
        </w:tc>
      </w:tr>
      <w:tr w:rsidR="00B860E6" w:rsidRPr="00020C9D" w14:paraId="2677D2C0" w14:textId="77777777" w:rsidTr="00B860E6">
        <w:trPr>
          <w:trHeight w:val="204"/>
        </w:trPr>
        <w:tc>
          <w:tcPr>
            <w:tcW w:w="2553" w:type="dxa"/>
            <w:tcBorders>
              <w:top w:val="nil"/>
              <w:left w:val="nil"/>
              <w:bottom w:val="nil"/>
              <w:right w:val="nil"/>
            </w:tcBorders>
            <w:shd w:val="clear" w:color="auto" w:fill="auto"/>
            <w:vAlign w:val="bottom"/>
            <w:hideMark/>
          </w:tcPr>
          <w:p w14:paraId="1BE9DDEE" w14:textId="77777777"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Ordinary Annual Services (Appropriation Act No. 1 and Bill No. 3)</w:t>
            </w:r>
          </w:p>
        </w:tc>
        <w:tc>
          <w:tcPr>
            <w:tcW w:w="980" w:type="dxa"/>
            <w:tcBorders>
              <w:top w:val="nil"/>
              <w:left w:val="nil"/>
              <w:bottom w:val="nil"/>
              <w:right w:val="nil"/>
            </w:tcBorders>
            <w:shd w:val="clear" w:color="auto" w:fill="auto"/>
            <w:noWrap/>
            <w:vAlign w:val="bottom"/>
            <w:hideMark/>
          </w:tcPr>
          <w:p w14:paraId="75F3A416" w14:textId="232032A4"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475,252 </w:t>
            </w:r>
          </w:p>
        </w:tc>
        <w:tc>
          <w:tcPr>
            <w:tcW w:w="980" w:type="dxa"/>
            <w:tcBorders>
              <w:top w:val="nil"/>
              <w:left w:val="nil"/>
              <w:bottom w:val="nil"/>
              <w:right w:val="nil"/>
            </w:tcBorders>
            <w:shd w:val="clear" w:color="000000" w:fill="E6E6E6"/>
            <w:noWrap/>
            <w:vAlign w:val="bottom"/>
            <w:hideMark/>
          </w:tcPr>
          <w:p w14:paraId="1EEADBC7" w14:textId="28494CC4"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301,052 </w:t>
            </w:r>
          </w:p>
        </w:tc>
        <w:tc>
          <w:tcPr>
            <w:tcW w:w="980" w:type="dxa"/>
            <w:tcBorders>
              <w:top w:val="nil"/>
              <w:left w:val="nil"/>
              <w:bottom w:val="nil"/>
              <w:right w:val="nil"/>
            </w:tcBorders>
            <w:shd w:val="clear" w:color="auto" w:fill="auto"/>
            <w:noWrap/>
            <w:vAlign w:val="bottom"/>
            <w:hideMark/>
          </w:tcPr>
          <w:p w14:paraId="32FE1778" w14:textId="2FB2021C"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284,854 </w:t>
            </w:r>
          </w:p>
        </w:tc>
        <w:tc>
          <w:tcPr>
            <w:tcW w:w="980" w:type="dxa"/>
            <w:tcBorders>
              <w:top w:val="nil"/>
              <w:left w:val="nil"/>
              <w:bottom w:val="nil"/>
              <w:right w:val="nil"/>
            </w:tcBorders>
            <w:shd w:val="clear" w:color="auto" w:fill="auto"/>
            <w:noWrap/>
            <w:vAlign w:val="bottom"/>
            <w:hideMark/>
          </w:tcPr>
          <w:p w14:paraId="58D71695" w14:textId="534A1E03"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279,995 </w:t>
            </w:r>
          </w:p>
        </w:tc>
        <w:tc>
          <w:tcPr>
            <w:tcW w:w="986" w:type="dxa"/>
            <w:tcBorders>
              <w:top w:val="nil"/>
              <w:left w:val="nil"/>
              <w:bottom w:val="nil"/>
              <w:right w:val="nil"/>
            </w:tcBorders>
            <w:shd w:val="clear" w:color="auto" w:fill="auto"/>
            <w:noWrap/>
            <w:vAlign w:val="bottom"/>
            <w:hideMark/>
          </w:tcPr>
          <w:p w14:paraId="4E8A309D" w14:textId="69903004"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282,163 </w:t>
            </w:r>
          </w:p>
        </w:tc>
      </w:tr>
      <w:tr w:rsidR="00B860E6" w:rsidRPr="00020C9D" w14:paraId="230DA310" w14:textId="77777777" w:rsidTr="00B860E6">
        <w:trPr>
          <w:trHeight w:val="204"/>
        </w:trPr>
        <w:tc>
          <w:tcPr>
            <w:tcW w:w="2553" w:type="dxa"/>
            <w:tcBorders>
              <w:top w:val="nil"/>
              <w:left w:val="nil"/>
              <w:bottom w:val="nil"/>
              <w:right w:val="nil"/>
            </w:tcBorders>
            <w:shd w:val="clear" w:color="auto" w:fill="auto"/>
            <w:vAlign w:val="bottom"/>
            <w:hideMark/>
          </w:tcPr>
          <w:p w14:paraId="5DDCCFD0" w14:textId="77777777"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Special accounts</w:t>
            </w:r>
          </w:p>
        </w:tc>
        <w:tc>
          <w:tcPr>
            <w:tcW w:w="980" w:type="dxa"/>
            <w:tcBorders>
              <w:top w:val="nil"/>
              <w:left w:val="nil"/>
              <w:bottom w:val="nil"/>
              <w:right w:val="nil"/>
            </w:tcBorders>
            <w:shd w:val="clear" w:color="auto" w:fill="auto"/>
            <w:noWrap/>
            <w:vAlign w:val="bottom"/>
            <w:hideMark/>
          </w:tcPr>
          <w:p w14:paraId="7B1D4403" w14:textId="1741BCED"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80" w:type="dxa"/>
            <w:tcBorders>
              <w:top w:val="nil"/>
              <w:left w:val="nil"/>
              <w:bottom w:val="nil"/>
              <w:right w:val="nil"/>
            </w:tcBorders>
            <w:shd w:val="clear" w:color="000000" w:fill="E6E6E6"/>
            <w:noWrap/>
            <w:vAlign w:val="bottom"/>
            <w:hideMark/>
          </w:tcPr>
          <w:p w14:paraId="2CC7250C" w14:textId="31DA9458"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80" w:type="dxa"/>
            <w:tcBorders>
              <w:top w:val="nil"/>
              <w:left w:val="nil"/>
              <w:bottom w:val="nil"/>
              <w:right w:val="nil"/>
            </w:tcBorders>
            <w:shd w:val="clear" w:color="auto" w:fill="auto"/>
            <w:noWrap/>
            <w:vAlign w:val="bottom"/>
            <w:hideMark/>
          </w:tcPr>
          <w:p w14:paraId="6EE4FDDF" w14:textId="3E2A4EC8"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80" w:type="dxa"/>
            <w:tcBorders>
              <w:top w:val="nil"/>
              <w:left w:val="nil"/>
              <w:bottom w:val="nil"/>
              <w:right w:val="nil"/>
            </w:tcBorders>
            <w:shd w:val="clear" w:color="auto" w:fill="auto"/>
            <w:noWrap/>
            <w:vAlign w:val="bottom"/>
            <w:hideMark/>
          </w:tcPr>
          <w:p w14:paraId="61EC3CE9" w14:textId="0FB6182F"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c>
          <w:tcPr>
            <w:tcW w:w="986" w:type="dxa"/>
            <w:tcBorders>
              <w:top w:val="nil"/>
              <w:left w:val="nil"/>
              <w:bottom w:val="nil"/>
              <w:right w:val="nil"/>
            </w:tcBorders>
            <w:shd w:val="clear" w:color="auto" w:fill="auto"/>
            <w:noWrap/>
            <w:vAlign w:val="bottom"/>
            <w:hideMark/>
          </w:tcPr>
          <w:p w14:paraId="3EE99BDF" w14:textId="107FEAE0"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500 </w:t>
            </w:r>
          </w:p>
        </w:tc>
      </w:tr>
      <w:tr w:rsidR="00B860E6" w:rsidRPr="00020C9D" w14:paraId="471BB3AE" w14:textId="77777777" w:rsidTr="00B860E6">
        <w:trPr>
          <w:trHeight w:val="204"/>
        </w:trPr>
        <w:tc>
          <w:tcPr>
            <w:tcW w:w="2553" w:type="dxa"/>
            <w:tcBorders>
              <w:top w:val="nil"/>
              <w:left w:val="nil"/>
              <w:bottom w:val="nil"/>
              <w:right w:val="nil"/>
            </w:tcBorders>
            <w:shd w:val="clear" w:color="auto" w:fill="auto"/>
            <w:vAlign w:val="bottom"/>
            <w:hideMark/>
          </w:tcPr>
          <w:p w14:paraId="5D35699D" w14:textId="10EA1FA8"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Payments to corporate entities</w:t>
            </w:r>
            <w:r>
              <w:rPr>
                <w:rFonts w:ascii="Arial" w:hAnsi="Arial" w:cs="Arial"/>
                <w:sz w:val="16"/>
                <w:szCs w:val="16"/>
              </w:rPr>
              <w:t> </w:t>
            </w:r>
            <w:r>
              <w:rPr>
                <w:rFonts w:ascii="Arial" w:hAnsi="Arial" w:cs="Arial"/>
                <w:sz w:val="16"/>
                <w:szCs w:val="16"/>
                <w:vertAlign w:val="superscript"/>
              </w:rPr>
              <w:t>(a</w:t>
            </w:r>
            <w:r w:rsidRPr="00020C9D">
              <w:rPr>
                <w:rFonts w:ascii="Arial" w:hAnsi="Arial" w:cs="Arial"/>
                <w:sz w:val="16"/>
                <w:szCs w:val="16"/>
                <w:vertAlign w:val="superscript"/>
              </w:rPr>
              <w:t>)</w:t>
            </w:r>
          </w:p>
        </w:tc>
        <w:tc>
          <w:tcPr>
            <w:tcW w:w="980" w:type="dxa"/>
            <w:tcBorders>
              <w:top w:val="nil"/>
              <w:left w:val="nil"/>
              <w:bottom w:val="nil"/>
              <w:right w:val="nil"/>
            </w:tcBorders>
            <w:shd w:val="clear" w:color="auto" w:fill="auto"/>
            <w:noWrap/>
            <w:vAlign w:val="bottom"/>
            <w:hideMark/>
          </w:tcPr>
          <w:p w14:paraId="65218CD7" w14:textId="559ACFF7"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495,092 </w:t>
            </w:r>
          </w:p>
        </w:tc>
        <w:tc>
          <w:tcPr>
            <w:tcW w:w="980" w:type="dxa"/>
            <w:tcBorders>
              <w:top w:val="nil"/>
              <w:left w:val="nil"/>
              <w:bottom w:val="nil"/>
              <w:right w:val="nil"/>
            </w:tcBorders>
            <w:shd w:val="clear" w:color="000000" w:fill="E6E6E6"/>
            <w:noWrap/>
            <w:vAlign w:val="bottom"/>
            <w:hideMark/>
          </w:tcPr>
          <w:p w14:paraId="53250805" w14:textId="59221808"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497,642 </w:t>
            </w:r>
          </w:p>
        </w:tc>
        <w:tc>
          <w:tcPr>
            <w:tcW w:w="980" w:type="dxa"/>
            <w:tcBorders>
              <w:top w:val="nil"/>
              <w:left w:val="nil"/>
              <w:bottom w:val="nil"/>
              <w:right w:val="nil"/>
            </w:tcBorders>
            <w:shd w:val="clear" w:color="auto" w:fill="auto"/>
            <w:noWrap/>
            <w:vAlign w:val="bottom"/>
            <w:hideMark/>
          </w:tcPr>
          <w:p w14:paraId="4EB18194" w14:textId="17A2015E"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451,622 </w:t>
            </w:r>
          </w:p>
        </w:tc>
        <w:tc>
          <w:tcPr>
            <w:tcW w:w="980" w:type="dxa"/>
            <w:tcBorders>
              <w:top w:val="nil"/>
              <w:left w:val="nil"/>
              <w:bottom w:val="nil"/>
              <w:right w:val="nil"/>
            </w:tcBorders>
            <w:shd w:val="clear" w:color="auto" w:fill="auto"/>
            <w:noWrap/>
            <w:vAlign w:val="bottom"/>
            <w:hideMark/>
          </w:tcPr>
          <w:p w14:paraId="0AC4FBD6" w14:textId="5799C34B"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456,985 </w:t>
            </w:r>
          </w:p>
        </w:tc>
        <w:tc>
          <w:tcPr>
            <w:tcW w:w="986" w:type="dxa"/>
            <w:tcBorders>
              <w:top w:val="nil"/>
              <w:left w:val="nil"/>
              <w:bottom w:val="nil"/>
              <w:right w:val="nil"/>
            </w:tcBorders>
            <w:shd w:val="clear" w:color="auto" w:fill="auto"/>
            <w:noWrap/>
            <w:vAlign w:val="bottom"/>
            <w:hideMark/>
          </w:tcPr>
          <w:p w14:paraId="41FDF7E4" w14:textId="51A08001"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462,325 </w:t>
            </w:r>
          </w:p>
        </w:tc>
      </w:tr>
      <w:tr w:rsidR="00B860E6" w:rsidRPr="00020C9D" w14:paraId="0E1097BD" w14:textId="77777777" w:rsidTr="00B860E6">
        <w:trPr>
          <w:trHeight w:val="204"/>
        </w:trPr>
        <w:tc>
          <w:tcPr>
            <w:tcW w:w="2553" w:type="dxa"/>
            <w:tcBorders>
              <w:top w:val="nil"/>
              <w:left w:val="nil"/>
              <w:right w:val="nil"/>
            </w:tcBorders>
            <w:shd w:val="clear" w:color="auto" w:fill="auto"/>
            <w:vAlign w:val="bottom"/>
            <w:hideMark/>
          </w:tcPr>
          <w:p w14:paraId="0CC8E97D" w14:textId="3A34203C"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Expenses not requiring appropriation in the Budget year </w:t>
            </w:r>
            <w:r w:rsidRPr="00020C9D">
              <w:rPr>
                <w:rFonts w:ascii="Arial" w:hAnsi="Arial" w:cs="Arial"/>
                <w:sz w:val="16"/>
                <w:szCs w:val="16"/>
                <w:vertAlign w:val="superscript"/>
              </w:rPr>
              <w:t>(</w:t>
            </w:r>
            <w:r>
              <w:rPr>
                <w:rFonts w:ascii="Arial" w:hAnsi="Arial" w:cs="Arial"/>
                <w:sz w:val="16"/>
                <w:szCs w:val="16"/>
                <w:vertAlign w:val="superscript"/>
              </w:rPr>
              <w:t>b</w:t>
            </w:r>
            <w:r w:rsidRPr="00020C9D">
              <w:rPr>
                <w:rFonts w:ascii="Arial" w:hAnsi="Arial" w:cs="Arial"/>
                <w:sz w:val="16"/>
                <w:szCs w:val="16"/>
                <w:vertAlign w:val="superscript"/>
              </w:rPr>
              <w:t>)</w:t>
            </w:r>
          </w:p>
        </w:tc>
        <w:tc>
          <w:tcPr>
            <w:tcW w:w="980" w:type="dxa"/>
            <w:tcBorders>
              <w:top w:val="nil"/>
              <w:left w:val="nil"/>
              <w:bottom w:val="nil"/>
              <w:right w:val="nil"/>
            </w:tcBorders>
            <w:shd w:val="clear" w:color="auto" w:fill="auto"/>
            <w:noWrap/>
            <w:vAlign w:val="bottom"/>
            <w:hideMark/>
          </w:tcPr>
          <w:p w14:paraId="12B21AA2" w14:textId="761DB0D9"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18,839 </w:t>
            </w:r>
          </w:p>
        </w:tc>
        <w:tc>
          <w:tcPr>
            <w:tcW w:w="980" w:type="dxa"/>
            <w:tcBorders>
              <w:top w:val="nil"/>
              <w:left w:val="nil"/>
              <w:bottom w:val="nil"/>
              <w:right w:val="nil"/>
            </w:tcBorders>
            <w:shd w:val="clear" w:color="000000" w:fill="E6E6E6"/>
            <w:noWrap/>
            <w:vAlign w:val="bottom"/>
            <w:hideMark/>
          </w:tcPr>
          <w:p w14:paraId="55B4717F" w14:textId="32BD413A"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0672FB45" w14:textId="31DD7549"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041E2949" w14:textId="69A13540"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c>
          <w:tcPr>
            <w:tcW w:w="986" w:type="dxa"/>
            <w:tcBorders>
              <w:top w:val="nil"/>
              <w:left w:val="nil"/>
              <w:bottom w:val="nil"/>
              <w:right w:val="nil"/>
            </w:tcBorders>
            <w:shd w:val="clear" w:color="auto" w:fill="auto"/>
            <w:noWrap/>
            <w:vAlign w:val="bottom"/>
            <w:hideMark/>
          </w:tcPr>
          <w:p w14:paraId="1422973C" w14:textId="48D5C9D1"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 </w:t>
            </w:r>
          </w:p>
        </w:tc>
      </w:tr>
      <w:tr w:rsidR="00B860E6" w:rsidRPr="00020C9D" w14:paraId="51F68254" w14:textId="77777777" w:rsidTr="00B860E6">
        <w:trPr>
          <w:trHeight w:val="204"/>
        </w:trPr>
        <w:tc>
          <w:tcPr>
            <w:tcW w:w="2553" w:type="dxa"/>
            <w:tcBorders>
              <w:top w:val="nil"/>
              <w:left w:val="nil"/>
              <w:right w:val="nil"/>
            </w:tcBorders>
            <w:shd w:val="clear" w:color="auto" w:fill="auto"/>
            <w:vAlign w:val="bottom"/>
            <w:hideMark/>
          </w:tcPr>
          <w:p w14:paraId="2D99F751" w14:textId="1A616510" w:rsidR="00B860E6" w:rsidRPr="00020C9D" w:rsidRDefault="00B860E6" w:rsidP="00747426">
            <w:pPr>
              <w:spacing w:after="0" w:line="240" w:lineRule="auto"/>
              <w:jc w:val="left"/>
              <w:rPr>
                <w:rFonts w:ascii="Arial" w:hAnsi="Arial" w:cs="Arial"/>
                <w:b/>
                <w:bCs/>
                <w:sz w:val="16"/>
                <w:szCs w:val="16"/>
              </w:rPr>
            </w:pPr>
            <w:r w:rsidRPr="00020C9D">
              <w:rPr>
                <w:rFonts w:ascii="Arial" w:hAnsi="Arial" w:cs="Arial"/>
                <w:b/>
                <w:bCs/>
                <w:sz w:val="16"/>
                <w:szCs w:val="16"/>
              </w:rPr>
              <w:t xml:space="preserve">Total </w:t>
            </w:r>
            <w:r>
              <w:rPr>
                <w:rFonts w:ascii="Arial" w:hAnsi="Arial" w:cs="Arial"/>
                <w:b/>
                <w:bCs/>
                <w:sz w:val="16"/>
                <w:szCs w:val="16"/>
              </w:rPr>
              <w:t>A</w:t>
            </w:r>
            <w:r w:rsidRPr="00020C9D">
              <w:rPr>
                <w:rFonts w:ascii="Arial" w:hAnsi="Arial" w:cs="Arial"/>
                <w:b/>
                <w:bCs/>
                <w:sz w:val="16"/>
                <w:szCs w:val="16"/>
              </w:rPr>
              <w:t>dministered expenses</w:t>
            </w:r>
          </w:p>
        </w:tc>
        <w:tc>
          <w:tcPr>
            <w:tcW w:w="980" w:type="dxa"/>
            <w:tcBorders>
              <w:top w:val="single" w:sz="4" w:space="0" w:color="auto"/>
              <w:left w:val="nil"/>
              <w:bottom w:val="single" w:sz="4" w:space="0" w:color="auto"/>
              <w:right w:val="nil"/>
            </w:tcBorders>
            <w:shd w:val="clear" w:color="auto" w:fill="auto"/>
            <w:noWrap/>
            <w:vAlign w:val="bottom"/>
            <w:hideMark/>
          </w:tcPr>
          <w:p w14:paraId="06B1A71C" w14:textId="045366D4"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989,683 </w:t>
            </w:r>
          </w:p>
        </w:tc>
        <w:tc>
          <w:tcPr>
            <w:tcW w:w="980" w:type="dxa"/>
            <w:tcBorders>
              <w:top w:val="single" w:sz="4" w:space="0" w:color="auto"/>
              <w:left w:val="nil"/>
              <w:bottom w:val="single" w:sz="4" w:space="0" w:color="auto"/>
              <w:right w:val="nil"/>
            </w:tcBorders>
            <w:shd w:val="clear" w:color="000000" w:fill="E6E6E6"/>
            <w:noWrap/>
            <w:vAlign w:val="bottom"/>
            <w:hideMark/>
          </w:tcPr>
          <w:p w14:paraId="686497FD" w14:textId="2578E61A"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799,194 </w:t>
            </w:r>
          </w:p>
        </w:tc>
        <w:tc>
          <w:tcPr>
            <w:tcW w:w="980" w:type="dxa"/>
            <w:tcBorders>
              <w:top w:val="single" w:sz="4" w:space="0" w:color="auto"/>
              <w:left w:val="nil"/>
              <w:bottom w:val="single" w:sz="4" w:space="0" w:color="auto"/>
              <w:right w:val="nil"/>
            </w:tcBorders>
            <w:shd w:val="clear" w:color="auto" w:fill="auto"/>
            <w:noWrap/>
            <w:vAlign w:val="bottom"/>
            <w:hideMark/>
          </w:tcPr>
          <w:p w14:paraId="7627B54D" w14:textId="336D04C3"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736,976 </w:t>
            </w:r>
          </w:p>
        </w:tc>
        <w:tc>
          <w:tcPr>
            <w:tcW w:w="980" w:type="dxa"/>
            <w:tcBorders>
              <w:top w:val="single" w:sz="4" w:space="0" w:color="auto"/>
              <w:left w:val="nil"/>
              <w:bottom w:val="single" w:sz="4" w:space="0" w:color="auto"/>
              <w:right w:val="nil"/>
            </w:tcBorders>
            <w:shd w:val="clear" w:color="auto" w:fill="auto"/>
            <w:noWrap/>
            <w:vAlign w:val="bottom"/>
            <w:hideMark/>
          </w:tcPr>
          <w:p w14:paraId="6C63367E" w14:textId="104B9706"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737,480 </w:t>
            </w:r>
          </w:p>
        </w:tc>
        <w:tc>
          <w:tcPr>
            <w:tcW w:w="986" w:type="dxa"/>
            <w:tcBorders>
              <w:top w:val="single" w:sz="4" w:space="0" w:color="auto"/>
              <w:left w:val="nil"/>
              <w:bottom w:val="single" w:sz="4" w:space="0" w:color="auto"/>
              <w:right w:val="nil"/>
            </w:tcBorders>
            <w:shd w:val="clear" w:color="auto" w:fill="auto"/>
            <w:noWrap/>
            <w:vAlign w:val="bottom"/>
            <w:hideMark/>
          </w:tcPr>
          <w:p w14:paraId="352E72CA" w14:textId="39198641"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744,988 </w:t>
            </w:r>
          </w:p>
        </w:tc>
      </w:tr>
      <w:tr w:rsidR="00B860E6" w:rsidRPr="00020C9D" w14:paraId="72039878" w14:textId="77777777" w:rsidTr="00B860E6">
        <w:trPr>
          <w:trHeight w:val="204"/>
        </w:trPr>
        <w:tc>
          <w:tcPr>
            <w:tcW w:w="2553" w:type="dxa"/>
            <w:tcBorders>
              <w:top w:val="nil"/>
              <w:left w:val="nil"/>
              <w:bottom w:val="nil"/>
              <w:right w:val="nil"/>
            </w:tcBorders>
            <w:shd w:val="clear" w:color="auto" w:fill="auto"/>
            <w:vAlign w:val="bottom"/>
            <w:hideMark/>
          </w:tcPr>
          <w:p w14:paraId="78F2AD46" w14:textId="1D3931AD" w:rsidR="00B860E6" w:rsidRPr="00020C9D" w:rsidRDefault="00B860E6" w:rsidP="00B860E6">
            <w:pPr>
              <w:spacing w:after="0" w:line="240" w:lineRule="auto"/>
              <w:jc w:val="left"/>
              <w:rPr>
                <w:rFonts w:ascii="Arial" w:hAnsi="Arial" w:cs="Arial"/>
                <w:sz w:val="16"/>
                <w:szCs w:val="16"/>
              </w:rPr>
            </w:pPr>
            <w:r>
              <w:rPr>
                <w:rFonts w:ascii="Arial" w:hAnsi="Arial" w:cs="Arial"/>
                <w:sz w:val="16"/>
                <w:szCs w:val="16"/>
              </w:rPr>
              <w:t>Department</w:t>
            </w:r>
            <w:r w:rsidRPr="00020C9D">
              <w:rPr>
                <w:rFonts w:ascii="Arial" w:hAnsi="Arial" w:cs="Arial"/>
                <w:sz w:val="16"/>
                <w:szCs w:val="16"/>
              </w:rPr>
              <w:t>al expenses</w:t>
            </w:r>
          </w:p>
        </w:tc>
        <w:tc>
          <w:tcPr>
            <w:tcW w:w="980" w:type="dxa"/>
            <w:tcBorders>
              <w:top w:val="nil"/>
              <w:left w:val="nil"/>
              <w:bottom w:val="nil"/>
              <w:right w:val="nil"/>
            </w:tcBorders>
            <w:shd w:val="clear" w:color="auto" w:fill="auto"/>
            <w:noWrap/>
            <w:vAlign w:val="bottom"/>
            <w:hideMark/>
          </w:tcPr>
          <w:p w14:paraId="10EE51B1" w14:textId="77777777" w:rsidR="00B860E6" w:rsidRPr="00020C9D" w:rsidRDefault="00B860E6" w:rsidP="00B860E6">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21C09F23" w14:textId="23402CBA"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w:t>
            </w:r>
          </w:p>
        </w:tc>
        <w:tc>
          <w:tcPr>
            <w:tcW w:w="980" w:type="dxa"/>
            <w:tcBorders>
              <w:top w:val="nil"/>
              <w:left w:val="nil"/>
              <w:bottom w:val="nil"/>
              <w:right w:val="nil"/>
            </w:tcBorders>
            <w:shd w:val="clear" w:color="auto" w:fill="auto"/>
            <w:noWrap/>
            <w:vAlign w:val="bottom"/>
            <w:hideMark/>
          </w:tcPr>
          <w:p w14:paraId="75A5BF27" w14:textId="77777777" w:rsidR="00B860E6" w:rsidRPr="00020C9D" w:rsidRDefault="00B860E6" w:rsidP="00B860E6">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14:paraId="72A33945" w14:textId="77777777" w:rsidR="00B860E6" w:rsidRPr="00020C9D" w:rsidRDefault="00B860E6" w:rsidP="00B860E6">
            <w:pPr>
              <w:spacing w:after="0" w:line="240" w:lineRule="auto"/>
              <w:jc w:val="right"/>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14:paraId="7AD900E0" w14:textId="77777777" w:rsidR="00B860E6" w:rsidRPr="00020C9D" w:rsidRDefault="00B860E6" w:rsidP="00B860E6">
            <w:pPr>
              <w:spacing w:after="0" w:line="240" w:lineRule="auto"/>
              <w:jc w:val="right"/>
              <w:rPr>
                <w:rFonts w:ascii="Arial" w:hAnsi="Arial" w:cs="Arial"/>
                <w:sz w:val="16"/>
                <w:szCs w:val="16"/>
              </w:rPr>
            </w:pPr>
          </w:p>
        </w:tc>
      </w:tr>
      <w:tr w:rsidR="00B860E6" w:rsidRPr="00020C9D" w14:paraId="0944F289" w14:textId="77777777" w:rsidTr="00B860E6">
        <w:trPr>
          <w:trHeight w:val="204"/>
        </w:trPr>
        <w:tc>
          <w:tcPr>
            <w:tcW w:w="2553" w:type="dxa"/>
            <w:tcBorders>
              <w:top w:val="nil"/>
              <w:left w:val="nil"/>
              <w:bottom w:val="nil"/>
              <w:right w:val="nil"/>
            </w:tcBorders>
            <w:shd w:val="clear" w:color="auto" w:fill="auto"/>
            <w:noWrap/>
            <w:vAlign w:val="bottom"/>
            <w:hideMark/>
          </w:tcPr>
          <w:p w14:paraId="0EFD209E" w14:textId="6D85BFDE" w:rsidR="00B860E6" w:rsidRPr="00020C9D" w:rsidRDefault="00B860E6" w:rsidP="00B860E6">
            <w:pPr>
              <w:spacing w:after="0" w:line="240" w:lineRule="auto"/>
              <w:ind w:left="113"/>
              <w:jc w:val="left"/>
              <w:rPr>
                <w:rFonts w:ascii="Arial" w:hAnsi="Arial" w:cs="Arial"/>
                <w:sz w:val="16"/>
                <w:szCs w:val="16"/>
              </w:rPr>
            </w:pPr>
            <w:r>
              <w:rPr>
                <w:rFonts w:ascii="Arial" w:hAnsi="Arial" w:cs="Arial"/>
                <w:sz w:val="16"/>
                <w:szCs w:val="16"/>
              </w:rPr>
              <w:t>Department</w:t>
            </w:r>
            <w:r w:rsidRPr="00020C9D">
              <w:rPr>
                <w:rFonts w:ascii="Arial" w:hAnsi="Arial" w:cs="Arial"/>
                <w:sz w:val="16"/>
                <w:szCs w:val="16"/>
              </w:rPr>
              <w:t>al appropriation</w:t>
            </w:r>
          </w:p>
        </w:tc>
        <w:tc>
          <w:tcPr>
            <w:tcW w:w="980" w:type="dxa"/>
            <w:tcBorders>
              <w:top w:val="nil"/>
              <w:left w:val="nil"/>
              <w:bottom w:val="nil"/>
              <w:right w:val="nil"/>
            </w:tcBorders>
            <w:shd w:val="clear" w:color="auto" w:fill="auto"/>
            <w:noWrap/>
            <w:hideMark/>
          </w:tcPr>
          <w:p w14:paraId="1FD90BF7" w14:textId="65593908"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49,217 </w:t>
            </w:r>
          </w:p>
        </w:tc>
        <w:tc>
          <w:tcPr>
            <w:tcW w:w="980" w:type="dxa"/>
            <w:tcBorders>
              <w:top w:val="nil"/>
              <w:left w:val="nil"/>
              <w:bottom w:val="nil"/>
              <w:right w:val="nil"/>
            </w:tcBorders>
            <w:shd w:val="clear" w:color="000000" w:fill="E6E6E6"/>
            <w:noWrap/>
            <w:hideMark/>
          </w:tcPr>
          <w:p w14:paraId="64ACCFE8" w14:textId="00EBEE82"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54,842 </w:t>
            </w:r>
          </w:p>
        </w:tc>
        <w:tc>
          <w:tcPr>
            <w:tcW w:w="980" w:type="dxa"/>
            <w:tcBorders>
              <w:top w:val="nil"/>
              <w:left w:val="nil"/>
              <w:bottom w:val="nil"/>
              <w:right w:val="nil"/>
            </w:tcBorders>
            <w:shd w:val="clear" w:color="auto" w:fill="auto"/>
            <w:noWrap/>
            <w:hideMark/>
          </w:tcPr>
          <w:p w14:paraId="54B0D491" w14:textId="3558ADCF"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49,422 </w:t>
            </w:r>
          </w:p>
        </w:tc>
        <w:tc>
          <w:tcPr>
            <w:tcW w:w="980" w:type="dxa"/>
            <w:tcBorders>
              <w:top w:val="nil"/>
              <w:left w:val="nil"/>
              <w:bottom w:val="nil"/>
              <w:right w:val="nil"/>
            </w:tcBorders>
            <w:shd w:val="clear" w:color="auto" w:fill="auto"/>
            <w:noWrap/>
            <w:hideMark/>
          </w:tcPr>
          <w:p w14:paraId="1ED79DFD" w14:textId="67C50815"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44,413 </w:t>
            </w:r>
          </w:p>
        </w:tc>
        <w:tc>
          <w:tcPr>
            <w:tcW w:w="986" w:type="dxa"/>
            <w:tcBorders>
              <w:top w:val="nil"/>
              <w:left w:val="nil"/>
              <w:bottom w:val="nil"/>
              <w:right w:val="nil"/>
            </w:tcBorders>
            <w:shd w:val="clear" w:color="auto" w:fill="auto"/>
            <w:noWrap/>
            <w:hideMark/>
          </w:tcPr>
          <w:p w14:paraId="50D4A82F" w14:textId="3B94138A"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44,415 </w:t>
            </w:r>
          </w:p>
        </w:tc>
      </w:tr>
      <w:tr w:rsidR="00B860E6" w:rsidRPr="00020C9D" w14:paraId="4E4B7BD5" w14:textId="77777777" w:rsidTr="00B860E6">
        <w:trPr>
          <w:trHeight w:val="204"/>
        </w:trPr>
        <w:tc>
          <w:tcPr>
            <w:tcW w:w="2553" w:type="dxa"/>
            <w:tcBorders>
              <w:top w:val="nil"/>
              <w:left w:val="nil"/>
              <w:bottom w:val="nil"/>
              <w:right w:val="nil"/>
            </w:tcBorders>
            <w:shd w:val="clear" w:color="auto" w:fill="auto"/>
            <w:vAlign w:val="bottom"/>
            <w:hideMark/>
          </w:tcPr>
          <w:p w14:paraId="351934FB" w14:textId="23A5205F"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 xml:space="preserve">s74 external revenues </w:t>
            </w:r>
            <w:r w:rsidRPr="00020C9D">
              <w:rPr>
                <w:rFonts w:ascii="Arial" w:hAnsi="Arial" w:cs="Arial"/>
                <w:sz w:val="16"/>
                <w:szCs w:val="16"/>
                <w:vertAlign w:val="superscript"/>
              </w:rPr>
              <w:t>(</w:t>
            </w:r>
            <w:r>
              <w:rPr>
                <w:rFonts w:ascii="Arial" w:hAnsi="Arial" w:cs="Arial"/>
                <w:sz w:val="16"/>
                <w:szCs w:val="16"/>
                <w:vertAlign w:val="superscript"/>
              </w:rPr>
              <w:t>c</w:t>
            </w:r>
            <w:r w:rsidRPr="00020C9D">
              <w:rPr>
                <w:rFonts w:ascii="Arial" w:hAnsi="Arial" w:cs="Arial"/>
                <w:sz w:val="16"/>
                <w:szCs w:val="16"/>
                <w:vertAlign w:val="superscript"/>
              </w:rPr>
              <w:t>)</w:t>
            </w:r>
          </w:p>
        </w:tc>
        <w:tc>
          <w:tcPr>
            <w:tcW w:w="980" w:type="dxa"/>
            <w:tcBorders>
              <w:top w:val="nil"/>
              <w:left w:val="nil"/>
              <w:bottom w:val="nil"/>
              <w:right w:val="nil"/>
            </w:tcBorders>
            <w:shd w:val="clear" w:color="auto" w:fill="auto"/>
            <w:noWrap/>
            <w:hideMark/>
          </w:tcPr>
          <w:p w14:paraId="23125867" w14:textId="33B77A88"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1,405 </w:t>
            </w:r>
          </w:p>
        </w:tc>
        <w:tc>
          <w:tcPr>
            <w:tcW w:w="980" w:type="dxa"/>
            <w:tcBorders>
              <w:top w:val="nil"/>
              <w:left w:val="nil"/>
              <w:bottom w:val="nil"/>
              <w:right w:val="nil"/>
            </w:tcBorders>
            <w:shd w:val="clear" w:color="000000" w:fill="E6E6E6"/>
            <w:noWrap/>
            <w:hideMark/>
          </w:tcPr>
          <w:p w14:paraId="11D62B62" w14:textId="78879886"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1,296 </w:t>
            </w:r>
          </w:p>
        </w:tc>
        <w:tc>
          <w:tcPr>
            <w:tcW w:w="980" w:type="dxa"/>
            <w:tcBorders>
              <w:top w:val="nil"/>
              <w:left w:val="nil"/>
              <w:bottom w:val="nil"/>
              <w:right w:val="nil"/>
            </w:tcBorders>
            <w:shd w:val="clear" w:color="auto" w:fill="auto"/>
            <w:noWrap/>
            <w:hideMark/>
          </w:tcPr>
          <w:p w14:paraId="604AF869" w14:textId="0524087D"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1,525 </w:t>
            </w:r>
          </w:p>
        </w:tc>
        <w:tc>
          <w:tcPr>
            <w:tcW w:w="980" w:type="dxa"/>
            <w:tcBorders>
              <w:top w:val="nil"/>
              <w:left w:val="nil"/>
              <w:bottom w:val="nil"/>
              <w:right w:val="nil"/>
            </w:tcBorders>
            <w:shd w:val="clear" w:color="auto" w:fill="auto"/>
            <w:noWrap/>
            <w:hideMark/>
          </w:tcPr>
          <w:p w14:paraId="3728BB9F" w14:textId="3D4ADB2D"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1,572 </w:t>
            </w:r>
          </w:p>
        </w:tc>
        <w:tc>
          <w:tcPr>
            <w:tcW w:w="986" w:type="dxa"/>
            <w:tcBorders>
              <w:top w:val="nil"/>
              <w:left w:val="nil"/>
              <w:bottom w:val="nil"/>
              <w:right w:val="nil"/>
            </w:tcBorders>
            <w:shd w:val="clear" w:color="auto" w:fill="auto"/>
            <w:noWrap/>
            <w:hideMark/>
          </w:tcPr>
          <w:p w14:paraId="30B296AF" w14:textId="23AFBD2B"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1,607 </w:t>
            </w:r>
          </w:p>
        </w:tc>
      </w:tr>
      <w:tr w:rsidR="00B860E6" w:rsidRPr="00020C9D" w14:paraId="5560473F" w14:textId="77777777" w:rsidTr="00B860E6">
        <w:trPr>
          <w:trHeight w:val="204"/>
        </w:trPr>
        <w:tc>
          <w:tcPr>
            <w:tcW w:w="2553" w:type="dxa"/>
            <w:tcBorders>
              <w:top w:val="nil"/>
              <w:left w:val="nil"/>
              <w:bottom w:val="nil"/>
              <w:right w:val="nil"/>
            </w:tcBorders>
            <w:shd w:val="clear" w:color="auto" w:fill="auto"/>
            <w:noWrap/>
            <w:vAlign w:val="bottom"/>
            <w:hideMark/>
          </w:tcPr>
          <w:p w14:paraId="40DA866D" w14:textId="77777777"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Special accounts</w:t>
            </w:r>
          </w:p>
        </w:tc>
        <w:tc>
          <w:tcPr>
            <w:tcW w:w="980" w:type="dxa"/>
            <w:tcBorders>
              <w:top w:val="nil"/>
              <w:left w:val="nil"/>
              <w:bottom w:val="nil"/>
              <w:right w:val="nil"/>
            </w:tcBorders>
            <w:shd w:val="clear" w:color="auto" w:fill="auto"/>
            <w:noWrap/>
            <w:vAlign w:val="bottom"/>
            <w:hideMark/>
          </w:tcPr>
          <w:p w14:paraId="1A63DA98" w14:textId="144E69F9"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5,270 </w:t>
            </w:r>
          </w:p>
        </w:tc>
        <w:tc>
          <w:tcPr>
            <w:tcW w:w="980" w:type="dxa"/>
            <w:tcBorders>
              <w:top w:val="nil"/>
              <w:left w:val="nil"/>
              <w:bottom w:val="nil"/>
              <w:right w:val="nil"/>
            </w:tcBorders>
            <w:shd w:val="clear" w:color="000000" w:fill="E6E6E6"/>
            <w:noWrap/>
            <w:vAlign w:val="bottom"/>
            <w:hideMark/>
          </w:tcPr>
          <w:p w14:paraId="03C5A847" w14:textId="17C30964"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4,780 </w:t>
            </w:r>
          </w:p>
        </w:tc>
        <w:tc>
          <w:tcPr>
            <w:tcW w:w="980" w:type="dxa"/>
            <w:tcBorders>
              <w:top w:val="nil"/>
              <w:left w:val="nil"/>
              <w:bottom w:val="nil"/>
              <w:right w:val="nil"/>
            </w:tcBorders>
            <w:shd w:val="clear" w:color="auto" w:fill="auto"/>
            <w:noWrap/>
            <w:vAlign w:val="bottom"/>
            <w:hideMark/>
          </w:tcPr>
          <w:p w14:paraId="50D561F7" w14:textId="6FC9F42C"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4,780 </w:t>
            </w:r>
          </w:p>
        </w:tc>
        <w:tc>
          <w:tcPr>
            <w:tcW w:w="980" w:type="dxa"/>
            <w:tcBorders>
              <w:top w:val="nil"/>
              <w:left w:val="nil"/>
              <w:bottom w:val="nil"/>
              <w:right w:val="nil"/>
            </w:tcBorders>
            <w:shd w:val="clear" w:color="auto" w:fill="auto"/>
            <w:noWrap/>
            <w:vAlign w:val="bottom"/>
            <w:hideMark/>
          </w:tcPr>
          <w:p w14:paraId="251C2716" w14:textId="453A4664"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4,778 </w:t>
            </w:r>
          </w:p>
        </w:tc>
        <w:tc>
          <w:tcPr>
            <w:tcW w:w="986" w:type="dxa"/>
            <w:tcBorders>
              <w:top w:val="nil"/>
              <w:left w:val="nil"/>
              <w:bottom w:val="nil"/>
              <w:right w:val="nil"/>
            </w:tcBorders>
            <w:shd w:val="clear" w:color="auto" w:fill="auto"/>
            <w:noWrap/>
            <w:vAlign w:val="bottom"/>
            <w:hideMark/>
          </w:tcPr>
          <w:p w14:paraId="44142F1D" w14:textId="2F9CA038"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4,778 </w:t>
            </w:r>
          </w:p>
        </w:tc>
      </w:tr>
      <w:tr w:rsidR="00B860E6" w:rsidRPr="00020C9D" w14:paraId="74C6615B" w14:textId="77777777" w:rsidTr="00B860E6">
        <w:trPr>
          <w:trHeight w:val="204"/>
        </w:trPr>
        <w:tc>
          <w:tcPr>
            <w:tcW w:w="2553" w:type="dxa"/>
            <w:tcBorders>
              <w:top w:val="nil"/>
              <w:left w:val="nil"/>
              <w:bottom w:val="nil"/>
              <w:right w:val="nil"/>
            </w:tcBorders>
            <w:shd w:val="clear" w:color="auto" w:fill="auto"/>
            <w:vAlign w:val="bottom"/>
            <w:hideMark/>
          </w:tcPr>
          <w:p w14:paraId="699A2250" w14:textId="7972D266" w:rsidR="00B860E6" w:rsidRPr="00020C9D" w:rsidRDefault="00B860E6" w:rsidP="00B860E6">
            <w:pPr>
              <w:spacing w:after="0" w:line="240" w:lineRule="auto"/>
              <w:ind w:left="113"/>
              <w:jc w:val="left"/>
              <w:rPr>
                <w:rFonts w:ascii="Arial" w:hAnsi="Arial" w:cs="Arial"/>
                <w:sz w:val="16"/>
                <w:szCs w:val="16"/>
              </w:rPr>
            </w:pPr>
            <w:r w:rsidRPr="00020C9D">
              <w:rPr>
                <w:rFonts w:ascii="Arial" w:hAnsi="Arial" w:cs="Arial"/>
                <w:sz w:val="16"/>
                <w:szCs w:val="16"/>
              </w:rPr>
              <w:t xml:space="preserve">Expenses not requiring appropriation in the Budget year </w:t>
            </w:r>
            <w:r>
              <w:rPr>
                <w:rFonts w:ascii="Arial" w:hAnsi="Arial" w:cs="Arial"/>
                <w:sz w:val="16"/>
                <w:szCs w:val="16"/>
                <w:vertAlign w:val="superscript"/>
              </w:rPr>
              <w:t>(d</w:t>
            </w:r>
            <w:r w:rsidRPr="00020C9D">
              <w:rPr>
                <w:rFonts w:ascii="Arial" w:hAnsi="Arial" w:cs="Arial"/>
                <w:sz w:val="16"/>
                <w:szCs w:val="16"/>
                <w:vertAlign w:val="superscript"/>
              </w:rPr>
              <w:t>)</w:t>
            </w:r>
          </w:p>
        </w:tc>
        <w:tc>
          <w:tcPr>
            <w:tcW w:w="980" w:type="dxa"/>
            <w:tcBorders>
              <w:top w:val="nil"/>
              <w:left w:val="nil"/>
              <w:bottom w:val="nil"/>
              <w:right w:val="nil"/>
            </w:tcBorders>
            <w:shd w:val="clear" w:color="auto" w:fill="auto"/>
            <w:noWrap/>
            <w:vAlign w:val="bottom"/>
            <w:hideMark/>
          </w:tcPr>
          <w:p w14:paraId="59233C84" w14:textId="79A68A72"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947 </w:t>
            </w:r>
          </w:p>
        </w:tc>
        <w:tc>
          <w:tcPr>
            <w:tcW w:w="980" w:type="dxa"/>
            <w:tcBorders>
              <w:top w:val="nil"/>
              <w:left w:val="nil"/>
              <w:bottom w:val="nil"/>
              <w:right w:val="nil"/>
            </w:tcBorders>
            <w:shd w:val="clear" w:color="000000" w:fill="E6E6E6"/>
            <w:noWrap/>
            <w:vAlign w:val="bottom"/>
            <w:hideMark/>
          </w:tcPr>
          <w:p w14:paraId="37D56B8C" w14:textId="59A39C6B"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933 </w:t>
            </w:r>
          </w:p>
        </w:tc>
        <w:tc>
          <w:tcPr>
            <w:tcW w:w="980" w:type="dxa"/>
            <w:tcBorders>
              <w:top w:val="nil"/>
              <w:left w:val="nil"/>
              <w:bottom w:val="nil"/>
              <w:right w:val="nil"/>
            </w:tcBorders>
            <w:shd w:val="clear" w:color="auto" w:fill="auto"/>
            <w:noWrap/>
            <w:vAlign w:val="bottom"/>
            <w:hideMark/>
          </w:tcPr>
          <w:p w14:paraId="118B9A4D" w14:textId="4ED94205"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985 </w:t>
            </w:r>
          </w:p>
        </w:tc>
        <w:tc>
          <w:tcPr>
            <w:tcW w:w="980" w:type="dxa"/>
            <w:tcBorders>
              <w:top w:val="nil"/>
              <w:left w:val="nil"/>
              <w:bottom w:val="nil"/>
              <w:right w:val="nil"/>
            </w:tcBorders>
            <w:shd w:val="clear" w:color="auto" w:fill="auto"/>
            <w:noWrap/>
            <w:vAlign w:val="bottom"/>
            <w:hideMark/>
          </w:tcPr>
          <w:p w14:paraId="33AB378B" w14:textId="0157977B"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507 </w:t>
            </w:r>
          </w:p>
        </w:tc>
        <w:tc>
          <w:tcPr>
            <w:tcW w:w="986" w:type="dxa"/>
            <w:tcBorders>
              <w:top w:val="nil"/>
              <w:left w:val="nil"/>
              <w:bottom w:val="nil"/>
              <w:right w:val="nil"/>
            </w:tcBorders>
            <w:shd w:val="clear" w:color="auto" w:fill="auto"/>
            <w:noWrap/>
            <w:vAlign w:val="bottom"/>
            <w:hideMark/>
          </w:tcPr>
          <w:p w14:paraId="4A7E927B" w14:textId="76ABD42F" w:rsidR="00B860E6" w:rsidRPr="00020C9D" w:rsidRDefault="00B860E6" w:rsidP="00B860E6">
            <w:pPr>
              <w:spacing w:after="0" w:line="240" w:lineRule="auto"/>
              <w:jc w:val="right"/>
              <w:rPr>
                <w:rFonts w:ascii="Arial" w:hAnsi="Arial" w:cs="Arial"/>
                <w:sz w:val="16"/>
                <w:szCs w:val="16"/>
              </w:rPr>
            </w:pPr>
            <w:r>
              <w:rPr>
                <w:rFonts w:ascii="Arial" w:hAnsi="Arial" w:cs="Arial"/>
                <w:sz w:val="16"/>
                <w:szCs w:val="16"/>
              </w:rPr>
              <w:t xml:space="preserve">518 </w:t>
            </w:r>
          </w:p>
        </w:tc>
      </w:tr>
      <w:tr w:rsidR="00B860E6" w:rsidRPr="00020C9D" w14:paraId="72B932BE" w14:textId="77777777" w:rsidTr="00B860E6">
        <w:trPr>
          <w:trHeight w:val="204"/>
        </w:trPr>
        <w:tc>
          <w:tcPr>
            <w:tcW w:w="2553" w:type="dxa"/>
            <w:tcBorders>
              <w:top w:val="nil"/>
              <w:left w:val="nil"/>
              <w:bottom w:val="nil"/>
              <w:right w:val="nil"/>
            </w:tcBorders>
            <w:shd w:val="clear" w:color="auto" w:fill="auto"/>
            <w:noWrap/>
            <w:vAlign w:val="bottom"/>
            <w:hideMark/>
          </w:tcPr>
          <w:p w14:paraId="7991D6BE" w14:textId="115FFE77" w:rsidR="00B860E6" w:rsidRPr="00020C9D" w:rsidRDefault="00B860E6" w:rsidP="00747426">
            <w:pPr>
              <w:spacing w:after="0" w:line="240" w:lineRule="auto"/>
              <w:jc w:val="left"/>
              <w:rPr>
                <w:rFonts w:ascii="Arial" w:hAnsi="Arial" w:cs="Arial"/>
                <w:b/>
                <w:bCs/>
                <w:sz w:val="16"/>
                <w:szCs w:val="16"/>
              </w:rPr>
            </w:pPr>
            <w:r w:rsidRPr="00020C9D">
              <w:rPr>
                <w:rFonts w:ascii="Arial" w:hAnsi="Arial" w:cs="Arial"/>
                <w:b/>
                <w:bCs/>
                <w:sz w:val="16"/>
                <w:szCs w:val="16"/>
              </w:rPr>
              <w:t xml:space="preserve">Total </w:t>
            </w:r>
            <w:r>
              <w:rPr>
                <w:rFonts w:ascii="Arial" w:hAnsi="Arial" w:cs="Arial"/>
                <w:b/>
                <w:bCs/>
                <w:sz w:val="16"/>
                <w:szCs w:val="16"/>
              </w:rPr>
              <w:t>Department</w:t>
            </w:r>
            <w:r w:rsidRPr="00020C9D">
              <w:rPr>
                <w:rFonts w:ascii="Arial" w:hAnsi="Arial" w:cs="Arial"/>
                <w:b/>
                <w:bCs/>
                <w:sz w:val="16"/>
                <w:szCs w:val="16"/>
              </w:rPr>
              <w:t>al expenses</w:t>
            </w:r>
          </w:p>
        </w:tc>
        <w:tc>
          <w:tcPr>
            <w:tcW w:w="980" w:type="dxa"/>
            <w:tcBorders>
              <w:top w:val="single" w:sz="4" w:space="0" w:color="auto"/>
              <w:left w:val="nil"/>
              <w:bottom w:val="single" w:sz="4" w:space="0" w:color="auto"/>
              <w:right w:val="nil"/>
            </w:tcBorders>
            <w:shd w:val="clear" w:color="auto" w:fill="auto"/>
            <w:hideMark/>
          </w:tcPr>
          <w:p w14:paraId="6AE82C6F" w14:textId="1E7C0382"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56,839 </w:t>
            </w:r>
          </w:p>
        </w:tc>
        <w:tc>
          <w:tcPr>
            <w:tcW w:w="980" w:type="dxa"/>
            <w:tcBorders>
              <w:top w:val="single" w:sz="4" w:space="0" w:color="auto"/>
              <w:left w:val="nil"/>
              <w:bottom w:val="single" w:sz="4" w:space="0" w:color="auto"/>
              <w:right w:val="nil"/>
            </w:tcBorders>
            <w:shd w:val="clear" w:color="000000" w:fill="E6E6E6"/>
            <w:hideMark/>
          </w:tcPr>
          <w:p w14:paraId="67FD9070" w14:textId="793325B0"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61,851 </w:t>
            </w:r>
          </w:p>
        </w:tc>
        <w:tc>
          <w:tcPr>
            <w:tcW w:w="980" w:type="dxa"/>
            <w:tcBorders>
              <w:top w:val="single" w:sz="4" w:space="0" w:color="auto"/>
              <w:left w:val="nil"/>
              <w:bottom w:val="single" w:sz="4" w:space="0" w:color="auto"/>
              <w:right w:val="nil"/>
            </w:tcBorders>
            <w:shd w:val="clear" w:color="auto" w:fill="auto"/>
            <w:hideMark/>
          </w:tcPr>
          <w:p w14:paraId="059B0B1B" w14:textId="53AC6B58"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56,712 </w:t>
            </w:r>
          </w:p>
        </w:tc>
        <w:tc>
          <w:tcPr>
            <w:tcW w:w="980" w:type="dxa"/>
            <w:tcBorders>
              <w:top w:val="single" w:sz="4" w:space="0" w:color="auto"/>
              <w:left w:val="nil"/>
              <w:bottom w:val="single" w:sz="4" w:space="0" w:color="auto"/>
              <w:right w:val="nil"/>
            </w:tcBorders>
            <w:shd w:val="clear" w:color="auto" w:fill="auto"/>
            <w:hideMark/>
          </w:tcPr>
          <w:p w14:paraId="2805CC4C" w14:textId="23FFB73E"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51,270 </w:t>
            </w:r>
          </w:p>
        </w:tc>
        <w:tc>
          <w:tcPr>
            <w:tcW w:w="986" w:type="dxa"/>
            <w:tcBorders>
              <w:top w:val="single" w:sz="4" w:space="0" w:color="auto"/>
              <w:left w:val="nil"/>
              <w:bottom w:val="single" w:sz="4" w:space="0" w:color="auto"/>
              <w:right w:val="nil"/>
            </w:tcBorders>
            <w:shd w:val="clear" w:color="auto" w:fill="auto"/>
            <w:hideMark/>
          </w:tcPr>
          <w:p w14:paraId="017B5003" w14:textId="505CFB9B"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51,318 </w:t>
            </w:r>
          </w:p>
        </w:tc>
      </w:tr>
      <w:tr w:rsidR="00B860E6" w:rsidRPr="00020C9D" w14:paraId="4E493576" w14:textId="77777777" w:rsidTr="00B860E6">
        <w:trPr>
          <w:trHeight w:val="204"/>
        </w:trPr>
        <w:tc>
          <w:tcPr>
            <w:tcW w:w="2553" w:type="dxa"/>
            <w:tcBorders>
              <w:top w:val="nil"/>
              <w:left w:val="nil"/>
              <w:bottom w:val="single" w:sz="4" w:space="0" w:color="auto"/>
              <w:right w:val="nil"/>
            </w:tcBorders>
            <w:shd w:val="clear" w:color="auto" w:fill="auto"/>
            <w:noWrap/>
            <w:vAlign w:val="bottom"/>
            <w:hideMark/>
          </w:tcPr>
          <w:p w14:paraId="45DC90F2" w14:textId="77777777" w:rsidR="00B860E6" w:rsidRPr="00020C9D" w:rsidRDefault="00B860E6" w:rsidP="00B860E6">
            <w:pPr>
              <w:spacing w:after="0" w:line="240" w:lineRule="auto"/>
              <w:jc w:val="left"/>
              <w:rPr>
                <w:rFonts w:ascii="Arial" w:hAnsi="Arial" w:cs="Arial"/>
                <w:b/>
                <w:bCs/>
                <w:sz w:val="16"/>
                <w:szCs w:val="16"/>
              </w:rPr>
            </w:pPr>
            <w:r w:rsidRPr="00020C9D">
              <w:rPr>
                <w:rFonts w:ascii="Arial" w:hAnsi="Arial" w:cs="Arial"/>
                <w:b/>
                <w:bCs/>
                <w:sz w:val="16"/>
                <w:szCs w:val="16"/>
              </w:rPr>
              <w:t>Total expenses for Outcome 6</w:t>
            </w:r>
          </w:p>
        </w:tc>
        <w:tc>
          <w:tcPr>
            <w:tcW w:w="980" w:type="dxa"/>
            <w:tcBorders>
              <w:top w:val="nil"/>
              <w:left w:val="nil"/>
              <w:bottom w:val="single" w:sz="4" w:space="0" w:color="auto"/>
              <w:right w:val="nil"/>
            </w:tcBorders>
            <w:shd w:val="clear" w:color="auto" w:fill="auto"/>
            <w:hideMark/>
          </w:tcPr>
          <w:p w14:paraId="39B164EA" w14:textId="56B4EC1F"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1,046,522 </w:t>
            </w:r>
          </w:p>
        </w:tc>
        <w:tc>
          <w:tcPr>
            <w:tcW w:w="980" w:type="dxa"/>
            <w:tcBorders>
              <w:top w:val="nil"/>
              <w:left w:val="nil"/>
              <w:bottom w:val="single" w:sz="4" w:space="0" w:color="auto"/>
              <w:right w:val="nil"/>
            </w:tcBorders>
            <w:shd w:val="clear" w:color="000000" w:fill="E6E6E6"/>
            <w:hideMark/>
          </w:tcPr>
          <w:p w14:paraId="6579260B" w14:textId="43EE01D9"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861,045 </w:t>
            </w:r>
          </w:p>
        </w:tc>
        <w:tc>
          <w:tcPr>
            <w:tcW w:w="980" w:type="dxa"/>
            <w:tcBorders>
              <w:top w:val="nil"/>
              <w:left w:val="nil"/>
              <w:bottom w:val="single" w:sz="4" w:space="0" w:color="auto"/>
              <w:right w:val="nil"/>
            </w:tcBorders>
            <w:shd w:val="clear" w:color="auto" w:fill="auto"/>
            <w:hideMark/>
          </w:tcPr>
          <w:p w14:paraId="73B5674F" w14:textId="04C0E9AD"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793,688 </w:t>
            </w:r>
          </w:p>
        </w:tc>
        <w:tc>
          <w:tcPr>
            <w:tcW w:w="980" w:type="dxa"/>
            <w:tcBorders>
              <w:top w:val="nil"/>
              <w:left w:val="nil"/>
              <w:bottom w:val="single" w:sz="4" w:space="0" w:color="auto"/>
              <w:right w:val="nil"/>
            </w:tcBorders>
            <w:shd w:val="clear" w:color="auto" w:fill="auto"/>
            <w:hideMark/>
          </w:tcPr>
          <w:p w14:paraId="11493072" w14:textId="2F77B431"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788,750 </w:t>
            </w:r>
          </w:p>
        </w:tc>
        <w:tc>
          <w:tcPr>
            <w:tcW w:w="986" w:type="dxa"/>
            <w:tcBorders>
              <w:top w:val="nil"/>
              <w:left w:val="nil"/>
              <w:bottom w:val="single" w:sz="4" w:space="0" w:color="auto"/>
              <w:right w:val="nil"/>
            </w:tcBorders>
            <w:shd w:val="clear" w:color="auto" w:fill="auto"/>
            <w:hideMark/>
          </w:tcPr>
          <w:p w14:paraId="3FD44ADF" w14:textId="5FEC99E8" w:rsidR="00B860E6" w:rsidRPr="00020C9D" w:rsidRDefault="00B860E6" w:rsidP="00B860E6">
            <w:pPr>
              <w:spacing w:after="0" w:line="240" w:lineRule="auto"/>
              <w:jc w:val="right"/>
              <w:rPr>
                <w:rFonts w:ascii="Arial" w:hAnsi="Arial" w:cs="Arial"/>
                <w:b/>
                <w:bCs/>
                <w:sz w:val="16"/>
                <w:szCs w:val="16"/>
              </w:rPr>
            </w:pPr>
            <w:r>
              <w:rPr>
                <w:rFonts w:ascii="Arial" w:hAnsi="Arial" w:cs="Arial"/>
                <w:b/>
                <w:bCs/>
                <w:sz w:val="16"/>
                <w:szCs w:val="16"/>
              </w:rPr>
              <w:t xml:space="preserve">796,306 </w:t>
            </w:r>
          </w:p>
        </w:tc>
      </w:tr>
    </w:tbl>
    <w:p w14:paraId="6994D1A5" w14:textId="77777777" w:rsidR="00B91F3E" w:rsidRPr="008D6F28" w:rsidRDefault="00B91F3E" w:rsidP="00B91F3E">
      <w:pPr>
        <w:pStyle w:val="TableHeadingcontinued"/>
        <w:spacing w:after="0"/>
        <w:rPr>
          <w:rFonts w:ascii="Arial" w:hAnsi="Arial" w:cs="Arial"/>
          <w:sz w:val="12"/>
        </w:rPr>
      </w:pPr>
    </w:p>
    <w:tbl>
      <w:tblPr>
        <w:tblW w:w="4544" w:type="dxa"/>
        <w:tblLook w:val="04A0" w:firstRow="1" w:lastRow="0" w:firstColumn="1" w:lastColumn="0" w:noHBand="0" w:noVBand="1"/>
      </w:tblPr>
      <w:tblGrid>
        <w:gridCol w:w="2552"/>
        <w:gridCol w:w="996"/>
        <w:gridCol w:w="996"/>
      </w:tblGrid>
      <w:tr w:rsidR="00B91F3E" w:rsidRPr="009A307C" w14:paraId="77ADFB94" w14:textId="77777777" w:rsidTr="000B6A86">
        <w:trPr>
          <w:trHeight w:val="204"/>
        </w:trPr>
        <w:tc>
          <w:tcPr>
            <w:tcW w:w="2552" w:type="dxa"/>
            <w:tcBorders>
              <w:top w:val="single" w:sz="4" w:space="0" w:color="auto"/>
              <w:left w:val="nil"/>
              <w:bottom w:val="nil"/>
              <w:right w:val="nil"/>
            </w:tcBorders>
            <w:shd w:val="clear" w:color="auto" w:fill="auto"/>
            <w:noWrap/>
            <w:vAlign w:val="bottom"/>
            <w:hideMark/>
          </w:tcPr>
          <w:p w14:paraId="0D3BA8B8" w14:textId="77777777" w:rsidR="00B91F3E" w:rsidRPr="009A307C" w:rsidRDefault="00B91F3E" w:rsidP="00F96D8A">
            <w:pPr>
              <w:spacing w:after="0" w:line="240" w:lineRule="auto"/>
              <w:jc w:val="left"/>
              <w:rPr>
                <w:rFonts w:ascii="Arial" w:hAnsi="Arial" w:cs="Arial"/>
                <w:sz w:val="16"/>
                <w:szCs w:val="16"/>
              </w:rPr>
            </w:pPr>
            <w:r w:rsidRPr="009A307C">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noWrap/>
            <w:vAlign w:val="bottom"/>
            <w:hideMark/>
          </w:tcPr>
          <w:p w14:paraId="44C46566" w14:textId="77777777" w:rsidR="00B91F3E" w:rsidRPr="009A307C" w:rsidRDefault="00B91F3E" w:rsidP="00F96D8A">
            <w:pPr>
              <w:spacing w:after="0" w:line="240" w:lineRule="auto"/>
              <w:jc w:val="right"/>
              <w:rPr>
                <w:rFonts w:ascii="Arial" w:hAnsi="Arial" w:cs="Arial"/>
                <w:sz w:val="16"/>
                <w:szCs w:val="16"/>
              </w:rPr>
            </w:pPr>
            <w:r w:rsidRPr="009A307C">
              <w:rPr>
                <w:rFonts w:ascii="Arial" w:hAnsi="Arial" w:cs="Arial"/>
                <w:sz w:val="16"/>
                <w:szCs w:val="16"/>
              </w:rPr>
              <w:t>2021-22</w:t>
            </w:r>
          </w:p>
        </w:tc>
        <w:tc>
          <w:tcPr>
            <w:tcW w:w="996" w:type="dxa"/>
            <w:tcBorders>
              <w:top w:val="single" w:sz="4" w:space="0" w:color="auto"/>
              <w:left w:val="nil"/>
              <w:bottom w:val="single" w:sz="4" w:space="0" w:color="auto"/>
              <w:right w:val="nil"/>
            </w:tcBorders>
            <w:shd w:val="clear" w:color="000000" w:fill="E6E6E6"/>
            <w:noWrap/>
            <w:vAlign w:val="bottom"/>
            <w:hideMark/>
          </w:tcPr>
          <w:p w14:paraId="3D72C9A1" w14:textId="77777777" w:rsidR="00B91F3E" w:rsidRPr="009A307C" w:rsidRDefault="00B91F3E" w:rsidP="00F96D8A">
            <w:pPr>
              <w:spacing w:after="0" w:line="240" w:lineRule="auto"/>
              <w:jc w:val="right"/>
              <w:rPr>
                <w:rFonts w:ascii="Arial" w:hAnsi="Arial" w:cs="Arial"/>
                <w:sz w:val="16"/>
                <w:szCs w:val="16"/>
              </w:rPr>
            </w:pPr>
            <w:r w:rsidRPr="009A307C">
              <w:rPr>
                <w:rFonts w:ascii="Arial" w:hAnsi="Arial" w:cs="Arial"/>
                <w:sz w:val="16"/>
                <w:szCs w:val="16"/>
              </w:rPr>
              <w:t>2022-23</w:t>
            </w:r>
          </w:p>
        </w:tc>
      </w:tr>
      <w:tr w:rsidR="00B91F3E" w:rsidRPr="009A307C" w14:paraId="00327DD5" w14:textId="77777777" w:rsidTr="000B6A86">
        <w:trPr>
          <w:trHeight w:val="204"/>
        </w:trPr>
        <w:tc>
          <w:tcPr>
            <w:tcW w:w="2552" w:type="dxa"/>
            <w:tcBorders>
              <w:top w:val="nil"/>
              <w:left w:val="nil"/>
              <w:bottom w:val="single" w:sz="4" w:space="0" w:color="auto"/>
              <w:right w:val="nil"/>
            </w:tcBorders>
            <w:shd w:val="clear" w:color="auto" w:fill="auto"/>
            <w:noWrap/>
            <w:vAlign w:val="bottom"/>
            <w:hideMark/>
          </w:tcPr>
          <w:p w14:paraId="689951A7" w14:textId="77777777" w:rsidR="00B91F3E" w:rsidRPr="009A307C" w:rsidRDefault="00B91F3E" w:rsidP="00F96D8A">
            <w:pPr>
              <w:spacing w:after="0" w:line="240" w:lineRule="auto"/>
              <w:jc w:val="left"/>
              <w:rPr>
                <w:rFonts w:ascii="Arial" w:hAnsi="Arial" w:cs="Arial"/>
                <w:b/>
                <w:bCs/>
                <w:sz w:val="16"/>
                <w:szCs w:val="16"/>
              </w:rPr>
            </w:pPr>
            <w:r w:rsidRPr="009A307C">
              <w:rPr>
                <w:rFonts w:ascii="Arial" w:hAnsi="Arial" w:cs="Arial"/>
                <w:b/>
                <w:bCs/>
                <w:sz w:val="16"/>
                <w:szCs w:val="16"/>
              </w:rPr>
              <w:t>Average staffing level (number)</w:t>
            </w:r>
          </w:p>
        </w:tc>
        <w:tc>
          <w:tcPr>
            <w:tcW w:w="996" w:type="dxa"/>
            <w:tcBorders>
              <w:top w:val="single" w:sz="4" w:space="0" w:color="auto"/>
              <w:left w:val="nil"/>
              <w:bottom w:val="single" w:sz="4" w:space="0" w:color="auto"/>
              <w:right w:val="nil"/>
            </w:tcBorders>
            <w:shd w:val="clear" w:color="auto" w:fill="auto"/>
            <w:noWrap/>
            <w:vAlign w:val="bottom"/>
            <w:hideMark/>
          </w:tcPr>
          <w:p w14:paraId="5CDE5B4B" w14:textId="5639B84F" w:rsidR="00B91F3E" w:rsidRPr="009A307C" w:rsidRDefault="000B6A86" w:rsidP="00F96D8A">
            <w:pPr>
              <w:spacing w:after="0" w:line="240" w:lineRule="auto"/>
              <w:jc w:val="right"/>
              <w:rPr>
                <w:rFonts w:ascii="Arial" w:hAnsi="Arial" w:cs="Arial"/>
                <w:sz w:val="16"/>
                <w:szCs w:val="16"/>
              </w:rPr>
            </w:pPr>
            <w:r>
              <w:rPr>
                <w:rFonts w:ascii="Arial" w:hAnsi="Arial" w:cs="Arial"/>
                <w:sz w:val="16"/>
                <w:szCs w:val="16"/>
              </w:rPr>
              <w:t>202</w:t>
            </w:r>
          </w:p>
        </w:tc>
        <w:tc>
          <w:tcPr>
            <w:tcW w:w="996" w:type="dxa"/>
            <w:tcBorders>
              <w:top w:val="single" w:sz="4" w:space="0" w:color="auto"/>
              <w:left w:val="nil"/>
              <w:bottom w:val="single" w:sz="4" w:space="0" w:color="auto"/>
              <w:right w:val="nil"/>
            </w:tcBorders>
            <w:shd w:val="clear" w:color="000000" w:fill="E6E6E6"/>
            <w:noWrap/>
            <w:vAlign w:val="bottom"/>
            <w:hideMark/>
          </w:tcPr>
          <w:p w14:paraId="59612E1A" w14:textId="53CBE339" w:rsidR="00B91F3E" w:rsidRPr="009A307C" w:rsidRDefault="00B91F3E" w:rsidP="000B6A86">
            <w:pPr>
              <w:spacing w:after="0" w:line="240" w:lineRule="auto"/>
              <w:jc w:val="right"/>
              <w:rPr>
                <w:rFonts w:ascii="Arial" w:hAnsi="Arial" w:cs="Arial"/>
                <w:sz w:val="16"/>
                <w:szCs w:val="16"/>
              </w:rPr>
            </w:pPr>
            <w:r w:rsidRPr="009A307C">
              <w:rPr>
                <w:rFonts w:ascii="Arial" w:hAnsi="Arial" w:cs="Arial"/>
                <w:sz w:val="16"/>
                <w:szCs w:val="16"/>
              </w:rPr>
              <w:t>20</w:t>
            </w:r>
            <w:r w:rsidR="000B6A86">
              <w:rPr>
                <w:rFonts w:ascii="Arial" w:hAnsi="Arial" w:cs="Arial"/>
                <w:sz w:val="16"/>
                <w:szCs w:val="16"/>
              </w:rPr>
              <w:t>0</w:t>
            </w:r>
          </w:p>
        </w:tc>
      </w:tr>
    </w:tbl>
    <w:p w14:paraId="47DBAFBA" w14:textId="05A3C147" w:rsidR="00B91F3E" w:rsidRPr="008D6F28" w:rsidRDefault="00B91F3E" w:rsidP="004F6389">
      <w:pPr>
        <w:pStyle w:val="TableGraphic"/>
        <w:numPr>
          <w:ilvl w:val="0"/>
          <w:numId w:val="50"/>
        </w:numPr>
        <w:spacing w:before="60"/>
        <w:ind w:left="284" w:hanging="284"/>
        <w:rPr>
          <w:rFonts w:ascii="Arial" w:hAnsi="Arial" w:cs="Arial"/>
          <w:sz w:val="16"/>
          <w:szCs w:val="16"/>
        </w:rPr>
      </w:pPr>
      <w:r w:rsidRPr="008D6F28">
        <w:rPr>
          <w:rFonts w:ascii="Arial" w:hAnsi="Arial" w:cs="Arial"/>
          <w:sz w:val="16"/>
          <w:szCs w:val="16"/>
        </w:rPr>
        <w:t xml:space="preserve">Relates to appropriation for corporate entities that is provided through the </w:t>
      </w:r>
      <w:r w:rsidR="003C4CC6">
        <w:rPr>
          <w:rFonts w:ascii="Arial" w:hAnsi="Arial" w:cs="Arial"/>
          <w:sz w:val="16"/>
          <w:szCs w:val="16"/>
        </w:rPr>
        <w:t>Department</w:t>
      </w:r>
      <w:r w:rsidRPr="008D6F28">
        <w:rPr>
          <w:rFonts w:ascii="Arial" w:hAnsi="Arial" w:cs="Arial"/>
          <w:sz w:val="16"/>
          <w:szCs w:val="16"/>
        </w:rPr>
        <w:t>.</w:t>
      </w:r>
    </w:p>
    <w:p w14:paraId="51F15387" w14:textId="299D1260" w:rsidR="00B91F3E" w:rsidRPr="008D6F28" w:rsidRDefault="00B91F3E" w:rsidP="00B860E6">
      <w:pPr>
        <w:pStyle w:val="TableGraphic"/>
        <w:numPr>
          <w:ilvl w:val="0"/>
          <w:numId w:val="50"/>
        </w:numPr>
        <w:ind w:left="284" w:hanging="284"/>
        <w:jc w:val="left"/>
        <w:rPr>
          <w:rFonts w:ascii="Arial" w:hAnsi="Arial" w:cs="Arial"/>
          <w:sz w:val="16"/>
          <w:szCs w:val="16"/>
        </w:rPr>
      </w:pPr>
      <w:r w:rsidRPr="008D6F28">
        <w:rPr>
          <w:rFonts w:ascii="Arial" w:hAnsi="Arial" w:cs="Arial"/>
          <w:sz w:val="16"/>
          <w:szCs w:val="16"/>
        </w:rPr>
        <w:t>Administered ‘Expenses not requiring appropriation in the Budget year’ comprises expenses relating to expenses recovered from industry, accruals, payments made from prior year appropriations and other non</w:t>
      </w:r>
      <w:r w:rsidR="00B860E6">
        <w:rPr>
          <w:rFonts w:ascii="Arial" w:hAnsi="Arial" w:cs="Arial"/>
          <w:sz w:val="16"/>
          <w:szCs w:val="16"/>
        </w:rPr>
        <w:noBreakHyphen/>
      </w:r>
      <w:r w:rsidRPr="008D6F28">
        <w:rPr>
          <w:rFonts w:ascii="Arial" w:hAnsi="Arial" w:cs="Arial"/>
          <w:sz w:val="16"/>
          <w:szCs w:val="16"/>
        </w:rPr>
        <w:t>cash expenses.</w:t>
      </w:r>
    </w:p>
    <w:p w14:paraId="7A96A455" w14:textId="77777777" w:rsidR="00B860E6" w:rsidRDefault="00B91F3E" w:rsidP="00B860E6">
      <w:pPr>
        <w:pStyle w:val="TableGraphic"/>
        <w:numPr>
          <w:ilvl w:val="0"/>
          <w:numId w:val="50"/>
        </w:numPr>
        <w:ind w:left="284" w:hanging="284"/>
        <w:rPr>
          <w:rFonts w:ascii="Arial" w:hAnsi="Arial" w:cs="Arial"/>
          <w:sz w:val="16"/>
          <w:szCs w:val="16"/>
        </w:rPr>
      </w:pPr>
      <w:r w:rsidRPr="008D6F28">
        <w:rPr>
          <w:rFonts w:ascii="Arial" w:hAnsi="Arial" w:cs="Arial"/>
          <w:sz w:val="16"/>
          <w:szCs w:val="16"/>
        </w:rPr>
        <w:t>Estimated expenses incurred in relation to receipts retained under section 74 of the PGPA Act.</w:t>
      </w:r>
    </w:p>
    <w:p w14:paraId="54BA6AEB" w14:textId="72853030" w:rsidR="00B860E6" w:rsidRPr="00B860E6" w:rsidRDefault="00B860E6" w:rsidP="00B860E6">
      <w:pPr>
        <w:pStyle w:val="TableGraphic"/>
        <w:numPr>
          <w:ilvl w:val="0"/>
          <w:numId w:val="50"/>
        </w:numPr>
        <w:ind w:left="284" w:hanging="284"/>
        <w:rPr>
          <w:rFonts w:ascii="Arial" w:hAnsi="Arial" w:cs="Arial"/>
          <w:sz w:val="16"/>
          <w:szCs w:val="16"/>
        </w:rPr>
      </w:pPr>
      <w:r w:rsidRPr="00B860E6">
        <w:rPr>
          <w:rFonts w:ascii="Arial" w:hAnsi="Arial" w:cs="Arial"/>
          <w:sz w:val="16"/>
          <w:szCs w:val="16"/>
        </w:rPr>
        <w:t>The Cultural Special Account sunset on 1 October 2021. Estimated payments have been transferred to the Services for Entities and Other Trust Moneys Special Account.</w:t>
      </w:r>
    </w:p>
    <w:p w14:paraId="4D2B5BEE" w14:textId="76D7ED60" w:rsidR="00B91F3E" w:rsidRPr="008D6F28" w:rsidRDefault="003C4CC6" w:rsidP="00B860E6">
      <w:pPr>
        <w:pStyle w:val="TableGraphic"/>
        <w:numPr>
          <w:ilvl w:val="0"/>
          <w:numId w:val="50"/>
        </w:numPr>
        <w:ind w:left="284" w:hanging="284"/>
        <w:jc w:val="left"/>
        <w:rPr>
          <w:rFonts w:ascii="Arial" w:hAnsi="Arial" w:cs="Arial"/>
          <w:sz w:val="16"/>
          <w:szCs w:val="16"/>
        </w:rPr>
      </w:pPr>
      <w:r>
        <w:rPr>
          <w:rFonts w:ascii="Arial" w:hAnsi="Arial" w:cs="Arial"/>
          <w:sz w:val="16"/>
          <w:szCs w:val="16"/>
        </w:rPr>
        <w:t>Department</w:t>
      </w:r>
      <w:r w:rsidR="00B91F3E" w:rsidRPr="008D6F28">
        <w:rPr>
          <w:rFonts w:ascii="Arial" w:hAnsi="Arial" w:cs="Arial"/>
          <w:sz w:val="16"/>
          <w:szCs w:val="16"/>
        </w:rPr>
        <w:t>al ‘Expenses not requiring appropriation in the Budget year’ is made up of depreciation and amortisation expenses and expenses that are reduced by associated receipts.</w:t>
      </w:r>
    </w:p>
    <w:p w14:paraId="2B61DB7A" w14:textId="77777777" w:rsidR="00B91F3E" w:rsidRDefault="00B91F3E" w:rsidP="00B91F3E">
      <w:pPr>
        <w:spacing w:after="0"/>
      </w:pPr>
      <w:r w:rsidRPr="008D6F28">
        <w:rPr>
          <w:rFonts w:ascii="Arial" w:hAnsi="Arial" w:cs="Arial"/>
          <w:sz w:val="16"/>
          <w:szCs w:val="16"/>
          <w:highlight w:val="yellow"/>
        </w:rPr>
        <w:br w:type="page"/>
      </w:r>
      <w:r>
        <w:rPr>
          <w:rStyle w:val="TableHeadingChar"/>
        </w:rPr>
        <w:lastRenderedPageBreak/>
        <w:t>Table 2.6</w:t>
      </w:r>
      <w:r w:rsidRPr="00B166C6">
        <w:rPr>
          <w:rStyle w:val="TableHeadingChar"/>
        </w:rPr>
        <w:t>.2:</w:t>
      </w:r>
      <w:r>
        <w:rPr>
          <w:rStyle w:val="TableHeadingChar"/>
        </w:rPr>
        <w:t xml:space="preserve"> Program components of Outcome 6</w:t>
      </w:r>
      <w:r>
        <w:t xml:space="preserve"> </w:t>
      </w:r>
    </w:p>
    <w:tbl>
      <w:tblPr>
        <w:tblW w:w="0" w:type="auto"/>
        <w:tblLayout w:type="fixed"/>
        <w:tblLook w:val="04A0" w:firstRow="1" w:lastRow="0" w:firstColumn="1" w:lastColumn="0" w:noHBand="0" w:noVBand="1"/>
      </w:tblPr>
      <w:tblGrid>
        <w:gridCol w:w="2694"/>
        <w:gridCol w:w="977"/>
        <w:gridCol w:w="976"/>
        <w:gridCol w:w="977"/>
        <w:gridCol w:w="977"/>
        <w:gridCol w:w="971"/>
        <w:gridCol w:w="6"/>
      </w:tblGrid>
      <w:tr w:rsidR="00B91F3E" w:rsidRPr="009A1CB4" w14:paraId="187B06AB" w14:textId="77777777" w:rsidTr="00F96D8A">
        <w:trPr>
          <w:trHeight w:val="204"/>
        </w:trPr>
        <w:tc>
          <w:tcPr>
            <w:tcW w:w="2694" w:type="dxa"/>
            <w:tcBorders>
              <w:top w:val="single" w:sz="4" w:space="0" w:color="auto"/>
              <w:left w:val="nil"/>
              <w:bottom w:val="single" w:sz="4" w:space="0" w:color="auto"/>
              <w:right w:val="nil"/>
            </w:tcBorders>
            <w:shd w:val="clear" w:color="auto" w:fill="auto"/>
            <w:noWrap/>
            <w:vAlign w:val="bottom"/>
            <w:hideMark/>
          </w:tcPr>
          <w:p w14:paraId="642DA252" w14:textId="77777777" w:rsidR="00B91F3E" w:rsidRPr="009A1CB4" w:rsidRDefault="00B91F3E" w:rsidP="00F96D8A">
            <w:pPr>
              <w:spacing w:after="0" w:line="240" w:lineRule="auto"/>
              <w:jc w:val="left"/>
              <w:rPr>
                <w:rFonts w:ascii="Arial" w:hAnsi="Arial" w:cs="Arial"/>
                <w:sz w:val="16"/>
                <w:szCs w:val="16"/>
              </w:rPr>
            </w:pPr>
            <w:r w:rsidRPr="009A1CB4">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auto"/>
            <w:vAlign w:val="bottom"/>
            <w:hideMark/>
          </w:tcPr>
          <w:p w14:paraId="45B91D2C" w14:textId="77777777" w:rsidR="00B91F3E" w:rsidRPr="009A1CB4" w:rsidRDefault="00B91F3E" w:rsidP="00F96D8A">
            <w:pPr>
              <w:spacing w:after="0" w:line="240" w:lineRule="auto"/>
              <w:jc w:val="right"/>
              <w:rPr>
                <w:rFonts w:ascii="Arial" w:hAnsi="Arial" w:cs="Arial"/>
                <w:sz w:val="16"/>
                <w:szCs w:val="16"/>
              </w:rPr>
            </w:pPr>
            <w:r w:rsidRPr="009A1CB4">
              <w:rPr>
                <w:rFonts w:ascii="Arial" w:hAnsi="Arial" w:cs="Arial"/>
                <w:sz w:val="16"/>
                <w:szCs w:val="16"/>
              </w:rPr>
              <w:t>2021-22</w:t>
            </w:r>
            <w:r w:rsidRPr="009A1CB4">
              <w:rPr>
                <w:rFonts w:ascii="Arial" w:hAnsi="Arial" w:cs="Arial"/>
                <w:sz w:val="16"/>
                <w:szCs w:val="16"/>
              </w:rPr>
              <w:br/>
              <w:t>Estimated  actual</w:t>
            </w:r>
            <w:r w:rsidRPr="009A1CB4">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000000" w:fill="E6E6E6"/>
            <w:vAlign w:val="bottom"/>
            <w:hideMark/>
          </w:tcPr>
          <w:p w14:paraId="69A104B6" w14:textId="77777777" w:rsidR="00B91F3E" w:rsidRPr="009A1CB4" w:rsidRDefault="00B91F3E" w:rsidP="00F96D8A">
            <w:pPr>
              <w:spacing w:after="0" w:line="240" w:lineRule="auto"/>
              <w:jc w:val="right"/>
              <w:rPr>
                <w:rFonts w:ascii="Arial" w:hAnsi="Arial" w:cs="Arial"/>
                <w:sz w:val="16"/>
                <w:szCs w:val="16"/>
              </w:rPr>
            </w:pPr>
            <w:r w:rsidRPr="009A1CB4">
              <w:rPr>
                <w:rFonts w:ascii="Arial" w:hAnsi="Arial" w:cs="Arial"/>
                <w:sz w:val="16"/>
                <w:szCs w:val="16"/>
              </w:rPr>
              <w:t>2022-23</w:t>
            </w:r>
            <w:r w:rsidRPr="009A1CB4">
              <w:rPr>
                <w:rFonts w:ascii="Arial" w:hAnsi="Arial" w:cs="Arial"/>
                <w:sz w:val="16"/>
                <w:szCs w:val="16"/>
              </w:rPr>
              <w:br/>
              <w:t xml:space="preserve"> Budget</w:t>
            </w:r>
            <w:r w:rsidRPr="009A1CB4">
              <w:rPr>
                <w:rFonts w:ascii="Arial" w:hAnsi="Arial" w:cs="Arial"/>
                <w:sz w:val="16"/>
                <w:szCs w:val="16"/>
              </w:rPr>
              <w:br/>
              <w:t xml:space="preserve">                                      $'000</w:t>
            </w:r>
          </w:p>
        </w:tc>
        <w:tc>
          <w:tcPr>
            <w:tcW w:w="977" w:type="dxa"/>
            <w:tcBorders>
              <w:top w:val="single" w:sz="4" w:space="0" w:color="auto"/>
              <w:left w:val="nil"/>
              <w:bottom w:val="single" w:sz="4" w:space="0" w:color="auto"/>
              <w:right w:val="nil"/>
            </w:tcBorders>
            <w:shd w:val="clear" w:color="auto" w:fill="auto"/>
            <w:vAlign w:val="bottom"/>
            <w:hideMark/>
          </w:tcPr>
          <w:p w14:paraId="613EB140" w14:textId="77777777" w:rsidR="00B91F3E" w:rsidRPr="009A1CB4" w:rsidRDefault="00B91F3E" w:rsidP="00F96D8A">
            <w:pPr>
              <w:spacing w:after="0" w:line="240" w:lineRule="auto"/>
              <w:jc w:val="right"/>
              <w:rPr>
                <w:rFonts w:ascii="Arial" w:hAnsi="Arial" w:cs="Arial"/>
                <w:sz w:val="16"/>
                <w:szCs w:val="16"/>
              </w:rPr>
            </w:pPr>
            <w:r w:rsidRPr="009A1CB4">
              <w:rPr>
                <w:rFonts w:ascii="Arial" w:hAnsi="Arial" w:cs="Arial"/>
                <w:sz w:val="16"/>
                <w:szCs w:val="16"/>
              </w:rPr>
              <w:t>2023-24</w:t>
            </w:r>
            <w:r w:rsidRPr="009A1CB4">
              <w:rPr>
                <w:rFonts w:ascii="Arial" w:hAnsi="Arial" w:cs="Arial"/>
                <w:sz w:val="16"/>
                <w:szCs w:val="16"/>
              </w:rPr>
              <w:br/>
              <w:t>Forward estimate</w:t>
            </w:r>
            <w:r w:rsidRPr="009A1CB4">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bottom"/>
            <w:hideMark/>
          </w:tcPr>
          <w:p w14:paraId="3D22DD1C" w14:textId="77777777" w:rsidR="00B91F3E" w:rsidRPr="009A1CB4" w:rsidRDefault="00B91F3E" w:rsidP="00F96D8A">
            <w:pPr>
              <w:spacing w:after="0" w:line="240" w:lineRule="auto"/>
              <w:jc w:val="right"/>
              <w:rPr>
                <w:rFonts w:ascii="Arial" w:hAnsi="Arial" w:cs="Arial"/>
                <w:sz w:val="16"/>
                <w:szCs w:val="16"/>
              </w:rPr>
            </w:pPr>
            <w:r w:rsidRPr="009A1CB4">
              <w:rPr>
                <w:rFonts w:ascii="Arial" w:hAnsi="Arial" w:cs="Arial"/>
                <w:sz w:val="16"/>
                <w:szCs w:val="16"/>
              </w:rPr>
              <w:t>2024-25</w:t>
            </w:r>
            <w:r w:rsidRPr="009A1CB4">
              <w:rPr>
                <w:rFonts w:ascii="Arial" w:hAnsi="Arial" w:cs="Arial"/>
                <w:sz w:val="16"/>
                <w:szCs w:val="16"/>
              </w:rPr>
              <w:br/>
              <w:t>Forward estimate</w:t>
            </w:r>
            <w:r w:rsidRPr="009A1CB4">
              <w:rPr>
                <w:rFonts w:ascii="Arial" w:hAnsi="Arial" w:cs="Arial"/>
                <w:sz w:val="16"/>
                <w:szCs w:val="16"/>
              </w:rPr>
              <w:b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7D89547C" w14:textId="77777777" w:rsidR="00B91F3E" w:rsidRPr="009A1CB4" w:rsidRDefault="00B91F3E" w:rsidP="00F96D8A">
            <w:pPr>
              <w:spacing w:after="0" w:line="240" w:lineRule="auto"/>
              <w:jc w:val="right"/>
              <w:rPr>
                <w:rFonts w:ascii="Arial" w:hAnsi="Arial" w:cs="Arial"/>
                <w:sz w:val="16"/>
                <w:szCs w:val="16"/>
              </w:rPr>
            </w:pPr>
            <w:r w:rsidRPr="009A1CB4">
              <w:rPr>
                <w:rFonts w:ascii="Arial" w:hAnsi="Arial" w:cs="Arial"/>
                <w:sz w:val="16"/>
                <w:szCs w:val="16"/>
              </w:rPr>
              <w:t>2025-26</w:t>
            </w:r>
            <w:r w:rsidRPr="009A1CB4">
              <w:rPr>
                <w:rFonts w:ascii="Arial" w:hAnsi="Arial" w:cs="Arial"/>
                <w:sz w:val="16"/>
                <w:szCs w:val="16"/>
              </w:rPr>
              <w:br/>
              <w:t>Forward estimate</w:t>
            </w:r>
            <w:r w:rsidRPr="009A1CB4">
              <w:rPr>
                <w:rFonts w:ascii="Arial" w:hAnsi="Arial" w:cs="Arial"/>
                <w:sz w:val="16"/>
                <w:szCs w:val="16"/>
              </w:rPr>
              <w:br/>
              <w:t>$'000</w:t>
            </w:r>
          </w:p>
        </w:tc>
      </w:tr>
      <w:tr w:rsidR="005F5D68" w:rsidRPr="009A1CB4" w14:paraId="3AED5BD4" w14:textId="77777777" w:rsidTr="005F5D68">
        <w:trPr>
          <w:gridAfter w:val="1"/>
          <w:wAfter w:w="6" w:type="dxa"/>
          <w:trHeight w:val="204"/>
        </w:trPr>
        <w:tc>
          <w:tcPr>
            <w:tcW w:w="7572" w:type="dxa"/>
            <w:gridSpan w:val="6"/>
            <w:tcBorders>
              <w:top w:val="single" w:sz="4" w:space="0" w:color="auto"/>
              <w:left w:val="nil"/>
              <w:bottom w:val="single" w:sz="4" w:space="0" w:color="auto"/>
              <w:right w:val="nil"/>
            </w:tcBorders>
            <w:shd w:val="clear" w:color="000000" w:fill="E6E6E6"/>
            <w:noWrap/>
            <w:vAlign w:val="bottom"/>
            <w:hideMark/>
          </w:tcPr>
          <w:p w14:paraId="037858A5" w14:textId="516FC9E0" w:rsidR="005F5D68" w:rsidRPr="005F5D68" w:rsidRDefault="005F5D68" w:rsidP="005F5D68">
            <w:pPr>
              <w:spacing w:after="0" w:line="240" w:lineRule="auto"/>
              <w:jc w:val="left"/>
              <w:rPr>
                <w:rFonts w:ascii="Arial" w:hAnsi="Arial" w:cs="Arial"/>
                <w:b/>
                <w:bCs/>
                <w:sz w:val="16"/>
                <w:szCs w:val="16"/>
              </w:rPr>
            </w:pPr>
            <w:r w:rsidRPr="009A1CB4">
              <w:rPr>
                <w:rFonts w:ascii="Arial" w:hAnsi="Arial" w:cs="Arial"/>
                <w:b/>
                <w:bCs/>
                <w:sz w:val="16"/>
                <w:szCs w:val="16"/>
              </w:rPr>
              <w:t>Components for Program 6.1: Arts and Cultural Development</w:t>
            </w:r>
          </w:p>
        </w:tc>
      </w:tr>
      <w:tr w:rsidR="00B91F3E" w:rsidRPr="009A1CB4" w14:paraId="425F0E07" w14:textId="77777777" w:rsidTr="00F96D8A">
        <w:trPr>
          <w:trHeight w:val="204"/>
        </w:trPr>
        <w:tc>
          <w:tcPr>
            <w:tcW w:w="2694" w:type="dxa"/>
            <w:tcBorders>
              <w:top w:val="nil"/>
              <w:left w:val="nil"/>
              <w:bottom w:val="nil"/>
              <w:right w:val="nil"/>
            </w:tcBorders>
            <w:shd w:val="clear" w:color="auto" w:fill="auto"/>
            <w:vAlign w:val="bottom"/>
            <w:hideMark/>
          </w:tcPr>
          <w:p w14:paraId="3EE89C19" w14:textId="77777777" w:rsidR="00B91F3E" w:rsidRPr="009A1CB4" w:rsidRDefault="00B91F3E" w:rsidP="00F96D8A">
            <w:pPr>
              <w:spacing w:after="0" w:line="240" w:lineRule="auto"/>
              <w:jc w:val="left"/>
              <w:rPr>
                <w:rFonts w:ascii="Arial" w:hAnsi="Arial" w:cs="Arial"/>
                <w:sz w:val="16"/>
                <w:szCs w:val="16"/>
              </w:rPr>
            </w:pPr>
            <w:r w:rsidRPr="009A1CB4">
              <w:rPr>
                <w:rFonts w:ascii="Arial" w:hAnsi="Arial" w:cs="Arial"/>
                <w:sz w:val="16"/>
                <w:szCs w:val="16"/>
              </w:rPr>
              <w:t>Administered expenses</w:t>
            </w:r>
          </w:p>
        </w:tc>
        <w:tc>
          <w:tcPr>
            <w:tcW w:w="977" w:type="dxa"/>
            <w:tcBorders>
              <w:top w:val="nil"/>
              <w:left w:val="nil"/>
              <w:bottom w:val="nil"/>
              <w:right w:val="nil"/>
            </w:tcBorders>
            <w:shd w:val="clear" w:color="auto" w:fill="auto"/>
            <w:noWrap/>
            <w:vAlign w:val="bottom"/>
            <w:hideMark/>
          </w:tcPr>
          <w:p w14:paraId="7CB93AE1" w14:textId="77777777" w:rsidR="00B91F3E" w:rsidRPr="009A1CB4" w:rsidRDefault="00B91F3E" w:rsidP="00F96D8A">
            <w:pPr>
              <w:spacing w:after="0" w:line="240" w:lineRule="auto"/>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6914B4BC" w14:textId="77777777" w:rsidR="00B91F3E" w:rsidRPr="009A1CB4"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A6678D2" w14:textId="77777777" w:rsidR="00B91F3E" w:rsidRPr="009A1CB4" w:rsidRDefault="00B91F3E" w:rsidP="00F96D8A">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835F90A" w14:textId="77777777" w:rsidR="00B91F3E" w:rsidRPr="009A1CB4" w:rsidRDefault="00B91F3E" w:rsidP="00F96D8A">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399FCBED" w14:textId="77777777" w:rsidR="00B91F3E" w:rsidRPr="009A1CB4" w:rsidRDefault="00B91F3E" w:rsidP="00F96D8A">
            <w:pPr>
              <w:spacing w:after="0" w:line="240" w:lineRule="auto"/>
              <w:jc w:val="right"/>
              <w:rPr>
                <w:rFonts w:ascii="Times New Roman" w:hAnsi="Times New Roman"/>
                <w:sz w:val="16"/>
                <w:szCs w:val="16"/>
              </w:rPr>
            </w:pPr>
          </w:p>
        </w:tc>
      </w:tr>
      <w:tr w:rsidR="00EC2D42" w:rsidRPr="009A1CB4" w14:paraId="347C318C" w14:textId="77777777" w:rsidTr="00F96D8A">
        <w:trPr>
          <w:trHeight w:val="204"/>
        </w:trPr>
        <w:tc>
          <w:tcPr>
            <w:tcW w:w="2694" w:type="dxa"/>
            <w:tcBorders>
              <w:top w:val="nil"/>
              <w:left w:val="nil"/>
              <w:bottom w:val="nil"/>
              <w:right w:val="nil"/>
            </w:tcBorders>
            <w:shd w:val="clear" w:color="auto" w:fill="auto"/>
            <w:vAlign w:val="bottom"/>
            <w:hideMark/>
          </w:tcPr>
          <w:p w14:paraId="53A9EE98" w14:textId="2A21DA8C"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Arts and Cultural Development</w:t>
            </w:r>
          </w:p>
        </w:tc>
        <w:tc>
          <w:tcPr>
            <w:tcW w:w="977" w:type="dxa"/>
            <w:tcBorders>
              <w:top w:val="nil"/>
              <w:left w:val="nil"/>
              <w:bottom w:val="nil"/>
              <w:right w:val="nil"/>
            </w:tcBorders>
            <w:shd w:val="clear" w:color="auto" w:fill="auto"/>
            <w:noWrap/>
            <w:vAlign w:val="bottom"/>
            <w:hideMark/>
          </w:tcPr>
          <w:p w14:paraId="39332512" w14:textId="32AF66E0"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159,134 </w:t>
            </w:r>
          </w:p>
        </w:tc>
        <w:tc>
          <w:tcPr>
            <w:tcW w:w="976" w:type="dxa"/>
            <w:tcBorders>
              <w:top w:val="nil"/>
              <w:left w:val="nil"/>
              <w:bottom w:val="nil"/>
              <w:right w:val="nil"/>
            </w:tcBorders>
            <w:shd w:val="clear" w:color="000000" w:fill="E6E6E6"/>
            <w:noWrap/>
            <w:vAlign w:val="bottom"/>
            <w:hideMark/>
          </w:tcPr>
          <w:p w14:paraId="7A21F3EF" w14:textId="4169153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20,348 </w:t>
            </w:r>
          </w:p>
        </w:tc>
        <w:tc>
          <w:tcPr>
            <w:tcW w:w="977" w:type="dxa"/>
            <w:tcBorders>
              <w:top w:val="nil"/>
              <w:left w:val="nil"/>
              <w:bottom w:val="nil"/>
              <w:right w:val="nil"/>
            </w:tcBorders>
            <w:shd w:val="clear" w:color="auto" w:fill="auto"/>
            <w:noWrap/>
            <w:vAlign w:val="bottom"/>
            <w:hideMark/>
          </w:tcPr>
          <w:p w14:paraId="03981436" w14:textId="214177B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2,366 </w:t>
            </w:r>
          </w:p>
        </w:tc>
        <w:tc>
          <w:tcPr>
            <w:tcW w:w="977" w:type="dxa"/>
            <w:tcBorders>
              <w:top w:val="nil"/>
              <w:left w:val="nil"/>
              <w:bottom w:val="nil"/>
              <w:right w:val="nil"/>
            </w:tcBorders>
            <w:shd w:val="clear" w:color="auto" w:fill="auto"/>
            <w:noWrap/>
            <w:vAlign w:val="bottom"/>
            <w:hideMark/>
          </w:tcPr>
          <w:p w14:paraId="7C4BFCCF" w14:textId="35531CE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2,387 </w:t>
            </w:r>
          </w:p>
        </w:tc>
        <w:tc>
          <w:tcPr>
            <w:tcW w:w="977" w:type="dxa"/>
            <w:gridSpan w:val="2"/>
            <w:tcBorders>
              <w:top w:val="nil"/>
              <w:left w:val="nil"/>
              <w:bottom w:val="nil"/>
              <w:right w:val="nil"/>
            </w:tcBorders>
            <w:shd w:val="clear" w:color="auto" w:fill="auto"/>
            <w:noWrap/>
            <w:vAlign w:val="bottom"/>
            <w:hideMark/>
          </w:tcPr>
          <w:p w14:paraId="0A2E7CF3" w14:textId="1EDDA1C3"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2,407 </w:t>
            </w:r>
          </w:p>
        </w:tc>
      </w:tr>
      <w:tr w:rsidR="00EC2D42" w:rsidRPr="009A1CB4" w14:paraId="40E06951" w14:textId="77777777" w:rsidTr="00F96D8A">
        <w:trPr>
          <w:trHeight w:val="204"/>
        </w:trPr>
        <w:tc>
          <w:tcPr>
            <w:tcW w:w="2694" w:type="dxa"/>
            <w:tcBorders>
              <w:top w:val="nil"/>
              <w:left w:val="nil"/>
              <w:bottom w:val="nil"/>
              <w:right w:val="nil"/>
            </w:tcBorders>
            <w:shd w:val="clear" w:color="auto" w:fill="auto"/>
            <w:vAlign w:val="bottom"/>
            <w:hideMark/>
          </w:tcPr>
          <w:p w14:paraId="1B859556" w14:textId="30EAEFAE"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Arts Training</w:t>
            </w:r>
          </w:p>
        </w:tc>
        <w:tc>
          <w:tcPr>
            <w:tcW w:w="977" w:type="dxa"/>
            <w:tcBorders>
              <w:top w:val="nil"/>
              <w:left w:val="nil"/>
              <w:bottom w:val="nil"/>
              <w:right w:val="nil"/>
            </w:tcBorders>
            <w:shd w:val="clear" w:color="auto" w:fill="auto"/>
            <w:noWrap/>
            <w:vAlign w:val="bottom"/>
            <w:hideMark/>
          </w:tcPr>
          <w:p w14:paraId="6EBED709" w14:textId="69DF54B0"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21,619 </w:t>
            </w:r>
          </w:p>
        </w:tc>
        <w:tc>
          <w:tcPr>
            <w:tcW w:w="976" w:type="dxa"/>
            <w:tcBorders>
              <w:top w:val="nil"/>
              <w:left w:val="nil"/>
              <w:bottom w:val="nil"/>
              <w:right w:val="nil"/>
            </w:tcBorders>
            <w:shd w:val="clear" w:color="000000" w:fill="E6E6E6"/>
            <w:noWrap/>
            <w:vAlign w:val="bottom"/>
            <w:hideMark/>
          </w:tcPr>
          <w:p w14:paraId="2A4C6976" w14:textId="7B3FAA4D"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21,383 </w:t>
            </w:r>
          </w:p>
        </w:tc>
        <w:tc>
          <w:tcPr>
            <w:tcW w:w="977" w:type="dxa"/>
            <w:tcBorders>
              <w:top w:val="nil"/>
              <w:left w:val="nil"/>
              <w:bottom w:val="nil"/>
              <w:right w:val="nil"/>
            </w:tcBorders>
            <w:shd w:val="clear" w:color="auto" w:fill="auto"/>
            <w:noWrap/>
            <w:vAlign w:val="bottom"/>
            <w:hideMark/>
          </w:tcPr>
          <w:p w14:paraId="50768AA4" w14:textId="341D5EE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21,765 </w:t>
            </w:r>
          </w:p>
        </w:tc>
        <w:tc>
          <w:tcPr>
            <w:tcW w:w="977" w:type="dxa"/>
            <w:tcBorders>
              <w:top w:val="nil"/>
              <w:left w:val="nil"/>
              <w:bottom w:val="nil"/>
              <w:right w:val="nil"/>
            </w:tcBorders>
            <w:shd w:val="clear" w:color="auto" w:fill="auto"/>
            <w:noWrap/>
            <w:vAlign w:val="bottom"/>
            <w:hideMark/>
          </w:tcPr>
          <w:p w14:paraId="6EB186F3" w14:textId="43C03F0D"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22,004 </w:t>
            </w:r>
          </w:p>
        </w:tc>
        <w:tc>
          <w:tcPr>
            <w:tcW w:w="977" w:type="dxa"/>
            <w:gridSpan w:val="2"/>
            <w:tcBorders>
              <w:top w:val="nil"/>
              <w:left w:val="nil"/>
              <w:bottom w:val="nil"/>
              <w:right w:val="nil"/>
            </w:tcBorders>
            <w:shd w:val="clear" w:color="auto" w:fill="auto"/>
            <w:noWrap/>
            <w:vAlign w:val="bottom"/>
            <w:hideMark/>
          </w:tcPr>
          <w:p w14:paraId="2B92FC29" w14:textId="44DA067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22,224 </w:t>
            </w:r>
          </w:p>
        </w:tc>
      </w:tr>
      <w:tr w:rsidR="00EC2D42" w:rsidRPr="009A1CB4" w14:paraId="0F09FA47" w14:textId="77777777" w:rsidTr="00F96D8A">
        <w:trPr>
          <w:trHeight w:val="204"/>
        </w:trPr>
        <w:tc>
          <w:tcPr>
            <w:tcW w:w="2694" w:type="dxa"/>
            <w:tcBorders>
              <w:top w:val="nil"/>
              <w:left w:val="nil"/>
              <w:bottom w:val="nil"/>
              <w:right w:val="nil"/>
            </w:tcBorders>
            <w:shd w:val="clear" w:color="auto" w:fill="auto"/>
            <w:vAlign w:val="bottom"/>
            <w:hideMark/>
          </w:tcPr>
          <w:p w14:paraId="7C3519A5" w14:textId="28E4F669"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Australian Music</w:t>
            </w:r>
          </w:p>
        </w:tc>
        <w:tc>
          <w:tcPr>
            <w:tcW w:w="977" w:type="dxa"/>
            <w:tcBorders>
              <w:top w:val="nil"/>
              <w:left w:val="nil"/>
              <w:bottom w:val="nil"/>
              <w:right w:val="nil"/>
            </w:tcBorders>
            <w:shd w:val="clear" w:color="auto" w:fill="auto"/>
            <w:noWrap/>
            <w:vAlign w:val="bottom"/>
            <w:hideMark/>
          </w:tcPr>
          <w:p w14:paraId="1C25CB40" w14:textId="5F417CCF"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6,375 </w:t>
            </w:r>
          </w:p>
        </w:tc>
        <w:tc>
          <w:tcPr>
            <w:tcW w:w="976" w:type="dxa"/>
            <w:tcBorders>
              <w:top w:val="nil"/>
              <w:left w:val="nil"/>
              <w:bottom w:val="nil"/>
              <w:right w:val="nil"/>
            </w:tcBorders>
            <w:shd w:val="clear" w:color="000000" w:fill="E6E6E6"/>
            <w:noWrap/>
            <w:vAlign w:val="bottom"/>
            <w:hideMark/>
          </w:tcPr>
          <w:p w14:paraId="70F316E9" w14:textId="246AAC2B"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6,375 </w:t>
            </w:r>
          </w:p>
        </w:tc>
        <w:tc>
          <w:tcPr>
            <w:tcW w:w="977" w:type="dxa"/>
            <w:tcBorders>
              <w:top w:val="nil"/>
              <w:left w:val="nil"/>
              <w:bottom w:val="nil"/>
              <w:right w:val="nil"/>
            </w:tcBorders>
            <w:shd w:val="clear" w:color="auto" w:fill="auto"/>
            <w:noWrap/>
            <w:vAlign w:val="bottom"/>
            <w:hideMark/>
          </w:tcPr>
          <w:p w14:paraId="38C2DF7B" w14:textId="7870690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5,000 </w:t>
            </w:r>
          </w:p>
        </w:tc>
        <w:tc>
          <w:tcPr>
            <w:tcW w:w="977" w:type="dxa"/>
            <w:tcBorders>
              <w:top w:val="nil"/>
              <w:left w:val="nil"/>
              <w:bottom w:val="nil"/>
              <w:right w:val="nil"/>
            </w:tcBorders>
            <w:shd w:val="clear" w:color="auto" w:fill="auto"/>
            <w:noWrap/>
            <w:vAlign w:val="bottom"/>
            <w:hideMark/>
          </w:tcPr>
          <w:p w14:paraId="27044ED2" w14:textId="6116E2BF"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B509FA9" w14:textId="6335187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 </w:t>
            </w:r>
          </w:p>
        </w:tc>
      </w:tr>
      <w:tr w:rsidR="00EC2D42" w:rsidRPr="009A1CB4" w14:paraId="262CAA2E" w14:textId="77777777" w:rsidTr="00F96D8A">
        <w:trPr>
          <w:trHeight w:val="204"/>
        </w:trPr>
        <w:tc>
          <w:tcPr>
            <w:tcW w:w="2694" w:type="dxa"/>
            <w:tcBorders>
              <w:top w:val="nil"/>
              <w:left w:val="nil"/>
              <w:bottom w:val="nil"/>
              <w:right w:val="nil"/>
            </w:tcBorders>
            <w:shd w:val="clear" w:color="auto" w:fill="auto"/>
            <w:vAlign w:val="bottom"/>
            <w:hideMark/>
          </w:tcPr>
          <w:p w14:paraId="0CD32E38" w14:textId="08AFC8FE"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Awards</w:t>
            </w:r>
          </w:p>
        </w:tc>
        <w:tc>
          <w:tcPr>
            <w:tcW w:w="977" w:type="dxa"/>
            <w:tcBorders>
              <w:top w:val="nil"/>
              <w:left w:val="nil"/>
              <w:bottom w:val="nil"/>
              <w:right w:val="nil"/>
            </w:tcBorders>
            <w:shd w:val="clear" w:color="auto" w:fill="auto"/>
            <w:noWrap/>
            <w:vAlign w:val="bottom"/>
            <w:hideMark/>
          </w:tcPr>
          <w:p w14:paraId="1CA0C535" w14:textId="54416D0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653 </w:t>
            </w:r>
          </w:p>
        </w:tc>
        <w:tc>
          <w:tcPr>
            <w:tcW w:w="976" w:type="dxa"/>
            <w:tcBorders>
              <w:top w:val="nil"/>
              <w:left w:val="nil"/>
              <w:bottom w:val="nil"/>
              <w:right w:val="nil"/>
            </w:tcBorders>
            <w:shd w:val="clear" w:color="000000" w:fill="E6E6E6"/>
            <w:noWrap/>
            <w:vAlign w:val="bottom"/>
            <w:hideMark/>
          </w:tcPr>
          <w:p w14:paraId="5EBA31D5" w14:textId="6E2882DD"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658 </w:t>
            </w:r>
          </w:p>
        </w:tc>
        <w:tc>
          <w:tcPr>
            <w:tcW w:w="977" w:type="dxa"/>
            <w:tcBorders>
              <w:top w:val="nil"/>
              <w:left w:val="nil"/>
              <w:bottom w:val="nil"/>
              <w:right w:val="nil"/>
            </w:tcBorders>
            <w:shd w:val="clear" w:color="auto" w:fill="auto"/>
            <w:noWrap/>
            <w:vAlign w:val="bottom"/>
            <w:hideMark/>
          </w:tcPr>
          <w:p w14:paraId="28169F55" w14:textId="3561D913"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659 </w:t>
            </w:r>
          </w:p>
        </w:tc>
        <w:tc>
          <w:tcPr>
            <w:tcW w:w="977" w:type="dxa"/>
            <w:tcBorders>
              <w:top w:val="nil"/>
              <w:left w:val="nil"/>
              <w:bottom w:val="nil"/>
              <w:right w:val="nil"/>
            </w:tcBorders>
            <w:shd w:val="clear" w:color="auto" w:fill="auto"/>
            <w:noWrap/>
            <w:vAlign w:val="bottom"/>
            <w:hideMark/>
          </w:tcPr>
          <w:p w14:paraId="06EB4963" w14:textId="50AAC8B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662 </w:t>
            </w:r>
          </w:p>
        </w:tc>
        <w:tc>
          <w:tcPr>
            <w:tcW w:w="977" w:type="dxa"/>
            <w:gridSpan w:val="2"/>
            <w:tcBorders>
              <w:top w:val="nil"/>
              <w:left w:val="nil"/>
              <w:bottom w:val="nil"/>
              <w:right w:val="nil"/>
            </w:tcBorders>
            <w:shd w:val="clear" w:color="auto" w:fill="auto"/>
            <w:noWrap/>
            <w:vAlign w:val="bottom"/>
            <w:hideMark/>
          </w:tcPr>
          <w:p w14:paraId="0B6B15B6" w14:textId="0A194482"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665 </w:t>
            </w:r>
          </w:p>
        </w:tc>
      </w:tr>
      <w:tr w:rsidR="00EC2D42" w:rsidRPr="009A1CB4" w14:paraId="601003B2" w14:textId="77777777" w:rsidTr="00F96D8A">
        <w:trPr>
          <w:trHeight w:val="204"/>
        </w:trPr>
        <w:tc>
          <w:tcPr>
            <w:tcW w:w="2694" w:type="dxa"/>
            <w:tcBorders>
              <w:top w:val="nil"/>
              <w:left w:val="nil"/>
              <w:bottom w:val="nil"/>
              <w:right w:val="nil"/>
            </w:tcBorders>
            <w:shd w:val="clear" w:color="auto" w:fill="auto"/>
            <w:vAlign w:val="bottom"/>
            <w:hideMark/>
          </w:tcPr>
          <w:p w14:paraId="1A896FFE" w14:textId="0E71BCA9"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Collections</w:t>
            </w:r>
          </w:p>
        </w:tc>
        <w:tc>
          <w:tcPr>
            <w:tcW w:w="977" w:type="dxa"/>
            <w:tcBorders>
              <w:top w:val="nil"/>
              <w:left w:val="nil"/>
              <w:bottom w:val="nil"/>
              <w:right w:val="nil"/>
            </w:tcBorders>
            <w:shd w:val="clear" w:color="auto" w:fill="auto"/>
            <w:noWrap/>
            <w:vAlign w:val="bottom"/>
            <w:hideMark/>
          </w:tcPr>
          <w:p w14:paraId="259A2F7A" w14:textId="3003A64C"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9,621 </w:t>
            </w:r>
          </w:p>
        </w:tc>
        <w:tc>
          <w:tcPr>
            <w:tcW w:w="976" w:type="dxa"/>
            <w:tcBorders>
              <w:top w:val="nil"/>
              <w:left w:val="nil"/>
              <w:bottom w:val="nil"/>
              <w:right w:val="nil"/>
            </w:tcBorders>
            <w:shd w:val="clear" w:color="000000" w:fill="E6E6E6"/>
            <w:noWrap/>
            <w:vAlign w:val="bottom"/>
            <w:hideMark/>
          </w:tcPr>
          <w:p w14:paraId="271C2ABF" w14:textId="487A0290"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8,617 </w:t>
            </w:r>
          </w:p>
        </w:tc>
        <w:tc>
          <w:tcPr>
            <w:tcW w:w="977" w:type="dxa"/>
            <w:tcBorders>
              <w:top w:val="nil"/>
              <w:left w:val="nil"/>
              <w:bottom w:val="nil"/>
              <w:right w:val="nil"/>
            </w:tcBorders>
            <w:shd w:val="clear" w:color="auto" w:fill="auto"/>
            <w:noWrap/>
            <w:vAlign w:val="bottom"/>
            <w:hideMark/>
          </w:tcPr>
          <w:p w14:paraId="7EA0A98A" w14:textId="0E3C3A2D"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5,664 </w:t>
            </w:r>
          </w:p>
        </w:tc>
        <w:tc>
          <w:tcPr>
            <w:tcW w:w="977" w:type="dxa"/>
            <w:tcBorders>
              <w:top w:val="nil"/>
              <w:left w:val="nil"/>
              <w:bottom w:val="nil"/>
              <w:right w:val="nil"/>
            </w:tcBorders>
            <w:shd w:val="clear" w:color="auto" w:fill="auto"/>
            <w:noWrap/>
            <w:vAlign w:val="bottom"/>
            <w:hideMark/>
          </w:tcPr>
          <w:p w14:paraId="74951043" w14:textId="4003D17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5,732 </w:t>
            </w:r>
          </w:p>
        </w:tc>
        <w:tc>
          <w:tcPr>
            <w:tcW w:w="977" w:type="dxa"/>
            <w:gridSpan w:val="2"/>
            <w:tcBorders>
              <w:top w:val="nil"/>
              <w:left w:val="nil"/>
              <w:bottom w:val="nil"/>
              <w:right w:val="nil"/>
            </w:tcBorders>
            <w:shd w:val="clear" w:color="auto" w:fill="auto"/>
            <w:noWrap/>
            <w:vAlign w:val="bottom"/>
            <w:hideMark/>
          </w:tcPr>
          <w:p w14:paraId="159DC15F" w14:textId="0B4698F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5,798 </w:t>
            </w:r>
          </w:p>
        </w:tc>
      </w:tr>
      <w:tr w:rsidR="00EC2D42" w:rsidRPr="009A1CB4" w14:paraId="572B8EB2" w14:textId="77777777" w:rsidTr="00F96D8A">
        <w:trPr>
          <w:trHeight w:val="204"/>
        </w:trPr>
        <w:tc>
          <w:tcPr>
            <w:tcW w:w="2694" w:type="dxa"/>
            <w:tcBorders>
              <w:top w:val="nil"/>
              <w:left w:val="nil"/>
              <w:bottom w:val="nil"/>
              <w:right w:val="nil"/>
            </w:tcBorders>
            <w:shd w:val="clear" w:color="auto" w:fill="auto"/>
            <w:vAlign w:val="bottom"/>
            <w:hideMark/>
          </w:tcPr>
          <w:p w14:paraId="616AA79E" w14:textId="66E3FE67"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Depreciation and Amortisation</w:t>
            </w:r>
          </w:p>
        </w:tc>
        <w:tc>
          <w:tcPr>
            <w:tcW w:w="977" w:type="dxa"/>
            <w:tcBorders>
              <w:top w:val="nil"/>
              <w:left w:val="nil"/>
              <w:bottom w:val="nil"/>
              <w:right w:val="nil"/>
            </w:tcBorders>
            <w:shd w:val="clear" w:color="auto" w:fill="auto"/>
            <w:noWrap/>
            <w:vAlign w:val="bottom"/>
            <w:hideMark/>
          </w:tcPr>
          <w:p w14:paraId="53AD3E13" w14:textId="469E92EC"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2,389 </w:t>
            </w:r>
          </w:p>
        </w:tc>
        <w:tc>
          <w:tcPr>
            <w:tcW w:w="976" w:type="dxa"/>
            <w:tcBorders>
              <w:top w:val="nil"/>
              <w:left w:val="nil"/>
              <w:bottom w:val="nil"/>
              <w:right w:val="nil"/>
            </w:tcBorders>
            <w:shd w:val="clear" w:color="000000" w:fill="E6E6E6"/>
            <w:noWrap/>
            <w:vAlign w:val="bottom"/>
            <w:hideMark/>
          </w:tcPr>
          <w:p w14:paraId="38334B66" w14:textId="15C539F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tcBorders>
              <w:top w:val="nil"/>
              <w:left w:val="nil"/>
              <w:bottom w:val="nil"/>
              <w:right w:val="nil"/>
            </w:tcBorders>
            <w:shd w:val="clear" w:color="auto" w:fill="auto"/>
            <w:noWrap/>
            <w:vAlign w:val="bottom"/>
            <w:hideMark/>
          </w:tcPr>
          <w:p w14:paraId="22E0627F" w14:textId="0CF3F56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tcBorders>
              <w:top w:val="nil"/>
              <w:left w:val="nil"/>
              <w:bottom w:val="nil"/>
              <w:right w:val="nil"/>
            </w:tcBorders>
            <w:shd w:val="clear" w:color="auto" w:fill="auto"/>
            <w:noWrap/>
            <w:vAlign w:val="bottom"/>
            <w:hideMark/>
          </w:tcPr>
          <w:p w14:paraId="152F5ED5" w14:textId="24D9C6E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5555C9CD" w14:textId="759EA7C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2,389 </w:t>
            </w:r>
          </w:p>
        </w:tc>
      </w:tr>
      <w:tr w:rsidR="00EC2D42" w:rsidRPr="009A1CB4" w14:paraId="342D78AF" w14:textId="77777777" w:rsidTr="00F96D8A">
        <w:trPr>
          <w:trHeight w:val="204"/>
        </w:trPr>
        <w:tc>
          <w:tcPr>
            <w:tcW w:w="2694" w:type="dxa"/>
            <w:tcBorders>
              <w:top w:val="nil"/>
              <w:left w:val="nil"/>
              <w:bottom w:val="nil"/>
              <w:right w:val="nil"/>
            </w:tcBorders>
            <w:shd w:val="clear" w:color="auto" w:fill="auto"/>
            <w:vAlign w:val="bottom"/>
            <w:hideMark/>
          </w:tcPr>
          <w:p w14:paraId="3D0E189B" w14:textId="5A17AB44"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Film and Television</w:t>
            </w:r>
          </w:p>
        </w:tc>
        <w:tc>
          <w:tcPr>
            <w:tcW w:w="977" w:type="dxa"/>
            <w:tcBorders>
              <w:top w:val="nil"/>
              <w:left w:val="nil"/>
              <w:bottom w:val="nil"/>
              <w:right w:val="nil"/>
            </w:tcBorders>
            <w:shd w:val="clear" w:color="auto" w:fill="auto"/>
            <w:noWrap/>
            <w:vAlign w:val="bottom"/>
            <w:hideMark/>
          </w:tcPr>
          <w:p w14:paraId="60D2D942" w14:textId="290168F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195,018 </w:t>
            </w:r>
          </w:p>
        </w:tc>
        <w:tc>
          <w:tcPr>
            <w:tcW w:w="976" w:type="dxa"/>
            <w:tcBorders>
              <w:top w:val="nil"/>
              <w:left w:val="nil"/>
              <w:bottom w:val="nil"/>
              <w:right w:val="nil"/>
            </w:tcBorders>
            <w:shd w:val="clear" w:color="000000" w:fill="E6E6E6"/>
            <w:noWrap/>
            <w:vAlign w:val="bottom"/>
            <w:hideMark/>
          </w:tcPr>
          <w:p w14:paraId="13E5A8D9" w14:textId="3D9EF6C3"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150,067 </w:t>
            </w:r>
          </w:p>
        </w:tc>
        <w:tc>
          <w:tcPr>
            <w:tcW w:w="977" w:type="dxa"/>
            <w:tcBorders>
              <w:top w:val="nil"/>
              <w:left w:val="nil"/>
              <w:bottom w:val="nil"/>
              <w:right w:val="nil"/>
            </w:tcBorders>
            <w:shd w:val="clear" w:color="auto" w:fill="auto"/>
            <w:noWrap/>
            <w:vAlign w:val="bottom"/>
            <w:hideMark/>
          </w:tcPr>
          <w:p w14:paraId="6C8B4793" w14:textId="7FF2F01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153,475 </w:t>
            </w:r>
          </w:p>
        </w:tc>
        <w:tc>
          <w:tcPr>
            <w:tcW w:w="977" w:type="dxa"/>
            <w:tcBorders>
              <w:top w:val="nil"/>
              <w:left w:val="nil"/>
              <w:bottom w:val="nil"/>
              <w:right w:val="nil"/>
            </w:tcBorders>
            <w:shd w:val="clear" w:color="auto" w:fill="auto"/>
            <w:noWrap/>
            <w:vAlign w:val="bottom"/>
            <w:hideMark/>
          </w:tcPr>
          <w:p w14:paraId="3645BBD4" w14:textId="47C9F6A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153,541 </w:t>
            </w:r>
          </w:p>
        </w:tc>
        <w:tc>
          <w:tcPr>
            <w:tcW w:w="977" w:type="dxa"/>
            <w:gridSpan w:val="2"/>
            <w:tcBorders>
              <w:top w:val="nil"/>
              <w:left w:val="nil"/>
              <w:bottom w:val="nil"/>
              <w:right w:val="nil"/>
            </w:tcBorders>
            <w:shd w:val="clear" w:color="auto" w:fill="auto"/>
            <w:noWrap/>
            <w:vAlign w:val="bottom"/>
            <w:hideMark/>
          </w:tcPr>
          <w:p w14:paraId="2C437D5F" w14:textId="17058D6A"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153,602 </w:t>
            </w:r>
          </w:p>
        </w:tc>
      </w:tr>
      <w:tr w:rsidR="00EC2D42" w:rsidRPr="009A1CB4" w14:paraId="07121B6B" w14:textId="77777777" w:rsidTr="00F96D8A">
        <w:trPr>
          <w:trHeight w:val="204"/>
        </w:trPr>
        <w:tc>
          <w:tcPr>
            <w:tcW w:w="2694" w:type="dxa"/>
            <w:tcBorders>
              <w:top w:val="nil"/>
              <w:left w:val="nil"/>
              <w:bottom w:val="nil"/>
              <w:right w:val="nil"/>
            </w:tcBorders>
            <w:shd w:val="clear" w:color="auto" w:fill="auto"/>
            <w:vAlign w:val="bottom"/>
            <w:hideMark/>
          </w:tcPr>
          <w:p w14:paraId="4F7B9CE0" w14:textId="1235CA93"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Indigenous Arts, Languages and Repatriation</w:t>
            </w:r>
          </w:p>
        </w:tc>
        <w:tc>
          <w:tcPr>
            <w:tcW w:w="977" w:type="dxa"/>
            <w:tcBorders>
              <w:top w:val="nil"/>
              <w:left w:val="nil"/>
              <w:bottom w:val="nil"/>
              <w:right w:val="nil"/>
            </w:tcBorders>
            <w:shd w:val="clear" w:color="auto" w:fill="auto"/>
            <w:noWrap/>
            <w:vAlign w:val="bottom"/>
            <w:hideMark/>
          </w:tcPr>
          <w:p w14:paraId="543E2C45" w14:textId="595DB78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53,382 </w:t>
            </w:r>
          </w:p>
        </w:tc>
        <w:tc>
          <w:tcPr>
            <w:tcW w:w="976" w:type="dxa"/>
            <w:tcBorders>
              <w:top w:val="nil"/>
              <w:left w:val="nil"/>
              <w:bottom w:val="nil"/>
              <w:right w:val="nil"/>
            </w:tcBorders>
            <w:shd w:val="clear" w:color="000000" w:fill="E6E6E6"/>
            <w:noWrap/>
            <w:vAlign w:val="bottom"/>
            <w:hideMark/>
          </w:tcPr>
          <w:p w14:paraId="7035264F" w14:textId="4F59F2D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55,368 </w:t>
            </w:r>
          </w:p>
        </w:tc>
        <w:tc>
          <w:tcPr>
            <w:tcW w:w="977" w:type="dxa"/>
            <w:tcBorders>
              <w:top w:val="nil"/>
              <w:left w:val="nil"/>
              <w:bottom w:val="nil"/>
              <w:right w:val="nil"/>
            </w:tcBorders>
            <w:shd w:val="clear" w:color="auto" w:fill="auto"/>
            <w:noWrap/>
            <w:vAlign w:val="bottom"/>
            <w:hideMark/>
          </w:tcPr>
          <w:p w14:paraId="420B9D55" w14:textId="65582C90"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57,045 </w:t>
            </w:r>
          </w:p>
        </w:tc>
        <w:tc>
          <w:tcPr>
            <w:tcW w:w="977" w:type="dxa"/>
            <w:tcBorders>
              <w:top w:val="nil"/>
              <w:left w:val="nil"/>
              <w:bottom w:val="nil"/>
              <w:right w:val="nil"/>
            </w:tcBorders>
            <w:shd w:val="clear" w:color="auto" w:fill="auto"/>
            <w:noWrap/>
            <w:vAlign w:val="bottom"/>
            <w:hideMark/>
          </w:tcPr>
          <w:p w14:paraId="529FB0CD" w14:textId="13AA544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56,030 </w:t>
            </w:r>
          </w:p>
        </w:tc>
        <w:tc>
          <w:tcPr>
            <w:tcW w:w="977" w:type="dxa"/>
            <w:gridSpan w:val="2"/>
            <w:tcBorders>
              <w:top w:val="nil"/>
              <w:left w:val="nil"/>
              <w:bottom w:val="nil"/>
              <w:right w:val="nil"/>
            </w:tcBorders>
            <w:shd w:val="clear" w:color="auto" w:fill="auto"/>
            <w:noWrap/>
            <w:vAlign w:val="bottom"/>
            <w:hideMark/>
          </w:tcPr>
          <w:p w14:paraId="534E8A07" w14:textId="70FDE24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57,093 </w:t>
            </w:r>
          </w:p>
        </w:tc>
      </w:tr>
      <w:tr w:rsidR="00EC2D42" w:rsidRPr="009A1CB4" w14:paraId="5B8EADE9" w14:textId="77777777" w:rsidTr="00F96D8A">
        <w:trPr>
          <w:trHeight w:val="204"/>
        </w:trPr>
        <w:tc>
          <w:tcPr>
            <w:tcW w:w="2694" w:type="dxa"/>
            <w:tcBorders>
              <w:top w:val="nil"/>
              <w:left w:val="nil"/>
              <w:bottom w:val="nil"/>
              <w:right w:val="nil"/>
            </w:tcBorders>
            <w:shd w:val="clear" w:color="auto" w:fill="auto"/>
            <w:vAlign w:val="bottom"/>
            <w:hideMark/>
          </w:tcPr>
          <w:p w14:paraId="5CB2886C" w14:textId="27236C85"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Lending Rights</w:t>
            </w:r>
          </w:p>
        </w:tc>
        <w:tc>
          <w:tcPr>
            <w:tcW w:w="977" w:type="dxa"/>
            <w:tcBorders>
              <w:top w:val="nil"/>
              <w:left w:val="nil"/>
              <w:bottom w:val="nil"/>
              <w:right w:val="nil"/>
            </w:tcBorders>
            <w:shd w:val="clear" w:color="auto" w:fill="auto"/>
            <w:noWrap/>
            <w:vAlign w:val="bottom"/>
            <w:hideMark/>
          </w:tcPr>
          <w:p w14:paraId="48288C0C" w14:textId="43DC21E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23,106 </w:t>
            </w:r>
          </w:p>
        </w:tc>
        <w:tc>
          <w:tcPr>
            <w:tcW w:w="976" w:type="dxa"/>
            <w:tcBorders>
              <w:top w:val="nil"/>
              <w:left w:val="nil"/>
              <w:bottom w:val="nil"/>
              <w:right w:val="nil"/>
            </w:tcBorders>
            <w:shd w:val="clear" w:color="000000" w:fill="E6E6E6"/>
            <w:noWrap/>
            <w:vAlign w:val="bottom"/>
            <w:hideMark/>
          </w:tcPr>
          <w:p w14:paraId="56918904" w14:textId="62561FA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23,613 </w:t>
            </w:r>
          </w:p>
        </w:tc>
        <w:tc>
          <w:tcPr>
            <w:tcW w:w="977" w:type="dxa"/>
            <w:tcBorders>
              <w:top w:val="nil"/>
              <w:left w:val="nil"/>
              <w:bottom w:val="nil"/>
              <w:right w:val="nil"/>
            </w:tcBorders>
            <w:shd w:val="clear" w:color="auto" w:fill="auto"/>
            <w:noWrap/>
            <w:vAlign w:val="bottom"/>
            <w:hideMark/>
          </w:tcPr>
          <w:p w14:paraId="2842446F" w14:textId="1090638A"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24,035 </w:t>
            </w:r>
          </w:p>
        </w:tc>
        <w:tc>
          <w:tcPr>
            <w:tcW w:w="977" w:type="dxa"/>
            <w:tcBorders>
              <w:top w:val="nil"/>
              <w:left w:val="nil"/>
              <w:bottom w:val="nil"/>
              <w:right w:val="nil"/>
            </w:tcBorders>
            <w:shd w:val="clear" w:color="auto" w:fill="auto"/>
            <w:noWrap/>
            <w:vAlign w:val="bottom"/>
            <w:hideMark/>
          </w:tcPr>
          <w:p w14:paraId="114811F8" w14:textId="60E2F891"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24,541 </w:t>
            </w:r>
          </w:p>
        </w:tc>
        <w:tc>
          <w:tcPr>
            <w:tcW w:w="977" w:type="dxa"/>
            <w:gridSpan w:val="2"/>
            <w:tcBorders>
              <w:top w:val="nil"/>
              <w:left w:val="nil"/>
              <w:bottom w:val="nil"/>
              <w:right w:val="nil"/>
            </w:tcBorders>
            <w:shd w:val="clear" w:color="auto" w:fill="auto"/>
            <w:noWrap/>
            <w:vAlign w:val="bottom"/>
            <w:hideMark/>
          </w:tcPr>
          <w:p w14:paraId="14E6210D" w14:textId="4895605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25,032 </w:t>
            </w:r>
          </w:p>
        </w:tc>
      </w:tr>
      <w:tr w:rsidR="00EC2D42" w:rsidRPr="009A1CB4" w14:paraId="1341E599" w14:textId="77777777" w:rsidTr="00F96D8A">
        <w:trPr>
          <w:trHeight w:val="204"/>
        </w:trPr>
        <w:tc>
          <w:tcPr>
            <w:tcW w:w="2694" w:type="dxa"/>
            <w:tcBorders>
              <w:top w:val="nil"/>
              <w:left w:val="nil"/>
              <w:bottom w:val="nil"/>
              <w:right w:val="nil"/>
            </w:tcBorders>
            <w:shd w:val="clear" w:color="auto" w:fill="auto"/>
            <w:vAlign w:val="bottom"/>
            <w:hideMark/>
          </w:tcPr>
          <w:p w14:paraId="0BB2BAB6" w14:textId="34988D76"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Private Sector Support</w:t>
            </w:r>
          </w:p>
        </w:tc>
        <w:tc>
          <w:tcPr>
            <w:tcW w:w="977" w:type="dxa"/>
            <w:tcBorders>
              <w:top w:val="nil"/>
              <w:left w:val="nil"/>
              <w:bottom w:val="nil"/>
              <w:right w:val="nil"/>
            </w:tcBorders>
            <w:shd w:val="clear" w:color="auto" w:fill="auto"/>
            <w:noWrap/>
            <w:vAlign w:val="bottom"/>
            <w:hideMark/>
          </w:tcPr>
          <w:p w14:paraId="62B17D48" w14:textId="19FEE912"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4,728 </w:t>
            </w:r>
          </w:p>
        </w:tc>
        <w:tc>
          <w:tcPr>
            <w:tcW w:w="976" w:type="dxa"/>
            <w:tcBorders>
              <w:top w:val="nil"/>
              <w:left w:val="nil"/>
              <w:bottom w:val="nil"/>
              <w:right w:val="nil"/>
            </w:tcBorders>
            <w:shd w:val="clear" w:color="000000" w:fill="E6E6E6"/>
            <w:noWrap/>
            <w:vAlign w:val="bottom"/>
            <w:hideMark/>
          </w:tcPr>
          <w:p w14:paraId="4E201097" w14:textId="2B9FE25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4,705 </w:t>
            </w:r>
          </w:p>
        </w:tc>
        <w:tc>
          <w:tcPr>
            <w:tcW w:w="977" w:type="dxa"/>
            <w:tcBorders>
              <w:top w:val="nil"/>
              <w:left w:val="nil"/>
              <w:bottom w:val="nil"/>
              <w:right w:val="nil"/>
            </w:tcBorders>
            <w:shd w:val="clear" w:color="auto" w:fill="auto"/>
            <w:noWrap/>
            <w:vAlign w:val="bottom"/>
            <w:hideMark/>
          </w:tcPr>
          <w:p w14:paraId="3F295E1A" w14:textId="59375ED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4,790 </w:t>
            </w:r>
          </w:p>
        </w:tc>
        <w:tc>
          <w:tcPr>
            <w:tcW w:w="977" w:type="dxa"/>
            <w:tcBorders>
              <w:top w:val="nil"/>
              <w:left w:val="nil"/>
              <w:bottom w:val="nil"/>
              <w:right w:val="nil"/>
            </w:tcBorders>
            <w:shd w:val="clear" w:color="auto" w:fill="auto"/>
            <w:noWrap/>
            <w:vAlign w:val="bottom"/>
            <w:hideMark/>
          </w:tcPr>
          <w:p w14:paraId="310BDED7" w14:textId="406CC61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4,882 </w:t>
            </w:r>
          </w:p>
        </w:tc>
        <w:tc>
          <w:tcPr>
            <w:tcW w:w="977" w:type="dxa"/>
            <w:gridSpan w:val="2"/>
            <w:tcBorders>
              <w:top w:val="nil"/>
              <w:left w:val="nil"/>
              <w:bottom w:val="nil"/>
              <w:right w:val="nil"/>
            </w:tcBorders>
            <w:shd w:val="clear" w:color="auto" w:fill="auto"/>
            <w:noWrap/>
            <w:vAlign w:val="bottom"/>
            <w:hideMark/>
          </w:tcPr>
          <w:p w14:paraId="2F70BE51" w14:textId="7F43D81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4,970 </w:t>
            </w:r>
          </w:p>
        </w:tc>
      </w:tr>
      <w:tr w:rsidR="00EC2D42" w:rsidRPr="009A1CB4" w14:paraId="371CF070" w14:textId="77777777" w:rsidTr="00F96D8A">
        <w:trPr>
          <w:trHeight w:val="204"/>
        </w:trPr>
        <w:tc>
          <w:tcPr>
            <w:tcW w:w="2694" w:type="dxa"/>
            <w:tcBorders>
              <w:top w:val="nil"/>
              <w:left w:val="nil"/>
              <w:bottom w:val="nil"/>
              <w:right w:val="nil"/>
            </w:tcBorders>
            <w:shd w:val="clear" w:color="auto" w:fill="auto"/>
            <w:vAlign w:val="bottom"/>
            <w:hideMark/>
          </w:tcPr>
          <w:p w14:paraId="6211CC96" w14:textId="329E023B"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Regional Arts</w:t>
            </w:r>
          </w:p>
        </w:tc>
        <w:tc>
          <w:tcPr>
            <w:tcW w:w="977" w:type="dxa"/>
            <w:tcBorders>
              <w:top w:val="nil"/>
              <w:left w:val="nil"/>
              <w:bottom w:val="nil"/>
              <w:right w:val="nil"/>
            </w:tcBorders>
            <w:shd w:val="clear" w:color="auto" w:fill="auto"/>
            <w:noWrap/>
            <w:vAlign w:val="bottom"/>
            <w:hideMark/>
          </w:tcPr>
          <w:p w14:paraId="5FE2848F" w14:textId="0AD9EFDC"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18,066 </w:t>
            </w:r>
          </w:p>
        </w:tc>
        <w:tc>
          <w:tcPr>
            <w:tcW w:w="976" w:type="dxa"/>
            <w:tcBorders>
              <w:top w:val="nil"/>
              <w:left w:val="nil"/>
              <w:bottom w:val="nil"/>
              <w:right w:val="nil"/>
            </w:tcBorders>
            <w:shd w:val="clear" w:color="000000" w:fill="E6E6E6"/>
            <w:noWrap/>
            <w:vAlign w:val="bottom"/>
            <w:hideMark/>
          </w:tcPr>
          <w:p w14:paraId="10045BA3" w14:textId="7DCD1EEA"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7,529 </w:t>
            </w:r>
          </w:p>
        </w:tc>
        <w:tc>
          <w:tcPr>
            <w:tcW w:w="977" w:type="dxa"/>
            <w:tcBorders>
              <w:top w:val="nil"/>
              <w:left w:val="nil"/>
              <w:bottom w:val="nil"/>
              <w:right w:val="nil"/>
            </w:tcBorders>
            <w:shd w:val="clear" w:color="auto" w:fill="auto"/>
            <w:noWrap/>
            <w:vAlign w:val="bottom"/>
            <w:hideMark/>
          </w:tcPr>
          <w:p w14:paraId="123C2F18" w14:textId="324CC682"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7,666 </w:t>
            </w:r>
          </w:p>
        </w:tc>
        <w:tc>
          <w:tcPr>
            <w:tcW w:w="977" w:type="dxa"/>
            <w:tcBorders>
              <w:top w:val="nil"/>
              <w:left w:val="nil"/>
              <w:bottom w:val="nil"/>
              <w:right w:val="nil"/>
            </w:tcBorders>
            <w:shd w:val="clear" w:color="auto" w:fill="auto"/>
            <w:noWrap/>
            <w:vAlign w:val="bottom"/>
            <w:hideMark/>
          </w:tcPr>
          <w:p w14:paraId="29E76C02" w14:textId="262CF40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7,827 </w:t>
            </w:r>
          </w:p>
        </w:tc>
        <w:tc>
          <w:tcPr>
            <w:tcW w:w="977" w:type="dxa"/>
            <w:gridSpan w:val="2"/>
            <w:tcBorders>
              <w:top w:val="nil"/>
              <w:left w:val="nil"/>
              <w:bottom w:val="nil"/>
              <w:right w:val="nil"/>
            </w:tcBorders>
            <w:shd w:val="clear" w:color="auto" w:fill="auto"/>
            <w:noWrap/>
            <w:vAlign w:val="bottom"/>
            <w:hideMark/>
          </w:tcPr>
          <w:p w14:paraId="2E275CB9" w14:textId="22C75211"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7,983 </w:t>
            </w:r>
          </w:p>
        </w:tc>
      </w:tr>
      <w:tr w:rsidR="00EC2D42" w:rsidRPr="009A1CB4" w14:paraId="2456C420" w14:textId="77777777" w:rsidTr="00F96D8A">
        <w:trPr>
          <w:trHeight w:val="204"/>
        </w:trPr>
        <w:tc>
          <w:tcPr>
            <w:tcW w:w="2694" w:type="dxa"/>
            <w:tcBorders>
              <w:top w:val="nil"/>
              <w:left w:val="nil"/>
              <w:bottom w:val="nil"/>
              <w:right w:val="nil"/>
            </w:tcBorders>
            <w:shd w:val="clear" w:color="auto" w:fill="auto"/>
            <w:vAlign w:val="bottom"/>
            <w:hideMark/>
          </w:tcPr>
          <w:p w14:paraId="6C40BA3F" w14:textId="5B6B8B4A"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Special Accounts</w:t>
            </w:r>
          </w:p>
        </w:tc>
        <w:tc>
          <w:tcPr>
            <w:tcW w:w="977" w:type="dxa"/>
            <w:tcBorders>
              <w:top w:val="nil"/>
              <w:left w:val="nil"/>
              <w:bottom w:val="nil"/>
              <w:right w:val="nil"/>
            </w:tcBorders>
            <w:shd w:val="clear" w:color="auto" w:fill="auto"/>
            <w:noWrap/>
            <w:vAlign w:val="bottom"/>
            <w:hideMark/>
          </w:tcPr>
          <w:p w14:paraId="0A36009F" w14:textId="77777777" w:rsidR="00EC2D42" w:rsidRPr="009A1CB4" w:rsidRDefault="00EC2D42" w:rsidP="00EC2D42">
            <w:pPr>
              <w:spacing w:after="0" w:line="240" w:lineRule="auto"/>
              <w:ind w:firstLineChars="100" w:firstLine="160"/>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54C27F72" w14:textId="47CB7FA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44A00E48" w14:textId="77777777" w:rsidR="00EC2D42" w:rsidRPr="009A1CB4" w:rsidRDefault="00EC2D42" w:rsidP="00EC2D4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B50C024" w14:textId="77777777" w:rsidR="00EC2D42" w:rsidRPr="009A1CB4" w:rsidRDefault="00EC2D42" w:rsidP="00EC2D42">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73E7F2B3" w14:textId="77777777" w:rsidR="00EC2D42" w:rsidRPr="009A1CB4" w:rsidRDefault="00EC2D42" w:rsidP="00EC2D42">
            <w:pPr>
              <w:spacing w:after="0" w:line="240" w:lineRule="auto"/>
              <w:jc w:val="right"/>
              <w:rPr>
                <w:rFonts w:ascii="Times New Roman" w:hAnsi="Times New Roman"/>
                <w:sz w:val="16"/>
                <w:szCs w:val="16"/>
              </w:rPr>
            </w:pPr>
          </w:p>
        </w:tc>
      </w:tr>
      <w:tr w:rsidR="00EC2D42" w:rsidRPr="009A1CB4" w14:paraId="1EA9CD54" w14:textId="77777777" w:rsidTr="00F96D8A">
        <w:trPr>
          <w:trHeight w:val="204"/>
        </w:trPr>
        <w:tc>
          <w:tcPr>
            <w:tcW w:w="2694" w:type="dxa"/>
            <w:tcBorders>
              <w:top w:val="nil"/>
              <w:left w:val="nil"/>
              <w:bottom w:val="nil"/>
              <w:right w:val="nil"/>
            </w:tcBorders>
            <w:shd w:val="clear" w:color="auto" w:fill="auto"/>
            <w:vAlign w:val="bottom"/>
            <w:hideMark/>
          </w:tcPr>
          <w:p w14:paraId="2FAEC649" w14:textId="1EA7F4D7" w:rsidR="00EC2D42" w:rsidRPr="009A1CB4" w:rsidRDefault="00EC2D42" w:rsidP="00EC2D42">
            <w:pPr>
              <w:spacing w:after="0" w:line="240" w:lineRule="auto"/>
              <w:ind w:left="227"/>
              <w:jc w:val="left"/>
              <w:rPr>
                <w:rFonts w:ascii="Arial" w:hAnsi="Arial" w:cs="Arial"/>
                <w:sz w:val="16"/>
                <w:szCs w:val="16"/>
              </w:rPr>
            </w:pPr>
            <w:r>
              <w:rPr>
                <w:rFonts w:ascii="Arial" w:hAnsi="Arial" w:cs="Arial"/>
                <w:sz w:val="16"/>
                <w:szCs w:val="16"/>
              </w:rPr>
              <w:t>National Cultural Heritage Account</w:t>
            </w:r>
          </w:p>
        </w:tc>
        <w:tc>
          <w:tcPr>
            <w:tcW w:w="977" w:type="dxa"/>
            <w:tcBorders>
              <w:top w:val="nil"/>
              <w:left w:val="nil"/>
              <w:bottom w:val="nil"/>
              <w:right w:val="nil"/>
            </w:tcBorders>
            <w:shd w:val="clear" w:color="auto" w:fill="auto"/>
            <w:noWrap/>
            <w:vAlign w:val="bottom"/>
            <w:hideMark/>
          </w:tcPr>
          <w:p w14:paraId="5EF99D02" w14:textId="46D1255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500 </w:t>
            </w:r>
          </w:p>
        </w:tc>
        <w:tc>
          <w:tcPr>
            <w:tcW w:w="976" w:type="dxa"/>
            <w:tcBorders>
              <w:top w:val="nil"/>
              <w:left w:val="nil"/>
              <w:bottom w:val="nil"/>
              <w:right w:val="nil"/>
            </w:tcBorders>
            <w:shd w:val="clear" w:color="000000" w:fill="E6E6E6"/>
            <w:noWrap/>
            <w:vAlign w:val="bottom"/>
            <w:hideMark/>
          </w:tcPr>
          <w:p w14:paraId="2909424D" w14:textId="58D8223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auto"/>
            <w:noWrap/>
            <w:vAlign w:val="bottom"/>
            <w:hideMark/>
          </w:tcPr>
          <w:p w14:paraId="63413F04" w14:textId="3EDC52B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auto"/>
            <w:noWrap/>
            <w:vAlign w:val="bottom"/>
            <w:hideMark/>
          </w:tcPr>
          <w:p w14:paraId="591B5B63" w14:textId="1CB1C70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098DC421" w14:textId="3A4BCDA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500 </w:t>
            </w:r>
          </w:p>
        </w:tc>
      </w:tr>
      <w:tr w:rsidR="00EC2D42" w:rsidRPr="009A1CB4" w14:paraId="193026FF" w14:textId="77777777" w:rsidTr="00F96D8A">
        <w:trPr>
          <w:trHeight w:val="204"/>
        </w:trPr>
        <w:tc>
          <w:tcPr>
            <w:tcW w:w="2694" w:type="dxa"/>
            <w:tcBorders>
              <w:top w:val="nil"/>
              <w:left w:val="nil"/>
              <w:bottom w:val="nil"/>
              <w:right w:val="nil"/>
            </w:tcBorders>
            <w:shd w:val="clear" w:color="auto" w:fill="auto"/>
            <w:vAlign w:val="bottom"/>
            <w:hideMark/>
          </w:tcPr>
          <w:p w14:paraId="7336D0DA" w14:textId="38583F29" w:rsidR="00EC2D42" w:rsidRPr="009A1CB4" w:rsidRDefault="00EC2D42" w:rsidP="00EC2D42">
            <w:pPr>
              <w:spacing w:after="0" w:line="240" w:lineRule="auto"/>
              <w:ind w:left="113"/>
              <w:jc w:val="left"/>
              <w:rPr>
                <w:rFonts w:ascii="Arial" w:hAnsi="Arial" w:cs="Arial"/>
                <w:sz w:val="16"/>
                <w:szCs w:val="16"/>
              </w:rPr>
            </w:pPr>
            <w:r>
              <w:rPr>
                <w:rFonts w:ascii="Arial" w:hAnsi="Arial" w:cs="Arial"/>
                <w:sz w:val="16"/>
                <w:szCs w:val="16"/>
              </w:rPr>
              <w:t xml:space="preserve">Payments to corporate entities </w:t>
            </w:r>
            <w:r w:rsidRPr="00EC2D42">
              <w:rPr>
                <w:rFonts w:ascii="Arial" w:hAnsi="Arial" w:cs="Arial"/>
                <w:sz w:val="16"/>
                <w:szCs w:val="16"/>
                <w:vertAlign w:val="superscript"/>
              </w:rPr>
              <w:t>(a)</w:t>
            </w:r>
          </w:p>
        </w:tc>
        <w:tc>
          <w:tcPr>
            <w:tcW w:w="977" w:type="dxa"/>
            <w:tcBorders>
              <w:top w:val="nil"/>
              <w:left w:val="nil"/>
              <w:bottom w:val="nil"/>
              <w:right w:val="nil"/>
            </w:tcBorders>
            <w:shd w:val="clear" w:color="auto" w:fill="auto"/>
            <w:noWrap/>
            <w:vAlign w:val="bottom"/>
            <w:hideMark/>
          </w:tcPr>
          <w:p w14:paraId="18F72406" w14:textId="77777777" w:rsidR="00EC2D42" w:rsidRPr="009A1CB4" w:rsidRDefault="00EC2D42" w:rsidP="00EC2D42">
            <w:pPr>
              <w:spacing w:after="0" w:line="240" w:lineRule="auto"/>
              <w:ind w:firstLineChars="100" w:firstLine="160"/>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5C2DB226" w14:textId="2C7BD2E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60184FF1" w14:textId="77777777" w:rsidR="00EC2D42" w:rsidRPr="009A1CB4" w:rsidRDefault="00EC2D42" w:rsidP="00EC2D4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FBFBF39" w14:textId="77777777" w:rsidR="00EC2D42" w:rsidRPr="009A1CB4" w:rsidRDefault="00EC2D42" w:rsidP="00EC2D42">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1A17AC0D" w14:textId="77777777" w:rsidR="00EC2D42" w:rsidRPr="009A1CB4" w:rsidRDefault="00EC2D42" w:rsidP="00EC2D42">
            <w:pPr>
              <w:spacing w:after="0" w:line="240" w:lineRule="auto"/>
              <w:jc w:val="right"/>
              <w:rPr>
                <w:rFonts w:ascii="Times New Roman" w:hAnsi="Times New Roman"/>
                <w:sz w:val="16"/>
                <w:szCs w:val="16"/>
              </w:rPr>
            </w:pPr>
          </w:p>
        </w:tc>
      </w:tr>
      <w:tr w:rsidR="00EC2D42" w:rsidRPr="009A1CB4" w14:paraId="4DDBF3AB" w14:textId="77777777" w:rsidTr="00F96D8A">
        <w:trPr>
          <w:trHeight w:val="204"/>
        </w:trPr>
        <w:tc>
          <w:tcPr>
            <w:tcW w:w="2694" w:type="dxa"/>
            <w:tcBorders>
              <w:top w:val="nil"/>
              <w:left w:val="nil"/>
              <w:bottom w:val="nil"/>
              <w:right w:val="nil"/>
            </w:tcBorders>
            <w:shd w:val="clear" w:color="auto" w:fill="auto"/>
            <w:vAlign w:val="bottom"/>
            <w:hideMark/>
          </w:tcPr>
          <w:p w14:paraId="6754C7EC" w14:textId="058EAF23"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Australia Council</w:t>
            </w:r>
          </w:p>
        </w:tc>
        <w:tc>
          <w:tcPr>
            <w:tcW w:w="977" w:type="dxa"/>
            <w:tcBorders>
              <w:top w:val="nil"/>
              <w:left w:val="nil"/>
              <w:bottom w:val="nil"/>
              <w:right w:val="nil"/>
            </w:tcBorders>
            <w:shd w:val="clear" w:color="auto" w:fill="auto"/>
            <w:noWrap/>
            <w:vAlign w:val="bottom"/>
            <w:hideMark/>
          </w:tcPr>
          <w:p w14:paraId="3A8686EB" w14:textId="5E63AA1F"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219,794 </w:t>
            </w:r>
          </w:p>
        </w:tc>
        <w:tc>
          <w:tcPr>
            <w:tcW w:w="976" w:type="dxa"/>
            <w:tcBorders>
              <w:top w:val="nil"/>
              <w:left w:val="nil"/>
              <w:bottom w:val="nil"/>
              <w:right w:val="nil"/>
            </w:tcBorders>
            <w:shd w:val="clear" w:color="000000" w:fill="E6E6E6"/>
            <w:noWrap/>
            <w:vAlign w:val="bottom"/>
            <w:hideMark/>
          </w:tcPr>
          <w:p w14:paraId="55F2CB93" w14:textId="0FF4350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220,531 </w:t>
            </w:r>
          </w:p>
        </w:tc>
        <w:tc>
          <w:tcPr>
            <w:tcW w:w="977" w:type="dxa"/>
            <w:tcBorders>
              <w:top w:val="nil"/>
              <w:left w:val="nil"/>
              <w:bottom w:val="nil"/>
              <w:right w:val="nil"/>
            </w:tcBorders>
            <w:shd w:val="clear" w:color="auto" w:fill="auto"/>
            <w:noWrap/>
            <w:vAlign w:val="bottom"/>
            <w:hideMark/>
          </w:tcPr>
          <w:p w14:paraId="5E7896F3" w14:textId="54EC9FB0"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223,147 </w:t>
            </w:r>
          </w:p>
        </w:tc>
        <w:tc>
          <w:tcPr>
            <w:tcW w:w="977" w:type="dxa"/>
            <w:tcBorders>
              <w:top w:val="nil"/>
              <w:left w:val="nil"/>
              <w:bottom w:val="nil"/>
              <w:right w:val="nil"/>
            </w:tcBorders>
            <w:shd w:val="clear" w:color="auto" w:fill="auto"/>
            <w:noWrap/>
            <w:vAlign w:val="bottom"/>
            <w:hideMark/>
          </w:tcPr>
          <w:p w14:paraId="5343CC3B" w14:textId="4CA17DBB"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227,026 </w:t>
            </w:r>
          </w:p>
        </w:tc>
        <w:tc>
          <w:tcPr>
            <w:tcW w:w="977" w:type="dxa"/>
            <w:gridSpan w:val="2"/>
            <w:tcBorders>
              <w:top w:val="nil"/>
              <w:left w:val="nil"/>
              <w:bottom w:val="nil"/>
              <w:right w:val="nil"/>
            </w:tcBorders>
            <w:shd w:val="clear" w:color="auto" w:fill="auto"/>
            <w:noWrap/>
            <w:vAlign w:val="bottom"/>
            <w:hideMark/>
          </w:tcPr>
          <w:p w14:paraId="6AFED91C" w14:textId="3048D01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230,751 </w:t>
            </w:r>
          </w:p>
        </w:tc>
      </w:tr>
      <w:tr w:rsidR="00EC2D42" w:rsidRPr="009A1CB4" w14:paraId="07BB7B9A" w14:textId="77777777" w:rsidTr="00F96D8A">
        <w:trPr>
          <w:trHeight w:val="204"/>
        </w:trPr>
        <w:tc>
          <w:tcPr>
            <w:tcW w:w="2694" w:type="dxa"/>
            <w:tcBorders>
              <w:top w:val="nil"/>
              <w:left w:val="nil"/>
              <w:bottom w:val="nil"/>
              <w:right w:val="nil"/>
            </w:tcBorders>
            <w:shd w:val="clear" w:color="auto" w:fill="auto"/>
            <w:vAlign w:val="bottom"/>
            <w:hideMark/>
          </w:tcPr>
          <w:p w14:paraId="0A1FC190" w14:textId="22FAF70C"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Australian Film, Television and Radio School</w:t>
            </w:r>
          </w:p>
        </w:tc>
        <w:tc>
          <w:tcPr>
            <w:tcW w:w="977" w:type="dxa"/>
            <w:tcBorders>
              <w:top w:val="nil"/>
              <w:left w:val="nil"/>
              <w:bottom w:val="nil"/>
              <w:right w:val="nil"/>
            </w:tcBorders>
            <w:shd w:val="clear" w:color="auto" w:fill="auto"/>
            <w:noWrap/>
            <w:vAlign w:val="bottom"/>
            <w:hideMark/>
          </w:tcPr>
          <w:p w14:paraId="7F516E00" w14:textId="1F1970C3"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22,738 </w:t>
            </w:r>
          </w:p>
        </w:tc>
        <w:tc>
          <w:tcPr>
            <w:tcW w:w="976" w:type="dxa"/>
            <w:tcBorders>
              <w:top w:val="nil"/>
              <w:left w:val="nil"/>
              <w:bottom w:val="nil"/>
              <w:right w:val="nil"/>
            </w:tcBorders>
            <w:shd w:val="clear" w:color="000000" w:fill="E6E6E6"/>
            <w:noWrap/>
            <w:vAlign w:val="bottom"/>
            <w:hideMark/>
          </w:tcPr>
          <w:p w14:paraId="71F5FB25" w14:textId="75B6D91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22,997 </w:t>
            </w:r>
          </w:p>
        </w:tc>
        <w:tc>
          <w:tcPr>
            <w:tcW w:w="977" w:type="dxa"/>
            <w:tcBorders>
              <w:top w:val="nil"/>
              <w:left w:val="nil"/>
              <w:bottom w:val="nil"/>
              <w:right w:val="nil"/>
            </w:tcBorders>
            <w:shd w:val="clear" w:color="auto" w:fill="auto"/>
            <w:noWrap/>
            <w:vAlign w:val="bottom"/>
            <w:hideMark/>
          </w:tcPr>
          <w:p w14:paraId="04B0B21B" w14:textId="1DB0FDD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23,132 </w:t>
            </w:r>
          </w:p>
        </w:tc>
        <w:tc>
          <w:tcPr>
            <w:tcW w:w="977" w:type="dxa"/>
            <w:tcBorders>
              <w:top w:val="nil"/>
              <w:left w:val="nil"/>
              <w:bottom w:val="nil"/>
              <w:right w:val="nil"/>
            </w:tcBorders>
            <w:shd w:val="clear" w:color="auto" w:fill="auto"/>
            <w:noWrap/>
            <w:vAlign w:val="bottom"/>
            <w:hideMark/>
          </w:tcPr>
          <w:p w14:paraId="09AD6C6F" w14:textId="584BDD1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23,337 </w:t>
            </w:r>
          </w:p>
        </w:tc>
        <w:tc>
          <w:tcPr>
            <w:tcW w:w="977" w:type="dxa"/>
            <w:gridSpan w:val="2"/>
            <w:tcBorders>
              <w:top w:val="nil"/>
              <w:left w:val="nil"/>
              <w:bottom w:val="nil"/>
              <w:right w:val="nil"/>
            </w:tcBorders>
            <w:shd w:val="clear" w:color="auto" w:fill="auto"/>
            <w:noWrap/>
            <w:vAlign w:val="bottom"/>
            <w:hideMark/>
          </w:tcPr>
          <w:p w14:paraId="5D25A1C2" w14:textId="0E2AB41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23,520 </w:t>
            </w:r>
          </w:p>
        </w:tc>
      </w:tr>
      <w:tr w:rsidR="00EC2D42" w:rsidRPr="009A1CB4" w14:paraId="7E40A149" w14:textId="77777777" w:rsidTr="00F96D8A">
        <w:trPr>
          <w:trHeight w:val="204"/>
        </w:trPr>
        <w:tc>
          <w:tcPr>
            <w:tcW w:w="2694" w:type="dxa"/>
            <w:tcBorders>
              <w:top w:val="nil"/>
              <w:left w:val="nil"/>
              <w:bottom w:val="nil"/>
              <w:right w:val="nil"/>
            </w:tcBorders>
            <w:shd w:val="clear" w:color="auto" w:fill="auto"/>
            <w:vAlign w:val="bottom"/>
            <w:hideMark/>
          </w:tcPr>
          <w:p w14:paraId="3E817A8B" w14:textId="47190BE1"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Australian National Maritime Museum</w:t>
            </w:r>
          </w:p>
        </w:tc>
        <w:tc>
          <w:tcPr>
            <w:tcW w:w="977" w:type="dxa"/>
            <w:tcBorders>
              <w:top w:val="nil"/>
              <w:left w:val="nil"/>
              <w:bottom w:val="nil"/>
              <w:right w:val="nil"/>
            </w:tcBorders>
            <w:shd w:val="clear" w:color="auto" w:fill="auto"/>
            <w:noWrap/>
            <w:vAlign w:val="bottom"/>
            <w:hideMark/>
          </w:tcPr>
          <w:p w14:paraId="0846F7CC" w14:textId="6A3C855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24,125 </w:t>
            </w:r>
          </w:p>
        </w:tc>
        <w:tc>
          <w:tcPr>
            <w:tcW w:w="976" w:type="dxa"/>
            <w:tcBorders>
              <w:top w:val="nil"/>
              <w:left w:val="nil"/>
              <w:bottom w:val="nil"/>
              <w:right w:val="nil"/>
            </w:tcBorders>
            <w:shd w:val="clear" w:color="000000" w:fill="E6E6E6"/>
            <w:noWrap/>
            <w:vAlign w:val="bottom"/>
            <w:hideMark/>
          </w:tcPr>
          <w:p w14:paraId="259D03A9" w14:textId="2CED1E4F"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24,017 </w:t>
            </w:r>
          </w:p>
        </w:tc>
        <w:tc>
          <w:tcPr>
            <w:tcW w:w="977" w:type="dxa"/>
            <w:tcBorders>
              <w:top w:val="nil"/>
              <w:left w:val="nil"/>
              <w:bottom w:val="nil"/>
              <w:right w:val="nil"/>
            </w:tcBorders>
            <w:shd w:val="clear" w:color="auto" w:fill="auto"/>
            <w:noWrap/>
            <w:vAlign w:val="bottom"/>
            <w:hideMark/>
          </w:tcPr>
          <w:p w14:paraId="13A226DD" w14:textId="5183E0B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20,443 </w:t>
            </w:r>
          </w:p>
        </w:tc>
        <w:tc>
          <w:tcPr>
            <w:tcW w:w="977" w:type="dxa"/>
            <w:tcBorders>
              <w:top w:val="nil"/>
              <w:left w:val="nil"/>
              <w:bottom w:val="nil"/>
              <w:right w:val="nil"/>
            </w:tcBorders>
            <w:shd w:val="clear" w:color="auto" w:fill="auto"/>
            <w:noWrap/>
            <w:vAlign w:val="bottom"/>
            <w:hideMark/>
          </w:tcPr>
          <w:p w14:paraId="4EB9B62A" w14:textId="7B7D658C"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20,502 </w:t>
            </w:r>
          </w:p>
        </w:tc>
        <w:tc>
          <w:tcPr>
            <w:tcW w:w="977" w:type="dxa"/>
            <w:gridSpan w:val="2"/>
            <w:tcBorders>
              <w:top w:val="nil"/>
              <w:left w:val="nil"/>
              <w:bottom w:val="nil"/>
              <w:right w:val="nil"/>
            </w:tcBorders>
            <w:shd w:val="clear" w:color="auto" w:fill="auto"/>
            <w:noWrap/>
            <w:vAlign w:val="bottom"/>
            <w:hideMark/>
          </w:tcPr>
          <w:p w14:paraId="458E46D8" w14:textId="62561A1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20,551 </w:t>
            </w:r>
          </w:p>
        </w:tc>
      </w:tr>
      <w:tr w:rsidR="00EC2D42" w:rsidRPr="009A1CB4" w14:paraId="20F4D45A" w14:textId="77777777" w:rsidTr="00F96D8A">
        <w:trPr>
          <w:trHeight w:val="204"/>
        </w:trPr>
        <w:tc>
          <w:tcPr>
            <w:tcW w:w="2694" w:type="dxa"/>
            <w:tcBorders>
              <w:top w:val="nil"/>
              <w:left w:val="nil"/>
              <w:bottom w:val="nil"/>
              <w:right w:val="nil"/>
            </w:tcBorders>
            <w:shd w:val="clear" w:color="auto" w:fill="auto"/>
            <w:vAlign w:val="bottom"/>
            <w:hideMark/>
          </w:tcPr>
          <w:p w14:paraId="10785F0A" w14:textId="149F2562"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National Film and Sound Archive of Australia</w:t>
            </w:r>
          </w:p>
        </w:tc>
        <w:tc>
          <w:tcPr>
            <w:tcW w:w="977" w:type="dxa"/>
            <w:tcBorders>
              <w:top w:val="nil"/>
              <w:left w:val="nil"/>
              <w:bottom w:val="nil"/>
              <w:right w:val="nil"/>
            </w:tcBorders>
            <w:shd w:val="clear" w:color="auto" w:fill="auto"/>
            <w:noWrap/>
            <w:vAlign w:val="bottom"/>
            <w:hideMark/>
          </w:tcPr>
          <w:p w14:paraId="74E2BD4C" w14:textId="4EF6F511"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28,026 </w:t>
            </w:r>
          </w:p>
        </w:tc>
        <w:tc>
          <w:tcPr>
            <w:tcW w:w="976" w:type="dxa"/>
            <w:tcBorders>
              <w:top w:val="nil"/>
              <w:left w:val="nil"/>
              <w:bottom w:val="nil"/>
              <w:right w:val="nil"/>
            </w:tcBorders>
            <w:shd w:val="clear" w:color="000000" w:fill="E6E6E6"/>
            <w:noWrap/>
            <w:vAlign w:val="bottom"/>
            <w:hideMark/>
          </w:tcPr>
          <w:p w14:paraId="3985156E" w14:textId="571DAFC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29,702 </w:t>
            </w:r>
          </w:p>
        </w:tc>
        <w:tc>
          <w:tcPr>
            <w:tcW w:w="977" w:type="dxa"/>
            <w:tcBorders>
              <w:top w:val="nil"/>
              <w:left w:val="nil"/>
              <w:bottom w:val="nil"/>
              <w:right w:val="nil"/>
            </w:tcBorders>
            <w:shd w:val="clear" w:color="auto" w:fill="auto"/>
            <w:noWrap/>
            <w:vAlign w:val="bottom"/>
            <w:hideMark/>
          </w:tcPr>
          <w:p w14:paraId="4193EA83" w14:textId="4048987C"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30,304 </w:t>
            </w:r>
          </w:p>
        </w:tc>
        <w:tc>
          <w:tcPr>
            <w:tcW w:w="977" w:type="dxa"/>
            <w:tcBorders>
              <w:top w:val="nil"/>
              <w:left w:val="nil"/>
              <w:bottom w:val="nil"/>
              <w:right w:val="nil"/>
            </w:tcBorders>
            <w:shd w:val="clear" w:color="auto" w:fill="auto"/>
            <w:noWrap/>
            <w:vAlign w:val="bottom"/>
            <w:hideMark/>
          </w:tcPr>
          <w:p w14:paraId="62987D5A" w14:textId="194D625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30,655 </w:t>
            </w:r>
          </w:p>
        </w:tc>
        <w:tc>
          <w:tcPr>
            <w:tcW w:w="977" w:type="dxa"/>
            <w:gridSpan w:val="2"/>
            <w:tcBorders>
              <w:top w:val="nil"/>
              <w:left w:val="nil"/>
              <w:bottom w:val="nil"/>
              <w:right w:val="nil"/>
            </w:tcBorders>
            <w:shd w:val="clear" w:color="auto" w:fill="auto"/>
            <w:noWrap/>
            <w:vAlign w:val="bottom"/>
            <w:hideMark/>
          </w:tcPr>
          <w:p w14:paraId="0F0DD6C4" w14:textId="541D38DF"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31,301 </w:t>
            </w:r>
          </w:p>
        </w:tc>
      </w:tr>
      <w:tr w:rsidR="00EC2D42" w:rsidRPr="009A1CB4" w14:paraId="3AACC5A6" w14:textId="77777777" w:rsidTr="00F96D8A">
        <w:trPr>
          <w:trHeight w:val="204"/>
        </w:trPr>
        <w:tc>
          <w:tcPr>
            <w:tcW w:w="2694" w:type="dxa"/>
            <w:tcBorders>
              <w:top w:val="nil"/>
              <w:left w:val="nil"/>
              <w:bottom w:val="nil"/>
              <w:right w:val="nil"/>
            </w:tcBorders>
            <w:shd w:val="clear" w:color="auto" w:fill="auto"/>
            <w:vAlign w:val="bottom"/>
            <w:hideMark/>
          </w:tcPr>
          <w:p w14:paraId="6B834E8B" w14:textId="405CD1D9"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National Gallery Australia</w:t>
            </w:r>
          </w:p>
        </w:tc>
        <w:tc>
          <w:tcPr>
            <w:tcW w:w="977" w:type="dxa"/>
            <w:tcBorders>
              <w:top w:val="nil"/>
              <w:left w:val="nil"/>
              <w:bottom w:val="nil"/>
              <w:right w:val="nil"/>
            </w:tcBorders>
            <w:shd w:val="clear" w:color="auto" w:fill="auto"/>
            <w:noWrap/>
            <w:vAlign w:val="bottom"/>
            <w:hideMark/>
          </w:tcPr>
          <w:p w14:paraId="27692023" w14:textId="33FF6E5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49,592 </w:t>
            </w:r>
          </w:p>
        </w:tc>
        <w:tc>
          <w:tcPr>
            <w:tcW w:w="976" w:type="dxa"/>
            <w:tcBorders>
              <w:top w:val="nil"/>
              <w:left w:val="nil"/>
              <w:bottom w:val="nil"/>
              <w:right w:val="nil"/>
            </w:tcBorders>
            <w:shd w:val="clear" w:color="000000" w:fill="E6E6E6"/>
            <w:noWrap/>
            <w:vAlign w:val="bottom"/>
            <w:hideMark/>
          </w:tcPr>
          <w:p w14:paraId="07029916" w14:textId="4032332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48,045 </w:t>
            </w:r>
          </w:p>
        </w:tc>
        <w:tc>
          <w:tcPr>
            <w:tcW w:w="977" w:type="dxa"/>
            <w:tcBorders>
              <w:top w:val="nil"/>
              <w:left w:val="nil"/>
              <w:bottom w:val="nil"/>
              <w:right w:val="nil"/>
            </w:tcBorders>
            <w:shd w:val="clear" w:color="auto" w:fill="auto"/>
            <w:noWrap/>
            <w:vAlign w:val="bottom"/>
            <w:hideMark/>
          </w:tcPr>
          <w:p w14:paraId="09B7A794" w14:textId="62231472"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45,211 </w:t>
            </w:r>
          </w:p>
        </w:tc>
        <w:tc>
          <w:tcPr>
            <w:tcW w:w="977" w:type="dxa"/>
            <w:tcBorders>
              <w:top w:val="nil"/>
              <w:left w:val="nil"/>
              <w:bottom w:val="nil"/>
              <w:right w:val="nil"/>
            </w:tcBorders>
            <w:shd w:val="clear" w:color="auto" w:fill="auto"/>
            <w:noWrap/>
            <w:vAlign w:val="bottom"/>
            <w:hideMark/>
          </w:tcPr>
          <w:p w14:paraId="65A49049" w14:textId="49FDA56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45,491 </w:t>
            </w:r>
          </w:p>
        </w:tc>
        <w:tc>
          <w:tcPr>
            <w:tcW w:w="977" w:type="dxa"/>
            <w:gridSpan w:val="2"/>
            <w:tcBorders>
              <w:top w:val="nil"/>
              <w:left w:val="nil"/>
              <w:bottom w:val="nil"/>
              <w:right w:val="nil"/>
            </w:tcBorders>
            <w:shd w:val="clear" w:color="auto" w:fill="auto"/>
            <w:noWrap/>
            <w:vAlign w:val="bottom"/>
            <w:hideMark/>
          </w:tcPr>
          <w:p w14:paraId="75403135" w14:textId="199E708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45,740 </w:t>
            </w:r>
          </w:p>
        </w:tc>
      </w:tr>
      <w:tr w:rsidR="00EC2D42" w:rsidRPr="009A1CB4" w14:paraId="115780C7" w14:textId="77777777" w:rsidTr="00F96D8A">
        <w:trPr>
          <w:trHeight w:val="204"/>
        </w:trPr>
        <w:tc>
          <w:tcPr>
            <w:tcW w:w="2694" w:type="dxa"/>
            <w:tcBorders>
              <w:top w:val="nil"/>
              <w:left w:val="nil"/>
              <w:bottom w:val="nil"/>
              <w:right w:val="nil"/>
            </w:tcBorders>
            <w:shd w:val="clear" w:color="auto" w:fill="auto"/>
            <w:vAlign w:val="bottom"/>
            <w:hideMark/>
          </w:tcPr>
          <w:p w14:paraId="112753D7" w14:textId="739FEED0"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National Library Australia</w:t>
            </w:r>
          </w:p>
        </w:tc>
        <w:tc>
          <w:tcPr>
            <w:tcW w:w="977" w:type="dxa"/>
            <w:tcBorders>
              <w:top w:val="nil"/>
              <w:left w:val="nil"/>
              <w:bottom w:val="nil"/>
              <w:right w:val="nil"/>
            </w:tcBorders>
            <w:shd w:val="clear" w:color="auto" w:fill="auto"/>
            <w:noWrap/>
            <w:vAlign w:val="bottom"/>
            <w:hideMark/>
          </w:tcPr>
          <w:p w14:paraId="2CC80D1D" w14:textId="73CEC5BE"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57,493 </w:t>
            </w:r>
          </w:p>
        </w:tc>
        <w:tc>
          <w:tcPr>
            <w:tcW w:w="976" w:type="dxa"/>
            <w:tcBorders>
              <w:top w:val="nil"/>
              <w:left w:val="nil"/>
              <w:bottom w:val="nil"/>
              <w:right w:val="nil"/>
            </w:tcBorders>
            <w:shd w:val="clear" w:color="000000" w:fill="E6E6E6"/>
            <w:noWrap/>
            <w:vAlign w:val="bottom"/>
            <w:hideMark/>
          </w:tcPr>
          <w:p w14:paraId="11ABD93F" w14:textId="3087492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60,989 </w:t>
            </w:r>
          </w:p>
        </w:tc>
        <w:tc>
          <w:tcPr>
            <w:tcW w:w="977" w:type="dxa"/>
            <w:tcBorders>
              <w:top w:val="nil"/>
              <w:left w:val="nil"/>
              <w:bottom w:val="nil"/>
              <w:right w:val="nil"/>
            </w:tcBorders>
            <w:shd w:val="clear" w:color="auto" w:fill="auto"/>
            <w:noWrap/>
            <w:vAlign w:val="bottom"/>
            <w:hideMark/>
          </w:tcPr>
          <w:p w14:paraId="08B9F2D9" w14:textId="34483BD3"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47,123 </w:t>
            </w:r>
          </w:p>
        </w:tc>
        <w:tc>
          <w:tcPr>
            <w:tcW w:w="977" w:type="dxa"/>
            <w:tcBorders>
              <w:top w:val="nil"/>
              <w:left w:val="nil"/>
              <w:bottom w:val="nil"/>
              <w:right w:val="nil"/>
            </w:tcBorders>
            <w:shd w:val="clear" w:color="auto" w:fill="auto"/>
            <w:noWrap/>
            <w:vAlign w:val="bottom"/>
            <w:hideMark/>
          </w:tcPr>
          <w:p w14:paraId="60A621B5" w14:textId="7788138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47,306 </w:t>
            </w:r>
          </w:p>
        </w:tc>
        <w:tc>
          <w:tcPr>
            <w:tcW w:w="977" w:type="dxa"/>
            <w:gridSpan w:val="2"/>
            <w:tcBorders>
              <w:top w:val="nil"/>
              <w:left w:val="nil"/>
              <w:bottom w:val="nil"/>
              <w:right w:val="nil"/>
            </w:tcBorders>
            <w:shd w:val="clear" w:color="auto" w:fill="auto"/>
            <w:noWrap/>
            <w:vAlign w:val="bottom"/>
            <w:hideMark/>
          </w:tcPr>
          <w:p w14:paraId="60680367" w14:textId="59262029"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47,457 </w:t>
            </w:r>
          </w:p>
        </w:tc>
      </w:tr>
      <w:tr w:rsidR="00EC2D42" w:rsidRPr="009A1CB4" w14:paraId="1EA90358" w14:textId="77777777" w:rsidTr="00F96D8A">
        <w:trPr>
          <w:trHeight w:val="204"/>
        </w:trPr>
        <w:tc>
          <w:tcPr>
            <w:tcW w:w="2694" w:type="dxa"/>
            <w:tcBorders>
              <w:top w:val="nil"/>
              <w:left w:val="nil"/>
              <w:bottom w:val="nil"/>
              <w:right w:val="nil"/>
            </w:tcBorders>
            <w:shd w:val="clear" w:color="auto" w:fill="auto"/>
            <w:vAlign w:val="bottom"/>
            <w:hideMark/>
          </w:tcPr>
          <w:p w14:paraId="64F41D85" w14:textId="471606AF"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National Museum Australia</w:t>
            </w:r>
          </w:p>
        </w:tc>
        <w:tc>
          <w:tcPr>
            <w:tcW w:w="977" w:type="dxa"/>
            <w:tcBorders>
              <w:top w:val="nil"/>
              <w:left w:val="nil"/>
              <w:bottom w:val="nil"/>
              <w:right w:val="nil"/>
            </w:tcBorders>
            <w:shd w:val="clear" w:color="auto" w:fill="auto"/>
            <w:noWrap/>
            <w:vAlign w:val="bottom"/>
            <w:hideMark/>
          </w:tcPr>
          <w:p w14:paraId="041D5F3F" w14:textId="5340A103"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41,383 </w:t>
            </w:r>
          </w:p>
        </w:tc>
        <w:tc>
          <w:tcPr>
            <w:tcW w:w="976" w:type="dxa"/>
            <w:tcBorders>
              <w:top w:val="nil"/>
              <w:left w:val="nil"/>
              <w:bottom w:val="nil"/>
              <w:right w:val="nil"/>
            </w:tcBorders>
            <w:shd w:val="clear" w:color="000000" w:fill="E6E6E6"/>
            <w:noWrap/>
            <w:vAlign w:val="bottom"/>
            <w:hideMark/>
          </w:tcPr>
          <w:p w14:paraId="75DBA4E3" w14:textId="1F217C0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50,912 </w:t>
            </w:r>
          </w:p>
        </w:tc>
        <w:tc>
          <w:tcPr>
            <w:tcW w:w="977" w:type="dxa"/>
            <w:tcBorders>
              <w:top w:val="nil"/>
              <w:left w:val="nil"/>
              <w:bottom w:val="nil"/>
              <w:right w:val="nil"/>
            </w:tcBorders>
            <w:shd w:val="clear" w:color="auto" w:fill="auto"/>
            <w:noWrap/>
            <w:vAlign w:val="bottom"/>
            <w:hideMark/>
          </w:tcPr>
          <w:p w14:paraId="065190BB" w14:textId="1CCEE751"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38,744 </w:t>
            </w:r>
          </w:p>
        </w:tc>
        <w:tc>
          <w:tcPr>
            <w:tcW w:w="977" w:type="dxa"/>
            <w:tcBorders>
              <w:top w:val="nil"/>
              <w:left w:val="nil"/>
              <w:bottom w:val="nil"/>
              <w:right w:val="nil"/>
            </w:tcBorders>
            <w:shd w:val="clear" w:color="auto" w:fill="auto"/>
            <w:noWrap/>
            <w:vAlign w:val="bottom"/>
            <w:hideMark/>
          </w:tcPr>
          <w:p w14:paraId="0229F795" w14:textId="5C0000B1"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38,908 </w:t>
            </w:r>
          </w:p>
        </w:tc>
        <w:tc>
          <w:tcPr>
            <w:tcW w:w="977" w:type="dxa"/>
            <w:gridSpan w:val="2"/>
            <w:tcBorders>
              <w:top w:val="nil"/>
              <w:left w:val="nil"/>
              <w:bottom w:val="nil"/>
              <w:right w:val="nil"/>
            </w:tcBorders>
            <w:shd w:val="clear" w:color="auto" w:fill="auto"/>
            <w:noWrap/>
            <w:vAlign w:val="bottom"/>
            <w:hideMark/>
          </w:tcPr>
          <w:p w14:paraId="1F0BB199" w14:textId="0D3B4FC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39,047 </w:t>
            </w:r>
          </w:p>
        </w:tc>
      </w:tr>
      <w:tr w:rsidR="00EC2D42" w:rsidRPr="009A1CB4" w14:paraId="4D089B37" w14:textId="77777777" w:rsidTr="00F96D8A">
        <w:trPr>
          <w:trHeight w:val="204"/>
        </w:trPr>
        <w:tc>
          <w:tcPr>
            <w:tcW w:w="2694" w:type="dxa"/>
            <w:tcBorders>
              <w:top w:val="nil"/>
              <w:left w:val="nil"/>
              <w:bottom w:val="nil"/>
              <w:right w:val="nil"/>
            </w:tcBorders>
            <w:shd w:val="clear" w:color="auto" w:fill="auto"/>
            <w:vAlign w:val="bottom"/>
            <w:hideMark/>
          </w:tcPr>
          <w:p w14:paraId="54F1F965" w14:textId="5CD32740"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National Portrait Gallery of Australia</w:t>
            </w:r>
          </w:p>
        </w:tc>
        <w:tc>
          <w:tcPr>
            <w:tcW w:w="977" w:type="dxa"/>
            <w:tcBorders>
              <w:top w:val="nil"/>
              <w:left w:val="nil"/>
              <w:bottom w:val="nil"/>
              <w:right w:val="nil"/>
            </w:tcBorders>
            <w:shd w:val="clear" w:color="auto" w:fill="auto"/>
            <w:noWrap/>
            <w:vAlign w:val="bottom"/>
            <w:hideMark/>
          </w:tcPr>
          <w:p w14:paraId="61F97AE5" w14:textId="2974834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12,475 </w:t>
            </w:r>
          </w:p>
        </w:tc>
        <w:tc>
          <w:tcPr>
            <w:tcW w:w="976" w:type="dxa"/>
            <w:tcBorders>
              <w:top w:val="nil"/>
              <w:left w:val="nil"/>
              <w:bottom w:val="nil"/>
              <w:right w:val="nil"/>
            </w:tcBorders>
            <w:shd w:val="clear" w:color="000000" w:fill="E6E6E6"/>
            <w:noWrap/>
            <w:vAlign w:val="bottom"/>
            <w:hideMark/>
          </w:tcPr>
          <w:p w14:paraId="3AEC8FEA" w14:textId="4224A63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12,615 </w:t>
            </w:r>
          </w:p>
        </w:tc>
        <w:tc>
          <w:tcPr>
            <w:tcW w:w="977" w:type="dxa"/>
            <w:tcBorders>
              <w:top w:val="nil"/>
              <w:left w:val="nil"/>
              <w:bottom w:val="nil"/>
              <w:right w:val="nil"/>
            </w:tcBorders>
            <w:shd w:val="clear" w:color="auto" w:fill="auto"/>
            <w:noWrap/>
            <w:vAlign w:val="bottom"/>
            <w:hideMark/>
          </w:tcPr>
          <w:p w14:paraId="2059CCFD" w14:textId="5E5C87AA"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11,896 </w:t>
            </w:r>
          </w:p>
        </w:tc>
        <w:tc>
          <w:tcPr>
            <w:tcW w:w="977" w:type="dxa"/>
            <w:tcBorders>
              <w:top w:val="nil"/>
              <w:left w:val="nil"/>
              <w:bottom w:val="nil"/>
              <w:right w:val="nil"/>
            </w:tcBorders>
            <w:shd w:val="clear" w:color="auto" w:fill="auto"/>
            <w:noWrap/>
            <w:vAlign w:val="bottom"/>
            <w:hideMark/>
          </w:tcPr>
          <w:p w14:paraId="3019DC9A" w14:textId="4CA96C17"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12,013 </w:t>
            </w:r>
          </w:p>
        </w:tc>
        <w:tc>
          <w:tcPr>
            <w:tcW w:w="977" w:type="dxa"/>
            <w:gridSpan w:val="2"/>
            <w:tcBorders>
              <w:top w:val="nil"/>
              <w:left w:val="nil"/>
              <w:bottom w:val="nil"/>
              <w:right w:val="nil"/>
            </w:tcBorders>
            <w:shd w:val="clear" w:color="auto" w:fill="auto"/>
            <w:noWrap/>
            <w:vAlign w:val="bottom"/>
            <w:hideMark/>
          </w:tcPr>
          <w:p w14:paraId="6B30DFDA" w14:textId="37F51636"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12,096 </w:t>
            </w:r>
          </w:p>
        </w:tc>
      </w:tr>
      <w:tr w:rsidR="00EC2D42" w:rsidRPr="009A1CB4" w14:paraId="4DE2A97C" w14:textId="77777777" w:rsidTr="00F96D8A">
        <w:trPr>
          <w:trHeight w:val="204"/>
        </w:trPr>
        <w:tc>
          <w:tcPr>
            <w:tcW w:w="2694" w:type="dxa"/>
            <w:tcBorders>
              <w:top w:val="nil"/>
              <w:left w:val="nil"/>
              <w:right w:val="nil"/>
            </w:tcBorders>
            <w:shd w:val="clear" w:color="auto" w:fill="auto"/>
            <w:vAlign w:val="bottom"/>
            <w:hideMark/>
          </w:tcPr>
          <w:p w14:paraId="5E3771E8" w14:textId="5882694B" w:rsidR="00EC2D42" w:rsidRPr="009A1CB4" w:rsidRDefault="00EC2D42" w:rsidP="00EC2D42">
            <w:pPr>
              <w:pStyle w:val="ListParagraph"/>
              <w:numPr>
                <w:ilvl w:val="0"/>
                <w:numId w:val="200"/>
              </w:numPr>
              <w:spacing w:after="0" w:line="240" w:lineRule="auto"/>
              <w:ind w:left="369" w:hanging="142"/>
              <w:rPr>
                <w:rFonts w:ascii="Arial" w:hAnsi="Arial" w:cs="Arial"/>
                <w:sz w:val="16"/>
                <w:szCs w:val="16"/>
              </w:rPr>
            </w:pPr>
            <w:r>
              <w:rPr>
                <w:rFonts w:ascii="Arial" w:hAnsi="Arial" w:cs="Arial"/>
                <w:sz w:val="16"/>
                <w:szCs w:val="16"/>
              </w:rPr>
              <w:t>Screen Australia</w:t>
            </w:r>
          </w:p>
        </w:tc>
        <w:tc>
          <w:tcPr>
            <w:tcW w:w="977" w:type="dxa"/>
            <w:tcBorders>
              <w:top w:val="nil"/>
              <w:left w:val="nil"/>
              <w:bottom w:val="nil"/>
              <w:right w:val="nil"/>
            </w:tcBorders>
            <w:shd w:val="clear" w:color="auto" w:fill="auto"/>
            <w:noWrap/>
            <w:vAlign w:val="bottom"/>
            <w:hideMark/>
          </w:tcPr>
          <w:p w14:paraId="1019C4D3" w14:textId="278AB6F8"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39,466 </w:t>
            </w:r>
          </w:p>
        </w:tc>
        <w:tc>
          <w:tcPr>
            <w:tcW w:w="976" w:type="dxa"/>
            <w:tcBorders>
              <w:top w:val="nil"/>
              <w:left w:val="nil"/>
              <w:bottom w:val="nil"/>
              <w:right w:val="nil"/>
            </w:tcBorders>
            <w:shd w:val="clear" w:color="000000" w:fill="E6E6E6"/>
            <w:noWrap/>
            <w:vAlign w:val="bottom"/>
            <w:hideMark/>
          </w:tcPr>
          <w:p w14:paraId="47A08993" w14:textId="26626784"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27,834 </w:t>
            </w:r>
          </w:p>
        </w:tc>
        <w:tc>
          <w:tcPr>
            <w:tcW w:w="977" w:type="dxa"/>
            <w:tcBorders>
              <w:top w:val="nil"/>
              <w:left w:val="nil"/>
              <w:bottom w:val="nil"/>
              <w:right w:val="nil"/>
            </w:tcBorders>
            <w:shd w:val="clear" w:color="auto" w:fill="auto"/>
            <w:noWrap/>
            <w:vAlign w:val="bottom"/>
            <w:hideMark/>
          </w:tcPr>
          <w:p w14:paraId="74CAABB5" w14:textId="6E3430B2"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11,622 </w:t>
            </w:r>
          </w:p>
        </w:tc>
        <w:tc>
          <w:tcPr>
            <w:tcW w:w="977" w:type="dxa"/>
            <w:tcBorders>
              <w:top w:val="nil"/>
              <w:left w:val="nil"/>
              <w:bottom w:val="nil"/>
              <w:right w:val="nil"/>
            </w:tcBorders>
            <w:shd w:val="clear" w:color="auto" w:fill="auto"/>
            <w:noWrap/>
            <w:vAlign w:val="bottom"/>
            <w:hideMark/>
          </w:tcPr>
          <w:p w14:paraId="1E2A40C2" w14:textId="36A6AF25"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11,747 </w:t>
            </w:r>
          </w:p>
        </w:tc>
        <w:tc>
          <w:tcPr>
            <w:tcW w:w="977" w:type="dxa"/>
            <w:gridSpan w:val="2"/>
            <w:tcBorders>
              <w:top w:val="nil"/>
              <w:left w:val="nil"/>
              <w:bottom w:val="nil"/>
              <w:right w:val="nil"/>
            </w:tcBorders>
            <w:shd w:val="clear" w:color="auto" w:fill="auto"/>
            <w:noWrap/>
            <w:vAlign w:val="bottom"/>
            <w:hideMark/>
          </w:tcPr>
          <w:p w14:paraId="56030BA5" w14:textId="31083FAC" w:rsidR="00EC2D42" w:rsidRPr="009A1CB4" w:rsidRDefault="00EC2D42" w:rsidP="00EC2D42">
            <w:pPr>
              <w:spacing w:after="0" w:line="240" w:lineRule="auto"/>
              <w:jc w:val="right"/>
              <w:rPr>
                <w:rFonts w:ascii="Arial" w:hAnsi="Arial" w:cs="Arial"/>
                <w:sz w:val="16"/>
                <w:szCs w:val="16"/>
              </w:rPr>
            </w:pPr>
            <w:r>
              <w:rPr>
                <w:rFonts w:ascii="Arial" w:hAnsi="Arial" w:cs="Arial"/>
                <w:sz w:val="16"/>
                <w:szCs w:val="16"/>
              </w:rPr>
              <w:t xml:space="preserve">11,862 </w:t>
            </w:r>
          </w:p>
        </w:tc>
      </w:tr>
      <w:tr w:rsidR="00EC2D42" w:rsidRPr="009A1CB4" w14:paraId="6C5F9B83" w14:textId="77777777" w:rsidTr="00F96D8A">
        <w:trPr>
          <w:trHeight w:val="204"/>
        </w:trPr>
        <w:tc>
          <w:tcPr>
            <w:tcW w:w="2694" w:type="dxa"/>
            <w:tcBorders>
              <w:top w:val="nil"/>
              <w:left w:val="nil"/>
              <w:bottom w:val="single" w:sz="4" w:space="0" w:color="auto"/>
              <w:right w:val="nil"/>
            </w:tcBorders>
            <w:shd w:val="clear" w:color="auto" w:fill="auto"/>
            <w:noWrap/>
            <w:vAlign w:val="bottom"/>
            <w:hideMark/>
          </w:tcPr>
          <w:p w14:paraId="0B8CCD25" w14:textId="47712045" w:rsidR="00EC2D42" w:rsidRPr="009A1CB4" w:rsidRDefault="00EC2D42" w:rsidP="00EC2D42">
            <w:pPr>
              <w:spacing w:after="0" w:line="240" w:lineRule="auto"/>
              <w:jc w:val="left"/>
              <w:rPr>
                <w:rFonts w:ascii="Arial" w:hAnsi="Arial" w:cs="Arial"/>
                <w:b/>
                <w:bCs/>
                <w:sz w:val="16"/>
                <w:szCs w:val="16"/>
              </w:rPr>
            </w:pPr>
            <w:r>
              <w:rPr>
                <w:rFonts w:ascii="Arial" w:hAnsi="Arial" w:cs="Arial"/>
                <w:b/>
                <w:bCs/>
                <w:sz w:val="16"/>
                <w:szCs w:val="16"/>
              </w:rPr>
              <w:t>Total expenses for Program 6.1</w:t>
            </w:r>
          </w:p>
        </w:tc>
        <w:tc>
          <w:tcPr>
            <w:tcW w:w="977" w:type="dxa"/>
            <w:tcBorders>
              <w:top w:val="single" w:sz="4" w:space="0" w:color="auto"/>
              <w:left w:val="nil"/>
              <w:bottom w:val="single" w:sz="4" w:space="0" w:color="auto"/>
              <w:right w:val="nil"/>
            </w:tcBorders>
            <w:shd w:val="clear" w:color="auto" w:fill="auto"/>
            <w:noWrap/>
            <w:vAlign w:val="bottom"/>
            <w:hideMark/>
          </w:tcPr>
          <w:p w14:paraId="33A6C8C7" w14:textId="5EC11660" w:rsidR="00EC2D42" w:rsidRPr="009A1CB4" w:rsidRDefault="00EC2D42" w:rsidP="00EC2D42">
            <w:pPr>
              <w:spacing w:after="0" w:line="240" w:lineRule="auto"/>
              <w:jc w:val="right"/>
              <w:rPr>
                <w:rFonts w:ascii="Arial" w:hAnsi="Arial" w:cs="Arial"/>
                <w:b/>
                <w:bCs/>
                <w:sz w:val="16"/>
                <w:szCs w:val="16"/>
              </w:rPr>
            </w:pPr>
            <w:r>
              <w:rPr>
                <w:rFonts w:ascii="Arial" w:hAnsi="Arial" w:cs="Arial"/>
                <w:b/>
                <w:bCs/>
                <w:sz w:val="16"/>
                <w:szCs w:val="16"/>
              </w:rPr>
              <w:t xml:space="preserve">989,683 </w:t>
            </w:r>
          </w:p>
        </w:tc>
        <w:tc>
          <w:tcPr>
            <w:tcW w:w="976" w:type="dxa"/>
            <w:tcBorders>
              <w:top w:val="single" w:sz="4" w:space="0" w:color="auto"/>
              <w:left w:val="nil"/>
              <w:bottom w:val="single" w:sz="4" w:space="0" w:color="auto"/>
              <w:right w:val="nil"/>
            </w:tcBorders>
            <w:shd w:val="clear" w:color="000000" w:fill="E6E6E6"/>
            <w:noWrap/>
            <w:vAlign w:val="bottom"/>
            <w:hideMark/>
          </w:tcPr>
          <w:p w14:paraId="207146F2" w14:textId="5F6DC661" w:rsidR="00EC2D42" w:rsidRPr="009A1CB4" w:rsidRDefault="00EC2D42" w:rsidP="00EC2D42">
            <w:pPr>
              <w:spacing w:after="0" w:line="240" w:lineRule="auto"/>
              <w:jc w:val="right"/>
              <w:rPr>
                <w:rFonts w:ascii="Arial" w:hAnsi="Arial" w:cs="Arial"/>
                <w:b/>
                <w:bCs/>
                <w:sz w:val="16"/>
                <w:szCs w:val="16"/>
              </w:rPr>
            </w:pPr>
            <w:r>
              <w:rPr>
                <w:rFonts w:ascii="Arial" w:hAnsi="Arial" w:cs="Arial"/>
                <w:b/>
                <w:bCs/>
                <w:sz w:val="16"/>
                <w:szCs w:val="16"/>
              </w:rPr>
              <w:t xml:space="preserve">799,194 </w:t>
            </w:r>
          </w:p>
        </w:tc>
        <w:tc>
          <w:tcPr>
            <w:tcW w:w="977" w:type="dxa"/>
            <w:tcBorders>
              <w:top w:val="single" w:sz="4" w:space="0" w:color="auto"/>
              <w:left w:val="nil"/>
              <w:bottom w:val="single" w:sz="4" w:space="0" w:color="auto"/>
              <w:right w:val="nil"/>
            </w:tcBorders>
            <w:shd w:val="clear" w:color="auto" w:fill="auto"/>
            <w:noWrap/>
            <w:vAlign w:val="bottom"/>
            <w:hideMark/>
          </w:tcPr>
          <w:p w14:paraId="34BB84C9" w14:textId="38BF8AAB" w:rsidR="00EC2D42" w:rsidRPr="009A1CB4" w:rsidRDefault="00EC2D42" w:rsidP="00EC2D42">
            <w:pPr>
              <w:spacing w:after="0" w:line="240" w:lineRule="auto"/>
              <w:jc w:val="right"/>
              <w:rPr>
                <w:rFonts w:ascii="Arial" w:hAnsi="Arial" w:cs="Arial"/>
                <w:b/>
                <w:bCs/>
                <w:sz w:val="16"/>
                <w:szCs w:val="16"/>
              </w:rPr>
            </w:pPr>
            <w:r>
              <w:rPr>
                <w:rFonts w:ascii="Arial" w:hAnsi="Arial" w:cs="Arial"/>
                <w:b/>
                <w:bCs/>
                <w:sz w:val="16"/>
                <w:szCs w:val="16"/>
              </w:rPr>
              <w:t xml:space="preserve">736,976 </w:t>
            </w:r>
          </w:p>
        </w:tc>
        <w:tc>
          <w:tcPr>
            <w:tcW w:w="977" w:type="dxa"/>
            <w:tcBorders>
              <w:top w:val="single" w:sz="4" w:space="0" w:color="auto"/>
              <w:left w:val="nil"/>
              <w:bottom w:val="single" w:sz="4" w:space="0" w:color="auto"/>
              <w:right w:val="nil"/>
            </w:tcBorders>
            <w:shd w:val="clear" w:color="auto" w:fill="auto"/>
            <w:noWrap/>
            <w:vAlign w:val="bottom"/>
            <w:hideMark/>
          </w:tcPr>
          <w:p w14:paraId="18E1E8D1" w14:textId="1B4D1F35" w:rsidR="00EC2D42" w:rsidRPr="009A1CB4" w:rsidRDefault="00EC2D42" w:rsidP="00EC2D42">
            <w:pPr>
              <w:spacing w:after="0" w:line="240" w:lineRule="auto"/>
              <w:jc w:val="right"/>
              <w:rPr>
                <w:rFonts w:ascii="Arial" w:hAnsi="Arial" w:cs="Arial"/>
                <w:b/>
                <w:bCs/>
                <w:sz w:val="16"/>
                <w:szCs w:val="16"/>
              </w:rPr>
            </w:pPr>
            <w:r>
              <w:rPr>
                <w:rFonts w:ascii="Arial" w:hAnsi="Arial" w:cs="Arial"/>
                <w:b/>
                <w:bCs/>
                <w:sz w:val="16"/>
                <w:szCs w:val="16"/>
              </w:rPr>
              <w:t xml:space="preserve">737,480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2DAD4C94" w14:textId="022EA596" w:rsidR="00EC2D42" w:rsidRPr="009A1CB4" w:rsidRDefault="00EC2D42" w:rsidP="00EC2D42">
            <w:pPr>
              <w:spacing w:after="0" w:line="240" w:lineRule="auto"/>
              <w:jc w:val="right"/>
              <w:rPr>
                <w:rFonts w:ascii="Arial" w:hAnsi="Arial" w:cs="Arial"/>
                <w:b/>
                <w:bCs/>
                <w:sz w:val="16"/>
                <w:szCs w:val="16"/>
              </w:rPr>
            </w:pPr>
            <w:r>
              <w:rPr>
                <w:rFonts w:ascii="Arial" w:hAnsi="Arial" w:cs="Arial"/>
                <w:b/>
                <w:bCs/>
                <w:sz w:val="16"/>
                <w:szCs w:val="16"/>
              </w:rPr>
              <w:t xml:space="preserve">744,988 </w:t>
            </w:r>
          </w:p>
        </w:tc>
      </w:tr>
    </w:tbl>
    <w:p w14:paraId="2ADDD0F3" w14:textId="59A537D7" w:rsidR="00B91F3E" w:rsidRPr="00622490" w:rsidRDefault="00B91F3E" w:rsidP="00AD2EFF">
      <w:pPr>
        <w:pStyle w:val="ListParagraph"/>
        <w:numPr>
          <w:ilvl w:val="0"/>
          <w:numId w:val="51"/>
        </w:numPr>
        <w:spacing w:before="60" w:after="0" w:line="240" w:lineRule="auto"/>
        <w:ind w:left="426" w:hanging="284"/>
        <w:rPr>
          <w:rFonts w:ascii="Arial" w:hAnsi="Arial" w:cs="Arial"/>
          <w:sz w:val="16"/>
          <w:szCs w:val="16"/>
        </w:rPr>
      </w:pPr>
      <w:r w:rsidRPr="00622490">
        <w:rPr>
          <w:rFonts w:ascii="Arial" w:hAnsi="Arial" w:cs="Arial"/>
          <w:sz w:val="16"/>
          <w:szCs w:val="16"/>
        </w:rPr>
        <w:t xml:space="preserve">Relates to appropriation for corporate entities provided through the </w:t>
      </w:r>
      <w:r w:rsidR="003C4CC6">
        <w:rPr>
          <w:rFonts w:ascii="Arial" w:hAnsi="Arial" w:cs="Arial"/>
          <w:sz w:val="16"/>
          <w:szCs w:val="16"/>
        </w:rPr>
        <w:t>Department</w:t>
      </w:r>
      <w:r w:rsidRPr="00622490">
        <w:rPr>
          <w:rFonts w:ascii="Arial" w:hAnsi="Arial" w:cs="Arial"/>
          <w:sz w:val="16"/>
          <w:szCs w:val="16"/>
        </w:rPr>
        <w:t>.</w:t>
      </w:r>
    </w:p>
    <w:p w14:paraId="1AA5C489" w14:textId="77777777" w:rsidR="00B91F3E" w:rsidRPr="00622490" w:rsidRDefault="00B91F3E" w:rsidP="00B91F3E">
      <w:pPr>
        <w:spacing w:after="0" w:line="240" w:lineRule="auto"/>
        <w:rPr>
          <w:rFonts w:ascii="Arial" w:hAnsi="Arial" w:cs="Arial"/>
          <w:sz w:val="16"/>
          <w:szCs w:val="16"/>
        </w:rPr>
      </w:pPr>
    </w:p>
    <w:p w14:paraId="64716F78" w14:textId="77777777" w:rsidR="00B91F3E" w:rsidRPr="00F71634" w:rsidRDefault="00B91F3E" w:rsidP="00B91F3E">
      <w:pPr>
        <w:pStyle w:val="TableHeading"/>
      </w:pPr>
      <w:r>
        <w:rPr>
          <w:highlight w:val="yellow"/>
          <w:lang w:val="en-US"/>
        </w:rPr>
        <w:br w:type="page"/>
      </w:r>
      <w:r>
        <w:lastRenderedPageBreak/>
        <w:t>Table 2.6</w:t>
      </w:r>
      <w:r w:rsidRPr="00F71634">
        <w:t xml:space="preserve">.3: Performance </w:t>
      </w:r>
      <w:r>
        <w:rPr>
          <w:lang w:val="en-AU"/>
        </w:rPr>
        <w:t>measure</w:t>
      </w:r>
      <w:r w:rsidRPr="00F71634">
        <w:t xml:space="preserve"> for Outcome </w:t>
      </w:r>
      <w:r>
        <w:rPr>
          <w:lang w:val="en-GB"/>
        </w:rPr>
        <w:t>6</w:t>
      </w:r>
    </w:p>
    <w:p w14:paraId="6ECE352B" w14:textId="77777777" w:rsidR="00B91F3E" w:rsidRDefault="00B91F3E" w:rsidP="00B91F3E">
      <w:pPr>
        <w:jc w:val="left"/>
      </w:pPr>
      <w:r w:rsidRPr="001B2F81">
        <w:t>Table 2.</w:t>
      </w:r>
      <w:r>
        <w:t>6</w:t>
      </w:r>
      <w:r w:rsidRPr="001B2F81">
        <w:t>.</w:t>
      </w:r>
      <w:r>
        <w:t>3</w:t>
      </w:r>
      <w:r w:rsidRPr="001B2F81">
        <w:t xml:space="preserve"> details the performance measures for each program associated with Outcome</w:t>
      </w:r>
      <w:r>
        <w:t> 6</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835"/>
      </w:tblGrid>
      <w:tr w:rsidR="000940F7" w:rsidRPr="00F4063B" w14:paraId="7B4C6836" w14:textId="77777777" w:rsidTr="00F77694">
        <w:trPr>
          <w:trHeight w:val="569"/>
        </w:trPr>
        <w:tc>
          <w:tcPr>
            <w:tcW w:w="7513" w:type="dxa"/>
            <w:gridSpan w:val="3"/>
            <w:shd w:val="clear" w:color="auto" w:fill="F2F2F2"/>
          </w:tcPr>
          <w:p w14:paraId="1CD6E643" w14:textId="77777777" w:rsidR="000940F7" w:rsidRPr="00F4063B" w:rsidRDefault="000940F7" w:rsidP="00F77694">
            <w:pPr>
              <w:pStyle w:val="TableColumnHeadingLeft"/>
            </w:pPr>
            <w:r w:rsidRPr="00C616FA">
              <w:rPr>
                <w:rStyle w:val="TableHeadingChar"/>
                <w:b/>
              </w:rPr>
              <w:t xml:space="preserve">Outcome </w:t>
            </w:r>
            <w:r w:rsidRPr="00C616FA">
              <w:rPr>
                <w:rStyle w:val="TableHeadingChar"/>
                <w:b/>
                <w:lang w:val="en-GB"/>
              </w:rPr>
              <w:t>6</w:t>
            </w:r>
            <w:r w:rsidRPr="00F4063B">
              <w:t xml:space="preserve"> </w:t>
            </w:r>
            <w:r w:rsidRPr="00F4063B">
              <w:rPr>
                <w:b w:val="0"/>
              </w:rPr>
              <w:t xml:space="preserve">– </w:t>
            </w:r>
            <w:r w:rsidRPr="00F4063B">
              <w:rPr>
                <w:rFonts w:eastAsia="Calibri" w:cs="Arial"/>
                <w:b w:val="0"/>
                <w:lang w:eastAsia="en-US"/>
              </w:rPr>
              <w:t>Participation in, and access to, Australia’s arts and culture through developing and supporting cultural expression</w:t>
            </w:r>
            <w:r w:rsidRPr="00F4063B">
              <w:rPr>
                <w:b w:val="0"/>
              </w:rPr>
              <w:t xml:space="preserve"> </w:t>
            </w:r>
          </w:p>
        </w:tc>
      </w:tr>
      <w:tr w:rsidR="000940F7" w:rsidRPr="00F4063B" w14:paraId="05269B68" w14:textId="77777777" w:rsidTr="00F77694">
        <w:trPr>
          <w:trHeight w:val="522"/>
        </w:trPr>
        <w:tc>
          <w:tcPr>
            <w:tcW w:w="7513" w:type="dxa"/>
            <w:gridSpan w:val="3"/>
            <w:shd w:val="clear" w:color="auto" w:fill="F2F2F2"/>
          </w:tcPr>
          <w:p w14:paraId="3D46D195" w14:textId="77777777" w:rsidR="000940F7" w:rsidRPr="00C616FA" w:rsidRDefault="000940F7" w:rsidP="00F77694">
            <w:pPr>
              <w:pStyle w:val="TableTextLeft"/>
              <w:rPr>
                <w:rFonts w:eastAsia="Arial"/>
                <w:b/>
                <w:szCs w:val="18"/>
              </w:rPr>
            </w:pPr>
            <w:r w:rsidRPr="00C616FA">
              <w:rPr>
                <w:b/>
              </w:rPr>
              <w:t xml:space="preserve">Program 6.1 </w:t>
            </w:r>
            <w:r w:rsidRPr="00C616FA">
              <w:rPr>
                <w:b/>
                <w:szCs w:val="18"/>
              </w:rPr>
              <w:t xml:space="preserve">– </w:t>
            </w:r>
            <w:r w:rsidRPr="00C616FA">
              <w:rPr>
                <w:rFonts w:eastAsia="Calibri" w:cs="Arial"/>
                <w:b/>
                <w:szCs w:val="18"/>
                <w:lang w:eastAsia="en-US"/>
              </w:rPr>
              <w:t>Arts and Cultural Development</w:t>
            </w:r>
            <w:r w:rsidRPr="00C616FA">
              <w:rPr>
                <w:rFonts w:eastAsia="Arial"/>
                <w:b/>
                <w:szCs w:val="18"/>
              </w:rPr>
              <w:t xml:space="preserve"> </w:t>
            </w:r>
          </w:p>
          <w:p w14:paraId="60E3259B" w14:textId="77777777" w:rsidR="000940F7" w:rsidRPr="00F4063B" w:rsidRDefault="000940F7" w:rsidP="00F77694">
            <w:pPr>
              <w:pStyle w:val="TableTextLeft"/>
            </w:pPr>
            <w:r w:rsidRPr="00F4063B">
              <w:t>To provide an environment in which all Australians can access and benefit from creative experiences and culture, supporting inclusiveness and growth in Australia’s creative sector, and protecting and promoting Australian content and culture.</w:t>
            </w:r>
          </w:p>
        </w:tc>
      </w:tr>
      <w:tr w:rsidR="000940F7" w:rsidRPr="00F4063B" w14:paraId="1044C067" w14:textId="77777777" w:rsidTr="00F77694">
        <w:trPr>
          <w:trHeight w:val="694"/>
        </w:trPr>
        <w:tc>
          <w:tcPr>
            <w:tcW w:w="1560" w:type="dxa"/>
            <w:tcBorders>
              <w:bottom w:val="double" w:sz="4" w:space="0" w:color="auto"/>
            </w:tcBorders>
          </w:tcPr>
          <w:p w14:paraId="35248E11" w14:textId="77777777" w:rsidR="000940F7" w:rsidRPr="00F4063B" w:rsidRDefault="000940F7" w:rsidP="00F77694">
            <w:pPr>
              <w:tabs>
                <w:tab w:val="left" w:pos="709"/>
              </w:tabs>
              <w:spacing w:before="60" w:after="60"/>
              <w:rPr>
                <w:rFonts w:ascii="Arial" w:hAnsi="Arial" w:cs="Arial"/>
                <w:b/>
                <w:sz w:val="16"/>
                <w:szCs w:val="16"/>
              </w:rPr>
            </w:pPr>
            <w:r w:rsidRPr="00F4063B">
              <w:rPr>
                <w:rFonts w:ascii="Arial" w:eastAsia="Calibri" w:hAnsi="Arial" w:cs="Arial"/>
                <w:b/>
                <w:sz w:val="16"/>
                <w:szCs w:val="16"/>
                <w:lang w:eastAsia="en-US"/>
              </w:rPr>
              <w:t>Key Activities</w:t>
            </w:r>
            <w:r w:rsidRPr="00CE7F37">
              <w:rPr>
                <w:rFonts w:ascii="Arial" w:eastAsia="Calibri" w:hAnsi="Arial" w:cs="Arial"/>
                <w:b/>
                <w:sz w:val="16"/>
                <w:szCs w:val="16"/>
                <w:vertAlign w:val="superscript"/>
                <w:lang w:eastAsia="en-US"/>
              </w:rPr>
              <w:t>(a)</w:t>
            </w:r>
            <w:r>
              <w:rPr>
                <w:rFonts w:ascii="Arial" w:eastAsia="Calibri" w:hAnsi="Arial" w:cs="Arial"/>
                <w:b/>
                <w:sz w:val="16"/>
                <w:szCs w:val="16"/>
                <w:lang w:eastAsia="en-US"/>
              </w:rPr>
              <w:t xml:space="preserve"> </w:t>
            </w:r>
          </w:p>
        </w:tc>
        <w:tc>
          <w:tcPr>
            <w:tcW w:w="5953" w:type="dxa"/>
            <w:gridSpan w:val="2"/>
            <w:tcBorders>
              <w:bottom w:val="double" w:sz="4" w:space="0" w:color="auto"/>
            </w:tcBorders>
          </w:tcPr>
          <w:p w14:paraId="566AFF3C" w14:textId="77777777" w:rsidR="000940F7" w:rsidRPr="00F4063B" w:rsidRDefault="000940F7" w:rsidP="000940F7">
            <w:pPr>
              <w:numPr>
                <w:ilvl w:val="0"/>
                <w:numId w:val="39"/>
              </w:numPr>
              <w:spacing w:before="60" w:after="60" w:line="240" w:lineRule="auto"/>
              <w:ind w:left="179" w:hanging="218"/>
              <w:jc w:val="left"/>
              <w:rPr>
                <w:rFonts w:ascii="Arial" w:hAnsi="Arial" w:cs="Arial"/>
                <w:sz w:val="16"/>
                <w:szCs w:val="16"/>
              </w:rPr>
            </w:pPr>
            <w:r w:rsidRPr="00F4063B">
              <w:rPr>
                <w:rFonts w:ascii="Arial" w:hAnsi="Arial" w:cs="Arial"/>
                <w:sz w:val="16"/>
                <w:szCs w:val="16"/>
              </w:rPr>
              <w:t xml:space="preserve">Deliver policy and programs that support the cultural and creative sectors and </w:t>
            </w:r>
            <w:r w:rsidRPr="00B40374">
              <w:rPr>
                <w:rFonts w:ascii="Arial" w:eastAsia="Calibri" w:hAnsi="Arial" w:cs="Arial"/>
                <w:sz w:val="16"/>
                <w:szCs w:val="16"/>
                <w:lang w:eastAsia="en-US"/>
              </w:rPr>
              <w:t>enable</w:t>
            </w:r>
            <w:r w:rsidRPr="00F4063B">
              <w:rPr>
                <w:rFonts w:ascii="Arial" w:hAnsi="Arial" w:cs="Arial"/>
                <w:sz w:val="16"/>
                <w:szCs w:val="16"/>
              </w:rPr>
              <w:t xml:space="preserve"> all Australians to access and participate in cultural and creative activities </w:t>
            </w:r>
          </w:p>
          <w:p w14:paraId="61CE9190" w14:textId="77777777" w:rsidR="000940F7" w:rsidRPr="00F4063B" w:rsidRDefault="000940F7" w:rsidP="000940F7">
            <w:pPr>
              <w:numPr>
                <w:ilvl w:val="0"/>
                <w:numId w:val="39"/>
              </w:numPr>
              <w:spacing w:before="60" w:after="60" w:line="240" w:lineRule="auto"/>
              <w:ind w:left="179" w:hanging="218"/>
              <w:jc w:val="left"/>
              <w:rPr>
                <w:rFonts w:ascii="Arial" w:hAnsi="Arial" w:cs="Arial"/>
                <w:sz w:val="16"/>
                <w:szCs w:val="16"/>
              </w:rPr>
            </w:pPr>
            <w:r w:rsidRPr="00B40374">
              <w:rPr>
                <w:rFonts w:ascii="Arial" w:eastAsia="Calibri" w:hAnsi="Arial" w:cs="Arial"/>
                <w:sz w:val="16"/>
                <w:szCs w:val="16"/>
                <w:lang w:eastAsia="en-US"/>
              </w:rPr>
              <w:t>Deliver</w:t>
            </w:r>
            <w:r w:rsidRPr="00F4063B">
              <w:rPr>
                <w:rFonts w:ascii="Arial" w:hAnsi="Arial" w:cs="Arial"/>
                <w:sz w:val="16"/>
                <w:szCs w:val="16"/>
              </w:rPr>
              <w:t xml:space="preserve"> policies and programs to support Australian cultural heritage, including Indigenous cultural heritage, arts, languages and repatriation</w:t>
            </w:r>
          </w:p>
          <w:p w14:paraId="4CB32950" w14:textId="5B24B123" w:rsidR="000940F7" w:rsidRPr="00F4063B" w:rsidRDefault="000940F7" w:rsidP="000940F7">
            <w:pPr>
              <w:numPr>
                <w:ilvl w:val="0"/>
                <w:numId w:val="39"/>
              </w:numPr>
              <w:spacing w:before="60" w:after="60" w:line="240" w:lineRule="auto"/>
              <w:ind w:left="179" w:hanging="218"/>
              <w:jc w:val="left"/>
              <w:rPr>
                <w:rFonts w:ascii="Arial" w:hAnsi="Arial" w:cs="Arial"/>
                <w:i/>
                <w:sz w:val="16"/>
                <w:szCs w:val="16"/>
              </w:rPr>
            </w:pPr>
            <w:r w:rsidRPr="00B40374">
              <w:rPr>
                <w:rFonts w:ascii="Arial" w:eastAsia="Calibri" w:hAnsi="Arial" w:cs="Arial"/>
                <w:sz w:val="16"/>
                <w:szCs w:val="16"/>
                <w:lang w:eastAsia="en-US"/>
              </w:rPr>
              <w:t>Provide</w:t>
            </w:r>
            <w:r w:rsidRPr="00F4063B">
              <w:rPr>
                <w:rFonts w:ascii="Arial" w:eastAsia="Calibri" w:hAnsi="Arial" w:cs="Arial"/>
                <w:sz w:val="16"/>
                <w:szCs w:val="16"/>
                <w:lang w:eastAsia="en-US"/>
              </w:rPr>
              <w:t xml:space="preserve"> policy advice and program delivery on the news and media industry</w:t>
            </w:r>
            <w:r w:rsidR="004F6389">
              <w:rPr>
                <w:rFonts w:ascii="Arial" w:eastAsia="Calibri" w:hAnsi="Arial" w:cs="Arial"/>
                <w:sz w:val="16"/>
                <w:szCs w:val="16"/>
                <w:lang w:eastAsia="en-US"/>
              </w:rPr>
              <w:t xml:space="preserve"> </w:t>
            </w:r>
            <w:r w:rsidRPr="00CE7F37">
              <w:rPr>
                <w:rFonts w:ascii="Arial" w:eastAsia="Calibri" w:hAnsi="Arial" w:cs="Arial"/>
                <w:sz w:val="16"/>
                <w:szCs w:val="16"/>
                <w:vertAlign w:val="superscript"/>
                <w:lang w:eastAsia="en-US"/>
              </w:rPr>
              <w:t>(b)</w:t>
            </w:r>
          </w:p>
        </w:tc>
      </w:tr>
      <w:tr w:rsidR="000940F7" w:rsidRPr="00F4063B" w14:paraId="361E216E" w14:textId="77777777" w:rsidTr="00F77694">
        <w:trPr>
          <w:trHeight w:val="258"/>
        </w:trPr>
        <w:tc>
          <w:tcPr>
            <w:tcW w:w="1560" w:type="dxa"/>
            <w:tcBorders>
              <w:top w:val="double" w:sz="4" w:space="0" w:color="auto"/>
              <w:bottom w:val="single" w:sz="4" w:space="0" w:color="auto"/>
              <w:right w:val="single" w:sz="4" w:space="0" w:color="auto"/>
            </w:tcBorders>
          </w:tcPr>
          <w:p w14:paraId="3895D6D5" w14:textId="77777777" w:rsidR="000940F7" w:rsidRPr="00F4063B" w:rsidRDefault="000940F7" w:rsidP="00F77694">
            <w:pPr>
              <w:pStyle w:val="TableTextBase"/>
              <w:rPr>
                <w:b/>
                <w:sz w:val="16"/>
                <w:szCs w:val="16"/>
              </w:rPr>
            </w:pPr>
            <w:r w:rsidRPr="00F4063B">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75F71AF" w14:textId="77777777" w:rsidR="000940F7" w:rsidRPr="00F4063B" w:rsidRDefault="000940F7" w:rsidP="00F77694">
            <w:pPr>
              <w:pStyle w:val="TableTextBase"/>
              <w:rPr>
                <w:rFonts w:cs="Arial"/>
                <w:b/>
                <w:sz w:val="16"/>
                <w:szCs w:val="16"/>
              </w:rPr>
            </w:pPr>
            <w:r w:rsidRPr="00F4063B">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53992B47" w14:textId="77777777" w:rsidR="000940F7" w:rsidRPr="00F4063B" w:rsidRDefault="000940F7" w:rsidP="00F77694">
            <w:pPr>
              <w:pStyle w:val="TableTextBase"/>
              <w:rPr>
                <w:rFonts w:cs="Arial"/>
                <w:b/>
                <w:sz w:val="16"/>
                <w:szCs w:val="16"/>
              </w:rPr>
            </w:pPr>
            <w:r w:rsidRPr="00F4063B">
              <w:rPr>
                <w:rFonts w:cs="Arial"/>
                <w:b/>
                <w:sz w:val="16"/>
                <w:szCs w:val="16"/>
              </w:rPr>
              <w:t>Expected Performance Results</w:t>
            </w:r>
          </w:p>
        </w:tc>
      </w:tr>
      <w:tr w:rsidR="000940F7" w:rsidRPr="00F4063B" w14:paraId="0BFB3993" w14:textId="77777777" w:rsidTr="00F77694">
        <w:trPr>
          <w:cantSplit/>
          <w:trHeight w:val="642"/>
        </w:trPr>
        <w:tc>
          <w:tcPr>
            <w:tcW w:w="1560" w:type="dxa"/>
            <w:vMerge w:val="restart"/>
            <w:tcBorders>
              <w:top w:val="nil"/>
              <w:right w:val="single" w:sz="4" w:space="0" w:color="auto"/>
            </w:tcBorders>
          </w:tcPr>
          <w:p w14:paraId="3CF53C3F" w14:textId="77777777" w:rsidR="000940F7" w:rsidRPr="00F4063B" w:rsidRDefault="000940F7" w:rsidP="00F77694">
            <w:pPr>
              <w:pStyle w:val="TableTextBase"/>
              <w:rPr>
                <w:sz w:val="16"/>
                <w:szCs w:val="16"/>
              </w:rPr>
            </w:pPr>
            <w:r w:rsidRPr="00F4063B">
              <w:rPr>
                <w:sz w:val="16"/>
                <w:szCs w:val="16"/>
              </w:rPr>
              <w:t xml:space="preserve">Current year </w:t>
            </w:r>
          </w:p>
          <w:p w14:paraId="27151B13" w14:textId="77777777" w:rsidR="000940F7" w:rsidRPr="00F4063B" w:rsidRDefault="000940F7" w:rsidP="00F77694">
            <w:pPr>
              <w:pStyle w:val="TableTextBase"/>
              <w:rPr>
                <w:sz w:val="16"/>
                <w:szCs w:val="16"/>
              </w:rPr>
            </w:pPr>
            <w:r>
              <w:rPr>
                <w:sz w:val="16"/>
                <w:szCs w:val="16"/>
              </w:rPr>
              <w:t>2021–</w:t>
            </w:r>
            <w:r w:rsidRPr="00F4063B">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6FBC67BD" w14:textId="77777777" w:rsidR="000940F7" w:rsidRPr="00F4063B" w:rsidRDefault="000940F7" w:rsidP="00F77694">
            <w:pPr>
              <w:pStyle w:val="TableTextBase"/>
              <w:rPr>
                <w:sz w:val="16"/>
                <w:szCs w:val="16"/>
              </w:rPr>
            </w:pPr>
            <w:r w:rsidRPr="00F4063B">
              <w:rPr>
                <w:rFonts w:eastAsia="Calibri" w:cs="Arial"/>
                <w:sz w:val="16"/>
                <w:szCs w:val="16"/>
                <w:lang w:eastAsia="en-US"/>
              </w:rPr>
              <w:t>Progress against the National Arts and Disability Strategy (Strategy)</w:t>
            </w:r>
          </w:p>
        </w:tc>
        <w:tc>
          <w:tcPr>
            <w:tcW w:w="2835" w:type="dxa"/>
            <w:tcBorders>
              <w:top w:val="single" w:sz="4" w:space="0" w:color="auto"/>
              <w:left w:val="single" w:sz="4" w:space="0" w:color="auto"/>
              <w:bottom w:val="single" w:sz="4" w:space="0" w:color="auto"/>
            </w:tcBorders>
          </w:tcPr>
          <w:p w14:paraId="29E4B493"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Strategy is renewed in 2021–22 and the arts and disability resource hub is maintained</w:t>
            </w:r>
          </w:p>
          <w:p w14:paraId="45F02911"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Target expected to be partially met</w:t>
            </w:r>
          </w:p>
          <w:p w14:paraId="29645DD3"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Development of the Associated Plan was delayed by the renewal of Australia’s Disability Strategy, which was interrupted by COVID-19</w:t>
            </w:r>
          </w:p>
          <w:p w14:paraId="0A7029AB" w14:textId="77777777" w:rsidR="000940F7" w:rsidRPr="00F4063B" w:rsidRDefault="000940F7" w:rsidP="00F77694">
            <w:pPr>
              <w:pStyle w:val="TableTextBase"/>
              <w:rPr>
                <w:sz w:val="16"/>
                <w:szCs w:val="16"/>
              </w:rPr>
            </w:pPr>
            <w:r w:rsidRPr="00F4063B">
              <w:rPr>
                <w:rFonts w:eastAsia="Calibri" w:cs="Arial"/>
                <w:sz w:val="16"/>
                <w:szCs w:val="16"/>
                <w:lang w:eastAsia="en-US"/>
              </w:rPr>
              <w:t>The resource hub is expected to be updated by June 2022 following a review of content (underway) and expected procurement processes</w:t>
            </w:r>
          </w:p>
        </w:tc>
      </w:tr>
      <w:tr w:rsidR="000940F7" w:rsidRPr="00F4063B" w14:paraId="08E2A133" w14:textId="77777777" w:rsidTr="00F77694">
        <w:trPr>
          <w:cantSplit/>
          <w:trHeight w:val="642"/>
        </w:trPr>
        <w:tc>
          <w:tcPr>
            <w:tcW w:w="1560" w:type="dxa"/>
            <w:vMerge/>
            <w:tcBorders>
              <w:bottom w:val="nil"/>
              <w:right w:val="single" w:sz="4" w:space="0" w:color="auto"/>
            </w:tcBorders>
          </w:tcPr>
          <w:p w14:paraId="3FDC7593"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7975296" w14:textId="77777777" w:rsidR="000940F7" w:rsidRPr="00F4063B" w:rsidRDefault="000940F7" w:rsidP="00F77694">
            <w:pPr>
              <w:pStyle w:val="TableTextBase"/>
              <w:rPr>
                <w:sz w:val="16"/>
                <w:szCs w:val="16"/>
              </w:rPr>
            </w:pPr>
            <w:r w:rsidRPr="00F4063B">
              <w:rPr>
                <w:rFonts w:eastAsia="Calibri" w:cs="Arial"/>
                <w:sz w:val="16"/>
                <w:szCs w:val="16"/>
                <w:lang w:eastAsia="en-US"/>
              </w:rPr>
              <w:t>Number of students enrolled in courses at national performing arts training organisations</w:t>
            </w:r>
          </w:p>
        </w:tc>
        <w:tc>
          <w:tcPr>
            <w:tcW w:w="2835" w:type="dxa"/>
            <w:tcBorders>
              <w:top w:val="single" w:sz="4" w:space="0" w:color="auto"/>
              <w:left w:val="single" w:sz="4" w:space="0" w:color="auto"/>
              <w:bottom w:val="single" w:sz="4" w:space="0" w:color="auto"/>
            </w:tcBorders>
          </w:tcPr>
          <w:p w14:paraId="5347F139"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≥800 students in 2021</w:t>
            </w:r>
          </w:p>
          <w:p w14:paraId="09FE0269"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Target met</w:t>
            </w:r>
          </w:p>
          <w:p w14:paraId="70AF1C6E" w14:textId="77777777" w:rsidR="000940F7" w:rsidRPr="00F4063B" w:rsidRDefault="000940F7" w:rsidP="00F77694">
            <w:pPr>
              <w:pStyle w:val="TableTextBase"/>
              <w:rPr>
                <w:sz w:val="16"/>
                <w:szCs w:val="16"/>
              </w:rPr>
            </w:pPr>
            <w:r w:rsidRPr="00F4063B">
              <w:rPr>
                <w:rFonts w:eastAsia="Calibri" w:cs="Arial"/>
                <w:sz w:val="16"/>
                <w:szCs w:val="16"/>
                <w:lang w:eastAsia="en-US"/>
              </w:rPr>
              <w:t>Over 1000 students enrolled at National Performing Arts Training Organisations in 2021</w:t>
            </w:r>
          </w:p>
        </w:tc>
      </w:tr>
      <w:tr w:rsidR="000940F7" w:rsidRPr="00F4063B" w14:paraId="1DE4B01C" w14:textId="77777777" w:rsidTr="00F77694">
        <w:trPr>
          <w:cantSplit/>
          <w:trHeight w:val="642"/>
        </w:trPr>
        <w:tc>
          <w:tcPr>
            <w:tcW w:w="1560" w:type="dxa"/>
            <w:tcBorders>
              <w:top w:val="nil"/>
              <w:bottom w:val="single" w:sz="4" w:space="0" w:color="auto"/>
              <w:right w:val="single" w:sz="4" w:space="0" w:color="auto"/>
            </w:tcBorders>
          </w:tcPr>
          <w:p w14:paraId="794ED11B"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FB8DFC2" w14:textId="77777777" w:rsidR="000940F7" w:rsidRPr="00F4063B" w:rsidRDefault="000940F7" w:rsidP="00F77694">
            <w:pPr>
              <w:pStyle w:val="TableTextBase"/>
              <w:rPr>
                <w:sz w:val="16"/>
                <w:szCs w:val="16"/>
              </w:rPr>
            </w:pPr>
            <w:r w:rsidRPr="00F4063B">
              <w:rPr>
                <w:rFonts w:eastAsia="Calibri" w:cs="Arial"/>
                <w:sz w:val="16"/>
                <w:szCs w:val="16"/>
                <w:lang w:eastAsia="en-US"/>
              </w:rPr>
              <w:t>Number of claimants (including authors, illustrators and publishers) to receive funding through lending rights</w:t>
            </w:r>
          </w:p>
        </w:tc>
        <w:tc>
          <w:tcPr>
            <w:tcW w:w="2835" w:type="dxa"/>
            <w:tcBorders>
              <w:top w:val="single" w:sz="4" w:space="0" w:color="auto"/>
              <w:left w:val="single" w:sz="4" w:space="0" w:color="auto"/>
              <w:bottom w:val="single" w:sz="4" w:space="0" w:color="auto"/>
            </w:tcBorders>
          </w:tcPr>
          <w:p w14:paraId="526D057E"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≥16,000 claimants in the financial year</w:t>
            </w:r>
          </w:p>
          <w:p w14:paraId="3B78A1D1"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bl>
    <w:p w14:paraId="2A4E1812" w14:textId="77777777" w:rsidR="00B91F3E" w:rsidRDefault="00B91F3E" w:rsidP="00B91F3E">
      <w:pPr>
        <w:spacing w:after="160" w:line="259" w:lineRule="auto"/>
        <w:jc w:val="left"/>
      </w:pPr>
      <w: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835"/>
      </w:tblGrid>
      <w:tr w:rsidR="000940F7" w:rsidRPr="00F4063B" w14:paraId="0F22A155" w14:textId="77777777" w:rsidTr="00F77694">
        <w:trPr>
          <w:trHeight w:val="258"/>
          <w:tblHeader/>
        </w:trPr>
        <w:tc>
          <w:tcPr>
            <w:tcW w:w="1560" w:type="dxa"/>
            <w:tcBorders>
              <w:top w:val="double" w:sz="4" w:space="0" w:color="auto"/>
              <w:bottom w:val="single" w:sz="4" w:space="0" w:color="auto"/>
              <w:right w:val="single" w:sz="4" w:space="0" w:color="auto"/>
            </w:tcBorders>
          </w:tcPr>
          <w:p w14:paraId="42252EA8" w14:textId="77777777" w:rsidR="000940F7" w:rsidRPr="00F4063B" w:rsidRDefault="000940F7" w:rsidP="00F77694">
            <w:pPr>
              <w:pStyle w:val="TableTextBase"/>
              <w:rPr>
                <w:b/>
                <w:sz w:val="16"/>
                <w:szCs w:val="16"/>
              </w:rPr>
            </w:pPr>
            <w:r w:rsidRPr="00F4063B">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77BC796" w14:textId="77777777" w:rsidR="000940F7" w:rsidRPr="00F4063B" w:rsidRDefault="000940F7" w:rsidP="00F77694">
            <w:pPr>
              <w:pStyle w:val="TableTextBase"/>
              <w:rPr>
                <w:rFonts w:cs="Arial"/>
                <w:b/>
                <w:sz w:val="16"/>
                <w:szCs w:val="16"/>
              </w:rPr>
            </w:pPr>
            <w:r w:rsidRPr="00F4063B">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52A49630" w14:textId="77777777" w:rsidR="000940F7" w:rsidRPr="00F4063B" w:rsidRDefault="000940F7" w:rsidP="00F77694">
            <w:pPr>
              <w:pStyle w:val="TableTextBase"/>
              <w:rPr>
                <w:rFonts w:cs="Arial"/>
                <w:b/>
                <w:sz w:val="16"/>
                <w:szCs w:val="16"/>
              </w:rPr>
            </w:pPr>
            <w:r w:rsidRPr="00F4063B">
              <w:rPr>
                <w:rFonts w:cs="Arial"/>
                <w:b/>
                <w:sz w:val="16"/>
                <w:szCs w:val="16"/>
              </w:rPr>
              <w:t>Expected Performance Results</w:t>
            </w:r>
          </w:p>
        </w:tc>
      </w:tr>
      <w:tr w:rsidR="000940F7" w:rsidRPr="00F4063B" w14:paraId="3468C8D2" w14:textId="77777777" w:rsidTr="00F77694">
        <w:trPr>
          <w:cantSplit/>
          <w:trHeight w:val="642"/>
        </w:trPr>
        <w:tc>
          <w:tcPr>
            <w:tcW w:w="1560" w:type="dxa"/>
            <w:tcBorders>
              <w:top w:val="single" w:sz="4" w:space="0" w:color="auto"/>
              <w:bottom w:val="nil"/>
              <w:right w:val="single" w:sz="4" w:space="0" w:color="auto"/>
            </w:tcBorders>
          </w:tcPr>
          <w:p w14:paraId="3E93F0F4" w14:textId="77777777" w:rsidR="000940F7" w:rsidRPr="00F4063B" w:rsidRDefault="000940F7" w:rsidP="00F77694">
            <w:pPr>
              <w:pStyle w:val="TableTextBase"/>
              <w:rPr>
                <w:sz w:val="16"/>
                <w:szCs w:val="16"/>
              </w:rPr>
            </w:pPr>
            <w:r w:rsidRPr="00F4063B">
              <w:rPr>
                <w:sz w:val="16"/>
                <w:szCs w:val="16"/>
              </w:rPr>
              <w:t xml:space="preserve">Current year </w:t>
            </w:r>
          </w:p>
          <w:p w14:paraId="4C8F8786" w14:textId="77777777" w:rsidR="000940F7" w:rsidRPr="00F4063B" w:rsidRDefault="000940F7" w:rsidP="00F77694">
            <w:pPr>
              <w:pStyle w:val="TableTextBase"/>
              <w:rPr>
                <w:sz w:val="16"/>
                <w:szCs w:val="16"/>
              </w:rPr>
            </w:pPr>
            <w:r>
              <w:rPr>
                <w:sz w:val="16"/>
                <w:szCs w:val="16"/>
              </w:rPr>
              <w:t>2021–</w:t>
            </w:r>
            <w:r w:rsidRPr="00F4063B">
              <w:rPr>
                <w:sz w:val="16"/>
                <w:szCs w:val="16"/>
              </w:rPr>
              <w:t>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394EF313"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Artbank operations, number of: </w:t>
            </w:r>
          </w:p>
          <w:p w14:paraId="24D0001D" w14:textId="77777777" w:rsidR="000940F7" w:rsidRPr="00F4063B" w:rsidRDefault="000940F7" w:rsidP="000940F7">
            <w:pPr>
              <w:numPr>
                <w:ilvl w:val="0"/>
                <w:numId w:val="30"/>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artworks purchased </w:t>
            </w:r>
          </w:p>
          <w:p w14:paraId="5AA114B4" w14:textId="77777777" w:rsidR="000940F7" w:rsidRPr="00F4063B" w:rsidRDefault="000940F7" w:rsidP="000940F7">
            <w:pPr>
              <w:numPr>
                <w:ilvl w:val="0"/>
                <w:numId w:val="30"/>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artworks leased</w:t>
            </w:r>
          </w:p>
          <w:p w14:paraId="70A411C2" w14:textId="77777777" w:rsidR="000940F7" w:rsidRPr="00F4063B" w:rsidRDefault="000940F7" w:rsidP="000940F7">
            <w:pPr>
              <w:numPr>
                <w:ilvl w:val="0"/>
                <w:numId w:val="30"/>
              </w:numPr>
              <w:spacing w:before="60" w:after="60" w:line="240" w:lineRule="auto"/>
              <w:ind w:left="284" w:hanging="284"/>
              <w:contextualSpacing/>
              <w:jc w:val="left"/>
              <w:rPr>
                <w:rFonts w:ascii="Arial" w:hAnsi="Arial" w:cs="Arial"/>
                <w:sz w:val="16"/>
                <w:szCs w:val="16"/>
              </w:rPr>
            </w:pPr>
            <w:r w:rsidRPr="00F4063B">
              <w:rPr>
                <w:rFonts w:ascii="Arial" w:eastAsia="Calibri" w:hAnsi="Arial" w:cs="Arial"/>
                <w:sz w:val="16"/>
                <w:szCs w:val="16"/>
                <w:lang w:eastAsia="en-US"/>
              </w:rPr>
              <w:t>clients</w:t>
            </w:r>
            <w:r>
              <w:rPr>
                <w:rFonts w:ascii="Arial" w:eastAsia="Calibri" w:hAnsi="Arial" w:cs="Arial"/>
                <w:sz w:val="16"/>
                <w:szCs w:val="16"/>
                <w:lang w:eastAsia="en-US"/>
              </w:rPr>
              <w:t xml:space="preserve"> </w:t>
            </w:r>
            <w:r w:rsidRPr="00CE7F37">
              <w:rPr>
                <w:rFonts w:ascii="Arial" w:eastAsia="Calibri" w:hAnsi="Arial" w:cs="Arial"/>
                <w:sz w:val="16"/>
                <w:szCs w:val="16"/>
                <w:vertAlign w:val="superscript"/>
                <w:lang w:eastAsia="en-US"/>
              </w:rPr>
              <w:t>(c)</w:t>
            </w:r>
          </w:p>
        </w:tc>
        <w:tc>
          <w:tcPr>
            <w:tcW w:w="2835" w:type="dxa"/>
            <w:tcBorders>
              <w:top w:val="single" w:sz="4" w:space="0" w:color="auto"/>
              <w:left w:val="single" w:sz="4" w:space="0" w:color="auto"/>
              <w:bottom w:val="single" w:sz="4" w:space="0" w:color="auto"/>
            </w:tcBorders>
          </w:tcPr>
          <w:p w14:paraId="614A2D8B"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Purchasing decisions must be responsive to market conditions; and client interactions are market driven</w:t>
            </w:r>
          </w:p>
          <w:p w14:paraId="75C22740"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It is not appropriate to set targets for Artbank as operations are responsive to market conditions and both its policy objectives are subject to market fluctuations</w:t>
            </w:r>
          </w:p>
        </w:tc>
      </w:tr>
      <w:tr w:rsidR="000940F7" w:rsidRPr="00F4063B" w14:paraId="3C3429B5" w14:textId="77777777" w:rsidTr="00F77694">
        <w:trPr>
          <w:cantSplit/>
          <w:trHeight w:val="642"/>
        </w:trPr>
        <w:tc>
          <w:tcPr>
            <w:tcW w:w="1560" w:type="dxa"/>
            <w:tcBorders>
              <w:top w:val="nil"/>
              <w:bottom w:val="nil"/>
              <w:right w:val="single" w:sz="4" w:space="0" w:color="auto"/>
            </w:tcBorders>
          </w:tcPr>
          <w:p w14:paraId="32ED02D2"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99206A8"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Number of art centres and art fairs funded through the Indigenous Visual Arts Industry Support (IVAIS) program</w:t>
            </w:r>
          </w:p>
        </w:tc>
        <w:tc>
          <w:tcPr>
            <w:tcW w:w="2835" w:type="dxa"/>
            <w:tcBorders>
              <w:top w:val="single" w:sz="4" w:space="0" w:color="auto"/>
              <w:left w:val="single" w:sz="4" w:space="0" w:color="auto"/>
              <w:bottom w:val="single" w:sz="4" w:space="0" w:color="auto"/>
            </w:tcBorders>
          </w:tcPr>
          <w:p w14:paraId="0216491B"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≥80 centres in the financial year</w:t>
            </w:r>
          </w:p>
          <w:p w14:paraId="2BFF3DC4"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Target met</w:t>
            </w:r>
          </w:p>
          <w:p w14:paraId="79F16171"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 xml:space="preserve">At 31 December 2021, 84 art centres have been funded through the IVAIS program </w:t>
            </w:r>
          </w:p>
        </w:tc>
      </w:tr>
      <w:tr w:rsidR="000940F7" w:rsidRPr="00F4063B" w14:paraId="2A49E840" w14:textId="77777777" w:rsidTr="00F77694">
        <w:trPr>
          <w:cantSplit/>
          <w:trHeight w:val="642"/>
        </w:trPr>
        <w:tc>
          <w:tcPr>
            <w:tcW w:w="1560" w:type="dxa"/>
            <w:tcBorders>
              <w:top w:val="nil"/>
              <w:bottom w:val="nil"/>
              <w:right w:val="single" w:sz="4" w:space="0" w:color="auto"/>
            </w:tcBorders>
          </w:tcPr>
          <w:p w14:paraId="3830CFC2"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39F187F" w14:textId="77777777" w:rsidR="000940F7" w:rsidRPr="00F4063B" w:rsidRDefault="000940F7" w:rsidP="00F77694">
            <w:pPr>
              <w:pStyle w:val="TableTextBase"/>
              <w:rPr>
                <w:sz w:val="16"/>
                <w:szCs w:val="16"/>
              </w:rPr>
            </w:pPr>
            <w:r w:rsidRPr="00F4063B">
              <w:rPr>
                <w:rFonts w:eastAsia="Calibri" w:cs="Arial"/>
                <w:sz w:val="16"/>
                <w:szCs w:val="16"/>
                <w:lang w:eastAsia="en-US"/>
              </w:rPr>
              <w:t>Number of Indigenous language centres funded under the Indigenous Languages and Arts (ILA) program</w:t>
            </w:r>
          </w:p>
        </w:tc>
        <w:tc>
          <w:tcPr>
            <w:tcW w:w="2835" w:type="dxa"/>
            <w:tcBorders>
              <w:top w:val="single" w:sz="4" w:space="0" w:color="auto"/>
              <w:left w:val="single" w:sz="4" w:space="0" w:color="auto"/>
              <w:bottom w:val="single" w:sz="4" w:space="0" w:color="auto"/>
            </w:tcBorders>
          </w:tcPr>
          <w:p w14:paraId="497BA3DE"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≥20 centres in the financial year</w:t>
            </w:r>
          </w:p>
          <w:p w14:paraId="274A4C6C"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Target met</w:t>
            </w:r>
          </w:p>
          <w:p w14:paraId="68629DBA"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The ILA program provided annual operational funding in 2021–22 to 20 Indigenous language centres</w:t>
            </w:r>
          </w:p>
        </w:tc>
      </w:tr>
      <w:tr w:rsidR="000940F7" w:rsidRPr="00F4063B" w14:paraId="369E1695" w14:textId="77777777" w:rsidTr="00F77694">
        <w:trPr>
          <w:cantSplit/>
          <w:trHeight w:val="642"/>
        </w:trPr>
        <w:tc>
          <w:tcPr>
            <w:tcW w:w="1560" w:type="dxa"/>
            <w:tcBorders>
              <w:top w:val="nil"/>
              <w:bottom w:val="nil"/>
              <w:right w:val="single" w:sz="4" w:space="0" w:color="auto"/>
            </w:tcBorders>
          </w:tcPr>
          <w:p w14:paraId="705FA681"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083991A"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Impact of our activities to support, preserve and celebrate Indigenous languages, arts and culture, indicated through:</w:t>
            </w:r>
          </w:p>
          <w:p w14:paraId="73954632" w14:textId="77777777" w:rsidR="000940F7" w:rsidRPr="00F4063B" w:rsidRDefault="000940F7" w:rsidP="000940F7">
            <w:pPr>
              <w:numPr>
                <w:ilvl w:val="0"/>
                <w:numId w:val="32"/>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and strength of Aboriginal and Torres Strait Islander languages being spoken</w:t>
            </w:r>
          </w:p>
          <w:p w14:paraId="40B2DE81" w14:textId="77777777" w:rsidR="000940F7" w:rsidRPr="00F4063B" w:rsidRDefault="000940F7" w:rsidP="000940F7">
            <w:pPr>
              <w:numPr>
                <w:ilvl w:val="0"/>
                <w:numId w:val="32"/>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of Indigenous art centre workers employed and artists active with funded art centres</w:t>
            </w:r>
          </w:p>
        </w:tc>
        <w:tc>
          <w:tcPr>
            <w:tcW w:w="2835" w:type="dxa"/>
            <w:tcBorders>
              <w:top w:val="single" w:sz="4" w:space="0" w:color="auto"/>
              <w:left w:val="single" w:sz="4" w:space="0" w:color="auto"/>
              <w:bottom w:val="single" w:sz="4" w:space="0" w:color="auto"/>
            </w:tcBorders>
          </w:tcPr>
          <w:p w14:paraId="290EDBE6" w14:textId="77777777" w:rsidR="000940F7" w:rsidRPr="00F4063B" w:rsidRDefault="000940F7" w:rsidP="000940F7">
            <w:pPr>
              <w:numPr>
                <w:ilvl w:val="0"/>
                <w:numId w:val="36"/>
              </w:numPr>
              <w:spacing w:before="120" w:after="12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No target as new data is not expected for 2021–22. In 2021– 22, we are establishing a pilot program to capture data and evaluate the progress of activities delivered by ILA program grant recipients against the 10-year target for ‘Closing the Gap Target 16’ for Aboriginal and Torres Strait Islander languages</w:t>
            </w:r>
          </w:p>
          <w:p w14:paraId="3A16C2A6" w14:textId="77777777" w:rsidR="000940F7" w:rsidRPr="00F4063B" w:rsidRDefault="000940F7" w:rsidP="000940F7">
            <w:pPr>
              <w:numPr>
                <w:ilvl w:val="0"/>
                <w:numId w:val="36"/>
              </w:numPr>
              <w:spacing w:before="120" w:after="12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Reporting in 2021–22 shows ≥450 Indigenous art centre workers employed and ≥8000 artists engaged in report year</w:t>
            </w:r>
          </w:p>
          <w:p w14:paraId="163627B5"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F4063B" w14:paraId="0B5C2BD4" w14:textId="77777777" w:rsidTr="00F77694">
        <w:trPr>
          <w:cantSplit/>
          <w:trHeight w:val="642"/>
        </w:trPr>
        <w:tc>
          <w:tcPr>
            <w:tcW w:w="1560" w:type="dxa"/>
            <w:tcBorders>
              <w:top w:val="nil"/>
              <w:bottom w:val="single" w:sz="4" w:space="0" w:color="auto"/>
              <w:right w:val="single" w:sz="4" w:space="0" w:color="auto"/>
            </w:tcBorders>
          </w:tcPr>
          <w:p w14:paraId="69D52513"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0FC26AA"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Activities to support the repatriation of Aboriginal and Torres Strait Islander ancestral remains and secret sacred objects:</w:t>
            </w:r>
          </w:p>
          <w:p w14:paraId="54641CA7" w14:textId="77777777" w:rsidR="000940F7" w:rsidRPr="00F4063B" w:rsidRDefault="000940F7" w:rsidP="000940F7">
            <w:pPr>
              <w:numPr>
                <w:ilvl w:val="0"/>
                <w:numId w:val="31"/>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of new agreements to repatriate ancestral remains from overseas</w:t>
            </w:r>
          </w:p>
          <w:p w14:paraId="1FAC04CB" w14:textId="77777777" w:rsidR="000940F7" w:rsidRPr="00F4063B" w:rsidRDefault="000940F7" w:rsidP="000940F7">
            <w:pPr>
              <w:numPr>
                <w:ilvl w:val="0"/>
                <w:numId w:val="31"/>
              </w:numPr>
              <w:spacing w:before="60" w:after="60" w:line="240" w:lineRule="auto"/>
              <w:ind w:left="284" w:hanging="284"/>
              <w:contextualSpacing/>
              <w:jc w:val="left"/>
              <w:rPr>
                <w:rFonts w:ascii="Arial" w:hAnsi="Arial" w:cs="Arial"/>
                <w:sz w:val="16"/>
                <w:szCs w:val="16"/>
              </w:rPr>
            </w:pPr>
            <w:r w:rsidRPr="00F4063B">
              <w:rPr>
                <w:rFonts w:ascii="Arial" w:eastAsia="Calibri" w:hAnsi="Arial" w:cs="Arial"/>
                <w:sz w:val="16"/>
                <w:szCs w:val="16"/>
                <w:lang w:eastAsia="en-US"/>
              </w:rPr>
              <w:t>number of ancestral remains and/or secret sacred objects repatriated to their community</w:t>
            </w:r>
          </w:p>
          <w:p w14:paraId="25409639" w14:textId="77777777" w:rsidR="000940F7" w:rsidRPr="00F4063B" w:rsidRDefault="000940F7" w:rsidP="00251746">
            <w:pPr>
              <w:numPr>
                <w:ilvl w:val="0"/>
                <w:numId w:val="31"/>
              </w:numPr>
              <w:spacing w:before="60" w:after="60" w:line="240" w:lineRule="auto"/>
              <w:ind w:left="284" w:hanging="284"/>
              <w:jc w:val="left"/>
              <w:rPr>
                <w:rFonts w:ascii="Arial" w:hAnsi="Arial" w:cs="Arial"/>
                <w:sz w:val="16"/>
                <w:szCs w:val="16"/>
              </w:rPr>
            </w:pPr>
            <w:r w:rsidRPr="00F4063B">
              <w:rPr>
                <w:rFonts w:ascii="Arial" w:eastAsia="Calibri" w:hAnsi="Arial" w:cs="Arial"/>
                <w:sz w:val="16"/>
                <w:szCs w:val="16"/>
                <w:lang w:eastAsia="en-US"/>
              </w:rPr>
              <w:t>number of ancestral remains repatriated to Australia with no known community</w:t>
            </w:r>
          </w:p>
        </w:tc>
        <w:tc>
          <w:tcPr>
            <w:tcW w:w="2835" w:type="dxa"/>
            <w:tcBorders>
              <w:top w:val="single" w:sz="4" w:space="0" w:color="auto"/>
              <w:left w:val="single" w:sz="4" w:space="0" w:color="auto"/>
              <w:bottom w:val="single" w:sz="4" w:space="0" w:color="auto"/>
            </w:tcBorders>
          </w:tcPr>
          <w:p w14:paraId="39CFBE35"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Activities are responsive to domestic and international negotiations</w:t>
            </w:r>
          </w:p>
          <w:p w14:paraId="71C0C540"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Results rely on data not yet published</w:t>
            </w:r>
          </w:p>
        </w:tc>
      </w:tr>
    </w:tbl>
    <w:p w14:paraId="439DD7A2" w14:textId="77777777" w:rsidR="00B91F3E" w:rsidRDefault="00B91F3E" w:rsidP="00B91F3E">
      <w:pPr>
        <w:spacing w:after="160" w:line="259" w:lineRule="auto"/>
        <w:jc w:val="left"/>
      </w:pPr>
      <w: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835"/>
      </w:tblGrid>
      <w:tr w:rsidR="000940F7" w:rsidRPr="00F4063B" w14:paraId="7A62A240" w14:textId="77777777" w:rsidTr="00F77694">
        <w:trPr>
          <w:trHeight w:val="258"/>
        </w:trPr>
        <w:tc>
          <w:tcPr>
            <w:tcW w:w="1560" w:type="dxa"/>
            <w:tcBorders>
              <w:top w:val="double" w:sz="4" w:space="0" w:color="auto"/>
              <w:bottom w:val="single" w:sz="4" w:space="0" w:color="auto"/>
              <w:right w:val="single" w:sz="4" w:space="0" w:color="auto"/>
            </w:tcBorders>
          </w:tcPr>
          <w:p w14:paraId="4838E330" w14:textId="77777777" w:rsidR="000940F7" w:rsidRPr="00F4063B" w:rsidRDefault="000940F7" w:rsidP="00F77694">
            <w:pPr>
              <w:pStyle w:val="TableTextBase"/>
              <w:rPr>
                <w:b/>
                <w:sz w:val="16"/>
                <w:szCs w:val="16"/>
              </w:rPr>
            </w:pPr>
            <w:r w:rsidRPr="00F4063B">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497072C4" w14:textId="77777777" w:rsidR="000940F7" w:rsidRPr="00F4063B" w:rsidRDefault="000940F7" w:rsidP="00F77694">
            <w:pPr>
              <w:pStyle w:val="TableTextBase"/>
              <w:rPr>
                <w:rFonts w:cs="Arial"/>
                <w:b/>
                <w:sz w:val="16"/>
                <w:szCs w:val="16"/>
              </w:rPr>
            </w:pPr>
            <w:r w:rsidRPr="00F4063B">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79EFAA3B" w14:textId="77777777" w:rsidR="000940F7" w:rsidRPr="00F4063B" w:rsidRDefault="000940F7" w:rsidP="00F77694">
            <w:pPr>
              <w:pStyle w:val="TableTextBase"/>
              <w:rPr>
                <w:rFonts w:cs="Arial"/>
                <w:b/>
                <w:sz w:val="16"/>
                <w:szCs w:val="16"/>
              </w:rPr>
            </w:pPr>
            <w:r w:rsidRPr="00F4063B">
              <w:rPr>
                <w:rFonts w:cs="Arial"/>
                <w:b/>
                <w:sz w:val="16"/>
                <w:szCs w:val="16"/>
              </w:rPr>
              <w:t>Expected Performance Results</w:t>
            </w:r>
          </w:p>
        </w:tc>
      </w:tr>
      <w:tr w:rsidR="000940F7" w:rsidRPr="00F4063B" w14:paraId="53B7281B" w14:textId="77777777" w:rsidTr="00F77694">
        <w:trPr>
          <w:cantSplit/>
          <w:trHeight w:val="642"/>
        </w:trPr>
        <w:tc>
          <w:tcPr>
            <w:tcW w:w="1560" w:type="dxa"/>
            <w:tcBorders>
              <w:top w:val="single" w:sz="4" w:space="0" w:color="auto"/>
              <w:bottom w:val="nil"/>
              <w:right w:val="single" w:sz="4" w:space="0" w:color="auto"/>
            </w:tcBorders>
          </w:tcPr>
          <w:p w14:paraId="34F7652A" w14:textId="77777777" w:rsidR="000940F7" w:rsidRPr="00F4063B" w:rsidRDefault="000940F7" w:rsidP="00F77694">
            <w:pPr>
              <w:pStyle w:val="TableTextBase"/>
              <w:rPr>
                <w:sz w:val="16"/>
                <w:szCs w:val="16"/>
              </w:rPr>
            </w:pPr>
            <w:r w:rsidRPr="00F4063B">
              <w:rPr>
                <w:sz w:val="16"/>
                <w:szCs w:val="16"/>
              </w:rPr>
              <w:t xml:space="preserve">Current year </w:t>
            </w:r>
          </w:p>
          <w:p w14:paraId="11F0D61A" w14:textId="77777777" w:rsidR="000940F7" w:rsidRPr="00F4063B" w:rsidRDefault="000940F7" w:rsidP="00F77694">
            <w:pPr>
              <w:pStyle w:val="TableTextBase"/>
              <w:rPr>
                <w:sz w:val="16"/>
                <w:szCs w:val="16"/>
              </w:rPr>
            </w:pPr>
            <w:r w:rsidRPr="00F4063B">
              <w:rPr>
                <w:sz w:val="16"/>
                <w:szCs w:val="16"/>
              </w:rPr>
              <w:t>2021</w:t>
            </w:r>
            <w:r>
              <w:rPr>
                <w:sz w:val="16"/>
                <w:szCs w:val="16"/>
              </w:rPr>
              <w:t>–</w:t>
            </w:r>
            <w:r w:rsidRPr="00F4063B">
              <w:rPr>
                <w:sz w:val="16"/>
                <w:szCs w:val="16"/>
              </w:rPr>
              <w:t>22 cont.</w:t>
            </w:r>
          </w:p>
        </w:tc>
        <w:tc>
          <w:tcPr>
            <w:tcW w:w="3118" w:type="dxa"/>
            <w:tcBorders>
              <w:top w:val="single" w:sz="4" w:space="0" w:color="auto"/>
              <w:left w:val="single" w:sz="4" w:space="0" w:color="auto"/>
              <w:bottom w:val="single" w:sz="4" w:space="0" w:color="auto"/>
              <w:right w:val="single" w:sz="4" w:space="0" w:color="auto"/>
            </w:tcBorders>
          </w:tcPr>
          <w:p w14:paraId="5F524EC1" w14:textId="77777777" w:rsidR="000940F7" w:rsidRPr="00F4063B" w:rsidRDefault="000940F7" w:rsidP="00F77694">
            <w:pPr>
              <w:pStyle w:val="TableTextBase"/>
              <w:rPr>
                <w:sz w:val="16"/>
                <w:szCs w:val="16"/>
              </w:rPr>
            </w:pPr>
            <w:r w:rsidRPr="00F4063B">
              <w:rPr>
                <w:rFonts w:eastAsia="Calibri" w:cs="Arial"/>
                <w:sz w:val="16"/>
                <w:szCs w:val="16"/>
                <w:lang w:eastAsia="en-US"/>
              </w:rPr>
              <w:t xml:space="preserve">Regulatory activities undertaken under the </w:t>
            </w:r>
            <w:r w:rsidRPr="00F4063B">
              <w:rPr>
                <w:rFonts w:eastAsia="Calibri" w:cs="Arial"/>
                <w:i/>
                <w:sz w:val="16"/>
                <w:szCs w:val="16"/>
                <w:lang w:eastAsia="en-US"/>
              </w:rPr>
              <w:t>Protection of Movable Cultural Heritage Act 1986</w:t>
            </w:r>
            <w:r w:rsidRPr="00670786">
              <w:rPr>
                <w:rFonts w:eastAsia="Calibri" w:cs="Arial"/>
                <w:sz w:val="16"/>
                <w:szCs w:val="16"/>
                <w:vertAlign w:val="superscript"/>
                <w:lang w:eastAsia="en-US"/>
              </w:rPr>
              <w:t>(c)</w:t>
            </w:r>
          </w:p>
        </w:tc>
        <w:tc>
          <w:tcPr>
            <w:tcW w:w="2835" w:type="dxa"/>
            <w:tcBorders>
              <w:top w:val="single" w:sz="4" w:space="0" w:color="auto"/>
              <w:left w:val="single" w:sz="4" w:space="0" w:color="auto"/>
              <w:bottom w:val="single" w:sz="4" w:space="0" w:color="auto"/>
            </w:tcBorders>
          </w:tcPr>
          <w:p w14:paraId="73A41B80"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Actions taken are in response to applications for permits received and objects identified for investigation</w:t>
            </w:r>
          </w:p>
          <w:p w14:paraId="79BFF216"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Results rely on data not yet published</w:t>
            </w:r>
          </w:p>
        </w:tc>
      </w:tr>
      <w:tr w:rsidR="000940F7" w:rsidRPr="00F4063B" w14:paraId="4D498E40" w14:textId="77777777" w:rsidTr="00F77694">
        <w:trPr>
          <w:cantSplit/>
          <w:trHeight w:val="642"/>
        </w:trPr>
        <w:tc>
          <w:tcPr>
            <w:tcW w:w="1560" w:type="dxa"/>
            <w:tcBorders>
              <w:top w:val="nil"/>
              <w:bottom w:val="nil"/>
              <w:right w:val="single" w:sz="4" w:space="0" w:color="auto"/>
            </w:tcBorders>
          </w:tcPr>
          <w:p w14:paraId="348A863A"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4C208F" w14:textId="77777777" w:rsidR="000940F7" w:rsidRPr="00F4063B" w:rsidRDefault="000940F7" w:rsidP="00F77694">
            <w:pPr>
              <w:pStyle w:val="TableTextBase"/>
              <w:rPr>
                <w:sz w:val="16"/>
                <w:szCs w:val="16"/>
              </w:rPr>
            </w:pPr>
            <w:r w:rsidRPr="00F4063B">
              <w:rPr>
                <w:rFonts w:eastAsia="Calibri" w:cs="Arial"/>
                <w:sz w:val="16"/>
                <w:szCs w:val="16"/>
                <w:lang w:eastAsia="en-US"/>
              </w:rPr>
              <w:t>Contribution of cultural and creative sectors to the economy</w:t>
            </w:r>
            <w:r w:rsidRPr="00670786">
              <w:rPr>
                <w:rFonts w:eastAsia="Calibri" w:cs="Arial"/>
                <w:sz w:val="16"/>
                <w:szCs w:val="16"/>
                <w:vertAlign w:val="superscript"/>
                <w:lang w:eastAsia="en-US"/>
              </w:rPr>
              <w:t>(c)</w:t>
            </w:r>
          </w:p>
        </w:tc>
        <w:tc>
          <w:tcPr>
            <w:tcW w:w="2835" w:type="dxa"/>
            <w:tcBorders>
              <w:top w:val="single" w:sz="4" w:space="0" w:color="auto"/>
              <w:left w:val="single" w:sz="4" w:space="0" w:color="auto"/>
              <w:bottom w:val="single" w:sz="4" w:space="0" w:color="auto"/>
            </w:tcBorders>
          </w:tcPr>
          <w:p w14:paraId="2089DE59"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No target set for 2021–22 as results likely to be heavily impacted by COVID-19</w:t>
            </w:r>
          </w:p>
          <w:p w14:paraId="6423D259"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Results rely on data not yet published</w:t>
            </w:r>
          </w:p>
        </w:tc>
      </w:tr>
      <w:tr w:rsidR="000940F7" w:rsidRPr="00F4063B" w14:paraId="61106ABD" w14:textId="77777777" w:rsidTr="00F77694">
        <w:trPr>
          <w:cantSplit/>
          <w:trHeight w:val="642"/>
        </w:trPr>
        <w:tc>
          <w:tcPr>
            <w:tcW w:w="1560" w:type="dxa"/>
            <w:tcBorders>
              <w:top w:val="nil"/>
              <w:bottom w:val="nil"/>
              <w:right w:val="single" w:sz="4" w:space="0" w:color="auto"/>
            </w:tcBorders>
          </w:tcPr>
          <w:p w14:paraId="19E31900"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842D01F" w14:textId="77777777" w:rsidR="000940F7" w:rsidRPr="00F4063B" w:rsidRDefault="000940F7" w:rsidP="00F77694">
            <w:pPr>
              <w:pStyle w:val="TableTextBase"/>
              <w:rPr>
                <w:sz w:val="16"/>
                <w:szCs w:val="16"/>
              </w:rPr>
            </w:pPr>
            <w:r w:rsidRPr="00F4063B">
              <w:rPr>
                <w:rFonts w:eastAsia="Calibri" w:cs="Arial"/>
                <w:sz w:val="16"/>
                <w:szCs w:val="16"/>
                <w:lang w:eastAsia="en-US"/>
              </w:rPr>
              <w:t>Donations and bequests reported by arts and culture charities</w:t>
            </w:r>
            <w:r w:rsidRPr="00670786">
              <w:rPr>
                <w:rFonts w:eastAsia="Calibri" w:cs="Arial"/>
                <w:sz w:val="16"/>
                <w:szCs w:val="16"/>
                <w:vertAlign w:val="superscript"/>
                <w:lang w:eastAsia="en-US"/>
              </w:rPr>
              <w:t>(c)</w:t>
            </w:r>
          </w:p>
        </w:tc>
        <w:tc>
          <w:tcPr>
            <w:tcW w:w="2835" w:type="dxa"/>
            <w:tcBorders>
              <w:top w:val="single" w:sz="4" w:space="0" w:color="auto"/>
              <w:left w:val="single" w:sz="4" w:space="0" w:color="auto"/>
              <w:bottom w:val="single" w:sz="4" w:space="0" w:color="auto"/>
            </w:tcBorders>
          </w:tcPr>
          <w:p w14:paraId="7636F4CC"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No target set for 2021–22 as results likely to be heavily impacted by COVID-19</w:t>
            </w:r>
          </w:p>
          <w:p w14:paraId="355A3783"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Results rely on data not yet published</w:t>
            </w:r>
          </w:p>
        </w:tc>
      </w:tr>
      <w:tr w:rsidR="000940F7" w:rsidRPr="00F4063B" w14:paraId="389B5931" w14:textId="77777777" w:rsidTr="00F77694">
        <w:trPr>
          <w:cantSplit/>
          <w:trHeight w:val="642"/>
        </w:trPr>
        <w:tc>
          <w:tcPr>
            <w:tcW w:w="1560" w:type="dxa"/>
            <w:tcBorders>
              <w:top w:val="nil"/>
              <w:bottom w:val="nil"/>
              <w:right w:val="single" w:sz="4" w:space="0" w:color="auto"/>
            </w:tcBorders>
          </w:tcPr>
          <w:p w14:paraId="4DDBBFCF"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25A384D"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Impact of our arts and cultural activities to support regional access and participation, indicated through:</w:t>
            </w:r>
          </w:p>
          <w:p w14:paraId="5A2E9C1E" w14:textId="77777777" w:rsidR="000940F7" w:rsidRPr="00F4063B" w:rsidRDefault="000940F7" w:rsidP="000940F7">
            <w:pPr>
              <w:numPr>
                <w:ilvl w:val="0"/>
                <w:numId w:val="33"/>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projected audience numbers/ participants involved with funded projects</w:t>
            </w:r>
          </w:p>
          <w:p w14:paraId="492802F1" w14:textId="77777777" w:rsidR="000940F7" w:rsidRPr="00F4063B" w:rsidRDefault="000940F7" w:rsidP="000940F7">
            <w:pPr>
              <w:numPr>
                <w:ilvl w:val="0"/>
                <w:numId w:val="33"/>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of regional/remote locations that hosted funded projects</w:t>
            </w:r>
          </w:p>
        </w:tc>
        <w:tc>
          <w:tcPr>
            <w:tcW w:w="2835" w:type="dxa"/>
            <w:tcBorders>
              <w:top w:val="single" w:sz="4" w:space="0" w:color="auto"/>
              <w:left w:val="single" w:sz="4" w:space="0" w:color="auto"/>
              <w:bottom w:val="single" w:sz="4" w:space="0" w:color="auto"/>
            </w:tcBorders>
          </w:tcPr>
          <w:p w14:paraId="1F05B271"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2021–22 data will establish a benchmark; however, it is not envisaged that the number will increase each year, given the variety of projects funded and that the programs are demand driven</w:t>
            </w:r>
          </w:p>
        </w:tc>
      </w:tr>
      <w:tr w:rsidR="000940F7" w:rsidRPr="00F4063B" w14:paraId="4B1C5566" w14:textId="77777777" w:rsidTr="00F77694">
        <w:trPr>
          <w:cantSplit/>
          <w:trHeight w:val="642"/>
        </w:trPr>
        <w:tc>
          <w:tcPr>
            <w:tcW w:w="1560" w:type="dxa"/>
            <w:vMerge w:val="restart"/>
            <w:tcBorders>
              <w:top w:val="nil"/>
              <w:right w:val="single" w:sz="4" w:space="0" w:color="auto"/>
            </w:tcBorders>
          </w:tcPr>
          <w:p w14:paraId="3AB972DC"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7783564"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Engagement with the national cultural institutions, indicated through:</w:t>
            </w:r>
          </w:p>
          <w:p w14:paraId="59A52481" w14:textId="77777777" w:rsidR="000940F7" w:rsidRPr="00F4063B" w:rsidRDefault="000940F7" w:rsidP="000940F7">
            <w:pPr>
              <w:numPr>
                <w:ilvl w:val="0"/>
                <w:numId w:val="53"/>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of in-person visits to engage with national collecting institutions (including on and off-site visits)</w:t>
            </w:r>
          </w:p>
          <w:p w14:paraId="2F764759" w14:textId="77777777" w:rsidR="000940F7" w:rsidRPr="00F4063B" w:rsidRDefault="000940F7" w:rsidP="000940F7">
            <w:pPr>
              <w:numPr>
                <w:ilvl w:val="0"/>
                <w:numId w:val="53"/>
              </w:numPr>
              <w:spacing w:before="60" w:after="60" w:line="240" w:lineRule="auto"/>
              <w:ind w:left="284" w:hanging="284"/>
              <w:contextualSpacing/>
              <w:jc w:val="left"/>
              <w:rPr>
                <w:rFonts w:ascii="Arial" w:eastAsia="Calibri"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 of objects in national collections accessible online</w:t>
            </w:r>
          </w:p>
          <w:p w14:paraId="679BFD0B" w14:textId="77777777" w:rsidR="000940F7" w:rsidRPr="00F4063B" w:rsidRDefault="000940F7" w:rsidP="000940F7">
            <w:pPr>
              <w:numPr>
                <w:ilvl w:val="0"/>
                <w:numId w:val="53"/>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of web visits to the national cultural institutions</w:t>
            </w:r>
            <w:r w:rsidRPr="00670786">
              <w:rPr>
                <w:rFonts w:ascii="Arial" w:eastAsia="Calibri" w:hAnsi="Arial" w:cs="Arial"/>
                <w:sz w:val="16"/>
                <w:szCs w:val="16"/>
                <w:vertAlign w:val="superscript"/>
                <w:lang w:eastAsia="en-US"/>
              </w:rPr>
              <w:t>(c)</w:t>
            </w:r>
          </w:p>
        </w:tc>
        <w:tc>
          <w:tcPr>
            <w:tcW w:w="2835" w:type="dxa"/>
            <w:tcBorders>
              <w:top w:val="single" w:sz="4" w:space="0" w:color="auto"/>
              <w:left w:val="single" w:sz="4" w:space="0" w:color="auto"/>
              <w:bottom w:val="single" w:sz="4" w:space="0" w:color="auto"/>
            </w:tcBorders>
          </w:tcPr>
          <w:p w14:paraId="6647756C"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Maintain or increase 2021–22 annual engagement results compared to annual averages since 2012–13 (when the engagement indicators were established). In person visits will be impacted by COVID-19</w:t>
            </w:r>
          </w:p>
          <w:p w14:paraId="5E7095B0" w14:textId="77777777" w:rsidR="000940F7" w:rsidRPr="00F4063B" w:rsidRDefault="000940F7" w:rsidP="000940F7">
            <w:pPr>
              <w:numPr>
                <w:ilvl w:val="0"/>
                <w:numId w:val="35"/>
              </w:numPr>
              <w:spacing w:before="120" w:after="12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Results rely on data not yet published</w:t>
            </w:r>
          </w:p>
          <w:p w14:paraId="202B5888" w14:textId="77777777" w:rsidR="000940F7" w:rsidRPr="00F4063B" w:rsidRDefault="000940F7" w:rsidP="000940F7">
            <w:pPr>
              <w:numPr>
                <w:ilvl w:val="0"/>
                <w:numId w:val="35"/>
              </w:numPr>
              <w:spacing w:before="120" w:after="12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Target expected to be met</w:t>
            </w:r>
          </w:p>
          <w:p w14:paraId="39F019D8" w14:textId="77777777" w:rsidR="000940F7" w:rsidRPr="00F4063B" w:rsidRDefault="000940F7" w:rsidP="00807D41">
            <w:pPr>
              <w:numPr>
                <w:ilvl w:val="0"/>
                <w:numId w:val="35"/>
              </w:numPr>
              <w:spacing w:before="120" w:after="60" w:line="240" w:lineRule="auto"/>
              <w:ind w:left="284" w:hanging="284"/>
              <w:jc w:val="left"/>
              <w:rPr>
                <w:rFonts w:ascii="Arial" w:eastAsia="Calibri" w:hAnsi="Arial" w:cs="Arial"/>
                <w:sz w:val="16"/>
                <w:szCs w:val="16"/>
                <w:lang w:eastAsia="en-US"/>
              </w:rPr>
            </w:pPr>
            <w:r w:rsidRPr="00F4063B">
              <w:rPr>
                <w:rFonts w:ascii="Arial" w:eastAsia="Calibri" w:hAnsi="Arial" w:cs="Arial"/>
                <w:sz w:val="16"/>
                <w:szCs w:val="16"/>
                <w:lang w:eastAsia="en-US"/>
              </w:rPr>
              <w:t>Results rely on data not yet published</w:t>
            </w:r>
          </w:p>
        </w:tc>
      </w:tr>
      <w:tr w:rsidR="000940F7" w:rsidRPr="00F4063B" w14:paraId="383AD995" w14:textId="77777777" w:rsidTr="00F77694">
        <w:trPr>
          <w:cantSplit/>
          <w:trHeight w:val="642"/>
        </w:trPr>
        <w:tc>
          <w:tcPr>
            <w:tcW w:w="1560" w:type="dxa"/>
            <w:vMerge/>
            <w:tcBorders>
              <w:bottom w:val="nil"/>
              <w:right w:val="single" w:sz="4" w:space="0" w:color="auto"/>
            </w:tcBorders>
          </w:tcPr>
          <w:p w14:paraId="19051368"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2C63F17"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Effectiveness of the current Australian content framework, indicated through:</w:t>
            </w:r>
          </w:p>
          <w:p w14:paraId="3A6F4C0B" w14:textId="77777777" w:rsidR="000940F7" w:rsidRPr="00F4063B" w:rsidRDefault="000940F7" w:rsidP="000940F7">
            <w:pPr>
              <w:numPr>
                <w:ilvl w:val="0"/>
                <w:numId w:val="41"/>
              </w:numPr>
              <w:spacing w:after="60" w:line="240" w:lineRule="auto"/>
              <w:ind w:left="284" w:hanging="284"/>
              <w:jc w:val="left"/>
              <w:rPr>
                <w:rFonts w:ascii="Arial" w:eastAsia="Calibri" w:hAnsi="Arial" w:cs="Arial"/>
                <w:sz w:val="16"/>
                <w:szCs w:val="16"/>
                <w:lang w:eastAsia="en-US"/>
              </w:rPr>
            </w:pPr>
            <w:r w:rsidRPr="00F4063B">
              <w:rPr>
                <w:rFonts w:ascii="Arial" w:eastAsia="Calibri" w:hAnsi="Arial" w:cs="Arial"/>
                <w:sz w:val="16"/>
                <w:szCs w:val="16"/>
                <w:lang w:eastAsia="en-US"/>
              </w:rPr>
              <w:t xml:space="preserve">Australian content quota compliance </w:t>
            </w:r>
          </w:p>
          <w:p w14:paraId="5AC5110B" w14:textId="77777777" w:rsidR="000940F7" w:rsidRPr="00F4063B" w:rsidRDefault="000940F7" w:rsidP="000940F7">
            <w:pPr>
              <w:numPr>
                <w:ilvl w:val="0"/>
                <w:numId w:val="41"/>
              </w:numPr>
              <w:spacing w:after="60" w:line="240" w:lineRule="auto"/>
              <w:ind w:left="284" w:hanging="284"/>
              <w:jc w:val="left"/>
              <w:rPr>
                <w:rFonts w:ascii="Arial" w:eastAsia="Calibri" w:hAnsi="Arial" w:cs="Arial"/>
                <w:sz w:val="16"/>
                <w:szCs w:val="16"/>
                <w:lang w:eastAsia="en-US"/>
              </w:rPr>
            </w:pPr>
            <w:r w:rsidRPr="00F4063B">
              <w:rPr>
                <w:rFonts w:ascii="Arial" w:eastAsia="Calibri" w:hAnsi="Arial" w:cs="Arial"/>
                <w:sz w:val="16"/>
                <w:szCs w:val="16"/>
                <w:lang w:eastAsia="en-US"/>
              </w:rPr>
              <w:t>the existence of public data on Australian content available on streaming video on demand services</w:t>
            </w:r>
          </w:p>
        </w:tc>
        <w:tc>
          <w:tcPr>
            <w:tcW w:w="2835" w:type="dxa"/>
            <w:tcBorders>
              <w:top w:val="single" w:sz="4" w:space="0" w:color="auto"/>
              <w:left w:val="single" w:sz="4" w:space="0" w:color="auto"/>
              <w:bottom w:val="single" w:sz="4" w:space="0" w:color="auto"/>
            </w:tcBorders>
          </w:tcPr>
          <w:p w14:paraId="552BC509"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Reporting in 2021–22 shows frameworks are effective</w:t>
            </w:r>
          </w:p>
          <w:p w14:paraId="0B32D5A5"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expected to be met</w:t>
            </w:r>
          </w:p>
        </w:tc>
      </w:tr>
      <w:tr w:rsidR="000940F7" w:rsidRPr="00F4063B" w14:paraId="2515C6BA" w14:textId="77777777" w:rsidTr="00F77694">
        <w:trPr>
          <w:cantSplit/>
          <w:trHeight w:val="642"/>
        </w:trPr>
        <w:tc>
          <w:tcPr>
            <w:tcW w:w="1560" w:type="dxa"/>
            <w:tcBorders>
              <w:top w:val="nil"/>
              <w:bottom w:val="single" w:sz="4" w:space="0" w:color="auto"/>
              <w:right w:val="single" w:sz="4" w:space="0" w:color="auto"/>
            </w:tcBorders>
          </w:tcPr>
          <w:p w14:paraId="44B9FD46"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E363F99"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Effectiveness of the current copyright framework, indicated through:</w:t>
            </w:r>
          </w:p>
          <w:p w14:paraId="723289E6" w14:textId="77777777" w:rsidR="000940F7" w:rsidRPr="00F4063B" w:rsidRDefault="000940F7" w:rsidP="000940F7">
            <w:pPr>
              <w:numPr>
                <w:ilvl w:val="0"/>
                <w:numId w:val="42"/>
              </w:numPr>
              <w:spacing w:before="60" w:after="60" w:line="240" w:lineRule="auto"/>
              <w:ind w:left="284" w:hanging="284"/>
              <w:jc w:val="left"/>
              <w:rPr>
                <w:rFonts w:ascii="Arial" w:eastAsia="Calibri" w:hAnsi="Arial" w:cs="Arial"/>
                <w:sz w:val="16"/>
                <w:szCs w:val="16"/>
                <w:lang w:eastAsia="en-US"/>
              </w:rPr>
            </w:pPr>
            <w:r w:rsidRPr="00F4063B">
              <w:rPr>
                <w:rFonts w:ascii="Arial" w:eastAsia="Calibri" w:hAnsi="Arial" w:cs="Arial"/>
                <w:sz w:val="16"/>
                <w:szCs w:val="16"/>
                <w:lang w:eastAsia="en-US"/>
              </w:rPr>
              <w:t>amount of copyright distributions paid to creators by the copyright collecting societies</w:t>
            </w:r>
          </w:p>
          <w:p w14:paraId="17E13B09" w14:textId="77777777" w:rsidR="000940F7" w:rsidRPr="00F4063B" w:rsidRDefault="000940F7" w:rsidP="000940F7">
            <w:pPr>
              <w:numPr>
                <w:ilvl w:val="0"/>
                <w:numId w:val="42"/>
              </w:numPr>
              <w:spacing w:before="60" w:after="60" w:line="240" w:lineRule="auto"/>
              <w:ind w:left="284" w:hanging="284"/>
              <w:jc w:val="left"/>
              <w:rPr>
                <w:rFonts w:ascii="Arial" w:eastAsia="Calibri" w:hAnsi="Arial" w:cs="Arial"/>
                <w:sz w:val="16"/>
                <w:szCs w:val="16"/>
                <w:lang w:eastAsia="en-US"/>
              </w:rPr>
            </w:pPr>
            <w:r w:rsidRPr="00F4063B">
              <w:rPr>
                <w:rFonts w:ascii="Arial" w:eastAsia="Calibri" w:hAnsi="Arial" w:cs="Arial"/>
                <w:sz w:val="16"/>
                <w:szCs w:val="16"/>
                <w:lang w:eastAsia="en-US"/>
              </w:rPr>
              <w:t>annual Consumer Survey on Online Copyright Infringement</w:t>
            </w:r>
          </w:p>
        </w:tc>
        <w:tc>
          <w:tcPr>
            <w:tcW w:w="2835" w:type="dxa"/>
            <w:tcBorders>
              <w:top w:val="single" w:sz="4" w:space="0" w:color="auto"/>
              <w:left w:val="single" w:sz="4" w:space="0" w:color="auto"/>
              <w:bottom w:val="single" w:sz="4" w:space="0" w:color="auto"/>
            </w:tcBorders>
          </w:tcPr>
          <w:p w14:paraId="36A29320"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2021–22 shows frameworks are effective</w:t>
            </w:r>
          </w:p>
          <w:p w14:paraId="15F2F7B6"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Target met</w:t>
            </w:r>
          </w:p>
        </w:tc>
      </w:tr>
    </w:tbl>
    <w:p w14:paraId="569973EC" w14:textId="77777777" w:rsidR="00B91F3E" w:rsidRPr="00670786" w:rsidRDefault="00B91F3E" w:rsidP="00B91F3E">
      <w:pPr>
        <w:spacing w:before="60" w:after="0" w:line="240" w:lineRule="auto"/>
        <w:rPr>
          <w:rFonts w:ascii="Arial" w:hAnsi="Arial" w:cs="Arial"/>
          <w:sz w:val="16"/>
          <w:szCs w:val="16"/>
        </w:rPr>
      </w:pPr>
    </w:p>
    <w:p w14:paraId="5800FEDF" w14:textId="77777777" w:rsidR="00B91F3E" w:rsidRDefault="00B91F3E" w:rsidP="00B91F3E">
      <w:pPr>
        <w:spacing w:after="160" w:line="259" w:lineRule="auto"/>
        <w:jc w:val="left"/>
        <w:rPr>
          <w:rFonts w:ascii="Arial" w:eastAsia="Calibri" w:hAnsi="Arial" w:cs="Arial"/>
          <w:sz w:val="16"/>
          <w:szCs w:val="16"/>
          <w:lang w:val="en-US" w:eastAsia="en-US"/>
        </w:rPr>
      </w:pPr>
      <w:r>
        <w:rPr>
          <w:rFonts w:ascii="Arial" w:hAnsi="Arial" w:cs="Arial"/>
          <w:sz w:val="16"/>
          <w:szCs w:val="16"/>
        </w:rP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835"/>
      </w:tblGrid>
      <w:tr w:rsidR="000940F7" w:rsidRPr="00F4063B" w14:paraId="4CA62962" w14:textId="77777777" w:rsidTr="00F77694">
        <w:trPr>
          <w:trHeight w:val="258"/>
        </w:trPr>
        <w:tc>
          <w:tcPr>
            <w:tcW w:w="1560" w:type="dxa"/>
            <w:tcBorders>
              <w:top w:val="double" w:sz="4" w:space="0" w:color="auto"/>
              <w:bottom w:val="single" w:sz="4" w:space="0" w:color="auto"/>
              <w:right w:val="single" w:sz="4" w:space="0" w:color="auto"/>
            </w:tcBorders>
          </w:tcPr>
          <w:p w14:paraId="02C2D1D0" w14:textId="77777777" w:rsidR="000940F7" w:rsidRPr="00F4063B" w:rsidRDefault="000940F7" w:rsidP="00F77694">
            <w:pPr>
              <w:pStyle w:val="TableTextBase"/>
              <w:rPr>
                <w:b/>
                <w:sz w:val="16"/>
                <w:szCs w:val="16"/>
              </w:rPr>
            </w:pPr>
            <w:r w:rsidRPr="00F4063B">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06F7D9FB" w14:textId="77777777" w:rsidR="000940F7" w:rsidRPr="00F4063B" w:rsidRDefault="000940F7" w:rsidP="00F77694">
            <w:pPr>
              <w:pStyle w:val="TableTextBase"/>
              <w:rPr>
                <w:rFonts w:cs="Arial"/>
                <w:b/>
                <w:sz w:val="16"/>
                <w:szCs w:val="16"/>
              </w:rPr>
            </w:pPr>
            <w:r w:rsidRPr="00F4063B">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6D721540" w14:textId="77777777" w:rsidR="000940F7" w:rsidRPr="00F4063B" w:rsidRDefault="000940F7" w:rsidP="00F77694">
            <w:pPr>
              <w:pStyle w:val="TableTextBase"/>
              <w:rPr>
                <w:rFonts w:cs="Arial"/>
                <w:b/>
                <w:sz w:val="16"/>
                <w:szCs w:val="16"/>
              </w:rPr>
            </w:pPr>
            <w:r w:rsidRPr="00F4063B">
              <w:rPr>
                <w:rFonts w:cs="Arial"/>
                <w:b/>
                <w:sz w:val="16"/>
                <w:szCs w:val="16"/>
              </w:rPr>
              <w:t>Expected Performance Results</w:t>
            </w:r>
          </w:p>
        </w:tc>
      </w:tr>
      <w:tr w:rsidR="000940F7" w:rsidRPr="00F4063B" w14:paraId="5F57CFE5" w14:textId="77777777" w:rsidTr="00F77694">
        <w:trPr>
          <w:cantSplit/>
          <w:trHeight w:val="642"/>
        </w:trPr>
        <w:tc>
          <w:tcPr>
            <w:tcW w:w="1560" w:type="dxa"/>
            <w:tcBorders>
              <w:top w:val="single" w:sz="4" w:space="0" w:color="auto"/>
              <w:bottom w:val="single" w:sz="4" w:space="0" w:color="auto"/>
              <w:right w:val="single" w:sz="4" w:space="0" w:color="auto"/>
            </w:tcBorders>
          </w:tcPr>
          <w:p w14:paraId="1D8E69F3" w14:textId="77777777" w:rsidR="000940F7" w:rsidRPr="00F4063B" w:rsidRDefault="000940F7" w:rsidP="00F77694">
            <w:pPr>
              <w:pStyle w:val="TableTextBase"/>
              <w:rPr>
                <w:sz w:val="16"/>
                <w:szCs w:val="16"/>
              </w:rPr>
            </w:pPr>
            <w:r w:rsidRPr="00F4063B">
              <w:rPr>
                <w:sz w:val="16"/>
                <w:szCs w:val="16"/>
              </w:rPr>
              <w:t xml:space="preserve">Current year </w:t>
            </w:r>
          </w:p>
          <w:p w14:paraId="7B833E7B" w14:textId="77777777" w:rsidR="000940F7" w:rsidRPr="00F4063B" w:rsidRDefault="000940F7" w:rsidP="00F77694">
            <w:pPr>
              <w:pStyle w:val="TableTextBase"/>
              <w:rPr>
                <w:sz w:val="16"/>
                <w:szCs w:val="16"/>
              </w:rPr>
            </w:pPr>
            <w:r>
              <w:rPr>
                <w:sz w:val="16"/>
                <w:szCs w:val="16"/>
              </w:rPr>
              <w:t>2021–</w:t>
            </w:r>
            <w:r w:rsidRPr="00F4063B">
              <w:rPr>
                <w:sz w:val="16"/>
                <w:szCs w:val="16"/>
              </w:rPr>
              <w:t>22 cont.</w:t>
            </w:r>
          </w:p>
        </w:tc>
        <w:tc>
          <w:tcPr>
            <w:tcW w:w="3118" w:type="dxa"/>
            <w:tcBorders>
              <w:top w:val="single" w:sz="4" w:space="0" w:color="auto"/>
              <w:left w:val="single" w:sz="4" w:space="0" w:color="auto"/>
              <w:bottom w:val="single" w:sz="4" w:space="0" w:color="auto"/>
              <w:right w:val="single" w:sz="4" w:space="0" w:color="auto"/>
            </w:tcBorders>
          </w:tcPr>
          <w:p w14:paraId="7500DF27"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Number of decisions made and proportion within statutory timeframes by:</w:t>
            </w:r>
          </w:p>
          <w:p w14:paraId="3D7DDFB7" w14:textId="77777777" w:rsidR="000940F7" w:rsidRPr="00F4063B" w:rsidRDefault="000940F7" w:rsidP="000940F7">
            <w:pPr>
              <w:numPr>
                <w:ilvl w:val="0"/>
                <w:numId w:val="43"/>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Classification Board</w:t>
            </w:r>
          </w:p>
          <w:p w14:paraId="20FC55C3" w14:textId="77777777" w:rsidR="000940F7" w:rsidRPr="00F4063B" w:rsidRDefault="000940F7" w:rsidP="000940F7">
            <w:pPr>
              <w:numPr>
                <w:ilvl w:val="0"/>
                <w:numId w:val="43"/>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Classification Review Board</w:t>
            </w:r>
          </w:p>
        </w:tc>
        <w:tc>
          <w:tcPr>
            <w:tcW w:w="2835" w:type="dxa"/>
            <w:tcBorders>
              <w:top w:val="single" w:sz="4" w:space="0" w:color="auto"/>
              <w:left w:val="single" w:sz="4" w:space="0" w:color="auto"/>
              <w:bottom w:val="single" w:sz="4" w:space="0" w:color="auto"/>
            </w:tcBorders>
          </w:tcPr>
          <w:p w14:paraId="0B72CAFF"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Decision-making is based on industry demand</w:t>
            </w:r>
          </w:p>
          <w:p w14:paraId="4DE2521B"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Target expected to be met</w:t>
            </w:r>
          </w:p>
          <w:p w14:paraId="7E74BBDC"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It is expected that every decision of the Classification Board and Classification Review Board will be made within the specified statutory timeframe</w:t>
            </w:r>
          </w:p>
        </w:tc>
      </w:tr>
      <w:tr w:rsidR="000940F7" w:rsidRPr="00F4063B" w14:paraId="459D63A3" w14:textId="77777777" w:rsidTr="00F77694">
        <w:trPr>
          <w:trHeight w:val="258"/>
        </w:trPr>
        <w:tc>
          <w:tcPr>
            <w:tcW w:w="1560" w:type="dxa"/>
            <w:tcBorders>
              <w:top w:val="double" w:sz="4" w:space="0" w:color="auto"/>
              <w:bottom w:val="single" w:sz="4" w:space="0" w:color="auto"/>
              <w:right w:val="single" w:sz="4" w:space="0" w:color="auto"/>
            </w:tcBorders>
          </w:tcPr>
          <w:p w14:paraId="46CF7076" w14:textId="77777777" w:rsidR="000940F7" w:rsidRPr="00F4063B" w:rsidRDefault="000940F7" w:rsidP="00F77694">
            <w:pPr>
              <w:pStyle w:val="TableTextBase"/>
              <w:rPr>
                <w:b/>
                <w:sz w:val="16"/>
                <w:szCs w:val="16"/>
              </w:rPr>
            </w:pPr>
            <w:r w:rsidRPr="00F4063B">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1F1A4AC4" w14:textId="77777777" w:rsidR="000940F7" w:rsidRPr="00F4063B" w:rsidRDefault="000940F7" w:rsidP="00F77694">
            <w:pPr>
              <w:pStyle w:val="TableTextBase"/>
              <w:rPr>
                <w:rFonts w:cs="Arial"/>
                <w:b/>
                <w:sz w:val="16"/>
                <w:szCs w:val="16"/>
              </w:rPr>
            </w:pPr>
            <w:r w:rsidRPr="00F4063B">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4EB30A42" w14:textId="77777777" w:rsidR="000940F7" w:rsidRPr="00F4063B" w:rsidRDefault="000940F7" w:rsidP="00F77694">
            <w:pPr>
              <w:pStyle w:val="TableTextBase"/>
              <w:rPr>
                <w:rFonts w:cs="Arial"/>
                <w:b/>
                <w:sz w:val="16"/>
                <w:szCs w:val="16"/>
              </w:rPr>
            </w:pPr>
            <w:r>
              <w:rPr>
                <w:rFonts w:cs="Arial"/>
                <w:b/>
                <w:sz w:val="16"/>
                <w:szCs w:val="16"/>
              </w:rPr>
              <w:t>Planned</w:t>
            </w:r>
            <w:r w:rsidRPr="00F4063B">
              <w:rPr>
                <w:rFonts w:cs="Arial"/>
                <w:b/>
                <w:sz w:val="16"/>
                <w:szCs w:val="16"/>
              </w:rPr>
              <w:t xml:space="preserve"> Performance Results</w:t>
            </w:r>
          </w:p>
        </w:tc>
      </w:tr>
      <w:tr w:rsidR="000940F7" w:rsidRPr="00F4063B" w14:paraId="7FD879B8" w14:textId="77777777" w:rsidTr="00F77694">
        <w:trPr>
          <w:cantSplit/>
          <w:trHeight w:val="642"/>
        </w:trPr>
        <w:tc>
          <w:tcPr>
            <w:tcW w:w="1560" w:type="dxa"/>
            <w:tcBorders>
              <w:top w:val="single" w:sz="4" w:space="0" w:color="auto"/>
              <w:bottom w:val="nil"/>
              <w:right w:val="single" w:sz="4" w:space="0" w:color="auto"/>
            </w:tcBorders>
          </w:tcPr>
          <w:p w14:paraId="42044001" w14:textId="77777777" w:rsidR="000940F7" w:rsidRPr="00F4063B" w:rsidRDefault="000940F7" w:rsidP="00F77694">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year</w:t>
            </w:r>
          </w:p>
          <w:p w14:paraId="38182D65" w14:textId="77777777" w:rsidR="000940F7" w:rsidRPr="00F4063B" w:rsidRDefault="000940F7" w:rsidP="00F77694">
            <w:pPr>
              <w:pStyle w:val="TableTextBase"/>
              <w:rPr>
                <w:sz w:val="16"/>
                <w:szCs w:val="16"/>
              </w:rPr>
            </w:pPr>
            <w:r w:rsidRPr="00F4063B">
              <w:rPr>
                <w:rFonts w:eastAsia="Calibri" w:cs="Arial"/>
                <w:sz w:val="16"/>
                <w:szCs w:val="16"/>
                <w:lang w:eastAsia="en-US"/>
              </w:rPr>
              <w:t>2022–23</w:t>
            </w:r>
          </w:p>
        </w:tc>
        <w:tc>
          <w:tcPr>
            <w:tcW w:w="3118" w:type="dxa"/>
            <w:tcBorders>
              <w:top w:val="single" w:sz="4" w:space="0" w:color="auto"/>
              <w:left w:val="single" w:sz="4" w:space="0" w:color="auto"/>
              <w:bottom w:val="single" w:sz="4" w:space="0" w:color="auto"/>
              <w:right w:val="single" w:sz="4" w:space="0" w:color="auto"/>
            </w:tcBorders>
          </w:tcPr>
          <w:p w14:paraId="12925D07" w14:textId="77777777" w:rsidR="000940F7" w:rsidRPr="00F4063B" w:rsidRDefault="000940F7" w:rsidP="00F77694">
            <w:pPr>
              <w:spacing w:before="60" w:after="60" w:line="240" w:lineRule="auto"/>
              <w:jc w:val="left"/>
              <w:rPr>
                <w:rFonts w:ascii="Arial" w:eastAsia="Calibri" w:hAnsi="Arial" w:cs="Arial"/>
                <w:i/>
                <w:sz w:val="16"/>
                <w:szCs w:val="16"/>
                <w:lang w:eastAsia="en-US"/>
              </w:rPr>
            </w:pPr>
            <w:r w:rsidRPr="00F4063B">
              <w:rPr>
                <w:rFonts w:ascii="Arial" w:eastAsia="Calibri" w:hAnsi="Arial" w:cs="Arial"/>
                <w:i/>
                <w:sz w:val="16"/>
                <w:szCs w:val="16"/>
                <w:lang w:eastAsia="en-US"/>
              </w:rPr>
              <w:t>Progress against the National Arts and Disability Associated Plan</w:t>
            </w:r>
          </w:p>
        </w:tc>
        <w:tc>
          <w:tcPr>
            <w:tcW w:w="2835" w:type="dxa"/>
            <w:tcBorders>
              <w:top w:val="single" w:sz="4" w:space="0" w:color="auto"/>
              <w:left w:val="single" w:sz="4" w:space="0" w:color="auto"/>
              <w:bottom w:val="single" w:sz="4" w:space="0" w:color="auto"/>
            </w:tcBorders>
          </w:tcPr>
          <w:p w14:paraId="14078726"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The National Arts and Disability Strategy is renewed and implemented as a Commonwealth-only National Arts and Disability Associated Plan including updating and maintaining the arts and disa</w:t>
            </w:r>
            <w:r>
              <w:rPr>
                <w:rFonts w:eastAsia="Calibri" w:cs="Arial"/>
                <w:sz w:val="16"/>
                <w:szCs w:val="16"/>
                <w:lang w:eastAsia="en-US"/>
              </w:rPr>
              <w:t>bility resource hub</w:t>
            </w:r>
          </w:p>
        </w:tc>
      </w:tr>
      <w:tr w:rsidR="000940F7" w:rsidRPr="00F4063B" w14:paraId="455EF21F" w14:textId="77777777" w:rsidTr="00F77694">
        <w:trPr>
          <w:cantSplit/>
          <w:trHeight w:val="642"/>
        </w:trPr>
        <w:tc>
          <w:tcPr>
            <w:tcW w:w="1560" w:type="dxa"/>
            <w:tcBorders>
              <w:top w:val="nil"/>
              <w:bottom w:val="nil"/>
              <w:right w:val="single" w:sz="4" w:space="0" w:color="auto"/>
            </w:tcBorders>
          </w:tcPr>
          <w:p w14:paraId="2EC27B89"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09FBA0" w14:textId="77777777" w:rsidR="000940F7" w:rsidRPr="00F4063B" w:rsidRDefault="000940F7" w:rsidP="00F77694">
            <w:pPr>
              <w:pStyle w:val="TableTextBase"/>
              <w:rPr>
                <w:sz w:val="16"/>
                <w:szCs w:val="16"/>
              </w:rPr>
            </w:pPr>
            <w:r w:rsidRPr="00F4063B">
              <w:rPr>
                <w:rFonts w:eastAsia="Calibri" w:cs="Arial"/>
                <w:sz w:val="16"/>
                <w:szCs w:val="16"/>
                <w:lang w:eastAsia="en-US"/>
              </w:rPr>
              <w:t>Number of students enrolled in courses at national performing arts training organisations</w:t>
            </w:r>
          </w:p>
        </w:tc>
        <w:tc>
          <w:tcPr>
            <w:tcW w:w="2835" w:type="dxa"/>
            <w:tcBorders>
              <w:top w:val="single" w:sz="4" w:space="0" w:color="auto"/>
              <w:left w:val="single" w:sz="4" w:space="0" w:color="auto"/>
              <w:bottom w:val="single" w:sz="4" w:space="0" w:color="auto"/>
            </w:tcBorders>
          </w:tcPr>
          <w:p w14:paraId="7807268D"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≥800 students in each calendar year</w:t>
            </w:r>
          </w:p>
        </w:tc>
      </w:tr>
      <w:tr w:rsidR="000940F7" w:rsidRPr="00F4063B" w14:paraId="43353B2C" w14:textId="77777777" w:rsidTr="00F77694">
        <w:trPr>
          <w:cantSplit/>
          <w:trHeight w:val="642"/>
        </w:trPr>
        <w:tc>
          <w:tcPr>
            <w:tcW w:w="1560" w:type="dxa"/>
            <w:tcBorders>
              <w:top w:val="nil"/>
              <w:bottom w:val="nil"/>
              <w:right w:val="single" w:sz="4" w:space="0" w:color="auto"/>
            </w:tcBorders>
          </w:tcPr>
          <w:p w14:paraId="667B75B0"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95EC664" w14:textId="77777777" w:rsidR="000940F7" w:rsidRPr="00F4063B" w:rsidRDefault="000940F7" w:rsidP="00F77694">
            <w:pPr>
              <w:pStyle w:val="TableTextBase"/>
              <w:rPr>
                <w:sz w:val="16"/>
                <w:szCs w:val="16"/>
              </w:rPr>
            </w:pPr>
            <w:r w:rsidRPr="00F4063B">
              <w:rPr>
                <w:rFonts w:eastAsia="Calibri" w:cs="Arial"/>
                <w:sz w:val="16"/>
                <w:szCs w:val="16"/>
                <w:lang w:eastAsia="en-US"/>
              </w:rPr>
              <w:t>Number of payments made to claimants (including authors, illustrators and publishers) through lending rights</w:t>
            </w:r>
          </w:p>
        </w:tc>
        <w:tc>
          <w:tcPr>
            <w:tcW w:w="2835" w:type="dxa"/>
            <w:tcBorders>
              <w:top w:val="single" w:sz="4" w:space="0" w:color="auto"/>
              <w:left w:val="single" w:sz="4" w:space="0" w:color="auto"/>
              <w:bottom w:val="single" w:sz="4" w:space="0" w:color="auto"/>
            </w:tcBorders>
          </w:tcPr>
          <w:p w14:paraId="33EDC1EC"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≥16,000 payments to claimants in each financial year</w:t>
            </w:r>
          </w:p>
        </w:tc>
      </w:tr>
      <w:tr w:rsidR="000940F7" w:rsidRPr="00F4063B" w14:paraId="50CE0D70" w14:textId="77777777" w:rsidTr="00F77694">
        <w:trPr>
          <w:cantSplit/>
          <w:trHeight w:val="642"/>
        </w:trPr>
        <w:tc>
          <w:tcPr>
            <w:tcW w:w="1560" w:type="dxa"/>
            <w:tcBorders>
              <w:top w:val="nil"/>
              <w:bottom w:val="nil"/>
              <w:right w:val="single" w:sz="4" w:space="0" w:color="auto"/>
            </w:tcBorders>
          </w:tcPr>
          <w:p w14:paraId="6C2BE8EA"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B93425B"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Number of art centres and art fairs funded through the Indigenous Visual Arts Industry Support (IVAIS) program</w:t>
            </w:r>
          </w:p>
        </w:tc>
        <w:tc>
          <w:tcPr>
            <w:tcW w:w="2835" w:type="dxa"/>
            <w:tcBorders>
              <w:top w:val="single" w:sz="4" w:space="0" w:color="auto"/>
              <w:left w:val="single" w:sz="4" w:space="0" w:color="auto"/>
              <w:bottom w:val="single" w:sz="4" w:space="0" w:color="auto"/>
            </w:tcBorders>
          </w:tcPr>
          <w:p w14:paraId="0B6585E3"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≥80 centres in each financial year</w:t>
            </w:r>
          </w:p>
        </w:tc>
      </w:tr>
      <w:tr w:rsidR="000940F7" w:rsidRPr="00F4063B" w14:paraId="38C5CF90" w14:textId="77777777" w:rsidTr="00F77694">
        <w:trPr>
          <w:cantSplit/>
          <w:trHeight w:val="642"/>
        </w:trPr>
        <w:tc>
          <w:tcPr>
            <w:tcW w:w="1560" w:type="dxa"/>
            <w:vMerge w:val="restart"/>
            <w:tcBorders>
              <w:top w:val="nil"/>
              <w:right w:val="single" w:sz="4" w:space="0" w:color="auto"/>
            </w:tcBorders>
          </w:tcPr>
          <w:p w14:paraId="0BE64F77"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D83508A" w14:textId="77777777" w:rsidR="000940F7" w:rsidRPr="00F4063B" w:rsidRDefault="000940F7" w:rsidP="00F77694">
            <w:pPr>
              <w:pStyle w:val="TableTextBase"/>
              <w:rPr>
                <w:sz w:val="16"/>
                <w:szCs w:val="16"/>
              </w:rPr>
            </w:pPr>
            <w:r w:rsidRPr="00F4063B">
              <w:rPr>
                <w:rFonts w:eastAsia="Calibri" w:cs="Arial"/>
                <w:i/>
                <w:iCs/>
                <w:sz w:val="16"/>
                <w:szCs w:val="16"/>
                <w:lang w:eastAsia="en-US"/>
              </w:rPr>
              <w:t>Impact of our activities to support Indigenous visual arts, languages and culture indicated through the number of Indigenous language centres and Indigenous art centres funded, the number of arts workers employed and artists active with funded art centres</w:t>
            </w:r>
            <w:r w:rsidRPr="00792D7C">
              <w:rPr>
                <w:rFonts w:eastAsia="Calibri" w:cs="Arial"/>
                <w:i/>
                <w:iCs/>
                <w:sz w:val="16"/>
                <w:szCs w:val="16"/>
                <w:vertAlign w:val="superscript"/>
                <w:lang w:eastAsia="en-US"/>
              </w:rPr>
              <w:t>(d)</w:t>
            </w:r>
          </w:p>
        </w:tc>
        <w:tc>
          <w:tcPr>
            <w:tcW w:w="2835" w:type="dxa"/>
            <w:tcBorders>
              <w:top w:val="single" w:sz="4" w:space="0" w:color="auto"/>
              <w:left w:val="single" w:sz="4" w:space="0" w:color="auto"/>
              <w:bottom w:val="single" w:sz="4" w:space="0" w:color="auto"/>
            </w:tcBorders>
          </w:tcPr>
          <w:p w14:paraId="51B57C79"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w:t>
            </w:r>
          </w:p>
          <w:p w14:paraId="3A750C98" w14:textId="77777777" w:rsidR="000940F7" w:rsidRPr="00F4063B" w:rsidRDefault="000940F7" w:rsidP="000940F7">
            <w:pPr>
              <w:numPr>
                <w:ilvl w:val="0"/>
                <w:numId w:val="37"/>
              </w:numPr>
              <w:spacing w:before="60" w:after="60" w:line="240" w:lineRule="auto"/>
              <w:ind w:left="284" w:right="-11"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≥20 language centres in the financial year funded</w:t>
            </w:r>
          </w:p>
          <w:p w14:paraId="3770E681" w14:textId="77777777" w:rsidR="000940F7" w:rsidRPr="00F4063B" w:rsidRDefault="000940F7" w:rsidP="000940F7">
            <w:pPr>
              <w:numPr>
                <w:ilvl w:val="0"/>
                <w:numId w:val="37"/>
              </w:numPr>
              <w:spacing w:before="60" w:after="60" w:line="240" w:lineRule="auto"/>
              <w:ind w:left="284" w:right="-11"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≥450 Indigenous art centre workers employed; and</w:t>
            </w:r>
          </w:p>
          <w:p w14:paraId="0147C10D" w14:textId="77777777" w:rsidR="000940F7" w:rsidRPr="00F4063B" w:rsidRDefault="000940F7" w:rsidP="000940F7">
            <w:pPr>
              <w:numPr>
                <w:ilvl w:val="0"/>
                <w:numId w:val="37"/>
              </w:numPr>
              <w:spacing w:before="60" w:after="60" w:line="240" w:lineRule="auto"/>
              <w:ind w:left="284" w:right="-11"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≥8000 artist engaged in report year</w:t>
            </w:r>
          </w:p>
        </w:tc>
      </w:tr>
      <w:tr w:rsidR="000940F7" w14:paraId="3DBC192B" w14:textId="77777777" w:rsidTr="00F77694">
        <w:trPr>
          <w:cantSplit/>
          <w:trHeight w:val="642"/>
        </w:trPr>
        <w:tc>
          <w:tcPr>
            <w:tcW w:w="1560" w:type="dxa"/>
            <w:vMerge/>
            <w:tcBorders>
              <w:bottom w:val="single" w:sz="4" w:space="0" w:color="auto"/>
              <w:right w:val="single" w:sz="4" w:space="0" w:color="auto"/>
            </w:tcBorders>
          </w:tcPr>
          <w:p w14:paraId="17B897DD" w14:textId="77777777" w:rsidR="000940F7" w:rsidRPr="00F4063B"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A6C258"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Repatriation activities that support:</w:t>
            </w:r>
          </w:p>
          <w:p w14:paraId="5B7A6144" w14:textId="77777777" w:rsidR="000940F7" w:rsidRPr="00F4063B" w:rsidRDefault="000940F7" w:rsidP="00807D41">
            <w:pPr>
              <w:numPr>
                <w:ilvl w:val="0"/>
                <w:numId w:val="246"/>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securing new international agreements and facilitation of the repatriation of Aboriginal and Torres Strait Islander ancestral remains (ancestors)</w:t>
            </w:r>
          </w:p>
          <w:p w14:paraId="00F2497F" w14:textId="77777777" w:rsidR="000940F7" w:rsidRPr="00F4063B" w:rsidRDefault="000940F7" w:rsidP="00807D41">
            <w:pPr>
              <w:numPr>
                <w:ilvl w:val="0"/>
                <w:numId w:val="246"/>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funding agreements executed under the Indigenous Repatriation Program – Museum Grants and facilitation of the repatriation of ancestors and secret sacred objects</w:t>
            </w:r>
          </w:p>
        </w:tc>
        <w:tc>
          <w:tcPr>
            <w:tcW w:w="2835" w:type="dxa"/>
            <w:tcBorders>
              <w:top w:val="single" w:sz="4" w:space="0" w:color="auto"/>
              <w:left w:val="single" w:sz="4" w:space="0" w:color="auto"/>
              <w:bottom w:val="single" w:sz="4" w:space="0" w:color="auto"/>
            </w:tcBorders>
          </w:tcPr>
          <w:p w14:paraId="69FA2DCE"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Activities are responsive to domestic and international negotiations</w:t>
            </w:r>
          </w:p>
        </w:tc>
      </w:tr>
    </w:tbl>
    <w:p w14:paraId="1923CA33" w14:textId="77777777" w:rsidR="00B91F3E" w:rsidRPr="00792D7C" w:rsidRDefault="00B91F3E" w:rsidP="00B91F3E">
      <w:pPr>
        <w:spacing w:after="0" w:line="240" w:lineRule="auto"/>
        <w:rPr>
          <w:rFonts w:ascii="Arial" w:hAnsi="Arial" w:cs="Arial"/>
          <w:sz w:val="16"/>
          <w:szCs w:val="16"/>
        </w:rPr>
      </w:pPr>
      <w: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835"/>
      </w:tblGrid>
      <w:tr w:rsidR="000940F7" w:rsidRPr="00160C23" w14:paraId="595CB6F1" w14:textId="77777777" w:rsidTr="00F77694">
        <w:trPr>
          <w:trHeight w:val="258"/>
        </w:trPr>
        <w:tc>
          <w:tcPr>
            <w:tcW w:w="1560" w:type="dxa"/>
            <w:tcBorders>
              <w:top w:val="double" w:sz="4" w:space="0" w:color="auto"/>
              <w:bottom w:val="single" w:sz="4" w:space="0" w:color="auto"/>
              <w:right w:val="single" w:sz="4" w:space="0" w:color="auto"/>
            </w:tcBorders>
          </w:tcPr>
          <w:p w14:paraId="4EC7D30F" w14:textId="77777777" w:rsidR="000940F7" w:rsidRPr="00160C23" w:rsidRDefault="000940F7" w:rsidP="00F77694">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62F8BEF0" w14:textId="77777777" w:rsidR="000940F7" w:rsidRPr="00160C23" w:rsidRDefault="000940F7" w:rsidP="00F77694">
            <w:pPr>
              <w:pStyle w:val="TableTextBase"/>
              <w:rPr>
                <w:rFonts w:cs="Arial"/>
                <w:b/>
                <w:sz w:val="16"/>
                <w:szCs w:val="16"/>
              </w:rPr>
            </w:pPr>
            <w:r w:rsidRPr="00160C23">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7BC1EAE1" w14:textId="77777777" w:rsidR="000940F7" w:rsidRPr="00160C23" w:rsidRDefault="000940F7" w:rsidP="00F77694">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0940F7" w14:paraId="1E0E888F" w14:textId="77777777" w:rsidTr="00F77694">
        <w:trPr>
          <w:cantSplit/>
          <w:trHeight w:val="642"/>
        </w:trPr>
        <w:tc>
          <w:tcPr>
            <w:tcW w:w="1560" w:type="dxa"/>
            <w:tcBorders>
              <w:top w:val="single" w:sz="4" w:space="0" w:color="auto"/>
              <w:bottom w:val="nil"/>
              <w:right w:val="single" w:sz="4" w:space="0" w:color="auto"/>
            </w:tcBorders>
          </w:tcPr>
          <w:p w14:paraId="54E32978" w14:textId="77777777" w:rsidR="000940F7" w:rsidRPr="00BE08C4" w:rsidRDefault="000940F7" w:rsidP="00F77694">
            <w:pPr>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Budget year</w:t>
            </w:r>
          </w:p>
          <w:p w14:paraId="29BACC58" w14:textId="77777777" w:rsidR="000940F7" w:rsidRPr="00160C23" w:rsidRDefault="000940F7" w:rsidP="00F77694">
            <w:pPr>
              <w:pStyle w:val="TableTextBase"/>
              <w:rPr>
                <w:sz w:val="16"/>
                <w:szCs w:val="16"/>
              </w:rPr>
            </w:pPr>
            <w:r w:rsidRPr="00BE08C4">
              <w:rPr>
                <w:rFonts w:eastAsia="Calibri" w:cs="Arial"/>
                <w:sz w:val="16"/>
                <w:szCs w:val="16"/>
                <w:lang w:eastAsia="en-US"/>
              </w:rPr>
              <w:t>2022–23</w:t>
            </w:r>
            <w:r>
              <w:rPr>
                <w:rFonts w:eastAsia="Calibri" w:cs="Arial"/>
                <w:sz w:val="16"/>
                <w:szCs w:val="16"/>
                <w:lang w:eastAsia="en-US"/>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7E3E0715"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Impact of our arts and cultural activities to support regional access and participation, indicated through:</w:t>
            </w:r>
          </w:p>
          <w:p w14:paraId="2CA2BCE5" w14:textId="77777777" w:rsidR="000940F7" w:rsidRPr="00F4063B" w:rsidRDefault="000940F7" w:rsidP="000940F7">
            <w:pPr>
              <w:numPr>
                <w:ilvl w:val="0"/>
                <w:numId w:val="40"/>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projected audience numbers/ participants involved with funded projects</w:t>
            </w:r>
          </w:p>
          <w:p w14:paraId="7A35783A" w14:textId="77777777" w:rsidR="000940F7" w:rsidRPr="00F4063B" w:rsidRDefault="000940F7" w:rsidP="000940F7">
            <w:pPr>
              <w:numPr>
                <w:ilvl w:val="0"/>
                <w:numId w:val="40"/>
              </w:numPr>
              <w:spacing w:before="60" w:after="60" w:line="240" w:lineRule="auto"/>
              <w:ind w:left="284"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number of regional/remote locations that hosted funded projects</w:t>
            </w:r>
          </w:p>
        </w:tc>
        <w:tc>
          <w:tcPr>
            <w:tcW w:w="2835" w:type="dxa"/>
            <w:tcBorders>
              <w:top w:val="single" w:sz="4" w:space="0" w:color="auto"/>
              <w:left w:val="single" w:sz="4" w:space="0" w:color="auto"/>
              <w:bottom w:val="single" w:sz="4" w:space="0" w:color="auto"/>
            </w:tcBorders>
          </w:tcPr>
          <w:p w14:paraId="70523D82" w14:textId="77777777" w:rsidR="000940F7" w:rsidRPr="00F4063B" w:rsidRDefault="000940F7" w:rsidP="00F77694">
            <w:pPr>
              <w:pStyle w:val="TableTextBase"/>
              <w:rPr>
                <w:rFonts w:eastAsia="Calibri" w:cs="Arial"/>
                <w:sz w:val="16"/>
                <w:szCs w:val="16"/>
                <w:lang w:eastAsia="en-US"/>
              </w:rPr>
            </w:pPr>
            <w:r w:rsidRPr="00F4063B">
              <w:rPr>
                <w:rFonts w:eastAsia="Calibri" w:cs="Arial"/>
                <w:sz w:val="16"/>
                <w:szCs w:val="16"/>
                <w:lang w:eastAsia="en-US"/>
              </w:rPr>
              <w:t>2021–22 was the first year of data capture. It is not envisaged that the numbers will increase each year, given the variety of projects funded and that the programs are competitive grant programs</w:t>
            </w:r>
          </w:p>
        </w:tc>
      </w:tr>
      <w:tr w:rsidR="000940F7" w14:paraId="132F1558" w14:textId="77777777" w:rsidTr="00F77694">
        <w:trPr>
          <w:cantSplit/>
          <w:trHeight w:val="642"/>
        </w:trPr>
        <w:tc>
          <w:tcPr>
            <w:tcW w:w="1560" w:type="dxa"/>
            <w:tcBorders>
              <w:top w:val="nil"/>
              <w:bottom w:val="single" w:sz="4" w:space="0" w:color="auto"/>
              <w:right w:val="single" w:sz="4" w:space="0" w:color="auto"/>
            </w:tcBorders>
          </w:tcPr>
          <w:p w14:paraId="2E9991D1"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47BDDC9" w14:textId="77777777" w:rsidR="000940F7" w:rsidRPr="00F4063B" w:rsidRDefault="000940F7" w:rsidP="00F77694">
            <w:pPr>
              <w:pStyle w:val="TableTextBase"/>
              <w:rPr>
                <w:sz w:val="16"/>
                <w:szCs w:val="16"/>
              </w:rPr>
            </w:pPr>
            <w:r w:rsidRPr="00F4063B">
              <w:rPr>
                <w:rFonts w:eastAsia="Calibri" w:cs="Arial"/>
                <w:i/>
                <w:sz w:val="16"/>
                <w:szCs w:val="16"/>
                <w:lang w:eastAsia="en-US"/>
              </w:rPr>
              <w:t>Effectiveness of the current Australian content, copyright and classification frameworks</w:t>
            </w:r>
            <w:r>
              <w:rPr>
                <w:rFonts w:eastAsia="Calibri" w:cs="Arial"/>
                <w:i/>
                <w:sz w:val="16"/>
                <w:szCs w:val="16"/>
                <w:lang w:eastAsia="en-US"/>
              </w:rPr>
              <w:t xml:space="preserve"> </w:t>
            </w:r>
            <w:r w:rsidRPr="00792D7C">
              <w:rPr>
                <w:rFonts w:eastAsia="Calibri" w:cs="Arial"/>
                <w:i/>
                <w:sz w:val="16"/>
                <w:szCs w:val="16"/>
                <w:vertAlign w:val="superscript"/>
                <w:lang w:eastAsia="en-US"/>
              </w:rPr>
              <w:t>(</w:t>
            </w:r>
            <w:r>
              <w:rPr>
                <w:rFonts w:eastAsia="Calibri" w:cs="Arial"/>
                <w:i/>
                <w:sz w:val="16"/>
                <w:szCs w:val="16"/>
                <w:vertAlign w:val="superscript"/>
                <w:lang w:eastAsia="en-US"/>
              </w:rPr>
              <w:t>e</w:t>
            </w:r>
            <w:r w:rsidRPr="00792D7C">
              <w:rPr>
                <w:rFonts w:eastAsia="Calibri" w:cs="Arial"/>
                <w:i/>
                <w:sz w:val="16"/>
                <w:szCs w:val="16"/>
                <w:vertAlign w:val="superscript"/>
                <w:lang w:eastAsia="en-US"/>
              </w:rPr>
              <w:t>) (</w:t>
            </w:r>
            <w:r>
              <w:rPr>
                <w:rFonts w:eastAsia="Calibri" w:cs="Arial"/>
                <w:i/>
                <w:sz w:val="16"/>
                <w:szCs w:val="16"/>
                <w:vertAlign w:val="superscript"/>
                <w:lang w:eastAsia="en-US"/>
              </w:rPr>
              <w:t>f</w:t>
            </w:r>
            <w:r w:rsidRPr="00792D7C">
              <w:rPr>
                <w:rFonts w:eastAsia="Calibri" w:cs="Arial"/>
                <w:i/>
                <w:sz w:val="16"/>
                <w:szCs w:val="16"/>
                <w:vertAlign w:val="superscript"/>
                <w:lang w:eastAsia="en-US"/>
              </w:rPr>
              <w:t>)</w:t>
            </w:r>
          </w:p>
        </w:tc>
        <w:tc>
          <w:tcPr>
            <w:tcW w:w="2835" w:type="dxa"/>
            <w:tcBorders>
              <w:top w:val="single" w:sz="4" w:space="0" w:color="auto"/>
              <w:left w:val="single" w:sz="4" w:space="0" w:color="auto"/>
              <w:bottom w:val="single" w:sz="4" w:space="0" w:color="auto"/>
            </w:tcBorders>
          </w:tcPr>
          <w:p w14:paraId="2EF84036" w14:textId="77777777" w:rsidR="000940F7" w:rsidRPr="00F4063B" w:rsidRDefault="000940F7" w:rsidP="00F77694">
            <w:pPr>
              <w:spacing w:before="60" w:after="60" w:line="240" w:lineRule="auto"/>
              <w:ind w:right="-12"/>
              <w:jc w:val="left"/>
              <w:rPr>
                <w:rFonts w:ascii="Arial" w:eastAsia="Calibri" w:hAnsi="Arial" w:cs="Arial"/>
                <w:sz w:val="16"/>
                <w:szCs w:val="16"/>
                <w:lang w:eastAsia="en-US"/>
              </w:rPr>
            </w:pPr>
            <w:r w:rsidRPr="00F4063B">
              <w:rPr>
                <w:rFonts w:ascii="Arial" w:eastAsia="Calibri" w:hAnsi="Arial" w:cs="Arial"/>
                <w:sz w:val="16"/>
                <w:szCs w:val="16"/>
                <w:lang w:eastAsia="en-US"/>
              </w:rPr>
              <w:t>Reporting in each financial year shows frameworks are effective, based on:</w:t>
            </w:r>
          </w:p>
          <w:p w14:paraId="04C42971" w14:textId="77777777" w:rsidR="000940F7" w:rsidRPr="00F4063B" w:rsidRDefault="000940F7" w:rsidP="000940F7">
            <w:pPr>
              <w:numPr>
                <w:ilvl w:val="0"/>
                <w:numId w:val="44"/>
              </w:numPr>
              <w:spacing w:before="60" w:after="60" w:line="240" w:lineRule="auto"/>
              <w:ind w:left="392" w:right="-11"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Australian content quota compliance and the existence of public data on Australian content available on streaming video on demand services</w:t>
            </w:r>
          </w:p>
          <w:p w14:paraId="74769503" w14:textId="77777777" w:rsidR="000940F7" w:rsidRPr="00F4063B" w:rsidRDefault="000940F7" w:rsidP="000940F7">
            <w:pPr>
              <w:numPr>
                <w:ilvl w:val="0"/>
                <w:numId w:val="44"/>
              </w:numPr>
              <w:spacing w:before="60" w:after="60" w:line="240" w:lineRule="auto"/>
              <w:ind w:left="392" w:right="-11"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amount of copyright distributions paid to creators by the copyright collecting societies and annual Consumer Survey on Online Copyright Infringement</w:t>
            </w:r>
          </w:p>
          <w:p w14:paraId="043F8071" w14:textId="77777777" w:rsidR="000940F7" w:rsidRPr="00F4063B" w:rsidRDefault="000940F7" w:rsidP="000940F7">
            <w:pPr>
              <w:numPr>
                <w:ilvl w:val="0"/>
                <w:numId w:val="44"/>
              </w:numPr>
              <w:spacing w:before="60" w:after="60" w:line="240" w:lineRule="auto"/>
              <w:ind w:left="392" w:right="-11" w:hanging="284"/>
              <w:contextualSpacing/>
              <w:jc w:val="left"/>
              <w:rPr>
                <w:rFonts w:ascii="Arial" w:eastAsia="Calibri" w:hAnsi="Arial" w:cs="Arial"/>
                <w:sz w:val="16"/>
                <w:szCs w:val="16"/>
                <w:lang w:eastAsia="en-US"/>
              </w:rPr>
            </w:pPr>
            <w:r w:rsidRPr="00F4063B">
              <w:rPr>
                <w:rFonts w:ascii="Arial" w:eastAsia="Calibri" w:hAnsi="Arial" w:cs="Arial"/>
                <w:sz w:val="16"/>
                <w:szCs w:val="16"/>
                <w:lang w:eastAsia="en-US"/>
              </w:rPr>
              <w:t>100</w:t>
            </w:r>
            <w:r>
              <w:rPr>
                <w:rFonts w:ascii="Arial" w:eastAsia="Calibri" w:hAnsi="Arial" w:cs="Arial"/>
                <w:sz w:val="16"/>
                <w:szCs w:val="16"/>
                <w:lang w:eastAsia="en-US"/>
              </w:rPr>
              <w:t>%</w:t>
            </w:r>
            <w:r w:rsidRPr="00F4063B">
              <w:rPr>
                <w:rFonts w:ascii="Arial" w:eastAsia="Calibri" w:hAnsi="Arial" w:cs="Arial"/>
                <w:sz w:val="16"/>
                <w:szCs w:val="16"/>
                <w:lang w:eastAsia="en-US"/>
              </w:rPr>
              <w:t xml:space="preserve"> of Classification decisions by the Classification Board and Classification Review Board made and published on the National Classification Database within statutory timeframes</w:t>
            </w:r>
          </w:p>
        </w:tc>
      </w:tr>
      <w:tr w:rsidR="000940F7" w14:paraId="6E7FBEF8" w14:textId="77777777" w:rsidTr="00F77694">
        <w:trPr>
          <w:cantSplit/>
          <w:trHeight w:val="642"/>
        </w:trPr>
        <w:tc>
          <w:tcPr>
            <w:tcW w:w="1560" w:type="dxa"/>
            <w:tcBorders>
              <w:top w:val="single" w:sz="4" w:space="0" w:color="auto"/>
              <w:bottom w:val="nil"/>
              <w:right w:val="single" w:sz="4" w:space="0" w:color="auto"/>
            </w:tcBorders>
          </w:tcPr>
          <w:p w14:paraId="10527D7B" w14:textId="77777777" w:rsidR="000940F7" w:rsidRPr="00160C23" w:rsidRDefault="000940F7" w:rsidP="00F77694">
            <w:pPr>
              <w:pStyle w:val="TableTextBase"/>
              <w:rPr>
                <w:sz w:val="16"/>
                <w:szCs w:val="16"/>
              </w:rPr>
            </w:pPr>
            <w:r>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47A4871D" w14:textId="77777777" w:rsidR="000940F7" w:rsidRPr="00F4063B" w:rsidRDefault="000940F7" w:rsidP="00F77694">
            <w:pPr>
              <w:pStyle w:val="TableTextBase"/>
              <w:rPr>
                <w:rFonts w:eastAsia="Calibri" w:cs="Arial"/>
                <w:i/>
                <w:sz w:val="16"/>
                <w:szCs w:val="16"/>
                <w:lang w:eastAsia="en-US"/>
              </w:rPr>
            </w:pPr>
            <w:r w:rsidRPr="00F4063B">
              <w:rPr>
                <w:rFonts w:eastAsia="Calibri" w:cs="Arial"/>
                <w:i/>
                <w:sz w:val="16"/>
                <w:szCs w:val="16"/>
                <w:lang w:eastAsia="en-US"/>
              </w:rPr>
              <w:t>Progress against the National Arts and Disability Associated Plan</w:t>
            </w:r>
          </w:p>
        </w:tc>
        <w:tc>
          <w:tcPr>
            <w:tcW w:w="2835" w:type="dxa"/>
            <w:tcBorders>
              <w:top w:val="single" w:sz="4" w:space="0" w:color="auto"/>
              <w:left w:val="single" w:sz="4" w:space="0" w:color="auto"/>
              <w:bottom w:val="single" w:sz="4" w:space="0" w:color="auto"/>
            </w:tcBorders>
          </w:tcPr>
          <w:p w14:paraId="0DE03C8E"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National Arts and Disability Associated Plan is implemented, including maintaining the arts and disability resource hub</w:t>
            </w:r>
          </w:p>
        </w:tc>
      </w:tr>
      <w:tr w:rsidR="000940F7" w14:paraId="3A6F3AB1" w14:textId="77777777" w:rsidTr="00F77694">
        <w:trPr>
          <w:cantSplit/>
          <w:trHeight w:val="642"/>
        </w:trPr>
        <w:tc>
          <w:tcPr>
            <w:tcW w:w="1560" w:type="dxa"/>
            <w:tcBorders>
              <w:top w:val="nil"/>
              <w:bottom w:val="nil"/>
              <w:right w:val="single" w:sz="4" w:space="0" w:color="auto"/>
            </w:tcBorders>
          </w:tcPr>
          <w:p w14:paraId="35CE1074"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D59FC65" w14:textId="77777777" w:rsidR="000940F7" w:rsidRPr="00F4063B" w:rsidRDefault="000940F7" w:rsidP="00F77694">
            <w:pPr>
              <w:pStyle w:val="TableTextBase"/>
              <w:rPr>
                <w:rFonts w:eastAsia="Calibri" w:cs="Arial"/>
                <w:i/>
                <w:sz w:val="16"/>
                <w:szCs w:val="16"/>
                <w:lang w:eastAsia="en-US"/>
              </w:rPr>
            </w:pPr>
            <w:r w:rsidRPr="00F4063B">
              <w:rPr>
                <w:rFonts w:eastAsia="Calibri" w:cs="Arial"/>
                <w:sz w:val="16"/>
                <w:szCs w:val="16"/>
                <w:lang w:eastAsia="en-US"/>
              </w:rPr>
              <w:t>Number of students enrolled in courses at national performing arts training organisations</w:t>
            </w:r>
          </w:p>
        </w:tc>
        <w:tc>
          <w:tcPr>
            <w:tcW w:w="2835" w:type="dxa"/>
            <w:tcBorders>
              <w:top w:val="single" w:sz="4" w:space="0" w:color="auto"/>
              <w:left w:val="single" w:sz="4" w:space="0" w:color="auto"/>
              <w:bottom w:val="single" w:sz="4" w:space="0" w:color="auto"/>
            </w:tcBorders>
          </w:tcPr>
          <w:p w14:paraId="403488C1"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≥800 students in each calendar year</w:t>
            </w:r>
          </w:p>
        </w:tc>
      </w:tr>
      <w:tr w:rsidR="000940F7" w14:paraId="0FE503A2" w14:textId="77777777" w:rsidTr="00F77694">
        <w:trPr>
          <w:cantSplit/>
          <w:trHeight w:val="642"/>
        </w:trPr>
        <w:tc>
          <w:tcPr>
            <w:tcW w:w="1560" w:type="dxa"/>
            <w:tcBorders>
              <w:top w:val="nil"/>
              <w:bottom w:val="nil"/>
              <w:right w:val="single" w:sz="4" w:space="0" w:color="auto"/>
            </w:tcBorders>
          </w:tcPr>
          <w:p w14:paraId="582B6553"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3DB16DE" w14:textId="77777777" w:rsidR="000940F7" w:rsidRPr="00F4063B" w:rsidRDefault="000940F7" w:rsidP="00F77694">
            <w:pPr>
              <w:pStyle w:val="TableTextBase"/>
              <w:rPr>
                <w:rFonts w:eastAsia="Calibri" w:cs="Arial"/>
                <w:i/>
                <w:sz w:val="16"/>
                <w:szCs w:val="16"/>
                <w:lang w:eastAsia="en-US"/>
              </w:rPr>
            </w:pPr>
            <w:r w:rsidRPr="00F4063B">
              <w:rPr>
                <w:rFonts w:eastAsia="Calibri" w:cs="Arial"/>
                <w:sz w:val="16"/>
                <w:szCs w:val="16"/>
                <w:lang w:eastAsia="en-US"/>
              </w:rPr>
              <w:t>Number of payments made to claimants (including authors, illustrators and publishers) through lending rights</w:t>
            </w:r>
          </w:p>
        </w:tc>
        <w:tc>
          <w:tcPr>
            <w:tcW w:w="2835" w:type="dxa"/>
            <w:tcBorders>
              <w:top w:val="single" w:sz="4" w:space="0" w:color="auto"/>
              <w:left w:val="single" w:sz="4" w:space="0" w:color="auto"/>
              <w:bottom w:val="single" w:sz="4" w:space="0" w:color="auto"/>
            </w:tcBorders>
          </w:tcPr>
          <w:p w14:paraId="570903D6"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≥16,000 payments to claimants in each financial year</w:t>
            </w:r>
          </w:p>
        </w:tc>
      </w:tr>
      <w:tr w:rsidR="000940F7" w14:paraId="30412482" w14:textId="77777777" w:rsidTr="00F77694">
        <w:trPr>
          <w:cantSplit/>
          <w:trHeight w:val="642"/>
        </w:trPr>
        <w:tc>
          <w:tcPr>
            <w:tcW w:w="1560" w:type="dxa"/>
            <w:tcBorders>
              <w:top w:val="nil"/>
              <w:bottom w:val="nil"/>
              <w:right w:val="single" w:sz="4" w:space="0" w:color="auto"/>
            </w:tcBorders>
          </w:tcPr>
          <w:p w14:paraId="5FC91DFD"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905F55" w14:textId="77777777" w:rsidR="000940F7" w:rsidRPr="00F4063B" w:rsidRDefault="000940F7" w:rsidP="00F77694">
            <w:pPr>
              <w:pStyle w:val="TableTextBase"/>
              <w:rPr>
                <w:rFonts w:eastAsia="Calibri" w:cs="Arial"/>
                <w:i/>
                <w:sz w:val="16"/>
                <w:szCs w:val="16"/>
                <w:lang w:eastAsia="en-US"/>
              </w:rPr>
            </w:pPr>
            <w:r w:rsidRPr="00F4063B">
              <w:rPr>
                <w:rFonts w:eastAsia="Calibri" w:cs="Arial"/>
                <w:sz w:val="16"/>
                <w:szCs w:val="16"/>
                <w:lang w:eastAsia="en-US"/>
              </w:rPr>
              <w:t>Number of art centres and art fairs funded through the Indigenous Visual Arts Industry Support (IVAIS) program</w:t>
            </w:r>
          </w:p>
        </w:tc>
        <w:tc>
          <w:tcPr>
            <w:tcW w:w="2835" w:type="dxa"/>
            <w:tcBorders>
              <w:top w:val="single" w:sz="4" w:space="0" w:color="auto"/>
              <w:left w:val="single" w:sz="4" w:space="0" w:color="auto"/>
              <w:bottom w:val="single" w:sz="4" w:space="0" w:color="auto"/>
            </w:tcBorders>
          </w:tcPr>
          <w:p w14:paraId="5AA61359"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≥80 centres in each financial year</w:t>
            </w:r>
          </w:p>
        </w:tc>
      </w:tr>
      <w:tr w:rsidR="000940F7" w14:paraId="3853E454" w14:textId="77777777" w:rsidTr="00F77694">
        <w:trPr>
          <w:cantSplit/>
          <w:trHeight w:val="642"/>
        </w:trPr>
        <w:tc>
          <w:tcPr>
            <w:tcW w:w="1560" w:type="dxa"/>
            <w:tcBorders>
              <w:top w:val="nil"/>
              <w:bottom w:val="single" w:sz="4" w:space="0" w:color="auto"/>
              <w:right w:val="single" w:sz="4" w:space="0" w:color="auto"/>
            </w:tcBorders>
          </w:tcPr>
          <w:p w14:paraId="4E226DA3"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9D4DAF6" w14:textId="77777777" w:rsidR="000940F7" w:rsidRPr="001C3B64" w:rsidRDefault="000940F7" w:rsidP="00F77694">
            <w:pPr>
              <w:pStyle w:val="TableTextBase"/>
              <w:rPr>
                <w:rFonts w:eastAsia="Calibri" w:cs="Arial"/>
                <w:i/>
                <w:sz w:val="16"/>
                <w:szCs w:val="16"/>
                <w:lang w:eastAsia="en-US"/>
              </w:rPr>
            </w:pPr>
            <w:r w:rsidRPr="001C3B64">
              <w:rPr>
                <w:rFonts w:eastAsia="Calibri" w:cs="Arial"/>
                <w:i/>
                <w:iCs/>
                <w:sz w:val="16"/>
                <w:szCs w:val="16"/>
                <w:lang w:eastAsia="en-US"/>
              </w:rPr>
              <w:t>Impact of our activities to support Indigenous visual arts, languages and culture indicated through the number of Indigenous language centres and Indigenous art centres funded, the number of arts workers employed and artists active with funded art centres</w:t>
            </w:r>
          </w:p>
        </w:tc>
        <w:tc>
          <w:tcPr>
            <w:tcW w:w="2835" w:type="dxa"/>
            <w:tcBorders>
              <w:top w:val="single" w:sz="4" w:space="0" w:color="auto"/>
              <w:left w:val="single" w:sz="4" w:space="0" w:color="auto"/>
              <w:bottom w:val="single" w:sz="4" w:space="0" w:color="auto"/>
            </w:tcBorders>
          </w:tcPr>
          <w:p w14:paraId="15E0D38E"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Reporting in each financial year shows:</w:t>
            </w:r>
          </w:p>
          <w:p w14:paraId="6D20AD4C" w14:textId="77777777" w:rsidR="000940F7" w:rsidRPr="001C3B64" w:rsidRDefault="000940F7" w:rsidP="009E60A3">
            <w:pPr>
              <w:pStyle w:val="ListParagraph"/>
              <w:numPr>
                <w:ilvl w:val="0"/>
                <w:numId w:val="235"/>
              </w:numPr>
              <w:spacing w:before="60" w:after="60" w:line="240" w:lineRule="auto"/>
              <w:ind w:left="318" w:right="-11" w:hanging="284"/>
              <w:rPr>
                <w:rFonts w:ascii="Arial" w:hAnsi="Arial" w:cs="Arial"/>
                <w:sz w:val="16"/>
                <w:szCs w:val="16"/>
              </w:rPr>
            </w:pPr>
            <w:r w:rsidRPr="001C3B64">
              <w:rPr>
                <w:rFonts w:ascii="Arial" w:hAnsi="Arial" w:cs="Arial"/>
                <w:sz w:val="16"/>
                <w:szCs w:val="16"/>
              </w:rPr>
              <w:t>≥20 language centres in the financial year funded</w:t>
            </w:r>
          </w:p>
          <w:p w14:paraId="19A53E17" w14:textId="77777777" w:rsidR="000940F7" w:rsidRPr="001C3B64" w:rsidRDefault="000940F7" w:rsidP="009E60A3">
            <w:pPr>
              <w:pStyle w:val="ListParagraph"/>
              <w:numPr>
                <w:ilvl w:val="0"/>
                <w:numId w:val="235"/>
              </w:numPr>
              <w:spacing w:before="60" w:after="60" w:line="240" w:lineRule="auto"/>
              <w:ind w:left="318" w:right="-11" w:hanging="284"/>
              <w:rPr>
                <w:rFonts w:ascii="Arial" w:hAnsi="Arial" w:cs="Arial"/>
                <w:sz w:val="16"/>
                <w:szCs w:val="16"/>
              </w:rPr>
            </w:pPr>
            <w:r w:rsidRPr="001C3B64">
              <w:rPr>
                <w:rFonts w:ascii="Arial" w:hAnsi="Arial" w:cs="Arial"/>
                <w:sz w:val="16"/>
                <w:szCs w:val="16"/>
              </w:rPr>
              <w:t>≥450 Indigenous art centre workers employed; and</w:t>
            </w:r>
          </w:p>
          <w:p w14:paraId="734BA708" w14:textId="77777777" w:rsidR="000940F7" w:rsidRPr="001C3B64" w:rsidRDefault="000940F7" w:rsidP="009E60A3">
            <w:pPr>
              <w:pStyle w:val="ListParagraph"/>
              <w:numPr>
                <w:ilvl w:val="0"/>
                <w:numId w:val="235"/>
              </w:numPr>
              <w:spacing w:before="60" w:after="60" w:line="240" w:lineRule="auto"/>
              <w:ind w:left="318" w:right="-11" w:hanging="284"/>
              <w:rPr>
                <w:rFonts w:ascii="Arial" w:hAnsi="Arial" w:cs="Arial"/>
                <w:sz w:val="16"/>
                <w:szCs w:val="16"/>
              </w:rPr>
            </w:pPr>
            <w:r w:rsidRPr="001C3B64">
              <w:rPr>
                <w:rFonts w:ascii="Arial" w:hAnsi="Arial" w:cs="Arial"/>
                <w:sz w:val="16"/>
                <w:szCs w:val="16"/>
              </w:rPr>
              <w:t>≥8000 artist engaged in report year</w:t>
            </w:r>
          </w:p>
        </w:tc>
      </w:tr>
    </w:tbl>
    <w:p w14:paraId="32A5D4CE" w14:textId="33E8DDC8" w:rsidR="00AD2EFF" w:rsidRDefault="00AD2EFF" w:rsidP="00B361CA">
      <w:pPr>
        <w:pStyle w:val="Heading2-DITRDC"/>
        <w:rPr>
          <w:b w:val="0"/>
        </w:rPr>
      </w:pPr>
      <w:r>
        <w:br w:type="page"/>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835"/>
      </w:tblGrid>
      <w:tr w:rsidR="000940F7" w:rsidRPr="00160C23" w14:paraId="419ABBF1" w14:textId="77777777" w:rsidTr="00F77694">
        <w:trPr>
          <w:trHeight w:val="258"/>
        </w:trPr>
        <w:tc>
          <w:tcPr>
            <w:tcW w:w="1560" w:type="dxa"/>
            <w:tcBorders>
              <w:top w:val="double" w:sz="4" w:space="0" w:color="auto"/>
              <w:bottom w:val="single" w:sz="4" w:space="0" w:color="auto"/>
              <w:right w:val="single" w:sz="4" w:space="0" w:color="auto"/>
            </w:tcBorders>
          </w:tcPr>
          <w:p w14:paraId="360D462A" w14:textId="77777777" w:rsidR="000940F7" w:rsidRPr="00160C23" w:rsidRDefault="000940F7" w:rsidP="00F77694">
            <w:pPr>
              <w:pStyle w:val="TableTextBase"/>
              <w:rPr>
                <w:b/>
                <w:sz w:val="16"/>
                <w:szCs w:val="16"/>
              </w:rPr>
            </w:pPr>
            <w:r>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64976B3" w14:textId="77777777" w:rsidR="000940F7" w:rsidRPr="00160C23" w:rsidRDefault="000940F7" w:rsidP="00F77694">
            <w:pPr>
              <w:pStyle w:val="TableTextBase"/>
              <w:rPr>
                <w:rFonts w:cs="Arial"/>
                <w:b/>
                <w:sz w:val="16"/>
                <w:szCs w:val="16"/>
              </w:rPr>
            </w:pPr>
            <w:r w:rsidRPr="00160C23">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3B5B88C5" w14:textId="77777777" w:rsidR="000940F7" w:rsidRPr="00160C23" w:rsidRDefault="000940F7" w:rsidP="00F77694">
            <w:pPr>
              <w:pStyle w:val="TableTextBase"/>
              <w:rPr>
                <w:rFonts w:cs="Arial"/>
                <w:b/>
                <w:sz w:val="16"/>
                <w:szCs w:val="16"/>
              </w:rPr>
            </w:pPr>
            <w:r w:rsidRPr="00BE08C4">
              <w:rPr>
                <w:rFonts w:eastAsia="Calibri" w:cs="Arial"/>
                <w:b/>
                <w:sz w:val="16"/>
                <w:szCs w:val="16"/>
                <w:lang w:eastAsia="en-US"/>
              </w:rPr>
              <w:t xml:space="preserve">Planned </w:t>
            </w:r>
            <w:r w:rsidRPr="00160C23">
              <w:rPr>
                <w:rFonts w:cs="Arial"/>
                <w:b/>
                <w:sz w:val="16"/>
                <w:szCs w:val="16"/>
              </w:rPr>
              <w:t>Performance Results</w:t>
            </w:r>
          </w:p>
        </w:tc>
      </w:tr>
      <w:tr w:rsidR="000940F7" w14:paraId="3F9629C5" w14:textId="77777777" w:rsidTr="00F77694">
        <w:trPr>
          <w:cantSplit/>
          <w:trHeight w:val="642"/>
        </w:trPr>
        <w:tc>
          <w:tcPr>
            <w:tcW w:w="1560" w:type="dxa"/>
            <w:tcBorders>
              <w:top w:val="single" w:sz="4" w:space="0" w:color="auto"/>
              <w:bottom w:val="nil"/>
              <w:right w:val="single" w:sz="4" w:space="0" w:color="auto"/>
            </w:tcBorders>
          </w:tcPr>
          <w:p w14:paraId="6828E63D" w14:textId="77777777" w:rsidR="000940F7" w:rsidRPr="001C3B64" w:rsidRDefault="000940F7" w:rsidP="00F77694">
            <w:pPr>
              <w:pStyle w:val="TableTextBase"/>
              <w:rPr>
                <w:sz w:val="16"/>
                <w:szCs w:val="16"/>
              </w:rPr>
            </w:pPr>
            <w:r w:rsidRPr="001C3B64">
              <w:rPr>
                <w:sz w:val="16"/>
                <w:szCs w:val="16"/>
              </w:rPr>
              <w:t>Forward Estimates 2023–26 cont.</w:t>
            </w:r>
          </w:p>
        </w:tc>
        <w:tc>
          <w:tcPr>
            <w:tcW w:w="3118" w:type="dxa"/>
            <w:tcBorders>
              <w:top w:val="single" w:sz="4" w:space="0" w:color="auto"/>
              <w:left w:val="single" w:sz="4" w:space="0" w:color="auto"/>
              <w:bottom w:val="single" w:sz="4" w:space="0" w:color="auto"/>
              <w:right w:val="single" w:sz="4" w:space="0" w:color="auto"/>
            </w:tcBorders>
          </w:tcPr>
          <w:p w14:paraId="04159C43" w14:textId="77777777" w:rsidR="000940F7" w:rsidRPr="001C3B64" w:rsidRDefault="000940F7" w:rsidP="00F77694">
            <w:pPr>
              <w:spacing w:before="60" w:after="60" w:line="240" w:lineRule="auto"/>
              <w:jc w:val="left"/>
              <w:rPr>
                <w:rFonts w:ascii="Arial" w:eastAsia="Calibri" w:hAnsi="Arial" w:cs="Arial"/>
                <w:sz w:val="16"/>
                <w:szCs w:val="16"/>
                <w:lang w:eastAsia="en-US"/>
              </w:rPr>
            </w:pPr>
            <w:r w:rsidRPr="001C3B64">
              <w:rPr>
                <w:rFonts w:ascii="Arial" w:eastAsia="Calibri" w:hAnsi="Arial" w:cs="Arial"/>
                <w:sz w:val="16"/>
                <w:szCs w:val="16"/>
                <w:lang w:eastAsia="en-US"/>
              </w:rPr>
              <w:t>Repatriation activities that support:</w:t>
            </w:r>
          </w:p>
          <w:p w14:paraId="4C18719C" w14:textId="77777777" w:rsidR="000940F7" w:rsidRPr="001C3B64" w:rsidRDefault="000940F7" w:rsidP="009E60A3">
            <w:pPr>
              <w:pStyle w:val="ListParagraph"/>
              <w:numPr>
                <w:ilvl w:val="0"/>
                <w:numId w:val="236"/>
              </w:numPr>
              <w:spacing w:before="60" w:after="60" w:line="240" w:lineRule="auto"/>
              <w:ind w:left="284" w:hanging="284"/>
              <w:rPr>
                <w:rFonts w:ascii="Arial" w:hAnsi="Arial" w:cs="Arial"/>
                <w:sz w:val="16"/>
                <w:szCs w:val="16"/>
              </w:rPr>
            </w:pPr>
            <w:r w:rsidRPr="001C3B64">
              <w:rPr>
                <w:rFonts w:ascii="Arial" w:hAnsi="Arial" w:cs="Arial"/>
                <w:sz w:val="16"/>
                <w:szCs w:val="16"/>
              </w:rPr>
              <w:t>securing new international agreements and facilitation of the repatriation of Aboriginal and Torres Strait Islander ancestral remains (ancestors)</w:t>
            </w:r>
          </w:p>
          <w:p w14:paraId="60CB3B25" w14:textId="77777777" w:rsidR="000940F7" w:rsidRPr="001C3B64" w:rsidRDefault="000940F7" w:rsidP="009E60A3">
            <w:pPr>
              <w:pStyle w:val="TableTextBase"/>
              <w:numPr>
                <w:ilvl w:val="0"/>
                <w:numId w:val="236"/>
              </w:numPr>
              <w:ind w:left="284" w:hanging="284"/>
              <w:rPr>
                <w:rFonts w:eastAsia="Calibri" w:cs="Arial"/>
                <w:iCs/>
                <w:sz w:val="16"/>
                <w:szCs w:val="16"/>
                <w:lang w:eastAsia="en-US"/>
              </w:rPr>
            </w:pPr>
            <w:r w:rsidRPr="001C3B64">
              <w:rPr>
                <w:rFonts w:eastAsia="Calibri" w:cs="Arial"/>
                <w:sz w:val="16"/>
                <w:szCs w:val="16"/>
                <w:lang w:eastAsia="en-US"/>
              </w:rPr>
              <w:t>funding agreements executed under the Indigenous Repatriation Program – Museum Grants and facilitation of the repatriation of ancestors and secret sacred objects</w:t>
            </w:r>
          </w:p>
        </w:tc>
        <w:tc>
          <w:tcPr>
            <w:tcW w:w="2835" w:type="dxa"/>
            <w:tcBorders>
              <w:top w:val="single" w:sz="4" w:space="0" w:color="auto"/>
              <w:left w:val="single" w:sz="4" w:space="0" w:color="auto"/>
              <w:bottom w:val="single" w:sz="4" w:space="0" w:color="auto"/>
            </w:tcBorders>
          </w:tcPr>
          <w:p w14:paraId="6FA8F399"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Activities are responsive to domestic and international negotiations</w:t>
            </w:r>
          </w:p>
        </w:tc>
      </w:tr>
      <w:tr w:rsidR="000940F7" w14:paraId="5E828951" w14:textId="77777777" w:rsidTr="00F77694">
        <w:trPr>
          <w:cantSplit/>
          <w:trHeight w:val="642"/>
        </w:trPr>
        <w:tc>
          <w:tcPr>
            <w:tcW w:w="1560" w:type="dxa"/>
            <w:tcBorders>
              <w:top w:val="nil"/>
              <w:bottom w:val="nil"/>
              <w:right w:val="single" w:sz="4" w:space="0" w:color="auto"/>
            </w:tcBorders>
          </w:tcPr>
          <w:p w14:paraId="7ECD47B3"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44495C4" w14:textId="77777777" w:rsidR="000940F7" w:rsidRPr="00F4063B" w:rsidRDefault="000940F7" w:rsidP="00F77694">
            <w:pPr>
              <w:spacing w:before="60" w:after="60" w:line="240" w:lineRule="auto"/>
              <w:jc w:val="left"/>
              <w:rPr>
                <w:rFonts w:ascii="Arial" w:eastAsia="Calibri" w:hAnsi="Arial" w:cs="Arial"/>
                <w:sz w:val="16"/>
                <w:szCs w:val="16"/>
                <w:lang w:eastAsia="en-US"/>
              </w:rPr>
            </w:pPr>
            <w:r w:rsidRPr="00F4063B">
              <w:rPr>
                <w:rFonts w:ascii="Arial" w:eastAsia="Calibri" w:hAnsi="Arial" w:cs="Arial"/>
                <w:sz w:val="16"/>
                <w:szCs w:val="16"/>
                <w:lang w:eastAsia="en-US"/>
              </w:rPr>
              <w:t>Impact of our arts and cultural activities to support regional access and participation, indicated through:</w:t>
            </w:r>
          </w:p>
          <w:p w14:paraId="76323DDE" w14:textId="77777777" w:rsidR="000940F7" w:rsidRDefault="000940F7" w:rsidP="009E60A3">
            <w:pPr>
              <w:pStyle w:val="ListParagraph"/>
              <w:numPr>
                <w:ilvl w:val="0"/>
                <w:numId w:val="238"/>
              </w:numPr>
              <w:spacing w:before="60" w:after="60" w:line="240" w:lineRule="auto"/>
              <w:ind w:left="284" w:hanging="284"/>
              <w:rPr>
                <w:rFonts w:ascii="Arial" w:hAnsi="Arial" w:cs="Arial"/>
                <w:sz w:val="16"/>
                <w:szCs w:val="16"/>
              </w:rPr>
            </w:pPr>
            <w:r w:rsidRPr="001C3B64">
              <w:rPr>
                <w:rFonts w:ascii="Arial" w:hAnsi="Arial" w:cs="Arial"/>
                <w:sz w:val="16"/>
                <w:szCs w:val="16"/>
              </w:rPr>
              <w:t>projected audience numbers/ participants involved with funded projects</w:t>
            </w:r>
          </w:p>
          <w:p w14:paraId="007C5A4C" w14:textId="77777777" w:rsidR="000940F7" w:rsidRPr="001C3B64" w:rsidRDefault="000940F7" w:rsidP="009E60A3">
            <w:pPr>
              <w:pStyle w:val="ListParagraph"/>
              <w:numPr>
                <w:ilvl w:val="0"/>
                <w:numId w:val="238"/>
              </w:numPr>
              <w:spacing w:before="60" w:after="60" w:line="240" w:lineRule="auto"/>
              <w:ind w:left="284" w:hanging="284"/>
              <w:rPr>
                <w:rFonts w:ascii="Arial" w:hAnsi="Arial" w:cs="Arial"/>
                <w:sz w:val="16"/>
                <w:szCs w:val="16"/>
              </w:rPr>
            </w:pPr>
            <w:r w:rsidRPr="001C3B64">
              <w:rPr>
                <w:rFonts w:ascii="Arial" w:hAnsi="Arial" w:cs="Arial"/>
                <w:sz w:val="16"/>
                <w:szCs w:val="16"/>
              </w:rPr>
              <w:t>number of regional/remote locations that hosted funded projects</w:t>
            </w:r>
          </w:p>
        </w:tc>
        <w:tc>
          <w:tcPr>
            <w:tcW w:w="2835" w:type="dxa"/>
            <w:tcBorders>
              <w:top w:val="single" w:sz="4" w:space="0" w:color="auto"/>
              <w:left w:val="single" w:sz="4" w:space="0" w:color="auto"/>
              <w:bottom w:val="single" w:sz="4" w:space="0" w:color="auto"/>
            </w:tcBorders>
          </w:tcPr>
          <w:p w14:paraId="3DA0D7C6" w14:textId="77777777" w:rsidR="000940F7" w:rsidRPr="001C3B64" w:rsidRDefault="000940F7" w:rsidP="00F77694">
            <w:pPr>
              <w:spacing w:before="60" w:after="60" w:line="240" w:lineRule="auto"/>
              <w:ind w:right="-12"/>
              <w:jc w:val="left"/>
              <w:rPr>
                <w:rFonts w:ascii="Arial" w:eastAsia="Calibri" w:hAnsi="Arial" w:cs="Arial"/>
                <w:sz w:val="16"/>
                <w:szCs w:val="16"/>
                <w:lang w:eastAsia="en-US"/>
              </w:rPr>
            </w:pPr>
            <w:r w:rsidRPr="001C3B64">
              <w:rPr>
                <w:rFonts w:ascii="Arial" w:eastAsia="Calibri" w:hAnsi="Arial" w:cs="Arial"/>
                <w:sz w:val="16"/>
                <w:szCs w:val="16"/>
                <w:lang w:eastAsia="en-US"/>
              </w:rPr>
              <w:t>2021–22 was the first year of data capture. It is not envisaged that the numbers will increase each year, given the variety of projects funded and that the programs are competitive grant programs</w:t>
            </w:r>
          </w:p>
        </w:tc>
      </w:tr>
      <w:tr w:rsidR="000940F7" w14:paraId="23009345" w14:textId="77777777" w:rsidTr="00F77694">
        <w:trPr>
          <w:cantSplit/>
          <w:trHeight w:val="642"/>
        </w:trPr>
        <w:tc>
          <w:tcPr>
            <w:tcW w:w="1560" w:type="dxa"/>
            <w:tcBorders>
              <w:top w:val="nil"/>
              <w:bottom w:val="single" w:sz="4" w:space="0" w:color="auto"/>
              <w:right w:val="single" w:sz="4" w:space="0" w:color="auto"/>
            </w:tcBorders>
          </w:tcPr>
          <w:p w14:paraId="50DACB2E" w14:textId="77777777" w:rsidR="000940F7" w:rsidRPr="00160C23" w:rsidRDefault="000940F7" w:rsidP="00F7769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4B18CFB" w14:textId="77777777" w:rsidR="000940F7" w:rsidRPr="001C3B64" w:rsidRDefault="000940F7" w:rsidP="00F77694">
            <w:pPr>
              <w:spacing w:before="60" w:after="60" w:line="240" w:lineRule="auto"/>
              <w:jc w:val="left"/>
              <w:rPr>
                <w:rFonts w:ascii="Arial" w:eastAsia="Calibri" w:hAnsi="Arial" w:cs="Arial"/>
                <w:i/>
                <w:sz w:val="16"/>
                <w:szCs w:val="16"/>
                <w:lang w:eastAsia="en-US"/>
              </w:rPr>
            </w:pPr>
            <w:r w:rsidRPr="001C3B64">
              <w:rPr>
                <w:rFonts w:ascii="Arial" w:eastAsia="Calibri" w:hAnsi="Arial" w:cs="Arial"/>
                <w:i/>
                <w:sz w:val="16"/>
                <w:szCs w:val="16"/>
                <w:lang w:eastAsia="en-US"/>
              </w:rPr>
              <w:t>Effectiveness of the current Australian content, copyright and classification frameworks</w:t>
            </w:r>
          </w:p>
        </w:tc>
        <w:tc>
          <w:tcPr>
            <w:tcW w:w="2835" w:type="dxa"/>
            <w:tcBorders>
              <w:top w:val="single" w:sz="4" w:space="0" w:color="auto"/>
              <w:left w:val="single" w:sz="4" w:space="0" w:color="auto"/>
              <w:bottom w:val="single" w:sz="4" w:space="0" w:color="auto"/>
            </w:tcBorders>
          </w:tcPr>
          <w:p w14:paraId="5A7A8141" w14:textId="77777777" w:rsidR="000940F7" w:rsidRPr="00516688" w:rsidRDefault="000940F7" w:rsidP="00F77694">
            <w:pPr>
              <w:spacing w:before="60" w:after="60" w:line="240" w:lineRule="auto"/>
              <w:ind w:right="-12"/>
              <w:jc w:val="left"/>
              <w:rPr>
                <w:rFonts w:ascii="Arial" w:eastAsia="Calibri" w:hAnsi="Arial" w:cs="Arial"/>
                <w:sz w:val="16"/>
                <w:szCs w:val="16"/>
                <w:lang w:eastAsia="en-US"/>
              </w:rPr>
            </w:pPr>
            <w:r w:rsidRPr="00516688">
              <w:rPr>
                <w:rFonts w:ascii="Arial" w:eastAsia="Calibri" w:hAnsi="Arial" w:cs="Arial"/>
                <w:sz w:val="16"/>
                <w:szCs w:val="16"/>
                <w:lang w:eastAsia="en-US"/>
              </w:rPr>
              <w:t>Reporting in each financial year shows frameworks are effective, based on:</w:t>
            </w:r>
          </w:p>
          <w:p w14:paraId="28BD6F0F" w14:textId="77777777" w:rsidR="000940F7" w:rsidRPr="00516688" w:rsidRDefault="000940F7" w:rsidP="009E60A3">
            <w:pPr>
              <w:pStyle w:val="ListParagraph"/>
              <w:numPr>
                <w:ilvl w:val="0"/>
                <w:numId w:val="237"/>
              </w:numPr>
              <w:spacing w:before="60" w:after="60" w:line="240" w:lineRule="auto"/>
              <w:ind w:left="318" w:right="-11" w:hanging="284"/>
              <w:rPr>
                <w:rFonts w:ascii="Arial" w:hAnsi="Arial" w:cs="Arial"/>
                <w:sz w:val="16"/>
                <w:szCs w:val="16"/>
              </w:rPr>
            </w:pPr>
            <w:r w:rsidRPr="00516688">
              <w:rPr>
                <w:rFonts w:ascii="Arial" w:hAnsi="Arial" w:cs="Arial"/>
                <w:sz w:val="16"/>
                <w:szCs w:val="16"/>
              </w:rPr>
              <w:t>Australian content quota compliance and the existence of public data on Australian content available on streaming video on demand services</w:t>
            </w:r>
          </w:p>
          <w:p w14:paraId="065A6121" w14:textId="77777777" w:rsidR="000940F7" w:rsidRPr="00516688" w:rsidRDefault="000940F7" w:rsidP="009E60A3">
            <w:pPr>
              <w:pStyle w:val="ListParagraph"/>
              <w:numPr>
                <w:ilvl w:val="0"/>
                <w:numId w:val="237"/>
              </w:numPr>
              <w:spacing w:before="60" w:after="60" w:line="240" w:lineRule="auto"/>
              <w:ind w:left="318" w:right="-11" w:hanging="284"/>
              <w:rPr>
                <w:rFonts w:ascii="Arial" w:hAnsi="Arial" w:cs="Arial"/>
                <w:sz w:val="16"/>
                <w:szCs w:val="16"/>
              </w:rPr>
            </w:pPr>
            <w:r w:rsidRPr="00516688">
              <w:rPr>
                <w:rFonts w:ascii="Arial" w:hAnsi="Arial" w:cs="Arial"/>
                <w:sz w:val="16"/>
                <w:szCs w:val="16"/>
              </w:rPr>
              <w:t>amount of copyright distributions paid to creators by the copyright collecting societies and annual Consumer Survey on Online Copyright Infringement</w:t>
            </w:r>
          </w:p>
          <w:p w14:paraId="544CD7D3" w14:textId="77777777" w:rsidR="000940F7" w:rsidRPr="00516688" w:rsidRDefault="000940F7" w:rsidP="009E60A3">
            <w:pPr>
              <w:pStyle w:val="ListParagraph"/>
              <w:numPr>
                <w:ilvl w:val="0"/>
                <w:numId w:val="237"/>
              </w:numPr>
              <w:spacing w:before="60" w:after="60" w:line="240" w:lineRule="auto"/>
              <w:ind w:left="318" w:right="-11" w:hanging="284"/>
              <w:rPr>
                <w:rFonts w:ascii="Arial" w:hAnsi="Arial" w:cs="Arial"/>
                <w:sz w:val="16"/>
                <w:szCs w:val="16"/>
              </w:rPr>
            </w:pPr>
            <w:r w:rsidRPr="00516688">
              <w:rPr>
                <w:rFonts w:ascii="Arial" w:hAnsi="Arial" w:cs="Arial"/>
                <w:sz w:val="16"/>
                <w:szCs w:val="16"/>
              </w:rPr>
              <w:t>100% of Classification decisions by the Classification Board and Classification Review Board made and published on the National Classification Database within statutory timeframes</w:t>
            </w:r>
          </w:p>
        </w:tc>
      </w:tr>
    </w:tbl>
    <w:p w14:paraId="41E1C817" w14:textId="77777777" w:rsidR="000940F7" w:rsidRDefault="000940F7" w:rsidP="000940F7">
      <w:pPr>
        <w:pStyle w:val="ChartandTableFootnoteAlpha"/>
        <w:numPr>
          <w:ilvl w:val="0"/>
          <w:numId w:val="0"/>
        </w:numPr>
        <w:spacing w:before="60"/>
        <w:ind w:left="284" w:hanging="284"/>
      </w:pPr>
      <w:r w:rsidRPr="001B2F81">
        <w:t xml:space="preserve">New or modified performance </w:t>
      </w:r>
      <w:r w:rsidRPr="00E12264">
        <w:t>measures</w:t>
      </w:r>
      <w:r w:rsidRPr="001B2F81">
        <w:t xml:space="preserve"> that reflect new or materially changed programs are shown in </w:t>
      </w:r>
      <w:r w:rsidRPr="00E824FB">
        <w:rPr>
          <w:i/>
        </w:rPr>
        <w:t>italics</w:t>
      </w:r>
      <w:r w:rsidRPr="005B6A94">
        <w:t>.</w:t>
      </w:r>
      <w:r w:rsidRPr="001B2F81">
        <w:t xml:space="preserve"> </w:t>
      </w:r>
    </w:p>
    <w:p w14:paraId="0DC5FB17" w14:textId="77777777" w:rsidR="000940F7" w:rsidRPr="00CE7F37" w:rsidRDefault="000940F7" w:rsidP="004F6389">
      <w:pPr>
        <w:pStyle w:val="ListParagraph"/>
        <w:numPr>
          <w:ilvl w:val="0"/>
          <w:numId w:val="58"/>
        </w:numPr>
        <w:spacing w:before="60" w:after="0" w:line="240" w:lineRule="auto"/>
        <w:ind w:left="284" w:hanging="284"/>
        <w:rPr>
          <w:rFonts w:ascii="Arial" w:hAnsi="Arial" w:cs="Arial"/>
          <w:sz w:val="16"/>
          <w:szCs w:val="16"/>
        </w:rPr>
      </w:pPr>
      <w:r w:rsidRPr="00CE7F37">
        <w:rPr>
          <w:rFonts w:ascii="Arial" w:hAnsi="Arial" w:cs="Arial"/>
          <w:sz w:val="16"/>
          <w:szCs w:val="16"/>
        </w:rPr>
        <w:t>2021–22 key activity ‘Provide policy advice and operational support to the classification regulatory framework’ referenced in the 2021–22 Corporate Plan, deleted.</w:t>
      </w:r>
    </w:p>
    <w:p w14:paraId="7F3E67EF" w14:textId="77777777" w:rsidR="000940F7" w:rsidRDefault="000940F7" w:rsidP="004F6389">
      <w:pPr>
        <w:pStyle w:val="ListParagraph"/>
        <w:numPr>
          <w:ilvl w:val="0"/>
          <w:numId w:val="58"/>
        </w:numPr>
        <w:spacing w:after="0" w:line="240" w:lineRule="auto"/>
        <w:ind w:left="284" w:hanging="284"/>
        <w:rPr>
          <w:rFonts w:ascii="Arial" w:hAnsi="Arial" w:cs="Arial"/>
          <w:sz w:val="16"/>
          <w:szCs w:val="16"/>
        </w:rPr>
      </w:pPr>
      <w:r w:rsidRPr="00CE7F37">
        <w:rPr>
          <w:rFonts w:ascii="Arial" w:hAnsi="Arial" w:cs="Arial"/>
          <w:sz w:val="16"/>
          <w:szCs w:val="16"/>
        </w:rPr>
        <w:t>Refers to updated key activity that will be reflected in the 2022–23 Corporate Plan.</w:t>
      </w:r>
    </w:p>
    <w:p w14:paraId="18264013" w14:textId="77777777" w:rsidR="000940F7" w:rsidRDefault="000940F7" w:rsidP="004F6389">
      <w:pPr>
        <w:pStyle w:val="ListParagraph"/>
        <w:numPr>
          <w:ilvl w:val="0"/>
          <w:numId w:val="58"/>
        </w:numPr>
        <w:spacing w:after="0" w:line="240" w:lineRule="auto"/>
        <w:ind w:left="284" w:hanging="284"/>
        <w:rPr>
          <w:rFonts w:ascii="Arial" w:hAnsi="Arial" w:cs="Arial"/>
          <w:sz w:val="16"/>
          <w:szCs w:val="16"/>
        </w:rPr>
      </w:pPr>
      <w:r w:rsidRPr="00792D7C">
        <w:rPr>
          <w:rFonts w:ascii="Arial" w:hAnsi="Arial" w:cs="Arial"/>
          <w:sz w:val="16"/>
          <w:szCs w:val="16"/>
        </w:rPr>
        <w:t>Final reporting period for this measure. Further details will be included in the 2022–23 Corporate Plan.</w:t>
      </w:r>
    </w:p>
    <w:p w14:paraId="0E74E34F" w14:textId="6FA50323" w:rsidR="000940F7" w:rsidRPr="000902BD" w:rsidRDefault="000940F7" w:rsidP="004F6389">
      <w:pPr>
        <w:pStyle w:val="ListParagraph"/>
        <w:numPr>
          <w:ilvl w:val="0"/>
          <w:numId w:val="58"/>
        </w:numPr>
        <w:spacing w:after="0" w:line="240" w:lineRule="auto"/>
        <w:ind w:left="284" w:hanging="284"/>
        <w:rPr>
          <w:rFonts w:ascii="Arial" w:hAnsi="Arial" w:cs="Arial"/>
          <w:sz w:val="16"/>
          <w:szCs w:val="16"/>
        </w:rPr>
      </w:pPr>
      <w:r w:rsidRPr="00792D7C">
        <w:rPr>
          <w:rFonts w:ascii="Arial" w:hAnsi="Arial" w:cs="Arial"/>
          <w:sz w:val="16"/>
        </w:rPr>
        <w:t>This 2022–23 measure combines two 2021–22 measures</w:t>
      </w:r>
      <w:r w:rsidR="00807D41">
        <w:rPr>
          <w:rFonts w:ascii="Arial" w:hAnsi="Arial" w:cs="Arial"/>
          <w:sz w:val="16"/>
        </w:rPr>
        <w:t>.</w:t>
      </w:r>
      <w:r w:rsidRPr="00792D7C">
        <w:t xml:space="preserve"> </w:t>
      </w:r>
    </w:p>
    <w:p w14:paraId="068EB363" w14:textId="77777777" w:rsidR="004F6389" w:rsidRPr="004F6389" w:rsidRDefault="000940F7" w:rsidP="000F0CD3">
      <w:pPr>
        <w:pStyle w:val="ListParagraph"/>
        <w:numPr>
          <w:ilvl w:val="0"/>
          <w:numId w:val="58"/>
        </w:numPr>
        <w:spacing w:after="0" w:line="240" w:lineRule="auto"/>
        <w:ind w:left="284" w:hanging="284"/>
        <w:rPr>
          <w:rFonts w:ascii="Arial" w:hAnsi="Arial" w:cs="Arial"/>
          <w:sz w:val="16"/>
          <w:szCs w:val="14"/>
        </w:rPr>
      </w:pPr>
      <w:r w:rsidRPr="004F6389">
        <w:rPr>
          <w:rFonts w:ascii="Arial" w:hAnsi="Arial" w:cs="Arial"/>
          <w:sz w:val="16"/>
        </w:rPr>
        <w:t>This 2022–23 measure combines three 2021–22 measures</w:t>
      </w:r>
      <w:r w:rsidR="00807D41" w:rsidRPr="004F6389">
        <w:rPr>
          <w:rFonts w:ascii="Arial" w:hAnsi="Arial" w:cs="Arial"/>
          <w:sz w:val="16"/>
        </w:rPr>
        <w:t>.</w:t>
      </w:r>
      <w:r w:rsidRPr="00792D7C">
        <w:t xml:space="preserve"> </w:t>
      </w:r>
    </w:p>
    <w:p w14:paraId="1BF63494" w14:textId="10256B36" w:rsidR="000940F7" w:rsidRPr="004F6389" w:rsidRDefault="000940F7" w:rsidP="000F0CD3">
      <w:pPr>
        <w:pStyle w:val="ListParagraph"/>
        <w:numPr>
          <w:ilvl w:val="0"/>
          <w:numId w:val="58"/>
        </w:numPr>
        <w:spacing w:after="0" w:line="240" w:lineRule="auto"/>
        <w:ind w:left="284" w:hanging="284"/>
        <w:rPr>
          <w:rFonts w:ascii="Arial" w:hAnsi="Arial" w:cs="Arial"/>
          <w:sz w:val="16"/>
          <w:szCs w:val="14"/>
        </w:rPr>
      </w:pPr>
      <w:r w:rsidRPr="004F6389">
        <w:rPr>
          <w:rFonts w:ascii="Arial" w:hAnsi="Arial" w:cs="Arial"/>
          <w:sz w:val="16"/>
          <w:szCs w:val="14"/>
        </w:rPr>
        <w:t>This measure is linked to Program 5.1 Digital Technologies and Communications Services and Program 6.1 Arts and Cultural Development.</w:t>
      </w:r>
    </w:p>
    <w:p w14:paraId="1A14B8DD" w14:textId="45A6FF88" w:rsidR="00B91F3E" w:rsidRPr="00792D7C" w:rsidRDefault="00B91F3E" w:rsidP="000B0083">
      <w:pPr>
        <w:pStyle w:val="Heading2-DITRDC"/>
        <w:rPr>
          <w:rFonts w:ascii="Arial" w:hAnsi="Arial" w:cs="Arial"/>
          <w:sz w:val="16"/>
          <w:szCs w:val="16"/>
        </w:rPr>
      </w:pPr>
      <w:r w:rsidRPr="005B6A94">
        <w:br w:type="page"/>
      </w:r>
      <w:bookmarkStart w:id="44" w:name="_Toc99295954"/>
      <w:r w:rsidRPr="00AD42E2">
        <w:lastRenderedPageBreak/>
        <w:t>Section 3: Budgeted financial statements</w:t>
      </w:r>
      <w:bookmarkEnd w:id="30"/>
      <w:bookmarkEnd w:id="44"/>
    </w:p>
    <w:p w14:paraId="2804C87C" w14:textId="2DD5601B" w:rsidR="00B91F3E" w:rsidRPr="00EA3911" w:rsidRDefault="00B91F3E" w:rsidP="00B91F3E">
      <w:pPr>
        <w:jc w:val="left"/>
      </w:pPr>
      <w:r w:rsidRPr="00EA3911">
        <w:t xml:space="preserve">Section 3 presents budgeted financial statements which provide a comprehensive snapshot of </w:t>
      </w:r>
      <w:r w:rsidR="00EA3911" w:rsidRPr="00EA3911">
        <w:t xml:space="preserve">the </w:t>
      </w:r>
      <w:r w:rsidR="003C4CC6">
        <w:t>Department</w:t>
      </w:r>
      <w:r w:rsidR="00EA3911" w:rsidRPr="00EA3911">
        <w:t>’s</w:t>
      </w:r>
      <w:r w:rsidRPr="00EA3911">
        <w:t xml:space="preserve"> finances for the 2022-23 </w:t>
      </w:r>
      <w:r w:rsidR="00EA3911" w:rsidRPr="00EA3911">
        <w:t>B</w:t>
      </w:r>
      <w:r w:rsidRPr="00EA3911">
        <w:t>udget year, including the impact of budget measures and resourcing on financial statements.</w:t>
      </w:r>
    </w:p>
    <w:p w14:paraId="5A8BFA7D" w14:textId="77777777" w:rsidR="00B91F3E" w:rsidRPr="005328A9" w:rsidRDefault="00B91F3E" w:rsidP="00B91F3E">
      <w:pPr>
        <w:pStyle w:val="Heading3-DITRDC"/>
      </w:pPr>
      <w:bookmarkStart w:id="45" w:name="_Toc190682317"/>
      <w:bookmarkStart w:id="46" w:name="_Toc444523517"/>
      <w:bookmarkStart w:id="47" w:name="_Toc99295955"/>
      <w:r w:rsidRPr="005328A9">
        <w:t>3.1</w:t>
      </w:r>
      <w:r w:rsidRPr="005328A9">
        <w:tab/>
        <w:t>Budgeted financial statements</w:t>
      </w:r>
      <w:bookmarkEnd w:id="47"/>
    </w:p>
    <w:p w14:paraId="47156527" w14:textId="77777777" w:rsidR="00B91F3E" w:rsidRDefault="00B91F3E" w:rsidP="00B91F3E">
      <w:pPr>
        <w:pStyle w:val="Heading4"/>
      </w:pPr>
      <w:r>
        <w:t>3.1.1</w:t>
      </w:r>
      <w:r>
        <w:tab/>
        <w:t>Explanatory notes and analysis of budgeted financial statements</w:t>
      </w:r>
    </w:p>
    <w:p w14:paraId="573AADB3" w14:textId="0CBCF209" w:rsidR="00A035A3" w:rsidRPr="00A035A3" w:rsidRDefault="003C4CC6" w:rsidP="00A035A3">
      <w:r>
        <w:rPr>
          <w:b/>
          <w:bCs/>
        </w:rPr>
        <w:t>Department</w:t>
      </w:r>
      <w:r w:rsidR="00A035A3" w:rsidRPr="00A035A3">
        <w:rPr>
          <w:b/>
          <w:bCs/>
        </w:rPr>
        <w:t>al</w:t>
      </w:r>
    </w:p>
    <w:p w14:paraId="4109835E" w14:textId="1712E5F9" w:rsidR="00A035A3" w:rsidRDefault="00A035A3" w:rsidP="00A035A3">
      <w:pPr>
        <w:jc w:val="left"/>
      </w:pPr>
      <w:r w:rsidRPr="00A035A3">
        <w:t xml:space="preserve">The </w:t>
      </w:r>
      <w:r w:rsidR="003C4CC6">
        <w:t>Department</w:t>
      </w:r>
      <w:r w:rsidRPr="00A035A3">
        <w:t xml:space="preserve"> is budgeting to break even in 2022-23 and the forward estimates, after adjusting for depreciation and amortisation expenses, and adjustments for leases.</w:t>
      </w:r>
    </w:p>
    <w:p w14:paraId="4B0D43EB" w14:textId="499E13FC" w:rsidR="00AF3F8B" w:rsidRPr="00AF3F8B" w:rsidRDefault="00AF3F8B" w:rsidP="00AF3F8B">
      <w:pPr>
        <w:rPr>
          <w:rFonts w:ascii="Calibri" w:hAnsi="Calibri"/>
        </w:rPr>
      </w:pPr>
      <w:r w:rsidRPr="00AF3F8B">
        <w:t>Expenses and revenue from government have increased since the 2021-22 Portfolio Additional Estimates Statements (PAES) due to new measures in the 2022-23 Budget (including measures with 2021-22 funding) and indexation.</w:t>
      </w:r>
    </w:p>
    <w:p w14:paraId="475C6CC5" w14:textId="77777777" w:rsidR="00A035A3" w:rsidRPr="00A035A3" w:rsidRDefault="00A035A3" w:rsidP="00A035A3">
      <w:pPr>
        <w:jc w:val="left"/>
      </w:pPr>
      <w:r w:rsidRPr="00A035A3">
        <w:t>The Comprehensive Income Statement (showing net cost of services) for the periods ended 30 June (Table 3.1) reflects the impacts of these changes.</w:t>
      </w:r>
    </w:p>
    <w:p w14:paraId="1A5ADCCB" w14:textId="77777777" w:rsidR="00A035A3" w:rsidRPr="00A035A3" w:rsidRDefault="00A035A3" w:rsidP="00A035A3">
      <w:pPr>
        <w:rPr>
          <w:b/>
          <w:bCs/>
        </w:rPr>
      </w:pPr>
      <w:r w:rsidRPr="00A035A3">
        <w:rPr>
          <w:b/>
          <w:bCs/>
        </w:rPr>
        <w:t>Administered</w:t>
      </w:r>
    </w:p>
    <w:p w14:paraId="4B8F2AB2" w14:textId="281B79C6" w:rsidR="00A035A3" w:rsidRPr="00A035A3" w:rsidRDefault="00A035A3" w:rsidP="00A035A3">
      <w:r w:rsidRPr="00A035A3">
        <w:t xml:space="preserve">Administered Expenses have increased since the 2021-22 </w:t>
      </w:r>
      <w:r w:rsidR="003C4CC6">
        <w:t>Portfolio</w:t>
      </w:r>
      <w:r w:rsidRPr="00A035A3">
        <w:t xml:space="preserve"> Additional Estimates Statements (PAES) due to new measures in the 2022-23 Budget (including measures with 2021-22 funding) and indexation. Further details on measures can be found in the 2022-23 measures table (Table 1.2).</w:t>
      </w:r>
    </w:p>
    <w:p w14:paraId="328A65DF" w14:textId="77777777" w:rsidR="00A035A3" w:rsidRPr="00A035A3" w:rsidRDefault="00A035A3" w:rsidP="00A035A3">
      <w:r w:rsidRPr="00A035A3">
        <w:t>The Schedule of Budgeted Income and Expenses administered on behalf of Government for the periods ended 30 June (Table 3.7) reflects the impact of these changes.</w:t>
      </w:r>
    </w:p>
    <w:p w14:paraId="2BE94930" w14:textId="1F99F27E" w:rsidR="00B91F3E" w:rsidRPr="009F02DD" w:rsidRDefault="00B91F3E" w:rsidP="00B91F3E">
      <w:pPr>
        <w:pStyle w:val="Heading3-DITRDC"/>
        <w:rPr>
          <w:b w:val="0"/>
        </w:rPr>
      </w:pPr>
      <w:r w:rsidRPr="00A035A3">
        <w:br w:type="page"/>
      </w:r>
      <w:bookmarkStart w:id="48" w:name="_Toc99295956"/>
      <w:bookmarkStart w:id="49" w:name="_GoBack"/>
      <w:bookmarkEnd w:id="49"/>
      <w:r w:rsidRPr="009F02DD">
        <w:rPr>
          <w:b w:val="0"/>
        </w:rPr>
        <w:lastRenderedPageBreak/>
        <w:t>3</w:t>
      </w:r>
      <w:r w:rsidRPr="009F02DD">
        <w:t>.2</w:t>
      </w:r>
      <w:r w:rsidRPr="009F02DD">
        <w:tab/>
        <w:t>Budgeted financial statements tables</w:t>
      </w:r>
      <w:bookmarkEnd w:id="48"/>
    </w:p>
    <w:p w14:paraId="2FA97A2D" w14:textId="77777777" w:rsidR="00B91F3E" w:rsidRPr="00815B06" w:rsidRDefault="00B91F3E" w:rsidP="00B91F3E">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0" w:type="auto"/>
        <w:tblLayout w:type="fixed"/>
        <w:tblLook w:val="04A0" w:firstRow="1" w:lastRow="0" w:firstColumn="1" w:lastColumn="0" w:noHBand="0" w:noVBand="1"/>
      </w:tblPr>
      <w:tblGrid>
        <w:gridCol w:w="3140"/>
        <w:gridCol w:w="928"/>
        <w:gridCol w:w="901"/>
        <w:gridCol w:w="901"/>
        <w:gridCol w:w="901"/>
        <w:gridCol w:w="901"/>
      </w:tblGrid>
      <w:tr w:rsidR="00B91F3E" w:rsidRPr="00794E3C" w14:paraId="19D187CA" w14:textId="77777777" w:rsidTr="00F96D8A">
        <w:trPr>
          <w:trHeight w:val="204"/>
        </w:trPr>
        <w:tc>
          <w:tcPr>
            <w:tcW w:w="3140" w:type="dxa"/>
            <w:tcBorders>
              <w:top w:val="single" w:sz="4" w:space="0" w:color="auto"/>
              <w:left w:val="nil"/>
              <w:bottom w:val="nil"/>
              <w:right w:val="nil"/>
            </w:tcBorders>
            <w:shd w:val="clear" w:color="auto" w:fill="auto"/>
            <w:noWrap/>
            <w:vAlign w:val="bottom"/>
            <w:hideMark/>
          </w:tcPr>
          <w:p w14:paraId="13C0CB9E" w14:textId="77777777" w:rsidR="00B91F3E" w:rsidRPr="00794E3C" w:rsidRDefault="00B91F3E" w:rsidP="00F96D8A">
            <w:pPr>
              <w:spacing w:after="0" w:line="240" w:lineRule="auto"/>
              <w:jc w:val="left"/>
              <w:rPr>
                <w:rFonts w:ascii="Arial" w:hAnsi="Arial" w:cs="Arial"/>
                <w:b/>
                <w:bCs/>
                <w:sz w:val="16"/>
                <w:szCs w:val="16"/>
              </w:rPr>
            </w:pPr>
            <w:r w:rsidRPr="00794E3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65039DF" w14:textId="77777777" w:rsidR="00B91F3E" w:rsidRPr="00794E3C" w:rsidRDefault="00B91F3E" w:rsidP="00F96D8A">
            <w:pPr>
              <w:spacing w:after="0" w:line="240" w:lineRule="auto"/>
              <w:jc w:val="right"/>
              <w:rPr>
                <w:rFonts w:ascii="Arial" w:hAnsi="Arial" w:cs="Arial"/>
                <w:sz w:val="16"/>
                <w:szCs w:val="16"/>
              </w:rPr>
            </w:pPr>
            <w:r w:rsidRPr="00794E3C">
              <w:rPr>
                <w:rFonts w:ascii="Arial" w:hAnsi="Arial" w:cs="Arial"/>
                <w:sz w:val="16"/>
                <w:szCs w:val="16"/>
              </w:rPr>
              <w:t>2021-22</w:t>
            </w:r>
            <w:r w:rsidRPr="00794E3C">
              <w:rPr>
                <w:rFonts w:ascii="Arial" w:hAnsi="Arial" w:cs="Arial"/>
                <w:sz w:val="16"/>
                <w:szCs w:val="16"/>
              </w:rPr>
              <w:br/>
              <w:t>Estimated actual</w:t>
            </w:r>
            <w:r w:rsidRPr="00794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bottom"/>
            <w:hideMark/>
          </w:tcPr>
          <w:p w14:paraId="2EC9192C" w14:textId="77777777" w:rsidR="00B91F3E" w:rsidRPr="00794E3C" w:rsidRDefault="00B91F3E" w:rsidP="00F96D8A">
            <w:pPr>
              <w:spacing w:after="0" w:line="240" w:lineRule="auto"/>
              <w:jc w:val="right"/>
              <w:rPr>
                <w:rFonts w:ascii="Arial" w:hAnsi="Arial" w:cs="Arial"/>
                <w:sz w:val="16"/>
                <w:szCs w:val="16"/>
              </w:rPr>
            </w:pPr>
            <w:r w:rsidRPr="00794E3C">
              <w:rPr>
                <w:rFonts w:ascii="Arial" w:hAnsi="Arial" w:cs="Arial"/>
                <w:sz w:val="16"/>
                <w:szCs w:val="16"/>
              </w:rPr>
              <w:t>2022-23</w:t>
            </w:r>
            <w:r w:rsidRPr="00794E3C">
              <w:rPr>
                <w:rFonts w:ascii="Arial" w:hAnsi="Arial" w:cs="Arial"/>
                <w:sz w:val="16"/>
                <w:szCs w:val="16"/>
              </w:rPr>
              <w:br/>
              <w:t>Budget</w:t>
            </w:r>
            <w:r w:rsidRPr="00794E3C">
              <w:rPr>
                <w:rFonts w:ascii="Arial" w:hAnsi="Arial" w:cs="Arial"/>
                <w:sz w:val="16"/>
                <w:szCs w:val="16"/>
              </w:rPr>
              <w:br/>
            </w:r>
            <w:r w:rsidRPr="00794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73D77BCE" w14:textId="77777777" w:rsidR="00B91F3E" w:rsidRPr="00794E3C" w:rsidRDefault="00B91F3E" w:rsidP="00F96D8A">
            <w:pPr>
              <w:spacing w:after="0" w:line="240" w:lineRule="auto"/>
              <w:jc w:val="right"/>
              <w:rPr>
                <w:rFonts w:ascii="Arial" w:hAnsi="Arial" w:cs="Arial"/>
                <w:sz w:val="16"/>
                <w:szCs w:val="16"/>
              </w:rPr>
            </w:pPr>
            <w:r w:rsidRPr="00794E3C">
              <w:rPr>
                <w:rFonts w:ascii="Arial" w:hAnsi="Arial" w:cs="Arial"/>
                <w:sz w:val="16"/>
                <w:szCs w:val="16"/>
              </w:rPr>
              <w:t>2023-24</w:t>
            </w:r>
            <w:r w:rsidRPr="00794E3C">
              <w:rPr>
                <w:rFonts w:ascii="Arial" w:hAnsi="Arial" w:cs="Arial"/>
                <w:sz w:val="16"/>
                <w:szCs w:val="16"/>
              </w:rPr>
              <w:br/>
              <w:t>Forward estimate</w:t>
            </w:r>
            <w:r w:rsidRPr="00794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2CB59156" w14:textId="77777777" w:rsidR="00B91F3E" w:rsidRPr="00794E3C" w:rsidRDefault="00B91F3E" w:rsidP="00F96D8A">
            <w:pPr>
              <w:spacing w:after="0" w:line="240" w:lineRule="auto"/>
              <w:jc w:val="right"/>
              <w:rPr>
                <w:rFonts w:ascii="Arial" w:hAnsi="Arial" w:cs="Arial"/>
                <w:sz w:val="16"/>
                <w:szCs w:val="16"/>
              </w:rPr>
            </w:pPr>
            <w:r w:rsidRPr="00794E3C">
              <w:rPr>
                <w:rFonts w:ascii="Arial" w:hAnsi="Arial" w:cs="Arial"/>
                <w:sz w:val="16"/>
                <w:szCs w:val="16"/>
              </w:rPr>
              <w:t>2024-25</w:t>
            </w:r>
            <w:r w:rsidRPr="00794E3C">
              <w:rPr>
                <w:rFonts w:ascii="Arial" w:hAnsi="Arial" w:cs="Arial"/>
                <w:sz w:val="16"/>
                <w:szCs w:val="16"/>
              </w:rPr>
              <w:br/>
              <w:t>Forward estimate</w:t>
            </w:r>
            <w:r w:rsidRPr="00794E3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4C9561B0" w14:textId="77777777" w:rsidR="00B91F3E" w:rsidRPr="00794E3C" w:rsidRDefault="00B91F3E" w:rsidP="00F96D8A">
            <w:pPr>
              <w:spacing w:after="0" w:line="240" w:lineRule="auto"/>
              <w:jc w:val="right"/>
              <w:rPr>
                <w:rFonts w:ascii="Arial" w:hAnsi="Arial" w:cs="Arial"/>
                <w:sz w:val="16"/>
                <w:szCs w:val="16"/>
              </w:rPr>
            </w:pPr>
            <w:r w:rsidRPr="00794E3C">
              <w:rPr>
                <w:rFonts w:ascii="Arial" w:hAnsi="Arial" w:cs="Arial"/>
                <w:sz w:val="16"/>
                <w:szCs w:val="16"/>
              </w:rPr>
              <w:t>2025-26</w:t>
            </w:r>
            <w:r w:rsidRPr="00794E3C">
              <w:rPr>
                <w:rFonts w:ascii="Arial" w:hAnsi="Arial" w:cs="Arial"/>
                <w:sz w:val="16"/>
                <w:szCs w:val="16"/>
              </w:rPr>
              <w:br/>
              <w:t>Forward estimate</w:t>
            </w:r>
            <w:r w:rsidRPr="00794E3C">
              <w:rPr>
                <w:rFonts w:ascii="Arial" w:hAnsi="Arial" w:cs="Arial"/>
                <w:sz w:val="16"/>
                <w:szCs w:val="16"/>
              </w:rPr>
              <w:br/>
              <w:t>$'000</w:t>
            </w:r>
          </w:p>
        </w:tc>
      </w:tr>
      <w:tr w:rsidR="00B91F3E" w:rsidRPr="00794E3C" w14:paraId="6D2CAA46" w14:textId="77777777" w:rsidTr="00F96D8A">
        <w:trPr>
          <w:trHeight w:val="204"/>
        </w:trPr>
        <w:tc>
          <w:tcPr>
            <w:tcW w:w="3140" w:type="dxa"/>
            <w:tcBorders>
              <w:top w:val="nil"/>
              <w:left w:val="nil"/>
              <w:bottom w:val="nil"/>
              <w:right w:val="nil"/>
            </w:tcBorders>
            <w:shd w:val="clear" w:color="auto" w:fill="auto"/>
            <w:noWrap/>
            <w:vAlign w:val="bottom"/>
            <w:hideMark/>
          </w:tcPr>
          <w:p w14:paraId="1653049C" w14:textId="77777777" w:rsidR="00B91F3E" w:rsidRPr="00794E3C" w:rsidRDefault="00B91F3E" w:rsidP="00F96D8A">
            <w:pPr>
              <w:spacing w:after="0" w:line="240" w:lineRule="auto"/>
              <w:jc w:val="left"/>
              <w:rPr>
                <w:rFonts w:ascii="Arial" w:hAnsi="Arial" w:cs="Arial"/>
                <w:b/>
                <w:bCs/>
                <w:sz w:val="16"/>
                <w:szCs w:val="16"/>
              </w:rPr>
            </w:pPr>
            <w:r w:rsidRPr="00794E3C">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09E49F4E" w14:textId="77777777" w:rsidR="00B91F3E" w:rsidRPr="00F21454" w:rsidRDefault="00B91F3E" w:rsidP="00F96D8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2C02384" w14:textId="77777777" w:rsidR="00B91F3E" w:rsidRPr="00F21454" w:rsidRDefault="00B91F3E" w:rsidP="00F96D8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01F50ED" w14:textId="77777777" w:rsidR="00B91F3E" w:rsidRPr="00F21454" w:rsidRDefault="00B91F3E" w:rsidP="00F96D8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C706300" w14:textId="77777777" w:rsidR="00B91F3E" w:rsidRPr="00F21454" w:rsidRDefault="00B91F3E" w:rsidP="00F96D8A">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4E92B4BE" w14:textId="77777777" w:rsidR="00B91F3E" w:rsidRPr="00F21454" w:rsidRDefault="00B91F3E" w:rsidP="00F96D8A">
            <w:pPr>
              <w:spacing w:after="0" w:line="240" w:lineRule="auto"/>
              <w:jc w:val="right"/>
              <w:rPr>
                <w:rFonts w:ascii="Times New Roman" w:hAnsi="Times New Roman"/>
                <w:sz w:val="16"/>
                <w:szCs w:val="16"/>
              </w:rPr>
            </w:pPr>
          </w:p>
        </w:tc>
      </w:tr>
      <w:tr w:rsidR="00A8085D" w:rsidRPr="00794E3C" w14:paraId="43A50BAC" w14:textId="77777777" w:rsidTr="00F96D8A">
        <w:trPr>
          <w:trHeight w:val="204"/>
        </w:trPr>
        <w:tc>
          <w:tcPr>
            <w:tcW w:w="3140" w:type="dxa"/>
            <w:tcBorders>
              <w:top w:val="nil"/>
              <w:left w:val="nil"/>
              <w:bottom w:val="nil"/>
              <w:right w:val="nil"/>
            </w:tcBorders>
            <w:shd w:val="clear" w:color="auto" w:fill="auto"/>
            <w:noWrap/>
            <w:vAlign w:val="bottom"/>
            <w:hideMark/>
          </w:tcPr>
          <w:p w14:paraId="658D23AF"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729ECBE9" w14:textId="2795209C"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241,896 </w:t>
            </w:r>
          </w:p>
        </w:tc>
        <w:tc>
          <w:tcPr>
            <w:tcW w:w="901" w:type="dxa"/>
            <w:tcBorders>
              <w:top w:val="nil"/>
              <w:left w:val="nil"/>
              <w:bottom w:val="nil"/>
              <w:right w:val="nil"/>
            </w:tcBorders>
            <w:shd w:val="clear" w:color="000000" w:fill="E6E6E6"/>
            <w:noWrap/>
            <w:vAlign w:val="bottom"/>
            <w:hideMark/>
          </w:tcPr>
          <w:p w14:paraId="51019398" w14:textId="63E0CDAA"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253,575 </w:t>
            </w:r>
          </w:p>
        </w:tc>
        <w:tc>
          <w:tcPr>
            <w:tcW w:w="901" w:type="dxa"/>
            <w:tcBorders>
              <w:top w:val="nil"/>
              <w:left w:val="nil"/>
              <w:bottom w:val="nil"/>
              <w:right w:val="nil"/>
            </w:tcBorders>
            <w:shd w:val="clear" w:color="auto" w:fill="auto"/>
            <w:noWrap/>
            <w:vAlign w:val="bottom"/>
            <w:hideMark/>
          </w:tcPr>
          <w:p w14:paraId="44880210" w14:textId="03D07AFC"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252,417 </w:t>
            </w:r>
          </w:p>
        </w:tc>
        <w:tc>
          <w:tcPr>
            <w:tcW w:w="901" w:type="dxa"/>
            <w:tcBorders>
              <w:top w:val="nil"/>
              <w:left w:val="nil"/>
              <w:bottom w:val="nil"/>
              <w:right w:val="nil"/>
            </w:tcBorders>
            <w:shd w:val="clear" w:color="auto" w:fill="auto"/>
            <w:noWrap/>
            <w:vAlign w:val="bottom"/>
            <w:hideMark/>
          </w:tcPr>
          <w:p w14:paraId="30C40378" w14:textId="6681775C"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251,168 </w:t>
            </w:r>
          </w:p>
        </w:tc>
        <w:tc>
          <w:tcPr>
            <w:tcW w:w="901" w:type="dxa"/>
            <w:tcBorders>
              <w:top w:val="nil"/>
              <w:left w:val="nil"/>
              <w:bottom w:val="nil"/>
              <w:right w:val="nil"/>
            </w:tcBorders>
            <w:shd w:val="clear" w:color="auto" w:fill="auto"/>
            <w:noWrap/>
            <w:vAlign w:val="bottom"/>
            <w:hideMark/>
          </w:tcPr>
          <w:p w14:paraId="6AC5DC65" w14:textId="47487F05"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254,034 </w:t>
            </w:r>
          </w:p>
        </w:tc>
      </w:tr>
      <w:tr w:rsidR="00A8085D" w:rsidRPr="00794E3C" w14:paraId="59F3E55E" w14:textId="77777777" w:rsidTr="00F96D8A">
        <w:trPr>
          <w:trHeight w:val="204"/>
        </w:trPr>
        <w:tc>
          <w:tcPr>
            <w:tcW w:w="3140" w:type="dxa"/>
            <w:tcBorders>
              <w:top w:val="nil"/>
              <w:left w:val="nil"/>
              <w:bottom w:val="nil"/>
              <w:right w:val="nil"/>
            </w:tcBorders>
            <w:shd w:val="clear" w:color="auto" w:fill="auto"/>
            <w:noWrap/>
            <w:vAlign w:val="bottom"/>
            <w:hideMark/>
          </w:tcPr>
          <w:p w14:paraId="2DBD9E6D"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5E738660" w14:textId="347533F1"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157,502 </w:t>
            </w:r>
          </w:p>
        </w:tc>
        <w:tc>
          <w:tcPr>
            <w:tcW w:w="901" w:type="dxa"/>
            <w:tcBorders>
              <w:top w:val="nil"/>
              <w:left w:val="nil"/>
              <w:bottom w:val="nil"/>
              <w:right w:val="nil"/>
            </w:tcBorders>
            <w:shd w:val="clear" w:color="000000" w:fill="E6E6E6"/>
            <w:noWrap/>
            <w:vAlign w:val="bottom"/>
            <w:hideMark/>
          </w:tcPr>
          <w:p w14:paraId="10F6F55B" w14:textId="04B44E92"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213,978 </w:t>
            </w:r>
          </w:p>
        </w:tc>
        <w:tc>
          <w:tcPr>
            <w:tcW w:w="901" w:type="dxa"/>
            <w:tcBorders>
              <w:top w:val="nil"/>
              <w:left w:val="nil"/>
              <w:bottom w:val="nil"/>
              <w:right w:val="nil"/>
            </w:tcBorders>
            <w:shd w:val="clear" w:color="auto" w:fill="auto"/>
            <w:noWrap/>
            <w:vAlign w:val="bottom"/>
            <w:hideMark/>
          </w:tcPr>
          <w:p w14:paraId="6D2F6DC9" w14:textId="1C8CFC12"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142,025 </w:t>
            </w:r>
          </w:p>
        </w:tc>
        <w:tc>
          <w:tcPr>
            <w:tcW w:w="901" w:type="dxa"/>
            <w:tcBorders>
              <w:top w:val="nil"/>
              <w:left w:val="nil"/>
              <w:bottom w:val="nil"/>
              <w:right w:val="nil"/>
            </w:tcBorders>
            <w:shd w:val="clear" w:color="auto" w:fill="auto"/>
            <w:noWrap/>
            <w:vAlign w:val="bottom"/>
            <w:hideMark/>
          </w:tcPr>
          <w:p w14:paraId="4F93AE08" w14:textId="41FF61A7"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76,994 </w:t>
            </w:r>
          </w:p>
        </w:tc>
        <w:tc>
          <w:tcPr>
            <w:tcW w:w="901" w:type="dxa"/>
            <w:tcBorders>
              <w:top w:val="nil"/>
              <w:left w:val="nil"/>
              <w:bottom w:val="nil"/>
              <w:right w:val="nil"/>
            </w:tcBorders>
            <w:shd w:val="clear" w:color="auto" w:fill="auto"/>
            <w:noWrap/>
            <w:vAlign w:val="bottom"/>
            <w:hideMark/>
          </w:tcPr>
          <w:p w14:paraId="6F88460A" w14:textId="539BC661"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66,797 </w:t>
            </w:r>
          </w:p>
        </w:tc>
      </w:tr>
      <w:tr w:rsidR="00A8085D" w:rsidRPr="00794E3C" w14:paraId="331012E1" w14:textId="77777777" w:rsidTr="00F96D8A">
        <w:trPr>
          <w:trHeight w:val="204"/>
        </w:trPr>
        <w:tc>
          <w:tcPr>
            <w:tcW w:w="3140" w:type="dxa"/>
            <w:tcBorders>
              <w:top w:val="nil"/>
              <w:left w:val="nil"/>
              <w:bottom w:val="nil"/>
              <w:right w:val="nil"/>
            </w:tcBorders>
            <w:shd w:val="clear" w:color="auto" w:fill="auto"/>
            <w:noWrap/>
            <w:vAlign w:val="bottom"/>
            <w:hideMark/>
          </w:tcPr>
          <w:p w14:paraId="7CB32B2D"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Grants and contributions</w:t>
            </w:r>
          </w:p>
        </w:tc>
        <w:tc>
          <w:tcPr>
            <w:tcW w:w="928" w:type="dxa"/>
            <w:tcBorders>
              <w:top w:val="nil"/>
              <w:left w:val="nil"/>
              <w:bottom w:val="nil"/>
              <w:right w:val="nil"/>
            </w:tcBorders>
            <w:shd w:val="clear" w:color="auto" w:fill="auto"/>
            <w:noWrap/>
            <w:vAlign w:val="bottom"/>
            <w:hideMark/>
          </w:tcPr>
          <w:p w14:paraId="008C49FF" w14:textId="65C6B736"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6,300 </w:t>
            </w:r>
          </w:p>
        </w:tc>
        <w:tc>
          <w:tcPr>
            <w:tcW w:w="901" w:type="dxa"/>
            <w:tcBorders>
              <w:top w:val="nil"/>
              <w:left w:val="nil"/>
              <w:bottom w:val="nil"/>
              <w:right w:val="nil"/>
            </w:tcBorders>
            <w:shd w:val="clear" w:color="000000" w:fill="E6E6E6"/>
            <w:noWrap/>
            <w:vAlign w:val="bottom"/>
            <w:hideMark/>
          </w:tcPr>
          <w:p w14:paraId="20FF7DCD" w14:textId="36F0BB89"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4,400 </w:t>
            </w:r>
          </w:p>
        </w:tc>
        <w:tc>
          <w:tcPr>
            <w:tcW w:w="901" w:type="dxa"/>
            <w:tcBorders>
              <w:top w:val="nil"/>
              <w:left w:val="nil"/>
              <w:bottom w:val="nil"/>
              <w:right w:val="nil"/>
            </w:tcBorders>
            <w:shd w:val="clear" w:color="auto" w:fill="auto"/>
            <w:noWrap/>
            <w:vAlign w:val="bottom"/>
            <w:hideMark/>
          </w:tcPr>
          <w:p w14:paraId="0489E3DD" w14:textId="4BED4BA8"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2,200 </w:t>
            </w:r>
          </w:p>
        </w:tc>
        <w:tc>
          <w:tcPr>
            <w:tcW w:w="901" w:type="dxa"/>
            <w:tcBorders>
              <w:top w:val="nil"/>
              <w:left w:val="nil"/>
              <w:bottom w:val="nil"/>
              <w:right w:val="nil"/>
            </w:tcBorders>
            <w:shd w:val="clear" w:color="auto" w:fill="auto"/>
            <w:noWrap/>
            <w:vAlign w:val="bottom"/>
            <w:hideMark/>
          </w:tcPr>
          <w:p w14:paraId="38F751B7" w14:textId="5DF9200C"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0306B310" w14:textId="32A9542A"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r>
      <w:tr w:rsidR="00A8085D" w:rsidRPr="00794E3C" w14:paraId="59E5FC84" w14:textId="77777777" w:rsidTr="00F96D8A">
        <w:trPr>
          <w:trHeight w:val="204"/>
        </w:trPr>
        <w:tc>
          <w:tcPr>
            <w:tcW w:w="3140" w:type="dxa"/>
            <w:tcBorders>
              <w:top w:val="nil"/>
              <w:left w:val="nil"/>
              <w:bottom w:val="nil"/>
              <w:right w:val="nil"/>
            </w:tcBorders>
            <w:shd w:val="clear" w:color="auto" w:fill="auto"/>
            <w:noWrap/>
            <w:vAlign w:val="bottom"/>
            <w:hideMark/>
          </w:tcPr>
          <w:p w14:paraId="0AB0FFB6"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 xml:space="preserve">Depreciation and amortisation </w:t>
            </w:r>
            <w:r w:rsidRPr="00794E3C">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34E958D" w14:textId="3C914BBD"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36,638 </w:t>
            </w:r>
          </w:p>
        </w:tc>
        <w:tc>
          <w:tcPr>
            <w:tcW w:w="901" w:type="dxa"/>
            <w:tcBorders>
              <w:top w:val="nil"/>
              <w:left w:val="nil"/>
              <w:bottom w:val="nil"/>
              <w:right w:val="nil"/>
            </w:tcBorders>
            <w:shd w:val="clear" w:color="000000" w:fill="E6E6E6"/>
            <w:noWrap/>
            <w:vAlign w:val="bottom"/>
            <w:hideMark/>
          </w:tcPr>
          <w:p w14:paraId="38CC110C" w14:textId="5E7FCE9E"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36,963 </w:t>
            </w:r>
          </w:p>
        </w:tc>
        <w:tc>
          <w:tcPr>
            <w:tcW w:w="901" w:type="dxa"/>
            <w:tcBorders>
              <w:top w:val="nil"/>
              <w:left w:val="nil"/>
              <w:bottom w:val="nil"/>
              <w:right w:val="nil"/>
            </w:tcBorders>
            <w:shd w:val="clear" w:color="auto" w:fill="auto"/>
            <w:noWrap/>
            <w:vAlign w:val="bottom"/>
            <w:hideMark/>
          </w:tcPr>
          <w:p w14:paraId="07B6D680" w14:textId="24326F0E"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36,910 </w:t>
            </w:r>
          </w:p>
        </w:tc>
        <w:tc>
          <w:tcPr>
            <w:tcW w:w="901" w:type="dxa"/>
            <w:tcBorders>
              <w:top w:val="nil"/>
              <w:left w:val="nil"/>
              <w:bottom w:val="nil"/>
              <w:right w:val="nil"/>
            </w:tcBorders>
            <w:shd w:val="clear" w:color="auto" w:fill="auto"/>
            <w:noWrap/>
            <w:vAlign w:val="bottom"/>
            <w:hideMark/>
          </w:tcPr>
          <w:p w14:paraId="0C4F9783" w14:textId="1F69EE88"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36,910 </w:t>
            </w:r>
          </w:p>
        </w:tc>
        <w:tc>
          <w:tcPr>
            <w:tcW w:w="901" w:type="dxa"/>
            <w:tcBorders>
              <w:top w:val="nil"/>
              <w:left w:val="nil"/>
              <w:bottom w:val="nil"/>
              <w:right w:val="nil"/>
            </w:tcBorders>
            <w:shd w:val="clear" w:color="auto" w:fill="auto"/>
            <w:noWrap/>
            <w:vAlign w:val="bottom"/>
            <w:hideMark/>
          </w:tcPr>
          <w:p w14:paraId="64743A1B" w14:textId="528AF510"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36,910 </w:t>
            </w:r>
          </w:p>
        </w:tc>
      </w:tr>
      <w:tr w:rsidR="00A8085D" w:rsidRPr="00794E3C" w14:paraId="2934A007" w14:textId="77777777" w:rsidTr="00F96D8A">
        <w:trPr>
          <w:trHeight w:val="204"/>
        </w:trPr>
        <w:tc>
          <w:tcPr>
            <w:tcW w:w="3140" w:type="dxa"/>
            <w:tcBorders>
              <w:top w:val="nil"/>
              <w:left w:val="nil"/>
              <w:bottom w:val="nil"/>
              <w:right w:val="nil"/>
            </w:tcBorders>
            <w:shd w:val="clear" w:color="auto" w:fill="auto"/>
            <w:noWrap/>
            <w:vAlign w:val="bottom"/>
            <w:hideMark/>
          </w:tcPr>
          <w:p w14:paraId="67154491"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35F46F1B" w14:textId="64D40F07"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2,491 </w:t>
            </w:r>
          </w:p>
        </w:tc>
        <w:tc>
          <w:tcPr>
            <w:tcW w:w="901" w:type="dxa"/>
            <w:tcBorders>
              <w:top w:val="nil"/>
              <w:left w:val="nil"/>
              <w:bottom w:val="nil"/>
              <w:right w:val="nil"/>
            </w:tcBorders>
            <w:shd w:val="clear" w:color="000000" w:fill="E6E6E6"/>
            <w:noWrap/>
            <w:vAlign w:val="bottom"/>
            <w:hideMark/>
          </w:tcPr>
          <w:p w14:paraId="7D571F05" w14:textId="6B548575"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2,008 </w:t>
            </w:r>
          </w:p>
        </w:tc>
        <w:tc>
          <w:tcPr>
            <w:tcW w:w="901" w:type="dxa"/>
            <w:tcBorders>
              <w:top w:val="nil"/>
              <w:left w:val="nil"/>
              <w:bottom w:val="nil"/>
              <w:right w:val="nil"/>
            </w:tcBorders>
            <w:shd w:val="clear" w:color="auto" w:fill="auto"/>
            <w:noWrap/>
            <w:vAlign w:val="bottom"/>
            <w:hideMark/>
          </w:tcPr>
          <w:p w14:paraId="124DF636" w14:textId="641F44F2"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1,890 </w:t>
            </w:r>
          </w:p>
        </w:tc>
        <w:tc>
          <w:tcPr>
            <w:tcW w:w="901" w:type="dxa"/>
            <w:tcBorders>
              <w:top w:val="nil"/>
              <w:left w:val="nil"/>
              <w:bottom w:val="nil"/>
              <w:right w:val="nil"/>
            </w:tcBorders>
            <w:shd w:val="clear" w:color="auto" w:fill="auto"/>
            <w:noWrap/>
            <w:vAlign w:val="bottom"/>
            <w:hideMark/>
          </w:tcPr>
          <w:p w14:paraId="53EB1E9A" w14:textId="39201076"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1,890 </w:t>
            </w:r>
          </w:p>
        </w:tc>
        <w:tc>
          <w:tcPr>
            <w:tcW w:w="901" w:type="dxa"/>
            <w:tcBorders>
              <w:top w:val="nil"/>
              <w:left w:val="nil"/>
              <w:bottom w:val="nil"/>
              <w:right w:val="nil"/>
            </w:tcBorders>
            <w:shd w:val="clear" w:color="auto" w:fill="auto"/>
            <w:noWrap/>
            <w:vAlign w:val="bottom"/>
            <w:hideMark/>
          </w:tcPr>
          <w:p w14:paraId="7E01E17E" w14:textId="70C867D1"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1,890 </w:t>
            </w:r>
          </w:p>
        </w:tc>
      </w:tr>
      <w:tr w:rsidR="00A8085D" w:rsidRPr="00794E3C" w14:paraId="1C38C133" w14:textId="77777777" w:rsidTr="00F96D8A">
        <w:trPr>
          <w:trHeight w:val="204"/>
        </w:trPr>
        <w:tc>
          <w:tcPr>
            <w:tcW w:w="3140" w:type="dxa"/>
            <w:tcBorders>
              <w:top w:val="nil"/>
              <w:left w:val="nil"/>
              <w:bottom w:val="nil"/>
              <w:right w:val="nil"/>
            </w:tcBorders>
            <w:shd w:val="clear" w:color="auto" w:fill="auto"/>
            <w:noWrap/>
            <w:vAlign w:val="bottom"/>
            <w:hideMark/>
          </w:tcPr>
          <w:p w14:paraId="0A036FFA"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40EB8025" w14:textId="6451BFA2"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444,827 </w:t>
            </w:r>
          </w:p>
        </w:tc>
        <w:tc>
          <w:tcPr>
            <w:tcW w:w="901" w:type="dxa"/>
            <w:tcBorders>
              <w:top w:val="single" w:sz="4" w:space="0" w:color="auto"/>
              <w:left w:val="nil"/>
              <w:bottom w:val="single" w:sz="4" w:space="0" w:color="auto"/>
              <w:right w:val="nil"/>
            </w:tcBorders>
            <w:shd w:val="clear" w:color="000000" w:fill="E6E6E6"/>
            <w:noWrap/>
            <w:vAlign w:val="bottom"/>
            <w:hideMark/>
          </w:tcPr>
          <w:p w14:paraId="259FD95E" w14:textId="1CDA6957"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510,924 </w:t>
            </w:r>
          </w:p>
        </w:tc>
        <w:tc>
          <w:tcPr>
            <w:tcW w:w="901" w:type="dxa"/>
            <w:tcBorders>
              <w:top w:val="single" w:sz="4" w:space="0" w:color="auto"/>
              <w:left w:val="nil"/>
              <w:bottom w:val="single" w:sz="4" w:space="0" w:color="auto"/>
              <w:right w:val="nil"/>
            </w:tcBorders>
            <w:shd w:val="clear" w:color="auto" w:fill="auto"/>
            <w:noWrap/>
            <w:vAlign w:val="bottom"/>
            <w:hideMark/>
          </w:tcPr>
          <w:p w14:paraId="0062C165" w14:textId="07A94111"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435,442 </w:t>
            </w:r>
          </w:p>
        </w:tc>
        <w:tc>
          <w:tcPr>
            <w:tcW w:w="901" w:type="dxa"/>
            <w:tcBorders>
              <w:top w:val="single" w:sz="4" w:space="0" w:color="auto"/>
              <w:left w:val="nil"/>
              <w:bottom w:val="single" w:sz="4" w:space="0" w:color="auto"/>
              <w:right w:val="nil"/>
            </w:tcBorders>
            <w:shd w:val="clear" w:color="auto" w:fill="auto"/>
            <w:noWrap/>
            <w:vAlign w:val="bottom"/>
            <w:hideMark/>
          </w:tcPr>
          <w:p w14:paraId="67A1F5CA" w14:textId="2A7500A3"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366,962 </w:t>
            </w:r>
          </w:p>
        </w:tc>
        <w:tc>
          <w:tcPr>
            <w:tcW w:w="901" w:type="dxa"/>
            <w:tcBorders>
              <w:top w:val="single" w:sz="4" w:space="0" w:color="auto"/>
              <w:left w:val="nil"/>
              <w:bottom w:val="single" w:sz="4" w:space="0" w:color="auto"/>
              <w:right w:val="nil"/>
            </w:tcBorders>
            <w:shd w:val="clear" w:color="auto" w:fill="auto"/>
            <w:noWrap/>
            <w:vAlign w:val="bottom"/>
            <w:hideMark/>
          </w:tcPr>
          <w:p w14:paraId="4B5F25C5" w14:textId="359D70C2"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359,631 </w:t>
            </w:r>
          </w:p>
        </w:tc>
      </w:tr>
      <w:tr w:rsidR="00A8085D" w:rsidRPr="00794E3C" w14:paraId="097B3E8D" w14:textId="77777777" w:rsidTr="00F96D8A">
        <w:trPr>
          <w:trHeight w:val="204"/>
        </w:trPr>
        <w:tc>
          <w:tcPr>
            <w:tcW w:w="3140" w:type="dxa"/>
            <w:tcBorders>
              <w:top w:val="nil"/>
              <w:left w:val="nil"/>
              <w:bottom w:val="nil"/>
              <w:right w:val="nil"/>
            </w:tcBorders>
            <w:shd w:val="clear" w:color="auto" w:fill="auto"/>
            <w:noWrap/>
            <w:vAlign w:val="bottom"/>
            <w:hideMark/>
          </w:tcPr>
          <w:p w14:paraId="485871B5"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040EFEBB"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4E4EF478" w14:textId="73FB9E69"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14:paraId="460583B3"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C9A3747" w14:textId="77777777" w:rsidR="00A8085D" w:rsidRPr="00F21454" w:rsidRDefault="00A8085D" w:rsidP="00A8085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2347830D" w14:textId="77777777" w:rsidR="00A8085D" w:rsidRPr="00F21454" w:rsidRDefault="00A8085D" w:rsidP="00A8085D">
            <w:pPr>
              <w:spacing w:after="0" w:line="240" w:lineRule="auto"/>
              <w:jc w:val="right"/>
              <w:rPr>
                <w:rFonts w:ascii="Times New Roman" w:hAnsi="Times New Roman"/>
                <w:sz w:val="16"/>
                <w:szCs w:val="16"/>
              </w:rPr>
            </w:pPr>
          </w:p>
        </w:tc>
      </w:tr>
      <w:tr w:rsidR="00A8085D" w:rsidRPr="00794E3C" w14:paraId="34891835" w14:textId="77777777" w:rsidTr="00F96D8A">
        <w:trPr>
          <w:trHeight w:val="204"/>
        </w:trPr>
        <w:tc>
          <w:tcPr>
            <w:tcW w:w="3140" w:type="dxa"/>
            <w:tcBorders>
              <w:top w:val="nil"/>
              <w:left w:val="nil"/>
              <w:bottom w:val="nil"/>
              <w:right w:val="nil"/>
            </w:tcBorders>
            <w:shd w:val="clear" w:color="auto" w:fill="auto"/>
            <w:noWrap/>
            <w:vAlign w:val="bottom"/>
            <w:hideMark/>
          </w:tcPr>
          <w:p w14:paraId="581B5CDF"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2CC6B2F3"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5DCBE93F" w14:textId="16F91D7B"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14:paraId="72BFEEF9"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83FC589" w14:textId="77777777" w:rsidR="00A8085D" w:rsidRPr="00F21454" w:rsidRDefault="00A8085D" w:rsidP="00A8085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5189F501" w14:textId="77777777" w:rsidR="00A8085D" w:rsidRPr="00F21454" w:rsidRDefault="00A8085D" w:rsidP="00A8085D">
            <w:pPr>
              <w:spacing w:after="0" w:line="240" w:lineRule="auto"/>
              <w:jc w:val="right"/>
              <w:rPr>
                <w:rFonts w:ascii="Times New Roman" w:hAnsi="Times New Roman"/>
                <w:sz w:val="16"/>
                <w:szCs w:val="16"/>
              </w:rPr>
            </w:pPr>
          </w:p>
        </w:tc>
      </w:tr>
      <w:tr w:rsidR="00A8085D" w:rsidRPr="00794E3C" w14:paraId="6258B210" w14:textId="77777777" w:rsidTr="00F96D8A">
        <w:trPr>
          <w:trHeight w:val="204"/>
        </w:trPr>
        <w:tc>
          <w:tcPr>
            <w:tcW w:w="3140" w:type="dxa"/>
            <w:tcBorders>
              <w:top w:val="nil"/>
              <w:left w:val="nil"/>
              <w:bottom w:val="nil"/>
              <w:right w:val="nil"/>
            </w:tcBorders>
            <w:shd w:val="clear" w:color="auto" w:fill="auto"/>
            <w:noWrap/>
            <w:vAlign w:val="bottom"/>
            <w:hideMark/>
          </w:tcPr>
          <w:p w14:paraId="0A7271DD" w14:textId="77777777" w:rsidR="00A8085D" w:rsidRPr="00794E3C" w:rsidRDefault="00A8085D" w:rsidP="00A8085D">
            <w:pPr>
              <w:spacing w:after="0" w:line="240" w:lineRule="auto"/>
              <w:ind w:left="113"/>
              <w:jc w:val="left"/>
              <w:rPr>
                <w:rFonts w:ascii="Arial" w:hAnsi="Arial" w:cs="Arial"/>
                <w:b/>
                <w:sz w:val="16"/>
                <w:szCs w:val="16"/>
              </w:rPr>
            </w:pPr>
            <w:r w:rsidRPr="00794E3C">
              <w:rPr>
                <w:rFonts w:ascii="Arial" w:hAnsi="Arial" w:cs="Arial"/>
                <w:b/>
                <w:sz w:val="16"/>
                <w:szCs w:val="16"/>
              </w:rPr>
              <w:t>Own-source revenue</w:t>
            </w:r>
          </w:p>
        </w:tc>
        <w:tc>
          <w:tcPr>
            <w:tcW w:w="928" w:type="dxa"/>
            <w:tcBorders>
              <w:top w:val="nil"/>
              <w:left w:val="nil"/>
              <w:bottom w:val="nil"/>
              <w:right w:val="nil"/>
            </w:tcBorders>
            <w:shd w:val="clear" w:color="auto" w:fill="auto"/>
            <w:noWrap/>
            <w:vAlign w:val="bottom"/>
            <w:hideMark/>
          </w:tcPr>
          <w:p w14:paraId="6386DF22" w14:textId="77777777" w:rsidR="00A8085D" w:rsidRPr="00F21454" w:rsidRDefault="00A8085D" w:rsidP="00A8085D">
            <w:pPr>
              <w:spacing w:after="0" w:line="240" w:lineRule="auto"/>
              <w:ind w:firstLineChars="100" w:firstLine="160"/>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482B0FDD" w14:textId="6DECAA8F"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14:paraId="370C7C6F"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50E7E6B" w14:textId="77777777" w:rsidR="00A8085D" w:rsidRPr="00F21454" w:rsidRDefault="00A8085D" w:rsidP="00A8085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4814D5BE" w14:textId="77777777" w:rsidR="00A8085D" w:rsidRPr="00F21454" w:rsidRDefault="00A8085D" w:rsidP="00A8085D">
            <w:pPr>
              <w:spacing w:after="0" w:line="240" w:lineRule="auto"/>
              <w:jc w:val="right"/>
              <w:rPr>
                <w:rFonts w:ascii="Times New Roman" w:hAnsi="Times New Roman"/>
                <w:sz w:val="16"/>
                <w:szCs w:val="16"/>
              </w:rPr>
            </w:pPr>
          </w:p>
        </w:tc>
      </w:tr>
      <w:tr w:rsidR="00A8085D" w:rsidRPr="00794E3C" w14:paraId="1B60C2C0" w14:textId="77777777" w:rsidTr="00F96D8A">
        <w:trPr>
          <w:trHeight w:val="204"/>
        </w:trPr>
        <w:tc>
          <w:tcPr>
            <w:tcW w:w="3140" w:type="dxa"/>
            <w:tcBorders>
              <w:top w:val="nil"/>
              <w:left w:val="nil"/>
              <w:bottom w:val="nil"/>
              <w:right w:val="nil"/>
            </w:tcBorders>
            <w:shd w:val="clear" w:color="auto" w:fill="auto"/>
            <w:noWrap/>
            <w:vAlign w:val="bottom"/>
            <w:hideMark/>
          </w:tcPr>
          <w:p w14:paraId="7FB3FA0F"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Revenue from contracts with customers</w:t>
            </w:r>
          </w:p>
        </w:tc>
        <w:tc>
          <w:tcPr>
            <w:tcW w:w="928" w:type="dxa"/>
            <w:tcBorders>
              <w:top w:val="nil"/>
              <w:left w:val="nil"/>
              <w:bottom w:val="nil"/>
              <w:right w:val="nil"/>
            </w:tcBorders>
            <w:shd w:val="clear" w:color="auto" w:fill="auto"/>
            <w:noWrap/>
            <w:vAlign w:val="bottom"/>
            <w:hideMark/>
          </w:tcPr>
          <w:p w14:paraId="368D0105" w14:textId="6D67E616"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3,707 </w:t>
            </w:r>
          </w:p>
        </w:tc>
        <w:tc>
          <w:tcPr>
            <w:tcW w:w="901" w:type="dxa"/>
            <w:tcBorders>
              <w:top w:val="nil"/>
              <w:left w:val="nil"/>
              <w:bottom w:val="nil"/>
              <w:right w:val="nil"/>
            </w:tcBorders>
            <w:shd w:val="clear" w:color="000000" w:fill="E6E6E6"/>
            <w:noWrap/>
            <w:vAlign w:val="bottom"/>
            <w:hideMark/>
          </w:tcPr>
          <w:p w14:paraId="5A6CE220" w14:textId="108FA327"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3,780 </w:t>
            </w:r>
          </w:p>
        </w:tc>
        <w:tc>
          <w:tcPr>
            <w:tcW w:w="901" w:type="dxa"/>
            <w:tcBorders>
              <w:top w:val="nil"/>
              <w:left w:val="nil"/>
              <w:bottom w:val="nil"/>
              <w:right w:val="nil"/>
            </w:tcBorders>
            <w:shd w:val="clear" w:color="auto" w:fill="auto"/>
            <w:noWrap/>
            <w:vAlign w:val="bottom"/>
            <w:hideMark/>
          </w:tcPr>
          <w:p w14:paraId="1E2BC024" w14:textId="5C769088"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3,780 </w:t>
            </w:r>
          </w:p>
        </w:tc>
        <w:tc>
          <w:tcPr>
            <w:tcW w:w="901" w:type="dxa"/>
            <w:tcBorders>
              <w:top w:val="nil"/>
              <w:left w:val="nil"/>
              <w:bottom w:val="nil"/>
              <w:right w:val="nil"/>
            </w:tcBorders>
            <w:shd w:val="clear" w:color="auto" w:fill="auto"/>
            <w:noWrap/>
            <w:vAlign w:val="bottom"/>
            <w:hideMark/>
          </w:tcPr>
          <w:p w14:paraId="0F76E8BE" w14:textId="7914E1BE"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3,780 </w:t>
            </w:r>
          </w:p>
        </w:tc>
        <w:tc>
          <w:tcPr>
            <w:tcW w:w="901" w:type="dxa"/>
            <w:tcBorders>
              <w:top w:val="nil"/>
              <w:left w:val="nil"/>
              <w:bottom w:val="nil"/>
              <w:right w:val="nil"/>
            </w:tcBorders>
            <w:shd w:val="clear" w:color="auto" w:fill="auto"/>
            <w:noWrap/>
            <w:vAlign w:val="bottom"/>
            <w:hideMark/>
          </w:tcPr>
          <w:p w14:paraId="5FCB7552" w14:textId="791A3DC8"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3,780 </w:t>
            </w:r>
          </w:p>
        </w:tc>
      </w:tr>
      <w:tr w:rsidR="00A8085D" w:rsidRPr="00794E3C" w14:paraId="63C8E8B3" w14:textId="77777777" w:rsidTr="00F96D8A">
        <w:trPr>
          <w:trHeight w:val="204"/>
        </w:trPr>
        <w:tc>
          <w:tcPr>
            <w:tcW w:w="3140" w:type="dxa"/>
            <w:tcBorders>
              <w:top w:val="nil"/>
              <w:left w:val="nil"/>
              <w:bottom w:val="nil"/>
              <w:right w:val="nil"/>
            </w:tcBorders>
            <w:shd w:val="clear" w:color="auto" w:fill="auto"/>
            <w:noWrap/>
            <w:vAlign w:val="bottom"/>
            <w:hideMark/>
          </w:tcPr>
          <w:p w14:paraId="6A1C122B"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Rental income</w:t>
            </w:r>
          </w:p>
        </w:tc>
        <w:tc>
          <w:tcPr>
            <w:tcW w:w="928" w:type="dxa"/>
            <w:tcBorders>
              <w:top w:val="nil"/>
              <w:left w:val="nil"/>
              <w:bottom w:val="nil"/>
              <w:right w:val="nil"/>
            </w:tcBorders>
            <w:shd w:val="clear" w:color="auto" w:fill="auto"/>
            <w:noWrap/>
            <w:vAlign w:val="bottom"/>
            <w:hideMark/>
          </w:tcPr>
          <w:p w14:paraId="51F1F454" w14:textId="5392D75A"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5,954 </w:t>
            </w:r>
          </w:p>
        </w:tc>
        <w:tc>
          <w:tcPr>
            <w:tcW w:w="901" w:type="dxa"/>
            <w:tcBorders>
              <w:top w:val="nil"/>
              <w:left w:val="nil"/>
              <w:bottom w:val="nil"/>
              <w:right w:val="nil"/>
            </w:tcBorders>
            <w:shd w:val="clear" w:color="000000" w:fill="E6E6E6"/>
            <w:noWrap/>
            <w:vAlign w:val="bottom"/>
            <w:hideMark/>
          </w:tcPr>
          <w:p w14:paraId="4A372C42" w14:textId="4FC3C0AD"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5,954 </w:t>
            </w:r>
          </w:p>
        </w:tc>
        <w:tc>
          <w:tcPr>
            <w:tcW w:w="901" w:type="dxa"/>
            <w:tcBorders>
              <w:top w:val="nil"/>
              <w:left w:val="nil"/>
              <w:bottom w:val="nil"/>
              <w:right w:val="nil"/>
            </w:tcBorders>
            <w:shd w:val="clear" w:color="auto" w:fill="auto"/>
            <w:noWrap/>
            <w:vAlign w:val="bottom"/>
            <w:hideMark/>
          </w:tcPr>
          <w:p w14:paraId="41A9AF7A" w14:textId="22A4F67C"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5,954 </w:t>
            </w:r>
          </w:p>
        </w:tc>
        <w:tc>
          <w:tcPr>
            <w:tcW w:w="901" w:type="dxa"/>
            <w:tcBorders>
              <w:top w:val="nil"/>
              <w:left w:val="nil"/>
              <w:bottom w:val="nil"/>
              <w:right w:val="nil"/>
            </w:tcBorders>
            <w:shd w:val="clear" w:color="auto" w:fill="auto"/>
            <w:noWrap/>
            <w:vAlign w:val="bottom"/>
            <w:hideMark/>
          </w:tcPr>
          <w:p w14:paraId="25BDAA72" w14:textId="2613FD85"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5,954 </w:t>
            </w:r>
          </w:p>
        </w:tc>
        <w:tc>
          <w:tcPr>
            <w:tcW w:w="901" w:type="dxa"/>
            <w:tcBorders>
              <w:top w:val="nil"/>
              <w:left w:val="nil"/>
              <w:bottom w:val="nil"/>
              <w:right w:val="nil"/>
            </w:tcBorders>
            <w:shd w:val="clear" w:color="auto" w:fill="auto"/>
            <w:noWrap/>
            <w:vAlign w:val="bottom"/>
            <w:hideMark/>
          </w:tcPr>
          <w:p w14:paraId="7840AA0F" w14:textId="3AF00231"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5,954 </w:t>
            </w:r>
          </w:p>
        </w:tc>
      </w:tr>
      <w:tr w:rsidR="00A8085D" w:rsidRPr="00794E3C" w14:paraId="76356A04" w14:textId="77777777" w:rsidTr="00F96D8A">
        <w:trPr>
          <w:trHeight w:val="204"/>
        </w:trPr>
        <w:tc>
          <w:tcPr>
            <w:tcW w:w="3140" w:type="dxa"/>
            <w:tcBorders>
              <w:top w:val="nil"/>
              <w:left w:val="nil"/>
              <w:bottom w:val="nil"/>
              <w:right w:val="nil"/>
            </w:tcBorders>
            <w:shd w:val="clear" w:color="auto" w:fill="auto"/>
            <w:noWrap/>
            <w:vAlign w:val="bottom"/>
            <w:hideMark/>
          </w:tcPr>
          <w:p w14:paraId="2D94008E" w14:textId="77777777" w:rsidR="00A8085D" w:rsidRPr="00794E3C" w:rsidRDefault="00A8085D" w:rsidP="00A8085D">
            <w:pPr>
              <w:spacing w:after="0" w:line="240" w:lineRule="auto"/>
              <w:ind w:left="227"/>
              <w:jc w:val="left"/>
              <w:rPr>
                <w:rFonts w:ascii="Arial" w:hAnsi="Arial" w:cs="Arial"/>
                <w:sz w:val="16"/>
                <w:szCs w:val="16"/>
              </w:rPr>
            </w:pPr>
            <w:r w:rsidRPr="00794E3C">
              <w:rPr>
                <w:rFonts w:ascii="Arial" w:hAnsi="Arial" w:cs="Arial"/>
                <w:sz w:val="16"/>
                <w:szCs w:val="16"/>
              </w:rPr>
              <w:t>Other revenue</w:t>
            </w:r>
          </w:p>
        </w:tc>
        <w:tc>
          <w:tcPr>
            <w:tcW w:w="928" w:type="dxa"/>
            <w:tcBorders>
              <w:top w:val="nil"/>
              <w:left w:val="nil"/>
              <w:bottom w:val="nil"/>
              <w:right w:val="nil"/>
            </w:tcBorders>
            <w:shd w:val="clear" w:color="auto" w:fill="auto"/>
            <w:noWrap/>
            <w:vAlign w:val="bottom"/>
            <w:hideMark/>
          </w:tcPr>
          <w:p w14:paraId="21E62626" w14:textId="65035763"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1,632 </w:t>
            </w:r>
          </w:p>
        </w:tc>
        <w:tc>
          <w:tcPr>
            <w:tcW w:w="901" w:type="dxa"/>
            <w:tcBorders>
              <w:top w:val="nil"/>
              <w:left w:val="nil"/>
              <w:bottom w:val="nil"/>
              <w:right w:val="nil"/>
            </w:tcBorders>
            <w:shd w:val="clear" w:color="000000" w:fill="E6E6E6"/>
            <w:noWrap/>
            <w:vAlign w:val="bottom"/>
            <w:hideMark/>
          </w:tcPr>
          <w:p w14:paraId="15523C20" w14:textId="452797CB"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1,095 </w:t>
            </w:r>
          </w:p>
        </w:tc>
        <w:tc>
          <w:tcPr>
            <w:tcW w:w="901" w:type="dxa"/>
            <w:tcBorders>
              <w:top w:val="nil"/>
              <w:left w:val="nil"/>
              <w:bottom w:val="nil"/>
              <w:right w:val="nil"/>
            </w:tcBorders>
            <w:shd w:val="clear" w:color="auto" w:fill="auto"/>
            <w:noWrap/>
            <w:vAlign w:val="bottom"/>
            <w:hideMark/>
          </w:tcPr>
          <w:p w14:paraId="0ED95392" w14:textId="16EBDDAF"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2,222 </w:t>
            </w:r>
          </w:p>
        </w:tc>
        <w:tc>
          <w:tcPr>
            <w:tcW w:w="901" w:type="dxa"/>
            <w:tcBorders>
              <w:top w:val="nil"/>
              <w:left w:val="nil"/>
              <w:bottom w:val="nil"/>
              <w:right w:val="nil"/>
            </w:tcBorders>
            <w:shd w:val="clear" w:color="auto" w:fill="auto"/>
            <w:noWrap/>
            <w:vAlign w:val="bottom"/>
            <w:hideMark/>
          </w:tcPr>
          <w:p w14:paraId="4267C781" w14:textId="437B253D"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1,807 </w:t>
            </w:r>
          </w:p>
        </w:tc>
        <w:tc>
          <w:tcPr>
            <w:tcW w:w="901" w:type="dxa"/>
            <w:tcBorders>
              <w:top w:val="nil"/>
              <w:left w:val="nil"/>
              <w:bottom w:val="nil"/>
              <w:right w:val="nil"/>
            </w:tcBorders>
            <w:shd w:val="clear" w:color="auto" w:fill="auto"/>
            <w:noWrap/>
            <w:vAlign w:val="bottom"/>
            <w:hideMark/>
          </w:tcPr>
          <w:p w14:paraId="225D73EF" w14:textId="38C48D65"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1,807 </w:t>
            </w:r>
          </w:p>
        </w:tc>
      </w:tr>
      <w:tr w:rsidR="00A8085D" w:rsidRPr="00794E3C" w14:paraId="37CAC76F" w14:textId="77777777" w:rsidTr="00F96D8A">
        <w:trPr>
          <w:trHeight w:val="204"/>
        </w:trPr>
        <w:tc>
          <w:tcPr>
            <w:tcW w:w="3140" w:type="dxa"/>
            <w:tcBorders>
              <w:top w:val="nil"/>
              <w:left w:val="nil"/>
              <w:bottom w:val="nil"/>
              <w:right w:val="nil"/>
            </w:tcBorders>
            <w:shd w:val="clear" w:color="auto" w:fill="auto"/>
            <w:noWrap/>
            <w:vAlign w:val="bottom"/>
            <w:hideMark/>
          </w:tcPr>
          <w:p w14:paraId="7A31259E" w14:textId="77777777" w:rsidR="00A8085D" w:rsidRPr="00794E3C" w:rsidRDefault="00A8085D" w:rsidP="00A8085D">
            <w:pPr>
              <w:spacing w:after="0" w:line="240" w:lineRule="auto"/>
              <w:ind w:left="113"/>
              <w:jc w:val="left"/>
              <w:rPr>
                <w:rFonts w:ascii="Arial" w:hAnsi="Arial" w:cs="Arial"/>
                <w:b/>
                <w:sz w:val="16"/>
                <w:szCs w:val="16"/>
              </w:rPr>
            </w:pPr>
            <w:r w:rsidRPr="00794E3C">
              <w:rPr>
                <w:rFonts w:ascii="Arial" w:hAnsi="Arial" w:cs="Arial"/>
                <w:b/>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4A7D1C81" w14:textId="7B1FCB18"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11,293 </w:t>
            </w:r>
          </w:p>
        </w:tc>
        <w:tc>
          <w:tcPr>
            <w:tcW w:w="901" w:type="dxa"/>
            <w:tcBorders>
              <w:top w:val="single" w:sz="4" w:space="0" w:color="auto"/>
              <w:left w:val="nil"/>
              <w:bottom w:val="single" w:sz="4" w:space="0" w:color="auto"/>
              <w:right w:val="nil"/>
            </w:tcBorders>
            <w:shd w:val="clear" w:color="000000" w:fill="E6E6E6"/>
            <w:noWrap/>
            <w:vAlign w:val="bottom"/>
            <w:hideMark/>
          </w:tcPr>
          <w:p w14:paraId="3CBB4F50" w14:textId="013DC33E"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10,829 </w:t>
            </w:r>
          </w:p>
        </w:tc>
        <w:tc>
          <w:tcPr>
            <w:tcW w:w="901" w:type="dxa"/>
            <w:tcBorders>
              <w:top w:val="single" w:sz="4" w:space="0" w:color="auto"/>
              <w:left w:val="nil"/>
              <w:bottom w:val="single" w:sz="4" w:space="0" w:color="auto"/>
              <w:right w:val="nil"/>
            </w:tcBorders>
            <w:shd w:val="clear" w:color="auto" w:fill="auto"/>
            <w:noWrap/>
            <w:vAlign w:val="bottom"/>
            <w:hideMark/>
          </w:tcPr>
          <w:p w14:paraId="78DE90B8" w14:textId="46164875"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11,956 </w:t>
            </w:r>
          </w:p>
        </w:tc>
        <w:tc>
          <w:tcPr>
            <w:tcW w:w="901" w:type="dxa"/>
            <w:tcBorders>
              <w:top w:val="single" w:sz="4" w:space="0" w:color="auto"/>
              <w:left w:val="nil"/>
              <w:bottom w:val="single" w:sz="4" w:space="0" w:color="auto"/>
              <w:right w:val="nil"/>
            </w:tcBorders>
            <w:shd w:val="clear" w:color="auto" w:fill="auto"/>
            <w:noWrap/>
            <w:vAlign w:val="bottom"/>
            <w:hideMark/>
          </w:tcPr>
          <w:p w14:paraId="0D62C8D3" w14:textId="2930F0D5"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11,541 </w:t>
            </w:r>
          </w:p>
        </w:tc>
        <w:tc>
          <w:tcPr>
            <w:tcW w:w="901" w:type="dxa"/>
            <w:tcBorders>
              <w:top w:val="single" w:sz="4" w:space="0" w:color="auto"/>
              <w:left w:val="nil"/>
              <w:bottom w:val="single" w:sz="4" w:space="0" w:color="auto"/>
              <w:right w:val="nil"/>
            </w:tcBorders>
            <w:shd w:val="clear" w:color="auto" w:fill="auto"/>
            <w:noWrap/>
            <w:vAlign w:val="bottom"/>
            <w:hideMark/>
          </w:tcPr>
          <w:p w14:paraId="21BF025F" w14:textId="27E2BAA3"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11,541 </w:t>
            </w:r>
          </w:p>
        </w:tc>
      </w:tr>
      <w:tr w:rsidR="00A8085D" w:rsidRPr="00794E3C" w14:paraId="43D757AD" w14:textId="77777777" w:rsidTr="00F96D8A">
        <w:trPr>
          <w:trHeight w:val="204"/>
        </w:trPr>
        <w:tc>
          <w:tcPr>
            <w:tcW w:w="3140" w:type="dxa"/>
            <w:tcBorders>
              <w:top w:val="nil"/>
              <w:left w:val="nil"/>
              <w:bottom w:val="nil"/>
              <w:right w:val="nil"/>
            </w:tcBorders>
            <w:shd w:val="clear" w:color="auto" w:fill="auto"/>
            <w:noWrap/>
            <w:vAlign w:val="bottom"/>
            <w:hideMark/>
          </w:tcPr>
          <w:p w14:paraId="7951CDC1" w14:textId="77777777" w:rsidR="00A8085D" w:rsidRPr="00794E3C" w:rsidRDefault="00A8085D" w:rsidP="00A8085D">
            <w:pPr>
              <w:spacing w:after="0" w:line="240" w:lineRule="auto"/>
              <w:ind w:left="113"/>
              <w:jc w:val="left"/>
              <w:rPr>
                <w:rFonts w:ascii="Arial" w:hAnsi="Arial" w:cs="Arial"/>
                <w:b/>
                <w:sz w:val="16"/>
                <w:szCs w:val="16"/>
              </w:rPr>
            </w:pPr>
            <w:r w:rsidRPr="00794E3C">
              <w:rPr>
                <w:rFonts w:ascii="Arial" w:hAnsi="Arial" w:cs="Arial"/>
                <w:b/>
                <w:sz w:val="16"/>
                <w:szCs w:val="16"/>
              </w:rPr>
              <w:t>Gains</w:t>
            </w:r>
          </w:p>
        </w:tc>
        <w:tc>
          <w:tcPr>
            <w:tcW w:w="928" w:type="dxa"/>
            <w:tcBorders>
              <w:top w:val="nil"/>
              <w:left w:val="nil"/>
              <w:bottom w:val="nil"/>
              <w:right w:val="nil"/>
            </w:tcBorders>
            <w:shd w:val="clear" w:color="auto" w:fill="auto"/>
            <w:noWrap/>
            <w:vAlign w:val="bottom"/>
            <w:hideMark/>
          </w:tcPr>
          <w:p w14:paraId="524F5C8C" w14:textId="77777777" w:rsidR="00A8085D" w:rsidRPr="00F21454" w:rsidRDefault="00A8085D" w:rsidP="00A8085D">
            <w:pPr>
              <w:spacing w:after="0" w:line="240" w:lineRule="auto"/>
              <w:ind w:firstLineChars="100" w:firstLine="160"/>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499E5561" w14:textId="401ED8E8"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14:paraId="5A3E4101"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150AA3E" w14:textId="77777777" w:rsidR="00A8085D" w:rsidRPr="00F21454" w:rsidRDefault="00A8085D" w:rsidP="00A8085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2E9FCF10" w14:textId="77777777" w:rsidR="00A8085D" w:rsidRPr="00F21454" w:rsidRDefault="00A8085D" w:rsidP="00A8085D">
            <w:pPr>
              <w:spacing w:after="0" w:line="240" w:lineRule="auto"/>
              <w:jc w:val="right"/>
              <w:rPr>
                <w:rFonts w:ascii="Times New Roman" w:hAnsi="Times New Roman"/>
                <w:sz w:val="16"/>
                <w:szCs w:val="16"/>
              </w:rPr>
            </w:pPr>
          </w:p>
        </w:tc>
      </w:tr>
      <w:tr w:rsidR="00A8085D" w:rsidRPr="00794E3C" w14:paraId="6B72F1C9" w14:textId="77777777" w:rsidTr="00F96D8A">
        <w:trPr>
          <w:trHeight w:val="204"/>
        </w:trPr>
        <w:tc>
          <w:tcPr>
            <w:tcW w:w="3140" w:type="dxa"/>
            <w:tcBorders>
              <w:top w:val="nil"/>
              <w:left w:val="nil"/>
              <w:bottom w:val="nil"/>
              <w:right w:val="nil"/>
            </w:tcBorders>
            <w:shd w:val="clear" w:color="auto" w:fill="auto"/>
            <w:noWrap/>
            <w:vAlign w:val="bottom"/>
            <w:hideMark/>
          </w:tcPr>
          <w:p w14:paraId="374B70E6" w14:textId="77777777" w:rsidR="00A8085D" w:rsidRPr="00794E3C" w:rsidRDefault="00A8085D" w:rsidP="00A8085D">
            <w:pPr>
              <w:spacing w:after="0" w:line="240" w:lineRule="auto"/>
              <w:ind w:left="227"/>
              <w:jc w:val="left"/>
              <w:rPr>
                <w:rFonts w:ascii="Arial" w:hAnsi="Arial" w:cs="Arial"/>
                <w:sz w:val="16"/>
                <w:szCs w:val="16"/>
              </w:rPr>
            </w:pPr>
            <w:r w:rsidRPr="00794E3C">
              <w:rPr>
                <w:rFonts w:ascii="Arial" w:hAnsi="Arial" w:cs="Arial"/>
                <w:sz w:val="16"/>
                <w:szCs w:val="16"/>
              </w:rPr>
              <w:t>Other gains</w:t>
            </w:r>
          </w:p>
        </w:tc>
        <w:tc>
          <w:tcPr>
            <w:tcW w:w="928" w:type="dxa"/>
            <w:tcBorders>
              <w:top w:val="nil"/>
              <w:left w:val="nil"/>
              <w:bottom w:val="nil"/>
              <w:right w:val="nil"/>
            </w:tcBorders>
            <w:shd w:val="clear" w:color="auto" w:fill="auto"/>
            <w:noWrap/>
            <w:vAlign w:val="bottom"/>
            <w:hideMark/>
          </w:tcPr>
          <w:p w14:paraId="6436F45B" w14:textId="4F317B16"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570 </w:t>
            </w:r>
          </w:p>
        </w:tc>
        <w:tc>
          <w:tcPr>
            <w:tcW w:w="901" w:type="dxa"/>
            <w:tcBorders>
              <w:top w:val="nil"/>
              <w:left w:val="nil"/>
              <w:bottom w:val="nil"/>
              <w:right w:val="nil"/>
            </w:tcBorders>
            <w:shd w:val="clear" w:color="000000" w:fill="E6E6E6"/>
            <w:noWrap/>
            <w:vAlign w:val="bottom"/>
            <w:hideMark/>
          </w:tcPr>
          <w:p w14:paraId="2B4927DE" w14:textId="4E595642"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570 </w:t>
            </w:r>
          </w:p>
        </w:tc>
        <w:tc>
          <w:tcPr>
            <w:tcW w:w="901" w:type="dxa"/>
            <w:tcBorders>
              <w:top w:val="nil"/>
              <w:left w:val="nil"/>
              <w:bottom w:val="nil"/>
              <w:right w:val="nil"/>
            </w:tcBorders>
            <w:shd w:val="clear" w:color="auto" w:fill="auto"/>
            <w:noWrap/>
            <w:vAlign w:val="bottom"/>
            <w:hideMark/>
          </w:tcPr>
          <w:p w14:paraId="308B3D33" w14:textId="789A6A81"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570 </w:t>
            </w:r>
          </w:p>
        </w:tc>
        <w:tc>
          <w:tcPr>
            <w:tcW w:w="901" w:type="dxa"/>
            <w:tcBorders>
              <w:top w:val="nil"/>
              <w:left w:val="nil"/>
              <w:bottom w:val="nil"/>
              <w:right w:val="nil"/>
            </w:tcBorders>
            <w:shd w:val="clear" w:color="auto" w:fill="auto"/>
            <w:noWrap/>
            <w:vAlign w:val="bottom"/>
            <w:hideMark/>
          </w:tcPr>
          <w:p w14:paraId="68B7A74A" w14:textId="081F8D9E"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570 </w:t>
            </w:r>
          </w:p>
        </w:tc>
        <w:tc>
          <w:tcPr>
            <w:tcW w:w="901" w:type="dxa"/>
            <w:tcBorders>
              <w:top w:val="nil"/>
              <w:left w:val="nil"/>
              <w:bottom w:val="nil"/>
              <w:right w:val="nil"/>
            </w:tcBorders>
            <w:shd w:val="clear" w:color="auto" w:fill="auto"/>
            <w:noWrap/>
            <w:vAlign w:val="bottom"/>
            <w:hideMark/>
          </w:tcPr>
          <w:p w14:paraId="6899B2F3" w14:textId="3E920061"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570 </w:t>
            </w:r>
          </w:p>
        </w:tc>
      </w:tr>
      <w:tr w:rsidR="00A8085D" w:rsidRPr="00794E3C" w14:paraId="253F5402" w14:textId="77777777" w:rsidTr="00F96D8A">
        <w:trPr>
          <w:trHeight w:val="204"/>
        </w:trPr>
        <w:tc>
          <w:tcPr>
            <w:tcW w:w="3140" w:type="dxa"/>
            <w:tcBorders>
              <w:top w:val="nil"/>
              <w:left w:val="nil"/>
              <w:bottom w:val="nil"/>
              <w:right w:val="nil"/>
            </w:tcBorders>
            <w:shd w:val="clear" w:color="auto" w:fill="auto"/>
            <w:noWrap/>
            <w:vAlign w:val="bottom"/>
            <w:hideMark/>
          </w:tcPr>
          <w:p w14:paraId="33B2A03C" w14:textId="77777777" w:rsidR="00A8085D" w:rsidRPr="00794E3C" w:rsidRDefault="00A8085D" w:rsidP="00A8085D">
            <w:pPr>
              <w:spacing w:after="0" w:line="240" w:lineRule="auto"/>
              <w:ind w:left="113"/>
              <w:jc w:val="left"/>
              <w:rPr>
                <w:rFonts w:ascii="Arial" w:hAnsi="Arial" w:cs="Arial"/>
                <w:b/>
                <w:bCs/>
                <w:sz w:val="16"/>
                <w:szCs w:val="16"/>
              </w:rPr>
            </w:pPr>
            <w:r w:rsidRPr="00794E3C">
              <w:rPr>
                <w:rFonts w:ascii="Arial" w:hAnsi="Arial" w:cs="Arial"/>
                <w:b/>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66B9ED25" w14:textId="713C9214"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570 </w:t>
            </w:r>
          </w:p>
        </w:tc>
        <w:tc>
          <w:tcPr>
            <w:tcW w:w="901" w:type="dxa"/>
            <w:tcBorders>
              <w:top w:val="single" w:sz="4" w:space="0" w:color="auto"/>
              <w:left w:val="nil"/>
              <w:bottom w:val="single" w:sz="4" w:space="0" w:color="auto"/>
              <w:right w:val="nil"/>
            </w:tcBorders>
            <w:shd w:val="clear" w:color="000000" w:fill="E6E6E6"/>
            <w:noWrap/>
            <w:vAlign w:val="bottom"/>
            <w:hideMark/>
          </w:tcPr>
          <w:p w14:paraId="05CB8BFF" w14:textId="5D2CD456"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570 </w:t>
            </w:r>
          </w:p>
        </w:tc>
        <w:tc>
          <w:tcPr>
            <w:tcW w:w="901" w:type="dxa"/>
            <w:tcBorders>
              <w:top w:val="single" w:sz="4" w:space="0" w:color="auto"/>
              <w:left w:val="nil"/>
              <w:bottom w:val="single" w:sz="4" w:space="0" w:color="auto"/>
              <w:right w:val="nil"/>
            </w:tcBorders>
            <w:shd w:val="clear" w:color="auto" w:fill="auto"/>
            <w:noWrap/>
            <w:vAlign w:val="bottom"/>
            <w:hideMark/>
          </w:tcPr>
          <w:p w14:paraId="6CC66A29" w14:textId="328CF009"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570 </w:t>
            </w:r>
          </w:p>
        </w:tc>
        <w:tc>
          <w:tcPr>
            <w:tcW w:w="901" w:type="dxa"/>
            <w:tcBorders>
              <w:top w:val="single" w:sz="4" w:space="0" w:color="auto"/>
              <w:left w:val="nil"/>
              <w:bottom w:val="single" w:sz="4" w:space="0" w:color="auto"/>
              <w:right w:val="nil"/>
            </w:tcBorders>
            <w:shd w:val="clear" w:color="auto" w:fill="auto"/>
            <w:noWrap/>
            <w:vAlign w:val="bottom"/>
            <w:hideMark/>
          </w:tcPr>
          <w:p w14:paraId="12E38D66" w14:textId="5570BFB3"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570 </w:t>
            </w:r>
          </w:p>
        </w:tc>
        <w:tc>
          <w:tcPr>
            <w:tcW w:w="901" w:type="dxa"/>
            <w:tcBorders>
              <w:top w:val="single" w:sz="4" w:space="0" w:color="auto"/>
              <w:left w:val="nil"/>
              <w:bottom w:val="single" w:sz="4" w:space="0" w:color="auto"/>
              <w:right w:val="nil"/>
            </w:tcBorders>
            <w:shd w:val="clear" w:color="auto" w:fill="auto"/>
            <w:noWrap/>
            <w:vAlign w:val="bottom"/>
            <w:hideMark/>
          </w:tcPr>
          <w:p w14:paraId="3EB4481D" w14:textId="3320C15C"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570 </w:t>
            </w:r>
          </w:p>
        </w:tc>
      </w:tr>
      <w:tr w:rsidR="00A8085D" w:rsidRPr="00794E3C" w14:paraId="755EA098" w14:textId="77777777" w:rsidTr="00F96D8A">
        <w:trPr>
          <w:trHeight w:val="204"/>
        </w:trPr>
        <w:tc>
          <w:tcPr>
            <w:tcW w:w="3140" w:type="dxa"/>
            <w:tcBorders>
              <w:top w:val="nil"/>
              <w:left w:val="nil"/>
              <w:bottom w:val="nil"/>
              <w:right w:val="nil"/>
            </w:tcBorders>
            <w:shd w:val="clear" w:color="auto" w:fill="auto"/>
            <w:noWrap/>
            <w:vAlign w:val="bottom"/>
            <w:hideMark/>
          </w:tcPr>
          <w:p w14:paraId="0986918B"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0A8A398C" w14:textId="38FCC997"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11,863 </w:t>
            </w:r>
          </w:p>
        </w:tc>
        <w:tc>
          <w:tcPr>
            <w:tcW w:w="901" w:type="dxa"/>
            <w:tcBorders>
              <w:top w:val="single" w:sz="4" w:space="0" w:color="auto"/>
              <w:left w:val="nil"/>
              <w:bottom w:val="single" w:sz="4" w:space="0" w:color="auto"/>
              <w:right w:val="nil"/>
            </w:tcBorders>
            <w:shd w:val="clear" w:color="000000" w:fill="E6E6E6"/>
            <w:noWrap/>
            <w:vAlign w:val="bottom"/>
            <w:hideMark/>
          </w:tcPr>
          <w:p w14:paraId="73CE5E3D" w14:textId="128F6F9F"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11,399 </w:t>
            </w:r>
          </w:p>
        </w:tc>
        <w:tc>
          <w:tcPr>
            <w:tcW w:w="901" w:type="dxa"/>
            <w:tcBorders>
              <w:top w:val="single" w:sz="4" w:space="0" w:color="auto"/>
              <w:left w:val="nil"/>
              <w:bottom w:val="single" w:sz="4" w:space="0" w:color="auto"/>
              <w:right w:val="nil"/>
            </w:tcBorders>
            <w:shd w:val="clear" w:color="auto" w:fill="auto"/>
            <w:noWrap/>
            <w:vAlign w:val="bottom"/>
            <w:hideMark/>
          </w:tcPr>
          <w:p w14:paraId="4F0234B5" w14:textId="2D85B5DB"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12,526 </w:t>
            </w:r>
          </w:p>
        </w:tc>
        <w:tc>
          <w:tcPr>
            <w:tcW w:w="901" w:type="dxa"/>
            <w:tcBorders>
              <w:top w:val="single" w:sz="4" w:space="0" w:color="auto"/>
              <w:left w:val="nil"/>
              <w:bottom w:val="single" w:sz="4" w:space="0" w:color="auto"/>
              <w:right w:val="nil"/>
            </w:tcBorders>
            <w:shd w:val="clear" w:color="auto" w:fill="auto"/>
            <w:noWrap/>
            <w:vAlign w:val="bottom"/>
            <w:hideMark/>
          </w:tcPr>
          <w:p w14:paraId="22ACE8FC" w14:textId="4204B2FA"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12,111 </w:t>
            </w:r>
          </w:p>
        </w:tc>
        <w:tc>
          <w:tcPr>
            <w:tcW w:w="901" w:type="dxa"/>
            <w:tcBorders>
              <w:top w:val="single" w:sz="4" w:space="0" w:color="auto"/>
              <w:left w:val="nil"/>
              <w:bottom w:val="single" w:sz="4" w:space="0" w:color="auto"/>
              <w:right w:val="nil"/>
            </w:tcBorders>
            <w:shd w:val="clear" w:color="auto" w:fill="auto"/>
            <w:noWrap/>
            <w:vAlign w:val="bottom"/>
            <w:hideMark/>
          </w:tcPr>
          <w:p w14:paraId="5E72CE3B" w14:textId="0EAEFF59"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12,111 </w:t>
            </w:r>
          </w:p>
        </w:tc>
      </w:tr>
      <w:tr w:rsidR="00A8085D" w:rsidRPr="00794E3C" w14:paraId="1A223029" w14:textId="77777777" w:rsidTr="00F96D8A">
        <w:trPr>
          <w:trHeight w:val="204"/>
        </w:trPr>
        <w:tc>
          <w:tcPr>
            <w:tcW w:w="3140" w:type="dxa"/>
            <w:tcBorders>
              <w:top w:val="nil"/>
              <w:left w:val="nil"/>
              <w:bottom w:val="nil"/>
              <w:right w:val="nil"/>
            </w:tcBorders>
            <w:shd w:val="clear" w:color="auto" w:fill="auto"/>
            <w:vAlign w:val="bottom"/>
            <w:hideMark/>
          </w:tcPr>
          <w:p w14:paraId="4A43EE64" w14:textId="77777777" w:rsidR="00A8085D" w:rsidRPr="00794E3C" w:rsidRDefault="00A8085D" w:rsidP="00A8085D">
            <w:pPr>
              <w:spacing w:after="0" w:line="240" w:lineRule="auto"/>
              <w:jc w:val="left"/>
              <w:rPr>
                <w:rFonts w:ascii="Arial" w:hAnsi="Arial" w:cs="Arial"/>
                <w:b/>
                <w:bCs/>
                <w:color w:val="000000"/>
                <w:sz w:val="16"/>
                <w:szCs w:val="16"/>
              </w:rPr>
            </w:pPr>
            <w:r w:rsidRPr="00794E3C">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2B1D3FE1" w14:textId="4AD71BEC"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(432,964)</w:t>
            </w:r>
          </w:p>
        </w:tc>
        <w:tc>
          <w:tcPr>
            <w:tcW w:w="901" w:type="dxa"/>
            <w:tcBorders>
              <w:top w:val="nil"/>
              <w:left w:val="nil"/>
              <w:bottom w:val="single" w:sz="4" w:space="0" w:color="auto"/>
              <w:right w:val="nil"/>
            </w:tcBorders>
            <w:shd w:val="clear" w:color="000000" w:fill="E6E6E6"/>
            <w:noWrap/>
            <w:vAlign w:val="bottom"/>
            <w:hideMark/>
          </w:tcPr>
          <w:p w14:paraId="1C287481" w14:textId="5D8F6573"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(499,525)</w:t>
            </w:r>
          </w:p>
        </w:tc>
        <w:tc>
          <w:tcPr>
            <w:tcW w:w="901" w:type="dxa"/>
            <w:tcBorders>
              <w:top w:val="nil"/>
              <w:left w:val="nil"/>
              <w:bottom w:val="single" w:sz="4" w:space="0" w:color="auto"/>
              <w:right w:val="nil"/>
            </w:tcBorders>
            <w:shd w:val="clear" w:color="auto" w:fill="auto"/>
            <w:noWrap/>
            <w:vAlign w:val="bottom"/>
            <w:hideMark/>
          </w:tcPr>
          <w:p w14:paraId="570A4391" w14:textId="1AADA931"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(422,916)</w:t>
            </w:r>
          </w:p>
        </w:tc>
        <w:tc>
          <w:tcPr>
            <w:tcW w:w="901" w:type="dxa"/>
            <w:tcBorders>
              <w:top w:val="nil"/>
              <w:left w:val="nil"/>
              <w:bottom w:val="single" w:sz="4" w:space="0" w:color="auto"/>
              <w:right w:val="nil"/>
            </w:tcBorders>
            <w:shd w:val="clear" w:color="auto" w:fill="auto"/>
            <w:noWrap/>
            <w:vAlign w:val="bottom"/>
            <w:hideMark/>
          </w:tcPr>
          <w:p w14:paraId="3FCEEF30" w14:textId="2E86F2C5"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(354,851)</w:t>
            </w:r>
          </w:p>
        </w:tc>
        <w:tc>
          <w:tcPr>
            <w:tcW w:w="901" w:type="dxa"/>
            <w:tcBorders>
              <w:top w:val="nil"/>
              <w:left w:val="nil"/>
              <w:bottom w:val="single" w:sz="4" w:space="0" w:color="auto"/>
              <w:right w:val="nil"/>
            </w:tcBorders>
            <w:shd w:val="clear" w:color="auto" w:fill="auto"/>
            <w:noWrap/>
            <w:vAlign w:val="bottom"/>
            <w:hideMark/>
          </w:tcPr>
          <w:p w14:paraId="00BAD24B" w14:textId="7986B478"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(347,520)</w:t>
            </w:r>
          </w:p>
        </w:tc>
      </w:tr>
      <w:tr w:rsidR="00A8085D" w:rsidRPr="00794E3C" w14:paraId="5FB31DD0" w14:textId="77777777" w:rsidTr="00F96D8A">
        <w:trPr>
          <w:trHeight w:val="204"/>
        </w:trPr>
        <w:tc>
          <w:tcPr>
            <w:tcW w:w="3140" w:type="dxa"/>
            <w:tcBorders>
              <w:top w:val="nil"/>
              <w:left w:val="nil"/>
              <w:bottom w:val="nil"/>
              <w:right w:val="nil"/>
            </w:tcBorders>
            <w:shd w:val="clear" w:color="auto" w:fill="auto"/>
            <w:noWrap/>
            <w:vAlign w:val="bottom"/>
            <w:hideMark/>
          </w:tcPr>
          <w:p w14:paraId="2C9E4F1E"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504DF60C" w14:textId="36507E23"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415,654 </w:t>
            </w:r>
          </w:p>
        </w:tc>
        <w:tc>
          <w:tcPr>
            <w:tcW w:w="901" w:type="dxa"/>
            <w:tcBorders>
              <w:top w:val="nil"/>
              <w:left w:val="nil"/>
              <w:bottom w:val="single" w:sz="4" w:space="0" w:color="auto"/>
              <w:right w:val="nil"/>
            </w:tcBorders>
            <w:shd w:val="clear" w:color="000000" w:fill="E6E6E6"/>
            <w:noWrap/>
            <w:vAlign w:val="bottom"/>
            <w:hideMark/>
          </w:tcPr>
          <w:p w14:paraId="59E4F8C5" w14:textId="31A67FFA"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482,494 </w:t>
            </w:r>
          </w:p>
        </w:tc>
        <w:tc>
          <w:tcPr>
            <w:tcW w:w="901" w:type="dxa"/>
            <w:tcBorders>
              <w:top w:val="nil"/>
              <w:left w:val="nil"/>
              <w:bottom w:val="single" w:sz="4" w:space="0" w:color="auto"/>
              <w:right w:val="nil"/>
            </w:tcBorders>
            <w:shd w:val="clear" w:color="auto" w:fill="auto"/>
            <w:noWrap/>
            <w:vAlign w:val="bottom"/>
            <w:hideMark/>
          </w:tcPr>
          <w:p w14:paraId="40288DF6" w14:textId="1DBE4113"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406,001 </w:t>
            </w:r>
          </w:p>
        </w:tc>
        <w:tc>
          <w:tcPr>
            <w:tcW w:w="901" w:type="dxa"/>
            <w:tcBorders>
              <w:top w:val="nil"/>
              <w:left w:val="nil"/>
              <w:bottom w:val="single" w:sz="4" w:space="0" w:color="auto"/>
              <w:right w:val="nil"/>
            </w:tcBorders>
            <w:shd w:val="clear" w:color="auto" w:fill="auto"/>
            <w:noWrap/>
            <w:vAlign w:val="bottom"/>
            <w:hideMark/>
          </w:tcPr>
          <w:p w14:paraId="6EDADB86" w14:textId="12D52724"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342,119 </w:t>
            </w:r>
          </w:p>
        </w:tc>
        <w:tc>
          <w:tcPr>
            <w:tcW w:w="901" w:type="dxa"/>
            <w:tcBorders>
              <w:top w:val="nil"/>
              <w:left w:val="nil"/>
              <w:bottom w:val="single" w:sz="4" w:space="0" w:color="auto"/>
              <w:right w:val="nil"/>
            </w:tcBorders>
            <w:shd w:val="clear" w:color="auto" w:fill="auto"/>
            <w:noWrap/>
            <w:vAlign w:val="bottom"/>
            <w:hideMark/>
          </w:tcPr>
          <w:p w14:paraId="5D24969E" w14:textId="5F715B82"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334,788 </w:t>
            </w:r>
          </w:p>
        </w:tc>
      </w:tr>
      <w:tr w:rsidR="00A8085D" w:rsidRPr="00794E3C" w14:paraId="0873D48F" w14:textId="77777777" w:rsidTr="00F96D8A">
        <w:trPr>
          <w:trHeight w:val="204"/>
        </w:trPr>
        <w:tc>
          <w:tcPr>
            <w:tcW w:w="3140" w:type="dxa"/>
            <w:tcBorders>
              <w:top w:val="nil"/>
              <w:left w:val="nil"/>
              <w:bottom w:val="nil"/>
              <w:right w:val="nil"/>
            </w:tcBorders>
            <w:shd w:val="clear" w:color="auto" w:fill="auto"/>
            <w:vAlign w:val="bottom"/>
            <w:hideMark/>
          </w:tcPr>
          <w:p w14:paraId="758B9C69"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07FC5EE9" w14:textId="49873BBC"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(17,310)</w:t>
            </w:r>
          </w:p>
        </w:tc>
        <w:tc>
          <w:tcPr>
            <w:tcW w:w="901" w:type="dxa"/>
            <w:tcBorders>
              <w:top w:val="nil"/>
              <w:left w:val="nil"/>
              <w:bottom w:val="single" w:sz="4" w:space="0" w:color="auto"/>
              <w:right w:val="nil"/>
            </w:tcBorders>
            <w:shd w:val="clear" w:color="000000" w:fill="E6E6E6"/>
            <w:noWrap/>
            <w:vAlign w:val="bottom"/>
            <w:hideMark/>
          </w:tcPr>
          <w:p w14:paraId="77D1C05F" w14:textId="24690A9B"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(17,031)</w:t>
            </w:r>
          </w:p>
        </w:tc>
        <w:tc>
          <w:tcPr>
            <w:tcW w:w="901" w:type="dxa"/>
            <w:tcBorders>
              <w:top w:val="nil"/>
              <w:left w:val="nil"/>
              <w:bottom w:val="single" w:sz="4" w:space="0" w:color="auto"/>
              <w:right w:val="nil"/>
            </w:tcBorders>
            <w:shd w:val="clear" w:color="auto" w:fill="auto"/>
            <w:noWrap/>
            <w:vAlign w:val="bottom"/>
            <w:hideMark/>
          </w:tcPr>
          <w:p w14:paraId="44CDF166" w14:textId="6AA1C5BE"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(16,915)</w:t>
            </w:r>
          </w:p>
        </w:tc>
        <w:tc>
          <w:tcPr>
            <w:tcW w:w="901" w:type="dxa"/>
            <w:tcBorders>
              <w:top w:val="nil"/>
              <w:left w:val="nil"/>
              <w:bottom w:val="single" w:sz="4" w:space="0" w:color="auto"/>
              <w:right w:val="nil"/>
            </w:tcBorders>
            <w:shd w:val="clear" w:color="auto" w:fill="auto"/>
            <w:noWrap/>
            <w:vAlign w:val="bottom"/>
            <w:hideMark/>
          </w:tcPr>
          <w:p w14:paraId="2BB2BDAF" w14:textId="40E50386"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(12,732)</w:t>
            </w:r>
          </w:p>
        </w:tc>
        <w:tc>
          <w:tcPr>
            <w:tcW w:w="901" w:type="dxa"/>
            <w:tcBorders>
              <w:top w:val="nil"/>
              <w:left w:val="nil"/>
              <w:bottom w:val="single" w:sz="4" w:space="0" w:color="auto"/>
              <w:right w:val="nil"/>
            </w:tcBorders>
            <w:shd w:val="clear" w:color="auto" w:fill="auto"/>
            <w:noWrap/>
            <w:vAlign w:val="bottom"/>
            <w:hideMark/>
          </w:tcPr>
          <w:p w14:paraId="03239E12" w14:textId="1AE22E7A"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(12,732)</w:t>
            </w:r>
          </w:p>
        </w:tc>
      </w:tr>
      <w:tr w:rsidR="00A8085D" w:rsidRPr="00794E3C" w14:paraId="61794A1E" w14:textId="77777777" w:rsidTr="00F96D8A">
        <w:trPr>
          <w:trHeight w:val="204"/>
        </w:trPr>
        <w:tc>
          <w:tcPr>
            <w:tcW w:w="3140" w:type="dxa"/>
            <w:tcBorders>
              <w:top w:val="nil"/>
              <w:left w:val="nil"/>
              <w:bottom w:val="nil"/>
              <w:right w:val="nil"/>
            </w:tcBorders>
            <w:shd w:val="clear" w:color="auto" w:fill="auto"/>
            <w:noWrap/>
            <w:vAlign w:val="bottom"/>
            <w:hideMark/>
          </w:tcPr>
          <w:p w14:paraId="5EAE3862"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bottom"/>
            <w:hideMark/>
          </w:tcPr>
          <w:p w14:paraId="5CB5EE8B"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4A8D2B14" w14:textId="721DC43A"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14:paraId="24BA7D47" w14:textId="77777777" w:rsidR="00A8085D" w:rsidRPr="00F21454" w:rsidRDefault="00A8085D" w:rsidP="00A8085D">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164CC8F" w14:textId="77777777" w:rsidR="00A8085D" w:rsidRPr="00F21454" w:rsidRDefault="00A8085D" w:rsidP="00A8085D">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33085388" w14:textId="77777777" w:rsidR="00A8085D" w:rsidRPr="00F21454" w:rsidRDefault="00A8085D" w:rsidP="00A8085D">
            <w:pPr>
              <w:spacing w:after="0" w:line="240" w:lineRule="auto"/>
              <w:jc w:val="right"/>
              <w:rPr>
                <w:rFonts w:ascii="Times New Roman" w:hAnsi="Times New Roman"/>
                <w:sz w:val="16"/>
                <w:szCs w:val="16"/>
              </w:rPr>
            </w:pPr>
          </w:p>
        </w:tc>
      </w:tr>
      <w:tr w:rsidR="00A8085D" w:rsidRPr="00794E3C" w14:paraId="1AFF2C69" w14:textId="77777777" w:rsidTr="00F96D8A">
        <w:trPr>
          <w:trHeight w:val="204"/>
        </w:trPr>
        <w:tc>
          <w:tcPr>
            <w:tcW w:w="3140" w:type="dxa"/>
            <w:tcBorders>
              <w:top w:val="nil"/>
              <w:left w:val="nil"/>
              <w:bottom w:val="nil"/>
              <w:right w:val="nil"/>
            </w:tcBorders>
            <w:shd w:val="clear" w:color="auto" w:fill="auto"/>
            <w:noWrap/>
            <w:vAlign w:val="bottom"/>
            <w:hideMark/>
          </w:tcPr>
          <w:p w14:paraId="051D4635" w14:textId="77777777" w:rsidR="00A8085D" w:rsidRPr="00794E3C" w:rsidRDefault="00A8085D" w:rsidP="00A8085D">
            <w:pPr>
              <w:spacing w:after="0" w:line="240" w:lineRule="auto"/>
              <w:ind w:left="113"/>
              <w:jc w:val="left"/>
              <w:rPr>
                <w:rFonts w:ascii="Arial" w:hAnsi="Arial" w:cs="Arial"/>
                <w:sz w:val="16"/>
                <w:szCs w:val="16"/>
              </w:rPr>
            </w:pPr>
            <w:r w:rsidRPr="00794E3C">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bottom"/>
            <w:hideMark/>
          </w:tcPr>
          <w:p w14:paraId="4F1B028B" w14:textId="76468325" w:rsidR="00A8085D" w:rsidRPr="00F21454"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c>
          <w:tcPr>
            <w:tcW w:w="901" w:type="dxa"/>
            <w:tcBorders>
              <w:top w:val="nil"/>
              <w:left w:val="nil"/>
              <w:bottom w:val="single" w:sz="4" w:space="0" w:color="auto"/>
              <w:right w:val="nil"/>
            </w:tcBorders>
            <w:shd w:val="clear" w:color="000000" w:fill="E6E6E6"/>
            <w:noWrap/>
            <w:vAlign w:val="bottom"/>
            <w:hideMark/>
          </w:tcPr>
          <w:p w14:paraId="5A3D7D8A" w14:textId="5B2D5EF6"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14:paraId="0405F852" w14:textId="17AE8543"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14:paraId="74140574" w14:textId="7CF68221"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14:paraId="3F221EAA" w14:textId="347E2060"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A8085D" w:rsidRPr="00794E3C" w14:paraId="065F3B7F" w14:textId="77777777" w:rsidTr="00F96D8A">
        <w:trPr>
          <w:trHeight w:val="204"/>
        </w:trPr>
        <w:tc>
          <w:tcPr>
            <w:tcW w:w="3140" w:type="dxa"/>
            <w:tcBorders>
              <w:top w:val="nil"/>
              <w:left w:val="nil"/>
              <w:bottom w:val="nil"/>
              <w:right w:val="nil"/>
            </w:tcBorders>
            <w:shd w:val="clear" w:color="auto" w:fill="auto"/>
            <w:noWrap/>
            <w:vAlign w:val="bottom"/>
            <w:hideMark/>
          </w:tcPr>
          <w:p w14:paraId="4A578B04"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 xml:space="preserve">Total other comprehensive income </w:t>
            </w:r>
          </w:p>
        </w:tc>
        <w:tc>
          <w:tcPr>
            <w:tcW w:w="928" w:type="dxa"/>
            <w:tcBorders>
              <w:top w:val="single" w:sz="4" w:space="0" w:color="auto"/>
              <w:left w:val="nil"/>
              <w:bottom w:val="single" w:sz="4" w:space="0" w:color="auto"/>
              <w:right w:val="nil"/>
            </w:tcBorders>
            <w:shd w:val="clear" w:color="auto" w:fill="auto"/>
            <w:noWrap/>
            <w:vAlign w:val="bottom"/>
            <w:hideMark/>
          </w:tcPr>
          <w:p w14:paraId="1B7CEE40" w14:textId="32E1528F"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000000" w:fill="E6E6E6"/>
            <w:noWrap/>
            <w:vAlign w:val="bottom"/>
            <w:hideMark/>
          </w:tcPr>
          <w:p w14:paraId="22CCBFE7" w14:textId="07712600"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14:paraId="23EAD2AB" w14:textId="09E5B182"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14:paraId="02A0A41F" w14:textId="24BFD96B"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14:paraId="67C4DD00" w14:textId="1FE0D722"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A8085D" w:rsidRPr="00794E3C" w14:paraId="463EA258" w14:textId="77777777" w:rsidTr="00F96D8A">
        <w:trPr>
          <w:trHeight w:val="204"/>
        </w:trPr>
        <w:tc>
          <w:tcPr>
            <w:tcW w:w="3140" w:type="dxa"/>
            <w:tcBorders>
              <w:top w:val="nil"/>
              <w:left w:val="nil"/>
              <w:bottom w:val="single" w:sz="4" w:space="0" w:color="auto"/>
              <w:right w:val="nil"/>
            </w:tcBorders>
            <w:shd w:val="clear" w:color="auto" w:fill="auto"/>
            <w:vAlign w:val="bottom"/>
            <w:hideMark/>
          </w:tcPr>
          <w:p w14:paraId="0E7A303C" w14:textId="77777777" w:rsidR="00A8085D" w:rsidRPr="00794E3C" w:rsidRDefault="00A8085D" w:rsidP="00A8085D">
            <w:pPr>
              <w:spacing w:after="0" w:line="240" w:lineRule="auto"/>
              <w:jc w:val="left"/>
              <w:rPr>
                <w:rFonts w:ascii="Arial" w:hAnsi="Arial" w:cs="Arial"/>
                <w:b/>
                <w:bCs/>
                <w:sz w:val="16"/>
                <w:szCs w:val="16"/>
              </w:rPr>
            </w:pPr>
            <w:r w:rsidRPr="00794E3C">
              <w:rPr>
                <w:rFonts w:ascii="Arial" w:hAnsi="Arial" w:cs="Arial"/>
                <w:b/>
                <w:bCs/>
                <w:sz w:val="16"/>
                <w:szCs w:val="16"/>
              </w:rPr>
              <w:t>Total comprehensive income/(loss) attributable to the Australian Government</w:t>
            </w:r>
          </w:p>
        </w:tc>
        <w:tc>
          <w:tcPr>
            <w:tcW w:w="928" w:type="dxa"/>
            <w:tcBorders>
              <w:top w:val="single" w:sz="4" w:space="0" w:color="auto"/>
              <w:left w:val="nil"/>
              <w:bottom w:val="single" w:sz="4" w:space="0" w:color="auto"/>
              <w:right w:val="nil"/>
            </w:tcBorders>
            <w:shd w:val="clear" w:color="auto" w:fill="auto"/>
            <w:noWrap/>
            <w:vAlign w:val="bottom"/>
            <w:hideMark/>
          </w:tcPr>
          <w:p w14:paraId="00993103" w14:textId="050BD90D"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(17,310)</w:t>
            </w:r>
          </w:p>
        </w:tc>
        <w:tc>
          <w:tcPr>
            <w:tcW w:w="901" w:type="dxa"/>
            <w:tcBorders>
              <w:top w:val="single" w:sz="4" w:space="0" w:color="auto"/>
              <w:left w:val="nil"/>
              <w:bottom w:val="single" w:sz="4" w:space="0" w:color="auto"/>
              <w:right w:val="nil"/>
            </w:tcBorders>
            <w:shd w:val="clear" w:color="000000" w:fill="E6E6E6"/>
            <w:noWrap/>
            <w:vAlign w:val="bottom"/>
            <w:hideMark/>
          </w:tcPr>
          <w:p w14:paraId="0FF9F0F2" w14:textId="3A648FFE"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(17,031)</w:t>
            </w:r>
          </w:p>
        </w:tc>
        <w:tc>
          <w:tcPr>
            <w:tcW w:w="901" w:type="dxa"/>
            <w:tcBorders>
              <w:top w:val="single" w:sz="4" w:space="0" w:color="auto"/>
              <w:left w:val="nil"/>
              <w:bottom w:val="single" w:sz="4" w:space="0" w:color="auto"/>
              <w:right w:val="nil"/>
            </w:tcBorders>
            <w:shd w:val="clear" w:color="auto" w:fill="auto"/>
            <w:noWrap/>
            <w:vAlign w:val="bottom"/>
            <w:hideMark/>
          </w:tcPr>
          <w:p w14:paraId="029D37E1" w14:textId="4F35DCD9"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(16,915)</w:t>
            </w:r>
          </w:p>
        </w:tc>
        <w:tc>
          <w:tcPr>
            <w:tcW w:w="901" w:type="dxa"/>
            <w:tcBorders>
              <w:top w:val="single" w:sz="4" w:space="0" w:color="auto"/>
              <w:left w:val="nil"/>
              <w:bottom w:val="single" w:sz="4" w:space="0" w:color="auto"/>
              <w:right w:val="nil"/>
            </w:tcBorders>
            <w:shd w:val="clear" w:color="auto" w:fill="auto"/>
            <w:noWrap/>
            <w:vAlign w:val="bottom"/>
            <w:hideMark/>
          </w:tcPr>
          <w:p w14:paraId="6475680C" w14:textId="529E53E0"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(12,732)</w:t>
            </w:r>
          </w:p>
        </w:tc>
        <w:tc>
          <w:tcPr>
            <w:tcW w:w="901" w:type="dxa"/>
            <w:tcBorders>
              <w:top w:val="single" w:sz="4" w:space="0" w:color="auto"/>
              <w:left w:val="nil"/>
              <w:bottom w:val="single" w:sz="4" w:space="0" w:color="auto"/>
              <w:right w:val="nil"/>
            </w:tcBorders>
            <w:shd w:val="clear" w:color="auto" w:fill="auto"/>
            <w:noWrap/>
            <w:vAlign w:val="bottom"/>
            <w:hideMark/>
          </w:tcPr>
          <w:p w14:paraId="07258A7D" w14:textId="0E83CCFB" w:rsidR="00A8085D" w:rsidRPr="00F21454" w:rsidRDefault="00A8085D" w:rsidP="00A8085D">
            <w:pPr>
              <w:spacing w:after="0" w:line="240" w:lineRule="auto"/>
              <w:jc w:val="right"/>
              <w:rPr>
                <w:rFonts w:ascii="Arial" w:hAnsi="Arial" w:cs="Arial"/>
                <w:b/>
                <w:bCs/>
                <w:sz w:val="16"/>
                <w:szCs w:val="16"/>
              </w:rPr>
            </w:pPr>
            <w:r>
              <w:rPr>
                <w:rFonts w:ascii="Arial" w:hAnsi="Arial" w:cs="Arial"/>
                <w:b/>
                <w:bCs/>
                <w:sz w:val="16"/>
                <w:szCs w:val="16"/>
              </w:rPr>
              <w:t>(12,732)</w:t>
            </w:r>
          </w:p>
        </w:tc>
      </w:tr>
    </w:tbl>
    <w:p w14:paraId="6BE6E800" w14:textId="77777777" w:rsidR="00B91F3E" w:rsidRPr="004350FC" w:rsidRDefault="00B91F3E" w:rsidP="00B91F3E">
      <w:pPr>
        <w:pStyle w:val="TableHeadingNoTable"/>
        <w:pBdr>
          <w:bottom w:val="single" w:sz="4" w:space="1" w:color="auto"/>
        </w:pBdr>
        <w:spacing w:after="0"/>
        <w:rPr>
          <w:sz w:val="16"/>
          <w:szCs w:val="16"/>
        </w:rPr>
      </w:pPr>
      <w:r w:rsidRPr="004350FC">
        <w:rPr>
          <w:sz w:val="16"/>
          <w:szCs w:val="16"/>
        </w:rPr>
        <w:t>Note: Impact of net cash appropriation arrangements</w:t>
      </w:r>
    </w:p>
    <w:tbl>
      <w:tblPr>
        <w:tblW w:w="7655" w:type="dxa"/>
        <w:tblLayout w:type="fixed"/>
        <w:tblLook w:val="04A0" w:firstRow="1" w:lastRow="0" w:firstColumn="1" w:lastColumn="0" w:noHBand="0" w:noVBand="1"/>
      </w:tblPr>
      <w:tblGrid>
        <w:gridCol w:w="3119"/>
        <w:gridCol w:w="928"/>
        <w:gridCol w:w="915"/>
        <w:gridCol w:w="850"/>
        <w:gridCol w:w="992"/>
        <w:gridCol w:w="851"/>
      </w:tblGrid>
      <w:tr w:rsidR="00A8085D" w:rsidRPr="00400DB5" w14:paraId="7EE817E4" w14:textId="77777777" w:rsidTr="00F96D8A">
        <w:trPr>
          <w:trHeight w:val="204"/>
        </w:trPr>
        <w:tc>
          <w:tcPr>
            <w:tcW w:w="3119" w:type="dxa"/>
            <w:tcBorders>
              <w:top w:val="nil"/>
              <w:left w:val="nil"/>
              <w:bottom w:val="nil"/>
              <w:right w:val="nil"/>
            </w:tcBorders>
            <w:shd w:val="clear" w:color="auto" w:fill="auto"/>
            <w:vAlign w:val="bottom"/>
            <w:hideMark/>
          </w:tcPr>
          <w:p w14:paraId="145F46A2" w14:textId="77777777" w:rsidR="00A8085D" w:rsidRPr="00400DB5" w:rsidRDefault="00A8085D" w:rsidP="00A8085D">
            <w:pPr>
              <w:spacing w:after="0" w:line="240" w:lineRule="auto"/>
              <w:jc w:val="left"/>
              <w:rPr>
                <w:rFonts w:ascii="Arial" w:hAnsi="Arial" w:cs="Arial"/>
                <w:b/>
                <w:bCs/>
                <w:color w:val="000000"/>
                <w:sz w:val="16"/>
                <w:szCs w:val="16"/>
              </w:rPr>
            </w:pPr>
            <w:r w:rsidRPr="00400DB5">
              <w:rPr>
                <w:rFonts w:ascii="Arial" w:hAnsi="Arial" w:cs="Arial"/>
                <w:b/>
                <w:bCs/>
                <w:color w:val="000000"/>
                <w:sz w:val="16"/>
                <w:szCs w:val="16"/>
              </w:rPr>
              <w:t>Total comprehensive income/(loss) as per statement of Comprehensive Income</w:t>
            </w:r>
          </w:p>
        </w:tc>
        <w:tc>
          <w:tcPr>
            <w:tcW w:w="928" w:type="dxa"/>
            <w:tcBorders>
              <w:top w:val="nil"/>
              <w:left w:val="nil"/>
              <w:bottom w:val="nil"/>
              <w:right w:val="nil"/>
            </w:tcBorders>
            <w:shd w:val="clear" w:color="auto" w:fill="auto"/>
            <w:noWrap/>
            <w:vAlign w:val="bottom"/>
            <w:hideMark/>
          </w:tcPr>
          <w:p w14:paraId="2625676E" w14:textId="2110505E" w:rsidR="00A8085D" w:rsidRPr="00400DB5"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(17,310)</w:t>
            </w:r>
          </w:p>
        </w:tc>
        <w:tc>
          <w:tcPr>
            <w:tcW w:w="915" w:type="dxa"/>
            <w:tcBorders>
              <w:top w:val="nil"/>
              <w:left w:val="nil"/>
              <w:bottom w:val="nil"/>
              <w:right w:val="nil"/>
            </w:tcBorders>
            <w:shd w:val="clear" w:color="000000" w:fill="E6E6E6"/>
            <w:noWrap/>
            <w:vAlign w:val="bottom"/>
            <w:hideMark/>
          </w:tcPr>
          <w:p w14:paraId="03FDB1BE" w14:textId="2126E32F" w:rsidR="00A8085D" w:rsidRPr="00400DB5"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(17,031)</w:t>
            </w:r>
          </w:p>
        </w:tc>
        <w:tc>
          <w:tcPr>
            <w:tcW w:w="850" w:type="dxa"/>
            <w:tcBorders>
              <w:top w:val="nil"/>
              <w:left w:val="nil"/>
              <w:bottom w:val="nil"/>
              <w:right w:val="nil"/>
            </w:tcBorders>
            <w:shd w:val="clear" w:color="auto" w:fill="auto"/>
            <w:noWrap/>
            <w:vAlign w:val="bottom"/>
            <w:hideMark/>
          </w:tcPr>
          <w:p w14:paraId="36988424" w14:textId="7BDD3A28" w:rsidR="00A8085D" w:rsidRPr="00400DB5"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(16,915)</w:t>
            </w:r>
          </w:p>
        </w:tc>
        <w:tc>
          <w:tcPr>
            <w:tcW w:w="992" w:type="dxa"/>
            <w:tcBorders>
              <w:top w:val="nil"/>
              <w:left w:val="nil"/>
              <w:bottom w:val="nil"/>
              <w:right w:val="nil"/>
            </w:tcBorders>
            <w:shd w:val="clear" w:color="auto" w:fill="auto"/>
            <w:noWrap/>
            <w:vAlign w:val="bottom"/>
            <w:hideMark/>
          </w:tcPr>
          <w:p w14:paraId="141222D0" w14:textId="1B0EA7A7" w:rsidR="00A8085D" w:rsidRPr="00400DB5"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(12,732)</w:t>
            </w:r>
          </w:p>
        </w:tc>
        <w:tc>
          <w:tcPr>
            <w:tcW w:w="851" w:type="dxa"/>
            <w:tcBorders>
              <w:top w:val="nil"/>
              <w:left w:val="nil"/>
              <w:bottom w:val="nil"/>
              <w:right w:val="nil"/>
            </w:tcBorders>
            <w:shd w:val="clear" w:color="auto" w:fill="auto"/>
            <w:noWrap/>
            <w:vAlign w:val="bottom"/>
            <w:hideMark/>
          </w:tcPr>
          <w:p w14:paraId="16CE2EDA" w14:textId="3CB8B0E3" w:rsidR="00A8085D" w:rsidRPr="00400DB5"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(12,732)</w:t>
            </w:r>
          </w:p>
        </w:tc>
      </w:tr>
      <w:tr w:rsidR="00A8085D" w:rsidRPr="00400DB5" w14:paraId="2763421E" w14:textId="77777777" w:rsidTr="00F96D8A">
        <w:trPr>
          <w:trHeight w:val="204"/>
        </w:trPr>
        <w:tc>
          <w:tcPr>
            <w:tcW w:w="3119" w:type="dxa"/>
            <w:tcBorders>
              <w:top w:val="nil"/>
              <w:left w:val="nil"/>
              <w:bottom w:val="nil"/>
              <w:right w:val="nil"/>
            </w:tcBorders>
            <w:shd w:val="clear" w:color="auto" w:fill="auto"/>
            <w:vAlign w:val="bottom"/>
            <w:hideMark/>
          </w:tcPr>
          <w:p w14:paraId="28E97699" w14:textId="77777777" w:rsidR="00A8085D" w:rsidRPr="00400DB5" w:rsidRDefault="00A8085D" w:rsidP="00A8085D">
            <w:pPr>
              <w:spacing w:after="0" w:line="240" w:lineRule="auto"/>
              <w:jc w:val="left"/>
              <w:rPr>
                <w:rFonts w:ascii="Arial" w:hAnsi="Arial" w:cs="Arial"/>
                <w:color w:val="000000"/>
                <w:sz w:val="16"/>
                <w:szCs w:val="16"/>
              </w:rPr>
            </w:pPr>
            <w:r w:rsidRPr="00400DB5">
              <w:rPr>
                <w:rFonts w:ascii="Arial" w:hAnsi="Arial" w:cs="Arial"/>
                <w:color w:val="000000"/>
                <w:sz w:val="16"/>
                <w:szCs w:val="16"/>
              </w:rPr>
              <w:t>plus: depreciation/amortisation of assets previously funded through</w:t>
            </w:r>
            <w:r>
              <w:rPr>
                <w:rFonts w:ascii="Arial" w:hAnsi="Arial" w:cs="Arial"/>
                <w:color w:val="000000"/>
                <w:sz w:val="16"/>
                <w:szCs w:val="16"/>
              </w:rPr>
              <w:t xml:space="preserve"> </w:t>
            </w:r>
            <w:r w:rsidRPr="00400DB5">
              <w:rPr>
                <w:rFonts w:ascii="Arial" w:hAnsi="Arial" w:cs="Arial"/>
                <w:color w:val="000000"/>
                <w:sz w:val="16"/>
                <w:szCs w:val="16"/>
              </w:rPr>
              <w:t>appropriations</w:t>
            </w:r>
            <w:r>
              <w:rPr>
                <w:rFonts w:ascii="Arial" w:hAnsi="Arial" w:cs="Arial"/>
                <w:color w:val="000000"/>
                <w:sz w:val="16"/>
                <w:szCs w:val="16"/>
              </w:rPr>
              <w:t> </w:t>
            </w:r>
            <w:r w:rsidRPr="00400DB5">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1F778D4C" w14:textId="455BEB26"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16,411 </w:t>
            </w:r>
          </w:p>
        </w:tc>
        <w:tc>
          <w:tcPr>
            <w:tcW w:w="915" w:type="dxa"/>
            <w:tcBorders>
              <w:top w:val="nil"/>
              <w:left w:val="nil"/>
              <w:bottom w:val="nil"/>
              <w:right w:val="nil"/>
            </w:tcBorders>
            <w:shd w:val="clear" w:color="000000" w:fill="E6E6E6"/>
            <w:noWrap/>
            <w:vAlign w:val="bottom"/>
            <w:hideMark/>
          </w:tcPr>
          <w:p w14:paraId="48745B8D" w14:textId="5787D51D"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16,795 </w:t>
            </w:r>
          </w:p>
        </w:tc>
        <w:tc>
          <w:tcPr>
            <w:tcW w:w="850" w:type="dxa"/>
            <w:tcBorders>
              <w:top w:val="nil"/>
              <w:left w:val="nil"/>
              <w:bottom w:val="nil"/>
              <w:right w:val="nil"/>
            </w:tcBorders>
            <w:shd w:val="clear" w:color="auto" w:fill="auto"/>
            <w:noWrap/>
            <w:vAlign w:val="bottom"/>
            <w:hideMark/>
          </w:tcPr>
          <w:p w14:paraId="32E8F9E1" w14:textId="6BEF8D0F"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16,678 </w:t>
            </w:r>
          </w:p>
        </w:tc>
        <w:tc>
          <w:tcPr>
            <w:tcW w:w="992" w:type="dxa"/>
            <w:tcBorders>
              <w:top w:val="nil"/>
              <w:left w:val="nil"/>
              <w:bottom w:val="nil"/>
              <w:right w:val="nil"/>
            </w:tcBorders>
            <w:shd w:val="clear" w:color="auto" w:fill="auto"/>
            <w:noWrap/>
            <w:vAlign w:val="bottom"/>
            <w:hideMark/>
          </w:tcPr>
          <w:p w14:paraId="2EC6F56C" w14:textId="7FF93342"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16,678 </w:t>
            </w:r>
          </w:p>
        </w:tc>
        <w:tc>
          <w:tcPr>
            <w:tcW w:w="851" w:type="dxa"/>
            <w:tcBorders>
              <w:top w:val="nil"/>
              <w:left w:val="nil"/>
              <w:bottom w:val="nil"/>
              <w:right w:val="nil"/>
            </w:tcBorders>
            <w:shd w:val="clear" w:color="auto" w:fill="auto"/>
            <w:noWrap/>
            <w:vAlign w:val="bottom"/>
            <w:hideMark/>
          </w:tcPr>
          <w:p w14:paraId="21C1EB0E" w14:textId="57DD944A"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16,678 </w:t>
            </w:r>
          </w:p>
        </w:tc>
      </w:tr>
      <w:tr w:rsidR="00A8085D" w:rsidRPr="00400DB5" w14:paraId="4C3ED25A" w14:textId="77777777" w:rsidTr="00F96D8A">
        <w:trPr>
          <w:trHeight w:val="204"/>
        </w:trPr>
        <w:tc>
          <w:tcPr>
            <w:tcW w:w="3119" w:type="dxa"/>
            <w:tcBorders>
              <w:top w:val="nil"/>
              <w:left w:val="nil"/>
              <w:bottom w:val="nil"/>
              <w:right w:val="nil"/>
            </w:tcBorders>
            <w:shd w:val="clear" w:color="auto" w:fill="auto"/>
            <w:vAlign w:val="bottom"/>
            <w:hideMark/>
          </w:tcPr>
          <w:p w14:paraId="25EC3E0F" w14:textId="77777777" w:rsidR="00A8085D" w:rsidRPr="00400DB5" w:rsidRDefault="00A8085D" w:rsidP="00A8085D">
            <w:pPr>
              <w:spacing w:after="0" w:line="240" w:lineRule="auto"/>
              <w:jc w:val="left"/>
              <w:rPr>
                <w:rFonts w:ascii="Arial" w:hAnsi="Arial" w:cs="Arial"/>
                <w:color w:val="000000"/>
                <w:sz w:val="16"/>
                <w:szCs w:val="16"/>
              </w:rPr>
            </w:pPr>
            <w:r w:rsidRPr="00400DB5">
              <w:rPr>
                <w:rFonts w:ascii="Arial" w:hAnsi="Arial" w:cs="Arial"/>
                <w:color w:val="000000"/>
                <w:sz w:val="16"/>
                <w:szCs w:val="16"/>
              </w:rPr>
              <w:t xml:space="preserve">plus: depreciation of ROU </w:t>
            </w:r>
            <w:r w:rsidRPr="00400DB5">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73159206" w14:textId="0386630B"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20,227 </w:t>
            </w:r>
          </w:p>
        </w:tc>
        <w:tc>
          <w:tcPr>
            <w:tcW w:w="915" w:type="dxa"/>
            <w:tcBorders>
              <w:top w:val="nil"/>
              <w:left w:val="nil"/>
              <w:bottom w:val="nil"/>
              <w:right w:val="nil"/>
            </w:tcBorders>
            <w:shd w:val="clear" w:color="000000" w:fill="E6E6E6"/>
            <w:noWrap/>
            <w:vAlign w:val="bottom"/>
            <w:hideMark/>
          </w:tcPr>
          <w:p w14:paraId="1D8FE273" w14:textId="66B07FF3"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20,168 </w:t>
            </w:r>
          </w:p>
        </w:tc>
        <w:tc>
          <w:tcPr>
            <w:tcW w:w="850" w:type="dxa"/>
            <w:tcBorders>
              <w:top w:val="nil"/>
              <w:left w:val="nil"/>
              <w:bottom w:val="nil"/>
              <w:right w:val="nil"/>
            </w:tcBorders>
            <w:shd w:val="clear" w:color="auto" w:fill="auto"/>
            <w:noWrap/>
            <w:vAlign w:val="bottom"/>
            <w:hideMark/>
          </w:tcPr>
          <w:p w14:paraId="33EF0967" w14:textId="7E59B98E"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20,232 </w:t>
            </w:r>
          </w:p>
        </w:tc>
        <w:tc>
          <w:tcPr>
            <w:tcW w:w="992" w:type="dxa"/>
            <w:tcBorders>
              <w:top w:val="nil"/>
              <w:left w:val="nil"/>
              <w:bottom w:val="nil"/>
              <w:right w:val="nil"/>
            </w:tcBorders>
            <w:shd w:val="clear" w:color="auto" w:fill="auto"/>
            <w:noWrap/>
            <w:vAlign w:val="bottom"/>
            <w:hideMark/>
          </w:tcPr>
          <w:p w14:paraId="74489406" w14:textId="04AC1485"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20,232 </w:t>
            </w:r>
          </w:p>
        </w:tc>
        <w:tc>
          <w:tcPr>
            <w:tcW w:w="851" w:type="dxa"/>
            <w:tcBorders>
              <w:top w:val="nil"/>
              <w:left w:val="nil"/>
              <w:bottom w:val="nil"/>
              <w:right w:val="nil"/>
            </w:tcBorders>
            <w:shd w:val="clear" w:color="auto" w:fill="auto"/>
            <w:noWrap/>
            <w:vAlign w:val="bottom"/>
            <w:hideMark/>
          </w:tcPr>
          <w:p w14:paraId="1F63A1B1" w14:textId="6CDD302B"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 xml:space="preserve">20,232 </w:t>
            </w:r>
          </w:p>
        </w:tc>
      </w:tr>
      <w:tr w:rsidR="00A8085D" w:rsidRPr="00400DB5" w14:paraId="1E85286F" w14:textId="77777777" w:rsidTr="00F96D8A">
        <w:trPr>
          <w:trHeight w:val="204"/>
        </w:trPr>
        <w:tc>
          <w:tcPr>
            <w:tcW w:w="3119" w:type="dxa"/>
            <w:tcBorders>
              <w:top w:val="nil"/>
              <w:left w:val="nil"/>
              <w:bottom w:val="nil"/>
              <w:right w:val="nil"/>
            </w:tcBorders>
            <w:shd w:val="clear" w:color="auto" w:fill="auto"/>
            <w:vAlign w:val="bottom"/>
            <w:hideMark/>
          </w:tcPr>
          <w:p w14:paraId="21189260" w14:textId="36755E1F" w:rsidR="00A8085D" w:rsidRPr="00400DB5" w:rsidRDefault="00A8085D" w:rsidP="00A8085D">
            <w:pPr>
              <w:spacing w:after="0" w:line="240" w:lineRule="auto"/>
              <w:jc w:val="left"/>
              <w:rPr>
                <w:rFonts w:ascii="Arial" w:hAnsi="Arial" w:cs="Arial"/>
                <w:color w:val="000000"/>
                <w:sz w:val="16"/>
                <w:szCs w:val="16"/>
              </w:rPr>
            </w:pPr>
            <w:r>
              <w:rPr>
                <w:rFonts w:ascii="Arial" w:hAnsi="Arial" w:cs="Arial"/>
                <w:color w:val="000000"/>
                <w:sz w:val="16"/>
                <w:szCs w:val="16"/>
              </w:rPr>
              <w:t>l</w:t>
            </w:r>
            <w:r w:rsidRPr="00400DB5">
              <w:rPr>
                <w:rFonts w:ascii="Arial" w:hAnsi="Arial" w:cs="Arial"/>
                <w:color w:val="000000"/>
                <w:sz w:val="16"/>
                <w:szCs w:val="16"/>
              </w:rPr>
              <w:t>ess</w:t>
            </w:r>
            <w:r>
              <w:rPr>
                <w:rFonts w:ascii="Arial" w:hAnsi="Arial" w:cs="Arial"/>
                <w:color w:val="000000"/>
                <w:sz w:val="16"/>
                <w:szCs w:val="16"/>
              </w:rPr>
              <w:t>:</w:t>
            </w:r>
            <w:r w:rsidRPr="00400DB5">
              <w:rPr>
                <w:rFonts w:ascii="Arial" w:hAnsi="Arial" w:cs="Arial"/>
                <w:color w:val="000000"/>
                <w:sz w:val="16"/>
                <w:szCs w:val="16"/>
              </w:rPr>
              <w:t xml:space="preserve"> principal repayments </w:t>
            </w:r>
            <w:r w:rsidRPr="00400DB5">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46B431E2" w14:textId="6A428BA4"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(19,328)</w:t>
            </w:r>
          </w:p>
        </w:tc>
        <w:tc>
          <w:tcPr>
            <w:tcW w:w="915" w:type="dxa"/>
            <w:tcBorders>
              <w:top w:val="nil"/>
              <w:left w:val="nil"/>
              <w:bottom w:val="nil"/>
              <w:right w:val="nil"/>
            </w:tcBorders>
            <w:shd w:val="clear" w:color="000000" w:fill="E6E6E6"/>
            <w:noWrap/>
            <w:vAlign w:val="bottom"/>
            <w:hideMark/>
          </w:tcPr>
          <w:p w14:paraId="09EA901C" w14:textId="4D2B6F3A"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(19,932)</w:t>
            </w:r>
          </w:p>
        </w:tc>
        <w:tc>
          <w:tcPr>
            <w:tcW w:w="850" w:type="dxa"/>
            <w:tcBorders>
              <w:top w:val="nil"/>
              <w:left w:val="nil"/>
              <w:bottom w:val="nil"/>
              <w:right w:val="nil"/>
            </w:tcBorders>
            <w:shd w:val="clear" w:color="auto" w:fill="auto"/>
            <w:noWrap/>
            <w:vAlign w:val="bottom"/>
            <w:hideMark/>
          </w:tcPr>
          <w:p w14:paraId="06A72FF5" w14:textId="1F74AF55"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(19,995)</w:t>
            </w:r>
          </w:p>
        </w:tc>
        <w:tc>
          <w:tcPr>
            <w:tcW w:w="992" w:type="dxa"/>
            <w:tcBorders>
              <w:top w:val="nil"/>
              <w:left w:val="nil"/>
              <w:bottom w:val="nil"/>
              <w:right w:val="nil"/>
            </w:tcBorders>
            <w:shd w:val="clear" w:color="auto" w:fill="auto"/>
            <w:noWrap/>
            <w:vAlign w:val="bottom"/>
            <w:hideMark/>
          </w:tcPr>
          <w:p w14:paraId="56E77CCE" w14:textId="26F5DBA0"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(24,178)</w:t>
            </w:r>
          </w:p>
        </w:tc>
        <w:tc>
          <w:tcPr>
            <w:tcW w:w="851" w:type="dxa"/>
            <w:tcBorders>
              <w:top w:val="nil"/>
              <w:left w:val="nil"/>
              <w:bottom w:val="nil"/>
              <w:right w:val="nil"/>
            </w:tcBorders>
            <w:shd w:val="clear" w:color="auto" w:fill="auto"/>
            <w:noWrap/>
            <w:vAlign w:val="bottom"/>
            <w:hideMark/>
          </w:tcPr>
          <w:p w14:paraId="09ABCA86" w14:textId="6804EFCE" w:rsidR="00A8085D" w:rsidRPr="00400DB5" w:rsidRDefault="00A8085D" w:rsidP="00A8085D">
            <w:pPr>
              <w:spacing w:after="0" w:line="240" w:lineRule="auto"/>
              <w:jc w:val="right"/>
              <w:rPr>
                <w:rFonts w:ascii="Arial" w:hAnsi="Arial" w:cs="Arial"/>
                <w:sz w:val="16"/>
                <w:szCs w:val="16"/>
              </w:rPr>
            </w:pPr>
            <w:r>
              <w:rPr>
                <w:rFonts w:ascii="Arial" w:hAnsi="Arial" w:cs="Arial"/>
                <w:sz w:val="16"/>
                <w:szCs w:val="16"/>
              </w:rPr>
              <w:t>(24,178)</w:t>
            </w:r>
          </w:p>
        </w:tc>
      </w:tr>
      <w:tr w:rsidR="00A8085D" w:rsidRPr="00400DB5" w14:paraId="41047066" w14:textId="77777777" w:rsidTr="00F96D8A">
        <w:trPr>
          <w:trHeight w:val="204"/>
        </w:trPr>
        <w:tc>
          <w:tcPr>
            <w:tcW w:w="3119" w:type="dxa"/>
            <w:tcBorders>
              <w:top w:val="nil"/>
              <w:left w:val="nil"/>
              <w:bottom w:val="single" w:sz="4" w:space="0" w:color="auto"/>
              <w:right w:val="nil"/>
            </w:tcBorders>
            <w:shd w:val="clear" w:color="auto" w:fill="auto"/>
            <w:vAlign w:val="bottom"/>
            <w:hideMark/>
          </w:tcPr>
          <w:p w14:paraId="756CF52D" w14:textId="77777777" w:rsidR="00A8085D" w:rsidRPr="00400DB5" w:rsidRDefault="00A8085D" w:rsidP="00A8085D">
            <w:pPr>
              <w:spacing w:after="0" w:line="240" w:lineRule="auto"/>
              <w:jc w:val="left"/>
              <w:rPr>
                <w:rFonts w:ascii="Arial" w:hAnsi="Arial" w:cs="Arial"/>
                <w:b/>
                <w:bCs/>
                <w:color w:val="000000"/>
                <w:sz w:val="16"/>
                <w:szCs w:val="16"/>
              </w:rPr>
            </w:pPr>
            <w:r w:rsidRPr="00400DB5">
              <w:rPr>
                <w:rFonts w:ascii="Arial" w:hAnsi="Arial" w:cs="Arial"/>
                <w:b/>
                <w:bCs/>
                <w:color w:val="000000"/>
                <w:sz w:val="16"/>
                <w:szCs w:val="16"/>
              </w:rPr>
              <w:t>Net Cash Operating Surplus/(Deficit)</w:t>
            </w:r>
          </w:p>
        </w:tc>
        <w:tc>
          <w:tcPr>
            <w:tcW w:w="928" w:type="dxa"/>
            <w:tcBorders>
              <w:top w:val="single" w:sz="4" w:space="0" w:color="auto"/>
              <w:left w:val="nil"/>
              <w:bottom w:val="single" w:sz="4" w:space="0" w:color="auto"/>
              <w:right w:val="nil"/>
            </w:tcBorders>
            <w:shd w:val="clear" w:color="auto" w:fill="auto"/>
            <w:vAlign w:val="bottom"/>
            <w:hideMark/>
          </w:tcPr>
          <w:p w14:paraId="7006AACB" w14:textId="1B741D73" w:rsidR="00A8085D" w:rsidRPr="00400DB5"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15" w:type="dxa"/>
            <w:tcBorders>
              <w:top w:val="single" w:sz="4" w:space="0" w:color="auto"/>
              <w:left w:val="nil"/>
              <w:bottom w:val="single" w:sz="4" w:space="0" w:color="auto"/>
              <w:right w:val="nil"/>
            </w:tcBorders>
            <w:shd w:val="clear" w:color="000000" w:fill="E6E6E6"/>
            <w:vAlign w:val="bottom"/>
            <w:hideMark/>
          </w:tcPr>
          <w:p w14:paraId="4AD319DE" w14:textId="5303D044" w:rsidR="00A8085D" w:rsidRPr="00400DB5"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vAlign w:val="bottom"/>
            <w:hideMark/>
          </w:tcPr>
          <w:p w14:paraId="1F9437B0" w14:textId="0BC720F7" w:rsidR="00A8085D" w:rsidRPr="00400DB5"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vAlign w:val="bottom"/>
            <w:hideMark/>
          </w:tcPr>
          <w:p w14:paraId="14290CD8" w14:textId="00F58A88" w:rsidR="00A8085D" w:rsidRPr="00F21454" w:rsidRDefault="00A8085D" w:rsidP="00A8085D">
            <w:pPr>
              <w:spacing w:after="0" w:line="240" w:lineRule="auto"/>
              <w:jc w:val="right"/>
              <w:rPr>
                <w:rFonts w:ascii="Arial" w:hAnsi="Arial" w:cs="Arial"/>
                <w:b/>
                <w:bCs/>
                <w:sz w:val="16"/>
                <w:szCs w:val="16"/>
                <w:highlight w:val="yellow"/>
              </w:rPr>
            </w:pPr>
            <w:r>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vAlign w:val="bottom"/>
            <w:hideMark/>
          </w:tcPr>
          <w:p w14:paraId="05DE6CE6" w14:textId="5C1E560D" w:rsidR="00A8085D" w:rsidRPr="00F21454" w:rsidRDefault="00A8085D" w:rsidP="00A8085D">
            <w:pPr>
              <w:spacing w:after="0" w:line="240" w:lineRule="auto"/>
              <w:jc w:val="right"/>
              <w:rPr>
                <w:rFonts w:ascii="Arial" w:hAnsi="Arial" w:cs="Arial"/>
                <w:b/>
                <w:bCs/>
                <w:sz w:val="16"/>
                <w:szCs w:val="16"/>
                <w:highlight w:val="yellow"/>
              </w:rPr>
            </w:pPr>
            <w:r>
              <w:rPr>
                <w:rFonts w:ascii="Arial" w:hAnsi="Arial" w:cs="Arial"/>
                <w:b/>
                <w:bCs/>
                <w:sz w:val="16"/>
                <w:szCs w:val="16"/>
              </w:rPr>
              <w:t xml:space="preserve">- </w:t>
            </w:r>
          </w:p>
        </w:tc>
      </w:tr>
    </w:tbl>
    <w:p w14:paraId="6258BF69" w14:textId="77777777" w:rsidR="00B91F3E" w:rsidRDefault="00B91F3E" w:rsidP="00B91F3E">
      <w:pPr>
        <w:pStyle w:val="Source"/>
        <w:spacing w:before="60"/>
        <w:jc w:val="left"/>
        <w:rPr>
          <w:rFonts w:cs="Arial"/>
        </w:rPr>
      </w:pPr>
      <w:r w:rsidRPr="009D54F3">
        <w:rPr>
          <w:rFonts w:cs="Arial"/>
        </w:rPr>
        <w:t>Prepared on Australian Accounting Standards basis.</w:t>
      </w:r>
    </w:p>
    <w:p w14:paraId="01B40E7E" w14:textId="50475948" w:rsidR="00B91F3E" w:rsidRPr="00137A5C" w:rsidRDefault="00B91F3E" w:rsidP="00AD2EFF">
      <w:pPr>
        <w:pStyle w:val="ChartandTableFootnoteAlpha"/>
        <w:numPr>
          <w:ilvl w:val="0"/>
          <w:numId w:val="59"/>
        </w:numPr>
        <w:jc w:val="left"/>
      </w:pPr>
      <w:r w:rsidRPr="00431229">
        <w:rPr>
          <w:rFonts w:cs="Arial"/>
        </w:rPr>
        <w:t xml:space="preserve">From 2010-11, the Government introduced the net cash appropriation arrangement that provided non-corporate Commonwealth entities with a separate </w:t>
      </w:r>
      <w:r w:rsidR="003C4CC6">
        <w:rPr>
          <w:rFonts w:cs="Arial"/>
        </w:rPr>
        <w:t>Department</w:t>
      </w:r>
      <w:r w:rsidRPr="00431229">
        <w:rPr>
          <w:rFonts w:cs="Arial"/>
        </w:rPr>
        <w:t>al Capital Budget (DCB) under Appropriation Act (No.1) or Bill (No. 3).  This replaced revenue appropriations provided under Appropriation Act (No.1) or Bill (No.3) used for depreciation/amortisation expenses. For information regarding DCB, r</w:t>
      </w:r>
      <w:r w:rsidR="00CA6C78">
        <w:rPr>
          <w:rFonts w:cs="Arial"/>
        </w:rPr>
        <w:t xml:space="preserve">efer to Table 3.5 </w:t>
      </w:r>
      <w:r w:rsidR="003C4CC6">
        <w:rPr>
          <w:rFonts w:cs="Arial"/>
        </w:rPr>
        <w:t>Department</w:t>
      </w:r>
      <w:r w:rsidR="00CA6C78">
        <w:rPr>
          <w:rFonts w:cs="Arial"/>
        </w:rPr>
        <w:t>al c</w:t>
      </w:r>
      <w:r w:rsidRPr="00431229">
        <w:rPr>
          <w:rFonts w:cs="Arial"/>
        </w:rPr>
        <w:t xml:space="preserve">apital </w:t>
      </w:r>
      <w:r w:rsidR="00CA6C78">
        <w:rPr>
          <w:rFonts w:cs="Arial"/>
        </w:rPr>
        <w:t>budget s</w:t>
      </w:r>
      <w:r w:rsidRPr="00431229">
        <w:rPr>
          <w:rFonts w:cs="Arial"/>
        </w:rPr>
        <w:t>tatement.</w:t>
      </w:r>
    </w:p>
    <w:p w14:paraId="739CA819" w14:textId="77777777" w:rsidR="00B91F3E" w:rsidRDefault="00B91F3E" w:rsidP="003926A3">
      <w:pPr>
        <w:pStyle w:val="ChartandTableFootnoteAlpha"/>
        <w:numPr>
          <w:ilvl w:val="0"/>
          <w:numId w:val="7"/>
        </w:numPr>
        <w:jc w:val="left"/>
      </w:pPr>
      <w:r w:rsidRPr="00137A5C">
        <w:t>Applies to lease arrangements under AASB 16 Leases.</w:t>
      </w:r>
    </w:p>
    <w:p w14:paraId="5BE9CD5B" w14:textId="10CC1F47" w:rsidR="00B91F3E" w:rsidRDefault="00B91F3E" w:rsidP="00B91F3E">
      <w:pPr>
        <w:pStyle w:val="TableHeading"/>
      </w:pPr>
      <w:r>
        <w:br w:type="page"/>
      </w: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0" w:type="auto"/>
        <w:tblLayout w:type="fixed"/>
        <w:tblLook w:val="04A0" w:firstRow="1" w:lastRow="0" w:firstColumn="1" w:lastColumn="0" w:noHBand="0" w:noVBand="1"/>
      </w:tblPr>
      <w:tblGrid>
        <w:gridCol w:w="3261"/>
        <w:gridCol w:w="928"/>
        <w:gridCol w:w="860"/>
        <w:gridCol w:w="860"/>
        <w:gridCol w:w="860"/>
        <w:gridCol w:w="860"/>
      </w:tblGrid>
      <w:tr w:rsidR="00B91F3E" w:rsidRPr="00331631" w14:paraId="3309F3BE" w14:textId="77777777" w:rsidTr="00F96D8A">
        <w:trPr>
          <w:trHeight w:val="204"/>
        </w:trPr>
        <w:tc>
          <w:tcPr>
            <w:tcW w:w="3261" w:type="dxa"/>
            <w:tcBorders>
              <w:top w:val="single" w:sz="4" w:space="0" w:color="auto"/>
              <w:left w:val="nil"/>
              <w:bottom w:val="nil"/>
              <w:right w:val="nil"/>
            </w:tcBorders>
            <w:shd w:val="clear" w:color="auto" w:fill="auto"/>
            <w:noWrap/>
            <w:vAlign w:val="bottom"/>
            <w:hideMark/>
          </w:tcPr>
          <w:p w14:paraId="3377F9CC" w14:textId="77777777" w:rsidR="00B91F3E" w:rsidRPr="00331631" w:rsidRDefault="00B91F3E" w:rsidP="00F96D8A">
            <w:pPr>
              <w:spacing w:after="0" w:line="240" w:lineRule="auto"/>
              <w:jc w:val="left"/>
              <w:rPr>
                <w:rFonts w:ascii="Arial" w:hAnsi="Arial" w:cs="Arial"/>
                <w:b/>
                <w:bCs/>
                <w:sz w:val="16"/>
                <w:szCs w:val="16"/>
              </w:rPr>
            </w:pPr>
            <w:r w:rsidRPr="0033163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1CB6C381" w14:textId="77777777" w:rsidR="00B91F3E" w:rsidRPr="00331631" w:rsidRDefault="00B91F3E" w:rsidP="00F96D8A">
            <w:pPr>
              <w:spacing w:after="0" w:line="240" w:lineRule="auto"/>
              <w:jc w:val="right"/>
              <w:rPr>
                <w:rFonts w:ascii="Arial" w:hAnsi="Arial" w:cs="Arial"/>
                <w:sz w:val="16"/>
                <w:szCs w:val="16"/>
              </w:rPr>
            </w:pPr>
            <w:r w:rsidRPr="00331631">
              <w:rPr>
                <w:rFonts w:ascii="Arial" w:hAnsi="Arial" w:cs="Arial"/>
                <w:sz w:val="16"/>
                <w:szCs w:val="16"/>
              </w:rPr>
              <w:t>2021-22</w:t>
            </w:r>
            <w:r w:rsidRPr="00331631">
              <w:rPr>
                <w:rFonts w:ascii="Arial" w:hAnsi="Arial" w:cs="Arial"/>
                <w:sz w:val="16"/>
                <w:szCs w:val="16"/>
              </w:rPr>
              <w:br/>
              <w:t>Estimated actual</w:t>
            </w:r>
            <w:r w:rsidRPr="00331631">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bottom"/>
            <w:hideMark/>
          </w:tcPr>
          <w:p w14:paraId="2A76EEC7" w14:textId="77777777" w:rsidR="00B91F3E" w:rsidRPr="00331631" w:rsidRDefault="00B91F3E" w:rsidP="00F96D8A">
            <w:pPr>
              <w:spacing w:after="0" w:line="240" w:lineRule="auto"/>
              <w:jc w:val="right"/>
              <w:rPr>
                <w:rFonts w:ascii="Arial" w:hAnsi="Arial" w:cs="Arial"/>
                <w:sz w:val="16"/>
                <w:szCs w:val="16"/>
              </w:rPr>
            </w:pPr>
            <w:r w:rsidRPr="00331631">
              <w:rPr>
                <w:rFonts w:ascii="Arial" w:hAnsi="Arial" w:cs="Arial"/>
                <w:sz w:val="16"/>
                <w:szCs w:val="16"/>
              </w:rPr>
              <w:t>2022-23</w:t>
            </w:r>
            <w:r w:rsidRPr="00331631">
              <w:rPr>
                <w:rFonts w:ascii="Arial" w:hAnsi="Arial" w:cs="Arial"/>
                <w:sz w:val="16"/>
                <w:szCs w:val="16"/>
              </w:rPr>
              <w:br/>
              <w:t>Budget</w:t>
            </w:r>
            <w:r w:rsidRPr="00331631">
              <w:rPr>
                <w:rFonts w:ascii="Arial" w:hAnsi="Arial" w:cs="Arial"/>
                <w:sz w:val="16"/>
                <w:szCs w:val="16"/>
              </w:rPr>
              <w:br/>
            </w:r>
            <w:r w:rsidRPr="00331631">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2FB303A3" w14:textId="77777777" w:rsidR="00B91F3E" w:rsidRPr="00331631" w:rsidRDefault="00B91F3E" w:rsidP="00F96D8A">
            <w:pPr>
              <w:spacing w:after="0" w:line="240" w:lineRule="auto"/>
              <w:jc w:val="right"/>
              <w:rPr>
                <w:rFonts w:ascii="Arial" w:hAnsi="Arial" w:cs="Arial"/>
                <w:sz w:val="16"/>
                <w:szCs w:val="16"/>
              </w:rPr>
            </w:pPr>
            <w:r w:rsidRPr="00331631">
              <w:rPr>
                <w:rFonts w:ascii="Arial" w:hAnsi="Arial" w:cs="Arial"/>
                <w:sz w:val="16"/>
                <w:szCs w:val="16"/>
              </w:rPr>
              <w:t>2023-24</w:t>
            </w:r>
            <w:r w:rsidRPr="00331631">
              <w:rPr>
                <w:rFonts w:ascii="Arial" w:hAnsi="Arial" w:cs="Arial"/>
                <w:sz w:val="16"/>
                <w:szCs w:val="16"/>
              </w:rPr>
              <w:br/>
              <w:t>Forward estimate</w:t>
            </w:r>
            <w:r w:rsidRPr="00331631">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019F58AA" w14:textId="77777777" w:rsidR="00B91F3E" w:rsidRPr="00331631" w:rsidRDefault="00B91F3E" w:rsidP="00F96D8A">
            <w:pPr>
              <w:spacing w:after="0" w:line="240" w:lineRule="auto"/>
              <w:jc w:val="right"/>
              <w:rPr>
                <w:rFonts w:ascii="Arial" w:hAnsi="Arial" w:cs="Arial"/>
                <w:sz w:val="16"/>
                <w:szCs w:val="16"/>
              </w:rPr>
            </w:pPr>
            <w:r w:rsidRPr="00331631">
              <w:rPr>
                <w:rFonts w:ascii="Arial" w:hAnsi="Arial" w:cs="Arial"/>
                <w:sz w:val="16"/>
                <w:szCs w:val="16"/>
              </w:rPr>
              <w:t>2024-25</w:t>
            </w:r>
            <w:r w:rsidRPr="00331631">
              <w:rPr>
                <w:rFonts w:ascii="Arial" w:hAnsi="Arial" w:cs="Arial"/>
                <w:sz w:val="16"/>
                <w:szCs w:val="16"/>
              </w:rPr>
              <w:br/>
              <w:t>Forward estimate</w:t>
            </w:r>
            <w:r w:rsidRPr="00331631">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9191A11" w14:textId="77777777" w:rsidR="00B91F3E" w:rsidRPr="00331631" w:rsidRDefault="00B91F3E" w:rsidP="00F96D8A">
            <w:pPr>
              <w:spacing w:after="0" w:line="240" w:lineRule="auto"/>
              <w:jc w:val="right"/>
              <w:rPr>
                <w:rFonts w:ascii="Arial" w:hAnsi="Arial" w:cs="Arial"/>
                <w:sz w:val="16"/>
                <w:szCs w:val="16"/>
              </w:rPr>
            </w:pPr>
            <w:r w:rsidRPr="00331631">
              <w:rPr>
                <w:rFonts w:ascii="Arial" w:hAnsi="Arial" w:cs="Arial"/>
                <w:sz w:val="16"/>
                <w:szCs w:val="16"/>
              </w:rPr>
              <w:t>2025-26</w:t>
            </w:r>
            <w:r w:rsidRPr="00331631">
              <w:rPr>
                <w:rFonts w:ascii="Arial" w:hAnsi="Arial" w:cs="Arial"/>
                <w:sz w:val="16"/>
                <w:szCs w:val="16"/>
              </w:rPr>
              <w:br/>
              <w:t>Forward estimate</w:t>
            </w:r>
            <w:r w:rsidRPr="00331631">
              <w:rPr>
                <w:rFonts w:ascii="Arial" w:hAnsi="Arial" w:cs="Arial"/>
                <w:sz w:val="16"/>
                <w:szCs w:val="16"/>
              </w:rPr>
              <w:br/>
              <w:t>$'000</w:t>
            </w:r>
          </w:p>
        </w:tc>
      </w:tr>
      <w:tr w:rsidR="00B91F3E" w:rsidRPr="00331631" w14:paraId="2203BAB3" w14:textId="77777777" w:rsidTr="00F96D8A">
        <w:trPr>
          <w:trHeight w:val="204"/>
        </w:trPr>
        <w:tc>
          <w:tcPr>
            <w:tcW w:w="3261" w:type="dxa"/>
            <w:tcBorders>
              <w:top w:val="nil"/>
              <w:left w:val="nil"/>
              <w:bottom w:val="nil"/>
              <w:right w:val="nil"/>
            </w:tcBorders>
            <w:shd w:val="clear" w:color="auto" w:fill="auto"/>
            <w:noWrap/>
            <w:vAlign w:val="bottom"/>
            <w:hideMark/>
          </w:tcPr>
          <w:p w14:paraId="1FD87EBE" w14:textId="77777777" w:rsidR="00B91F3E" w:rsidRPr="00331631" w:rsidRDefault="00B91F3E" w:rsidP="00F96D8A">
            <w:pPr>
              <w:spacing w:after="0" w:line="240" w:lineRule="auto"/>
              <w:jc w:val="left"/>
              <w:rPr>
                <w:rFonts w:ascii="Arial" w:hAnsi="Arial" w:cs="Arial"/>
                <w:b/>
                <w:bCs/>
                <w:color w:val="000000"/>
                <w:sz w:val="16"/>
                <w:szCs w:val="16"/>
              </w:rPr>
            </w:pPr>
            <w:r w:rsidRPr="00331631">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4F82F3C6" w14:textId="77777777" w:rsidR="00B91F3E" w:rsidRPr="00F21454" w:rsidRDefault="00B91F3E" w:rsidP="00F96D8A">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6DCEC7F9" w14:textId="77777777" w:rsidR="00B91F3E" w:rsidRPr="00F21454" w:rsidRDefault="00B91F3E" w:rsidP="00F96D8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0DA7B84" w14:textId="77777777" w:rsidR="00B91F3E" w:rsidRPr="00F21454" w:rsidRDefault="00B91F3E" w:rsidP="00F96D8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48C14BB2" w14:textId="77777777" w:rsidR="00B91F3E" w:rsidRPr="00F21454" w:rsidRDefault="00B91F3E" w:rsidP="00F96D8A">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3A81D636" w14:textId="77777777" w:rsidR="00B91F3E" w:rsidRPr="00F21454" w:rsidRDefault="00B91F3E" w:rsidP="00F96D8A">
            <w:pPr>
              <w:spacing w:after="0" w:line="240" w:lineRule="auto"/>
              <w:jc w:val="right"/>
              <w:rPr>
                <w:rFonts w:ascii="Times New Roman" w:hAnsi="Times New Roman"/>
                <w:sz w:val="16"/>
                <w:szCs w:val="16"/>
              </w:rPr>
            </w:pPr>
          </w:p>
        </w:tc>
      </w:tr>
      <w:tr w:rsidR="00B91F3E" w:rsidRPr="00331631" w14:paraId="3A11FF8B" w14:textId="77777777" w:rsidTr="00F96D8A">
        <w:trPr>
          <w:trHeight w:val="204"/>
        </w:trPr>
        <w:tc>
          <w:tcPr>
            <w:tcW w:w="3261" w:type="dxa"/>
            <w:tcBorders>
              <w:top w:val="nil"/>
              <w:left w:val="nil"/>
              <w:bottom w:val="nil"/>
              <w:right w:val="nil"/>
            </w:tcBorders>
            <w:shd w:val="clear" w:color="auto" w:fill="auto"/>
            <w:noWrap/>
            <w:vAlign w:val="bottom"/>
            <w:hideMark/>
          </w:tcPr>
          <w:p w14:paraId="041E19C8" w14:textId="77777777" w:rsidR="00B91F3E" w:rsidRPr="00331631" w:rsidRDefault="00B91F3E" w:rsidP="00F96D8A">
            <w:pPr>
              <w:spacing w:after="0" w:line="240" w:lineRule="auto"/>
              <w:ind w:left="113"/>
              <w:jc w:val="left"/>
              <w:rPr>
                <w:rFonts w:ascii="Arial" w:hAnsi="Arial" w:cs="Arial"/>
                <w:b/>
                <w:bCs/>
                <w:color w:val="000000"/>
                <w:sz w:val="16"/>
                <w:szCs w:val="16"/>
              </w:rPr>
            </w:pPr>
            <w:r w:rsidRPr="00331631">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11CFBC57" w14:textId="77777777" w:rsidR="00B91F3E" w:rsidRPr="00F21454" w:rsidRDefault="00B91F3E" w:rsidP="00F96D8A">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69790F4C" w14:textId="77777777" w:rsidR="00B91F3E" w:rsidRPr="00F21454" w:rsidRDefault="00B91F3E" w:rsidP="00F96D8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44CD191" w14:textId="77777777" w:rsidR="00B91F3E" w:rsidRPr="00F21454" w:rsidRDefault="00B91F3E" w:rsidP="00F96D8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2108449" w14:textId="77777777" w:rsidR="00B91F3E" w:rsidRPr="00F21454" w:rsidRDefault="00B91F3E" w:rsidP="00F96D8A">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7EAFD1D6" w14:textId="77777777" w:rsidR="00B91F3E" w:rsidRPr="00F21454" w:rsidRDefault="00B91F3E" w:rsidP="00F96D8A">
            <w:pPr>
              <w:spacing w:after="0" w:line="240" w:lineRule="auto"/>
              <w:jc w:val="right"/>
              <w:rPr>
                <w:rFonts w:ascii="Times New Roman" w:hAnsi="Times New Roman"/>
                <w:sz w:val="16"/>
                <w:szCs w:val="16"/>
              </w:rPr>
            </w:pPr>
          </w:p>
        </w:tc>
      </w:tr>
      <w:tr w:rsidR="00A8085D" w:rsidRPr="00331631" w14:paraId="39A8ECCC" w14:textId="77777777" w:rsidTr="00F96D8A">
        <w:trPr>
          <w:trHeight w:val="204"/>
        </w:trPr>
        <w:tc>
          <w:tcPr>
            <w:tcW w:w="3261" w:type="dxa"/>
            <w:tcBorders>
              <w:top w:val="nil"/>
              <w:left w:val="nil"/>
              <w:bottom w:val="nil"/>
              <w:right w:val="nil"/>
            </w:tcBorders>
            <w:shd w:val="clear" w:color="auto" w:fill="auto"/>
            <w:noWrap/>
            <w:vAlign w:val="bottom"/>
            <w:hideMark/>
          </w:tcPr>
          <w:p w14:paraId="5F855AA0" w14:textId="77777777" w:rsidR="00A8085D" w:rsidRPr="00331631" w:rsidRDefault="00A8085D" w:rsidP="00A8085D">
            <w:pPr>
              <w:spacing w:after="0" w:line="240" w:lineRule="auto"/>
              <w:ind w:left="227"/>
              <w:jc w:val="left"/>
              <w:rPr>
                <w:rFonts w:ascii="Arial" w:hAnsi="Arial" w:cs="Arial"/>
                <w:color w:val="000000"/>
                <w:sz w:val="16"/>
                <w:szCs w:val="16"/>
              </w:rPr>
            </w:pPr>
            <w:r w:rsidRPr="00331631">
              <w:rPr>
                <w:rFonts w:ascii="Arial" w:hAnsi="Arial" w:cs="Arial"/>
                <w:color w:val="000000"/>
                <w:sz w:val="16"/>
                <w:szCs w:val="16"/>
              </w:rPr>
              <w:t xml:space="preserve">Cash </w:t>
            </w:r>
            <w:r w:rsidRPr="00331631">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19F291E1" w14:textId="3722D72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11,165</w:t>
            </w:r>
          </w:p>
        </w:tc>
        <w:tc>
          <w:tcPr>
            <w:tcW w:w="860" w:type="dxa"/>
            <w:tcBorders>
              <w:top w:val="nil"/>
              <w:left w:val="nil"/>
              <w:bottom w:val="nil"/>
              <w:right w:val="nil"/>
            </w:tcBorders>
            <w:shd w:val="clear" w:color="000000" w:fill="E7E6E6"/>
            <w:noWrap/>
            <w:vAlign w:val="bottom"/>
            <w:hideMark/>
          </w:tcPr>
          <w:p w14:paraId="09D331D8" w14:textId="4EA4ED6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062BDB6D" w14:textId="28335F8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5B8DA1AA" w14:textId="55E4AE36"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637FD205" w14:textId="40FC243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12,210</w:t>
            </w:r>
          </w:p>
        </w:tc>
      </w:tr>
      <w:tr w:rsidR="00A8085D" w:rsidRPr="00331631" w14:paraId="2963251B" w14:textId="77777777" w:rsidTr="00F96D8A">
        <w:trPr>
          <w:trHeight w:val="204"/>
        </w:trPr>
        <w:tc>
          <w:tcPr>
            <w:tcW w:w="3261" w:type="dxa"/>
            <w:tcBorders>
              <w:top w:val="nil"/>
              <w:left w:val="nil"/>
              <w:bottom w:val="nil"/>
              <w:right w:val="nil"/>
            </w:tcBorders>
            <w:shd w:val="clear" w:color="auto" w:fill="auto"/>
            <w:noWrap/>
            <w:vAlign w:val="bottom"/>
            <w:hideMark/>
          </w:tcPr>
          <w:p w14:paraId="209125ED"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7B68CA70" w14:textId="2406EAB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146,622</w:t>
            </w:r>
          </w:p>
        </w:tc>
        <w:tc>
          <w:tcPr>
            <w:tcW w:w="860" w:type="dxa"/>
            <w:tcBorders>
              <w:top w:val="nil"/>
              <w:left w:val="nil"/>
              <w:bottom w:val="nil"/>
              <w:right w:val="nil"/>
            </w:tcBorders>
            <w:shd w:val="clear" w:color="000000" w:fill="E7E6E6"/>
            <w:noWrap/>
            <w:vAlign w:val="bottom"/>
            <w:hideMark/>
          </w:tcPr>
          <w:p w14:paraId="7E2B269E" w14:textId="38681F7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161,569</w:t>
            </w:r>
          </w:p>
        </w:tc>
        <w:tc>
          <w:tcPr>
            <w:tcW w:w="860" w:type="dxa"/>
            <w:tcBorders>
              <w:top w:val="nil"/>
              <w:left w:val="nil"/>
              <w:bottom w:val="nil"/>
              <w:right w:val="nil"/>
            </w:tcBorders>
            <w:shd w:val="clear" w:color="auto" w:fill="auto"/>
            <w:noWrap/>
            <w:vAlign w:val="bottom"/>
            <w:hideMark/>
          </w:tcPr>
          <w:p w14:paraId="58756605" w14:textId="0D8AF02B"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147,355</w:t>
            </w:r>
          </w:p>
        </w:tc>
        <w:tc>
          <w:tcPr>
            <w:tcW w:w="860" w:type="dxa"/>
            <w:tcBorders>
              <w:top w:val="nil"/>
              <w:left w:val="nil"/>
              <w:bottom w:val="nil"/>
              <w:right w:val="nil"/>
            </w:tcBorders>
            <w:shd w:val="clear" w:color="auto" w:fill="auto"/>
            <w:noWrap/>
            <w:vAlign w:val="bottom"/>
            <w:hideMark/>
          </w:tcPr>
          <w:p w14:paraId="2AD7B9F1" w14:textId="262C6B5A"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134,305</w:t>
            </w:r>
          </w:p>
        </w:tc>
        <w:tc>
          <w:tcPr>
            <w:tcW w:w="860" w:type="dxa"/>
            <w:tcBorders>
              <w:top w:val="nil"/>
              <w:left w:val="nil"/>
              <w:bottom w:val="nil"/>
              <w:right w:val="nil"/>
            </w:tcBorders>
            <w:shd w:val="clear" w:color="auto" w:fill="auto"/>
            <w:noWrap/>
            <w:vAlign w:val="bottom"/>
            <w:hideMark/>
          </w:tcPr>
          <w:p w14:paraId="31050A26" w14:textId="111F2B59"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133,412</w:t>
            </w:r>
          </w:p>
        </w:tc>
      </w:tr>
      <w:tr w:rsidR="00A8085D" w:rsidRPr="00331631" w14:paraId="2CADD5B5" w14:textId="77777777" w:rsidTr="00F96D8A">
        <w:trPr>
          <w:trHeight w:val="204"/>
        </w:trPr>
        <w:tc>
          <w:tcPr>
            <w:tcW w:w="3261" w:type="dxa"/>
            <w:tcBorders>
              <w:top w:val="nil"/>
              <w:left w:val="nil"/>
              <w:bottom w:val="nil"/>
              <w:right w:val="nil"/>
            </w:tcBorders>
            <w:shd w:val="clear" w:color="auto" w:fill="auto"/>
            <w:noWrap/>
            <w:vAlign w:val="bottom"/>
            <w:hideMark/>
          </w:tcPr>
          <w:p w14:paraId="5B93335B" w14:textId="77777777" w:rsidR="00A8085D" w:rsidRPr="00331631" w:rsidRDefault="00A8085D" w:rsidP="00A8085D">
            <w:pPr>
              <w:spacing w:after="0" w:line="240" w:lineRule="auto"/>
              <w:ind w:left="227"/>
              <w:jc w:val="left"/>
              <w:rPr>
                <w:rFonts w:ascii="Arial" w:hAnsi="Arial" w:cs="Arial"/>
                <w:color w:val="000000"/>
                <w:sz w:val="16"/>
                <w:szCs w:val="16"/>
              </w:rPr>
            </w:pPr>
            <w:r w:rsidRPr="00331631">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bottom"/>
            <w:hideMark/>
          </w:tcPr>
          <w:p w14:paraId="39260CE4" w14:textId="73CEAC07"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1,517</w:t>
            </w:r>
          </w:p>
        </w:tc>
        <w:tc>
          <w:tcPr>
            <w:tcW w:w="860" w:type="dxa"/>
            <w:tcBorders>
              <w:top w:val="nil"/>
              <w:left w:val="nil"/>
              <w:bottom w:val="nil"/>
              <w:right w:val="nil"/>
            </w:tcBorders>
            <w:shd w:val="clear" w:color="000000" w:fill="E7E6E6"/>
            <w:noWrap/>
            <w:vAlign w:val="bottom"/>
            <w:hideMark/>
          </w:tcPr>
          <w:p w14:paraId="03C950B6" w14:textId="5AAA794F"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5D2A0D56" w14:textId="58FCB3C6"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314E976D" w14:textId="7189983B"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2F13FBC1" w14:textId="46A1FF74"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472</w:t>
            </w:r>
          </w:p>
        </w:tc>
      </w:tr>
      <w:tr w:rsidR="00A8085D" w:rsidRPr="00331631" w14:paraId="7C43E47C" w14:textId="77777777" w:rsidTr="00F96D8A">
        <w:trPr>
          <w:trHeight w:val="204"/>
        </w:trPr>
        <w:tc>
          <w:tcPr>
            <w:tcW w:w="3261" w:type="dxa"/>
            <w:tcBorders>
              <w:top w:val="nil"/>
              <w:left w:val="nil"/>
              <w:bottom w:val="nil"/>
              <w:right w:val="nil"/>
            </w:tcBorders>
            <w:shd w:val="clear" w:color="auto" w:fill="auto"/>
            <w:noWrap/>
            <w:vAlign w:val="bottom"/>
            <w:hideMark/>
          </w:tcPr>
          <w:p w14:paraId="23EC5C3E" w14:textId="77777777" w:rsidR="00A8085D" w:rsidRPr="00F21454" w:rsidRDefault="00A8085D" w:rsidP="00A8085D">
            <w:pPr>
              <w:spacing w:after="0" w:line="240" w:lineRule="auto"/>
              <w:ind w:left="113"/>
              <w:jc w:val="left"/>
              <w:rPr>
                <w:rFonts w:ascii="Arial" w:hAnsi="Arial" w:cs="Arial"/>
                <w:b/>
                <w:bCs/>
                <w:i/>
                <w:color w:val="000000"/>
                <w:sz w:val="16"/>
                <w:szCs w:val="16"/>
              </w:rPr>
            </w:pPr>
            <w:r w:rsidRPr="00F21454">
              <w:rPr>
                <w:rFonts w:ascii="Arial" w:hAnsi="Arial" w:cs="Arial"/>
                <w:b/>
                <w:bCs/>
                <w:i/>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D9B880C" w14:textId="00CA9FE2"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159,304</w:t>
            </w:r>
          </w:p>
        </w:tc>
        <w:tc>
          <w:tcPr>
            <w:tcW w:w="860" w:type="dxa"/>
            <w:tcBorders>
              <w:top w:val="single" w:sz="4" w:space="0" w:color="000000"/>
              <w:left w:val="nil"/>
              <w:bottom w:val="single" w:sz="4" w:space="0" w:color="000000"/>
              <w:right w:val="nil"/>
            </w:tcBorders>
            <w:shd w:val="clear" w:color="000000" w:fill="E7E6E6"/>
            <w:noWrap/>
            <w:vAlign w:val="bottom"/>
            <w:hideMark/>
          </w:tcPr>
          <w:p w14:paraId="12BEFFD1" w14:textId="30EE2C53"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174,251</w:t>
            </w:r>
          </w:p>
        </w:tc>
        <w:tc>
          <w:tcPr>
            <w:tcW w:w="860" w:type="dxa"/>
            <w:tcBorders>
              <w:top w:val="single" w:sz="4" w:space="0" w:color="000000"/>
              <w:left w:val="nil"/>
              <w:bottom w:val="single" w:sz="4" w:space="0" w:color="000000"/>
              <w:right w:val="nil"/>
            </w:tcBorders>
            <w:shd w:val="clear" w:color="auto" w:fill="auto"/>
            <w:noWrap/>
            <w:vAlign w:val="bottom"/>
            <w:hideMark/>
          </w:tcPr>
          <w:p w14:paraId="4468A508" w14:textId="6BE6ADCD"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160,037</w:t>
            </w:r>
          </w:p>
        </w:tc>
        <w:tc>
          <w:tcPr>
            <w:tcW w:w="860" w:type="dxa"/>
            <w:tcBorders>
              <w:top w:val="single" w:sz="4" w:space="0" w:color="000000"/>
              <w:left w:val="nil"/>
              <w:bottom w:val="single" w:sz="4" w:space="0" w:color="000000"/>
              <w:right w:val="nil"/>
            </w:tcBorders>
            <w:shd w:val="clear" w:color="auto" w:fill="auto"/>
            <w:noWrap/>
            <w:vAlign w:val="bottom"/>
            <w:hideMark/>
          </w:tcPr>
          <w:p w14:paraId="7D8FEEE8" w14:textId="5B30CA1A"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146,987</w:t>
            </w:r>
          </w:p>
        </w:tc>
        <w:tc>
          <w:tcPr>
            <w:tcW w:w="860" w:type="dxa"/>
            <w:tcBorders>
              <w:top w:val="single" w:sz="4" w:space="0" w:color="000000"/>
              <w:left w:val="nil"/>
              <w:bottom w:val="single" w:sz="4" w:space="0" w:color="000000"/>
              <w:right w:val="nil"/>
            </w:tcBorders>
            <w:shd w:val="clear" w:color="auto" w:fill="auto"/>
            <w:noWrap/>
            <w:vAlign w:val="bottom"/>
            <w:hideMark/>
          </w:tcPr>
          <w:p w14:paraId="15CD33AB" w14:textId="480998F8"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146,094</w:t>
            </w:r>
          </w:p>
        </w:tc>
      </w:tr>
      <w:tr w:rsidR="00A8085D" w:rsidRPr="00331631" w14:paraId="14F0A307" w14:textId="77777777" w:rsidTr="00F96D8A">
        <w:trPr>
          <w:trHeight w:val="204"/>
        </w:trPr>
        <w:tc>
          <w:tcPr>
            <w:tcW w:w="3261" w:type="dxa"/>
            <w:tcBorders>
              <w:top w:val="nil"/>
              <w:left w:val="nil"/>
              <w:bottom w:val="nil"/>
              <w:right w:val="nil"/>
            </w:tcBorders>
            <w:shd w:val="clear" w:color="auto" w:fill="auto"/>
            <w:noWrap/>
            <w:vAlign w:val="bottom"/>
            <w:hideMark/>
          </w:tcPr>
          <w:p w14:paraId="53A1602F" w14:textId="77777777" w:rsidR="00A8085D" w:rsidRPr="00331631" w:rsidRDefault="00A8085D" w:rsidP="00A8085D">
            <w:pPr>
              <w:spacing w:after="0" w:line="240" w:lineRule="auto"/>
              <w:ind w:left="113"/>
              <w:jc w:val="left"/>
              <w:rPr>
                <w:rFonts w:ascii="Arial" w:hAnsi="Arial" w:cs="Arial"/>
                <w:b/>
                <w:bCs/>
                <w:color w:val="000000"/>
                <w:sz w:val="16"/>
                <w:szCs w:val="16"/>
              </w:rPr>
            </w:pPr>
            <w:r w:rsidRPr="00331631">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70F3BDB8" w14:textId="77777777" w:rsidR="00A8085D" w:rsidRPr="00A8085D" w:rsidRDefault="00A8085D" w:rsidP="00A8085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51C22318" w14:textId="333E3EDB"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FC93540"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50C9073"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E0E4818"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2F0EDF0F" w14:textId="77777777" w:rsidTr="00F96D8A">
        <w:trPr>
          <w:trHeight w:val="204"/>
        </w:trPr>
        <w:tc>
          <w:tcPr>
            <w:tcW w:w="3261" w:type="dxa"/>
            <w:tcBorders>
              <w:top w:val="nil"/>
              <w:left w:val="nil"/>
              <w:bottom w:val="nil"/>
              <w:right w:val="nil"/>
            </w:tcBorders>
            <w:shd w:val="clear" w:color="auto" w:fill="auto"/>
            <w:noWrap/>
            <w:vAlign w:val="bottom"/>
            <w:hideMark/>
          </w:tcPr>
          <w:p w14:paraId="6EAB0301"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319F37CC" w14:textId="75FE2C73"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113,183</w:t>
            </w:r>
          </w:p>
        </w:tc>
        <w:tc>
          <w:tcPr>
            <w:tcW w:w="860" w:type="dxa"/>
            <w:tcBorders>
              <w:top w:val="nil"/>
              <w:left w:val="nil"/>
              <w:bottom w:val="nil"/>
              <w:right w:val="nil"/>
            </w:tcBorders>
            <w:shd w:val="clear" w:color="000000" w:fill="E7E6E6"/>
            <w:noWrap/>
            <w:vAlign w:val="bottom"/>
            <w:hideMark/>
          </w:tcPr>
          <w:p w14:paraId="442C5F75" w14:textId="32FC3043"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91,045</w:t>
            </w:r>
          </w:p>
        </w:tc>
        <w:tc>
          <w:tcPr>
            <w:tcW w:w="860" w:type="dxa"/>
            <w:tcBorders>
              <w:top w:val="nil"/>
              <w:left w:val="nil"/>
              <w:bottom w:val="nil"/>
              <w:right w:val="nil"/>
            </w:tcBorders>
            <w:shd w:val="clear" w:color="auto" w:fill="auto"/>
            <w:noWrap/>
            <w:vAlign w:val="bottom"/>
            <w:hideMark/>
          </w:tcPr>
          <w:p w14:paraId="7556D6E1" w14:textId="0FD4572E"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68,863</w:t>
            </w:r>
          </w:p>
        </w:tc>
        <w:tc>
          <w:tcPr>
            <w:tcW w:w="860" w:type="dxa"/>
            <w:tcBorders>
              <w:top w:val="nil"/>
              <w:left w:val="nil"/>
              <w:bottom w:val="nil"/>
              <w:right w:val="nil"/>
            </w:tcBorders>
            <w:shd w:val="clear" w:color="auto" w:fill="auto"/>
            <w:noWrap/>
            <w:vAlign w:val="bottom"/>
            <w:hideMark/>
          </w:tcPr>
          <w:p w14:paraId="1F7E6B9A" w14:textId="60213535"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46,775</w:t>
            </w:r>
          </w:p>
        </w:tc>
        <w:tc>
          <w:tcPr>
            <w:tcW w:w="860" w:type="dxa"/>
            <w:tcBorders>
              <w:top w:val="nil"/>
              <w:left w:val="nil"/>
              <w:bottom w:val="nil"/>
              <w:right w:val="nil"/>
            </w:tcBorders>
            <w:shd w:val="clear" w:color="auto" w:fill="auto"/>
            <w:noWrap/>
            <w:vAlign w:val="bottom"/>
            <w:hideMark/>
          </w:tcPr>
          <w:p w14:paraId="4FF2C225" w14:textId="7503269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22,868</w:t>
            </w:r>
          </w:p>
        </w:tc>
      </w:tr>
      <w:tr w:rsidR="00A8085D" w:rsidRPr="00331631" w14:paraId="1B2CFFC0" w14:textId="77777777" w:rsidTr="00F96D8A">
        <w:trPr>
          <w:trHeight w:val="204"/>
        </w:trPr>
        <w:tc>
          <w:tcPr>
            <w:tcW w:w="3261" w:type="dxa"/>
            <w:tcBorders>
              <w:top w:val="nil"/>
              <w:left w:val="nil"/>
              <w:bottom w:val="nil"/>
              <w:right w:val="nil"/>
            </w:tcBorders>
            <w:shd w:val="clear" w:color="auto" w:fill="auto"/>
            <w:noWrap/>
            <w:vAlign w:val="bottom"/>
            <w:hideMark/>
          </w:tcPr>
          <w:p w14:paraId="688FFF37"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773EC6BB" w14:textId="14ED589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13,832</w:t>
            </w:r>
          </w:p>
        </w:tc>
        <w:tc>
          <w:tcPr>
            <w:tcW w:w="860" w:type="dxa"/>
            <w:tcBorders>
              <w:top w:val="nil"/>
              <w:left w:val="nil"/>
              <w:bottom w:val="nil"/>
              <w:right w:val="nil"/>
            </w:tcBorders>
            <w:shd w:val="clear" w:color="000000" w:fill="E7E6E6"/>
            <w:noWrap/>
            <w:vAlign w:val="bottom"/>
            <w:hideMark/>
          </w:tcPr>
          <w:p w14:paraId="3E5AE766" w14:textId="706D3102"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9,334</w:t>
            </w:r>
          </w:p>
        </w:tc>
        <w:tc>
          <w:tcPr>
            <w:tcW w:w="860" w:type="dxa"/>
            <w:tcBorders>
              <w:top w:val="nil"/>
              <w:left w:val="nil"/>
              <w:bottom w:val="nil"/>
              <w:right w:val="nil"/>
            </w:tcBorders>
            <w:shd w:val="clear" w:color="auto" w:fill="auto"/>
            <w:noWrap/>
            <w:vAlign w:val="bottom"/>
            <w:hideMark/>
          </w:tcPr>
          <w:p w14:paraId="406C0A73" w14:textId="27FE1FDA"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7,248</w:t>
            </w:r>
          </w:p>
        </w:tc>
        <w:tc>
          <w:tcPr>
            <w:tcW w:w="860" w:type="dxa"/>
            <w:tcBorders>
              <w:top w:val="nil"/>
              <w:left w:val="nil"/>
              <w:bottom w:val="nil"/>
              <w:right w:val="nil"/>
            </w:tcBorders>
            <w:shd w:val="clear" w:color="auto" w:fill="auto"/>
            <w:noWrap/>
            <w:vAlign w:val="bottom"/>
            <w:hideMark/>
          </w:tcPr>
          <w:p w14:paraId="0BD9A1D1" w14:textId="5B18A71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3,828</w:t>
            </w:r>
          </w:p>
        </w:tc>
        <w:tc>
          <w:tcPr>
            <w:tcW w:w="860" w:type="dxa"/>
            <w:tcBorders>
              <w:top w:val="nil"/>
              <w:left w:val="nil"/>
              <w:bottom w:val="nil"/>
              <w:right w:val="nil"/>
            </w:tcBorders>
            <w:shd w:val="clear" w:color="auto" w:fill="auto"/>
            <w:noWrap/>
            <w:vAlign w:val="bottom"/>
            <w:hideMark/>
          </w:tcPr>
          <w:p w14:paraId="37217FB4" w14:textId="5BCE0BD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3,173</w:t>
            </w:r>
          </w:p>
        </w:tc>
      </w:tr>
      <w:tr w:rsidR="00A8085D" w:rsidRPr="00331631" w14:paraId="452FAEAF" w14:textId="77777777" w:rsidTr="00F96D8A">
        <w:trPr>
          <w:trHeight w:val="204"/>
        </w:trPr>
        <w:tc>
          <w:tcPr>
            <w:tcW w:w="3261" w:type="dxa"/>
            <w:tcBorders>
              <w:top w:val="nil"/>
              <w:left w:val="nil"/>
              <w:bottom w:val="nil"/>
              <w:right w:val="nil"/>
            </w:tcBorders>
            <w:shd w:val="clear" w:color="auto" w:fill="auto"/>
            <w:noWrap/>
            <w:vAlign w:val="bottom"/>
            <w:hideMark/>
          </w:tcPr>
          <w:p w14:paraId="285C16AF"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Intangibles</w:t>
            </w:r>
          </w:p>
        </w:tc>
        <w:tc>
          <w:tcPr>
            <w:tcW w:w="928" w:type="dxa"/>
            <w:tcBorders>
              <w:top w:val="nil"/>
              <w:left w:val="nil"/>
              <w:bottom w:val="nil"/>
              <w:right w:val="nil"/>
            </w:tcBorders>
            <w:shd w:val="clear" w:color="auto" w:fill="auto"/>
            <w:noWrap/>
            <w:vAlign w:val="bottom"/>
            <w:hideMark/>
          </w:tcPr>
          <w:p w14:paraId="6FDEF84F" w14:textId="0AA9410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65,278</w:t>
            </w:r>
          </w:p>
        </w:tc>
        <w:tc>
          <w:tcPr>
            <w:tcW w:w="860" w:type="dxa"/>
            <w:tcBorders>
              <w:top w:val="nil"/>
              <w:left w:val="nil"/>
              <w:bottom w:val="nil"/>
              <w:right w:val="nil"/>
            </w:tcBorders>
            <w:shd w:val="clear" w:color="000000" w:fill="E7E6E6"/>
            <w:noWrap/>
            <w:vAlign w:val="bottom"/>
            <w:hideMark/>
          </w:tcPr>
          <w:p w14:paraId="57E8EC81" w14:textId="1A31529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66,495</w:t>
            </w:r>
          </w:p>
        </w:tc>
        <w:tc>
          <w:tcPr>
            <w:tcW w:w="860" w:type="dxa"/>
            <w:tcBorders>
              <w:top w:val="nil"/>
              <w:left w:val="nil"/>
              <w:bottom w:val="nil"/>
              <w:right w:val="nil"/>
            </w:tcBorders>
            <w:shd w:val="clear" w:color="auto" w:fill="auto"/>
            <w:noWrap/>
            <w:vAlign w:val="bottom"/>
            <w:hideMark/>
          </w:tcPr>
          <w:p w14:paraId="1DC5E9CE" w14:textId="713912AF"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65,219</w:t>
            </w:r>
          </w:p>
        </w:tc>
        <w:tc>
          <w:tcPr>
            <w:tcW w:w="860" w:type="dxa"/>
            <w:tcBorders>
              <w:top w:val="nil"/>
              <w:left w:val="nil"/>
              <w:bottom w:val="nil"/>
              <w:right w:val="nil"/>
            </w:tcBorders>
            <w:shd w:val="clear" w:color="auto" w:fill="auto"/>
            <w:noWrap/>
            <w:vAlign w:val="bottom"/>
            <w:hideMark/>
          </w:tcPr>
          <w:p w14:paraId="4CA74E9D" w14:textId="358EC28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64,147</w:t>
            </w:r>
          </w:p>
        </w:tc>
        <w:tc>
          <w:tcPr>
            <w:tcW w:w="860" w:type="dxa"/>
            <w:tcBorders>
              <w:top w:val="nil"/>
              <w:left w:val="nil"/>
              <w:bottom w:val="nil"/>
              <w:right w:val="nil"/>
            </w:tcBorders>
            <w:shd w:val="clear" w:color="auto" w:fill="auto"/>
            <w:noWrap/>
            <w:vAlign w:val="bottom"/>
            <w:hideMark/>
          </w:tcPr>
          <w:p w14:paraId="497FC184" w14:textId="40C89D5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62,091</w:t>
            </w:r>
          </w:p>
        </w:tc>
      </w:tr>
      <w:tr w:rsidR="00A8085D" w:rsidRPr="00331631" w14:paraId="21113E98" w14:textId="77777777" w:rsidTr="00F96D8A">
        <w:trPr>
          <w:trHeight w:val="204"/>
        </w:trPr>
        <w:tc>
          <w:tcPr>
            <w:tcW w:w="3261" w:type="dxa"/>
            <w:tcBorders>
              <w:top w:val="nil"/>
              <w:left w:val="nil"/>
              <w:bottom w:val="nil"/>
              <w:right w:val="nil"/>
            </w:tcBorders>
            <w:shd w:val="clear" w:color="auto" w:fill="auto"/>
            <w:noWrap/>
            <w:vAlign w:val="bottom"/>
            <w:hideMark/>
          </w:tcPr>
          <w:p w14:paraId="514D3F39"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Heritage and cultural assets</w:t>
            </w:r>
          </w:p>
        </w:tc>
        <w:tc>
          <w:tcPr>
            <w:tcW w:w="928" w:type="dxa"/>
            <w:tcBorders>
              <w:top w:val="nil"/>
              <w:left w:val="nil"/>
              <w:bottom w:val="nil"/>
              <w:right w:val="nil"/>
            </w:tcBorders>
            <w:shd w:val="clear" w:color="auto" w:fill="auto"/>
            <w:noWrap/>
            <w:vAlign w:val="bottom"/>
            <w:hideMark/>
          </w:tcPr>
          <w:p w14:paraId="1B7F4AC5" w14:textId="6B47E6B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35,965</w:t>
            </w:r>
          </w:p>
        </w:tc>
        <w:tc>
          <w:tcPr>
            <w:tcW w:w="860" w:type="dxa"/>
            <w:tcBorders>
              <w:top w:val="nil"/>
              <w:left w:val="nil"/>
              <w:bottom w:val="nil"/>
              <w:right w:val="nil"/>
            </w:tcBorders>
            <w:shd w:val="clear" w:color="000000" w:fill="E7E6E6"/>
            <w:noWrap/>
            <w:vAlign w:val="bottom"/>
            <w:hideMark/>
          </w:tcPr>
          <w:p w14:paraId="7D6431F7" w14:textId="406B06D2"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35,823</w:t>
            </w:r>
          </w:p>
        </w:tc>
        <w:tc>
          <w:tcPr>
            <w:tcW w:w="860" w:type="dxa"/>
            <w:tcBorders>
              <w:top w:val="nil"/>
              <w:left w:val="nil"/>
              <w:bottom w:val="nil"/>
              <w:right w:val="nil"/>
            </w:tcBorders>
            <w:shd w:val="clear" w:color="auto" w:fill="auto"/>
            <w:noWrap/>
            <w:vAlign w:val="bottom"/>
            <w:hideMark/>
          </w:tcPr>
          <w:p w14:paraId="07DDDF19" w14:textId="64F1885E"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35,681</w:t>
            </w:r>
          </w:p>
        </w:tc>
        <w:tc>
          <w:tcPr>
            <w:tcW w:w="860" w:type="dxa"/>
            <w:tcBorders>
              <w:top w:val="nil"/>
              <w:left w:val="nil"/>
              <w:bottom w:val="nil"/>
              <w:right w:val="nil"/>
            </w:tcBorders>
            <w:shd w:val="clear" w:color="auto" w:fill="auto"/>
            <w:noWrap/>
            <w:vAlign w:val="bottom"/>
            <w:hideMark/>
          </w:tcPr>
          <w:p w14:paraId="65C47A0D" w14:textId="2109757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35,539</w:t>
            </w:r>
          </w:p>
        </w:tc>
        <w:tc>
          <w:tcPr>
            <w:tcW w:w="860" w:type="dxa"/>
            <w:tcBorders>
              <w:top w:val="nil"/>
              <w:left w:val="nil"/>
              <w:bottom w:val="nil"/>
              <w:right w:val="nil"/>
            </w:tcBorders>
            <w:shd w:val="clear" w:color="auto" w:fill="auto"/>
            <w:noWrap/>
            <w:vAlign w:val="bottom"/>
            <w:hideMark/>
          </w:tcPr>
          <w:p w14:paraId="3D8B38DD" w14:textId="02EB03C3"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35,397</w:t>
            </w:r>
          </w:p>
        </w:tc>
      </w:tr>
      <w:tr w:rsidR="00A8085D" w:rsidRPr="00331631" w14:paraId="7BC19005" w14:textId="77777777" w:rsidTr="00F96D8A">
        <w:trPr>
          <w:trHeight w:val="204"/>
        </w:trPr>
        <w:tc>
          <w:tcPr>
            <w:tcW w:w="3261" w:type="dxa"/>
            <w:tcBorders>
              <w:top w:val="nil"/>
              <w:left w:val="nil"/>
              <w:bottom w:val="nil"/>
              <w:right w:val="nil"/>
            </w:tcBorders>
            <w:shd w:val="clear" w:color="auto" w:fill="auto"/>
            <w:noWrap/>
            <w:vAlign w:val="bottom"/>
            <w:hideMark/>
          </w:tcPr>
          <w:p w14:paraId="2D9B0B8F"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30174B96" w14:textId="0CFBFA8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4,513</w:t>
            </w:r>
          </w:p>
        </w:tc>
        <w:tc>
          <w:tcPr>
            <w:tcW w:w="860" w:type="dxa"/>
            <w:tcBorders>
              <w:top w:val="nil"/>
              <w:left w:val="nil"/>
              <w:bottom w:val="nil"/>
              <w:right w:val="nil"/>
            </w:tcBorders>
            <w:shd w:val="clear" w:color="000000" w:fill="E7E6E6"/>
            <w:noWrap/>
            <w:vAlign w:val="bottom"/>
            <w:hideMark/>
          </w:tcPr>
          <w:p w14:paraId="08BB7CC8" w14:textId="39C7BB3B"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1BAEBC7B" w14:textId="3E66A642"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19817A86" w14:textId="030508BF"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1746373B" w14:textId="732D47E6"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4,513</w:t>
            </w:r>
          </w:p>
        </w:tc>
      </w:tr>
      <w:tr w:rsidR="00A8085D" w:rsidRPr="00331631" w14:paraId="4A96CDE1" w14:textId="77777777" w:rsidTr="00F96D8A">
        <w:trPr>
          <w:trHeight w:val="204"/>
        </w:trPr>
        <w:tc>
          <w:tcPr>
            <w:tcW w:w="3261" w:type="dxa"/>
            <w:tcBorders>
              <w:top w:val="nil"/>
              <w:left w:val="nil"/>
              <w:bottom w:val="nil"/>
              <w:right w:val="nil"/>
            </w:tcBorders>
            <w:shd w:val="clear" w:color="auto" w:fill="auto"/>
            <w:noWrap/>
            <w:vAlign w:val="bottom"/>
            <w:hideMark/>
          </w:tcPr>
          <w:p w14:paraId="4BBF1BDB" w14:textId="77777777" w:rsidR="00A8085D" w:rsidRPr="00331631" w:rsidRDefault="00A8085D" w:rsidP="00A8085D">
            <w:pPr>
              <w:spacing w:after="0" w:line="240" w:lineRule="auto"/>
              <w:ind w:left="113"/>
              <w:jc w:val="left"/>
              <w:rPr>
                <w:rFonts w:ascii="Arial" w:hAnsi="Arial" w:cs="Arial"/>
                <w:b/>
                <w:bCs/>
                <w:i/>
                <w:iCs/>
                <w:color w:val="000000"/>
                <w:sz w:val="16"/>
                <w:szCs w:val="16"/>
              </w:rPr>
            </w:pPr>
            <w:r w:rsidRPr="00F21454">
              <w:rPr>
                <w:rFonts w:ascii="Arial" w:hAnsi="Arial" w:cs="Arial"/>
                <w:b/>
                <w:bCs/>
                <w:i/>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7D9C8D20" w14:textId="0D86E55E"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232,771</w:t>
            </w:r>
          </w:p>
        </w:tc>
        <w:tc>
          <w:tcPr>
            <w:tcW w:w="860" w:type="dxa"/>
            <w:tcBorders>
              <w:top w:val="single" w:sz="4" w:space="0" w:color="000000"/>
              <w:left w:val="nil"/>
              <w:bottom w:val="single" w:sz="4" w:space="0" w:color="000000"/>
              <w:right w:val="nil"/>
            </w:tcBorders>
            <w:shd w:val="clear" w:color="000000" w:fill="E7E6E6"/>
            <w:noWrap/>
            <w:vAlign w:val="bottom"/>
            <w:hideMark/>
          </w:tcPr>
          <w:p w14:paraId="79DF0C64" w14:textId="7D80105A"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207,210</w:t>
            </w:r>
          </w:p>
        </w:tc>
        <w:tc>
          <w:tcPr>
            <w:tcW w:w="860" w:type="dxa"/>
            <w:tcBorders>
              <w:top w:val="single" w:sz="4" w:space="0" w:color="000000"/>
              <w:left w:val="nil"/>
              <w:bottom w:val="single" w:sz="4" w:space="0" w:color="000000"/>
              <w:right w:val="nil"/>
            </w:tcBorders>
            <w:shd w:val="clear" w:color="auto" w:fill="auto"/>
            <w:noWrap/>
            <w:vAlign w:val="bottom"/>
            <w:hideMark/>
          </w:tcPr>
          <w:p w14:paraId="7CEB5D9F" w14:textId="5A1CA9CA"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181,524</w:t>
            </w:r>
          </w:p>
        </w:tc>
        <w:tc>
          <w:tcPr>
            <w:tcW w:w="860" w:type="dxa"/>
            <w:tcBorders>
              <w:top w:val="single" w:sz="4" w:space="0" w:color="000000"/>
              <w:left w:val="nil"/>
              <w:bottom w:val="single" w:sz="4" w:space="0" w:color="000000"/>
              <w:right w:val="nil"/>
            </w:tcBorders>
            <w:shd w:val="clear" w:color="auto" w:fill="auto"/>
            <w:noWrap/>
            <w:vAlign w:val="bottom"/>
            <w:hideMark/>
          </w:tcPr>
          <w:p w14:paraId="6C73A25B" w14:textId="4AAB6943"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154,802</w:t>
            </w:r>
          </w:p>
        </w:tc>
        <w:tc>
          <w:tcPr>
            <w:tcW w:w="860" w:type="dxa"/>
            <w:tcBorders>
              <w:top w:val="single" w:sz="4" w:space="0" w:color="000000"/>
              <w:left w:val="nil"/>
              <w:bottom w:val="single" w:sz="4" w:space="0" w:color="000000"/>
              <w:right w:val="nil"/>
            </w:tcBorders>
            <w:shd w:val="clear" w:color="auto" w:fill="auto"/>
            <w:noWrap/>
            <w:vAlign w:val="bottom"/>
            <w:hideMark/>
          </w:tcPr>
          <w:p w14:paraId="2B28782B" w14:textId="60BCDC11"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128,042</w:t>
            </w:r>
          </w:p>
        </w:tc>
      </w:tr>
      <w:tr w:rsidR="00A8085D" w:rsidRPr="00331631" w14:paraId="2628FFFF" w14:textId="77777777" w:rsidTr="00F96D8A">
        <w:trPr>
          <w:trHeight w:val="204"/>
        </w:trPr>
        <w:tc>
          <w:tcPr>
            <w:tcW w:w="3261" w:type="dxa"/>
            <w:tcBorders>
              <w:top w:val="nil"/>
              <w:left w:val="nil"/>
              <w:bottom w:val="nil"/>
              <w:right w:val="nil"/>
            </w:tcBorders>
            <w:shd w:val="clear" w:color="auto" w:fill="auto"/>
            <w:noWrap/>
            <w:vAlign w:val="bottom"/>
            <w:hideMark/>
          </w:tcPr>
          <w:p w14:paraId="16651CCA" w14:textId="77777777" w:rsidR="00A8085D" w:rsidRPr="00331631" w:rsidRDefault="00A8085D" w:rsidP="00A8085D">
            <w:pPr>
              <w:spacing w:after="0" w:line="240" w:lineRule="auto"/>
              <w:jc w:val="left"/>
              <w:rPr>
                <w:rFonts w:ascii="Arial" w:hAnsi="Arial" w:cs="Arial"/>
                <w:b/>
                <w:bCs/>
                <w:color w:val="000000"/>
                <w:sz w:val="16"/>
                <w:szCs w:val="16"/>
              </w:rPr>
            </w:pPr>
            <w:r w:rsidRPr="00331631">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400E2203" w14:textId="01470ACF"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392,075</w:t>
            </w:r>
          </w:p>
        </w:tc>
        <w:tc>
          <w:tcPr>
            <w:tcW w:w="860" w:type="dxa"/>
            <w:tcBorders>
              <w:top w:val="nil"/>
              <w:left w:val="nil"/>
              <w:bottom w:val="single" w:sz="4" w:space="0" w:color="000000"/>
              <w:right w:val="nil"/>
            </w:tcBorders>
            <w:shd w:val="clear" w:color="000000" w:fill="E7E6E6"/>
            <w:noWrap/>
            <w:vAlign w:val="bottom"/>
            <w:hideMark/>
          </w:tcPr>
          <w:p w14:paraId="793BA281" w14:textId="78D959C5"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381,461</w:t>
            </w:r>
          </w:p>
        </w:tc>
        <w:tc>
          <w:tcPr>
            <w:tcW w:w="860" w:type="dxa"/>
            <w:tcBorders>
              <w:top w:val="nil"/>
              <w:left w:val="nil"/>
              <w:bottom w:val="single" w:sz="4" w:space="0" w:color="000000"/>
              <w:right w:val="nil"/>
            </w:tcBorders>
            <w:shd w:val="clear" w:color="auto" w:fill="auto"/>
            <w:noWrap/>
            <w:vAlign w:val="bottom"/>
            <w:hideMark/>
          </w:tcPr>
          <w:p w14:paraId="7FD631C2" w14:textId="71EE66C4"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341,561</w:t>
            </w:r>
          </w:p>
        </w:tc>
        <w:tc>
          <w:tcPr>
            <w:tcW w:w="860" w:type="dxa"/>
            <w:tcBorders>
              <w:top w:val="nil"/>
              <w:left w:val="nil"/>
              <w:bottom w:val="single" w:sz="4" w:space="0" w:color="000000"/>
              <w:right w:val="nil"/>
            </w:tcBorders>
            <w:shd w:val="clear" w:color="auto" w:fill="auto"/>
            <w:noWrap/>
            <w:vAlign w:val="bottom"/>
            <w:hideMark/>
          </w:tcPr>
          <w:p w14:paraId="573FEC44" w14:textId="21D39D46"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301,789</w:t>
            </w:r>
          </w:p>
        </w:tc>
        <w:tc>
          <w:tcPr>
            <w:tcW w:w="860" w:type="dxa"/>
            <w:tcBorders>
              <w:top w:val="nil"/>
              <w:left w:val="nil"/>
              <w:bottom w:val="single" w:sz="4" w:space="0" w:color="000000"/>
              <w:right w:val="nil"/>
            </w:tcBorders>
            <w:shd w:val="clear" w:color="auto" w:fill="auto"/>
            <w:noWrap/>
            <w:vAlign w:val="bottom"/>
            <w:hideMark/>
          </w:tcPr>
          <w:p w14:paraId="4A57D23B" w14:textId="41216878"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274,136</w:t>
            </w:r>
          </w:p>
        </w:tc>
      </w:tr>
      <w:tr w:rsidR="00A8085D" w:rsidRPr="00331631" w14:paraId="72B3094E" w14:textId="77777777" w:rsidTr="00F96D8A">
        <w:trPr>
          <w:trHeight w:val="204"/>
        </w:trPr>
        <w:tc>
          <w:tcPr>
            <w:tcW w:w="3261" w:type="dxa"/>
            <w:tcBorders>
              <w:top w:val="nil"/>
              <w:left w:val="nil"/>
              <w:bottom w:val="nil"/>
              <w:right w:val="nil"/>
            </w:tcBorders>
            <w:shd w:val="clear" w:color="auto" w:fill="auto"/>
            <w:noWrap/>
            <w:vAlign w:val="bottom"/>
            <w:hideMark/>
          </w:tcPr>
          <w:p w14:paraId="0DF195F5" w14:textId="77777777" w:rsidR="00A8085D" w:rsidRPr="00331631" w:rsidRDefault="00A8085D" w:rsidP="00A8085D">
            <w:pPr>
              <w:spacing w:after="0" w:line="240" w:lineRule="auto"/>
              <w:jc w:val="left"/>
              <w:rPr>
                <w:rFonts w:ascii="Arial" w:hAnsi="Arial" w:cs="Arial"/>
                <w:b/>
                <w:bCs/>
                <w:color w:val="000000"/>
                <w:sz w:val="16"/>
                <w:szCs w:val="16"/>
              </w:rPr>
            </w:pPr>
            <w:r w:rsidRPr="00331631">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081293F3" w14:textId="77777777" w:rsidR="00A8085D" w:rsidRPr="00A8085D" w:rsidRDefault="00A8085D" w:rsidP="00A8085D">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4BC290BE" w14:textId="39B1939E"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2379D19"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A9273EB"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F75BBD0"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4505BB4F" w14:textId="77777777" w:rsidTr="00F96D8A">
        <w:trPr>
          <w:trHeight w:val="204"/>
        </w:trPr>
        <w:tc>
          <w:tcPr>
            <w:tcW w:w="3261" w:type="dxa"/>
            <w:tcBorders>
              <w:top w:val="nil"/>
              <w:left w:val="nil"/>
              <w:bottom w:val="nil"/>
              <w:right w:val="nil"/>
            </w:tcBorders>
            <w:shd w:val="clear" w:color="auto" w:fill="auto"/>
            <w:noWrap/>
            <w:vAlign w:val="bottom"/>
            <w:hideMark/>
          </w:tcPr>
          <w:p w14:paraId="5978E102" w14:textId="77777777" w:rsidR="00A8085D" w:rsidRPr="00331631" w:rsidRDefault="00A8085D" w:rsidP="00A8085D">
            <w:pPr>
              <w:spacing w:after="0" w:line="240" w:lineRule="auto"/>
              <w:ind w:left="113"/>
              <w:jc w:val="left"/>
              <w:rPr>
                <w:rFonts w:ascii="Arial" w:hAnsi="Arial" w:cs="Arial"/>
                <w:b/>
                <w:bCs/>
                <w:color w:val="000000"/>
                <w:sz w:val="16"/>
                <w:szCs w:val="16"/>
              </w:rPr>
            </w:pPr>
            <w:r w:rsidRPr="00331631">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0D5CE451" w14:textId="77777777" w:rsidR="00A8085D" w:rsidRPr="00A8085D" w:rsidRDefault="00A8085D" w:rsidP="00A8085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3FAFC20E" w14:textId="6C78EDEF"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4B469A1"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8451776"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DA1D8C3"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38F082A5" w14:textId="77777777" w:rsidTr="00F96D8A">
        <w:trPr>
          <w:trHeight w:val="204"/>
        </w:trPr>
        <w:tc>
          <w:tcPr>
            <w:tcW w:w="3261" w:type="dxa"/>
            <w:tcBorders>
              <w:top w:val="nil"/>
              <w:left w:val="nil"/>
              <w:bottom w:val="nil"/>
              <w:right w:val="nil"/>
            </w:tcBorders>
            <w:shd w:val="clear" w:color="auto" w:fill="auto"/>
            <w:noWrap/>
            <w:vAlign w:val="bottom"/>
            <w:hideMark/>
          </w:tcPr>
          <w:p w14:paraId="07EF92F4"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CE55889" w14:textId="764CEC59"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31,102</w:t>
            </w:r>
          </w:p>
        </w:tc>
        <w:tc>
          <w:tcPr>
            <w:tcW w:w="860" w:type="dxa"/>
            <w:tcBorders>
              <w:top w:val="nil"/>
              <w:left w:val="nil"/>
              <w:bottom w:val="nil"/>
              <w:right w:val="nil"/>
            </w:tcBorders>
            <w:shd w:val="clear" w:color="000000" w:fill="E7E6E6"/>
            <w:noWrap/>
            <w:vAlign w:val="bottom"/>
            <w:hideMark/>
          </w:tcPr>
          <w:p w14:paraId="55823498" w14:textId="0013FC5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42,254</w:t>
            </w:r>
          </w:p>
        </w:tc>
        <w:tc>
          <w:tcPr>
            <w:tcW w:w="860" w:type="dxa"/>
            <w:tcBorders>
              <w:top w:val="nil"/>
              <w:left w:val="nil"/>
              <w:bottom w:val="nil"/>
              <w:right w:val="nil"/>
            </w:tcBorders>
            <w:shd w:val="clear" w:color="auto" w:fill="auto"/>
            <w:noWrap/>
            <w:vAlign w:val="bottom"/>
            <w:hideMark/>
          </w:tcPr>
          <w:p w14:paraId="7F28873A" w14:textId="19C509C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28,046</w:t>
            </w:r>
          </w:p>
        </w:tc>
        <w:tc>
          <w:tcPr>
            <w:tcW w:w="860" w:type="dxa"/>
            <w:tcBorders>
              <w:top w:val="nil"/>
              <w:left w:val="nil"/>
              <w:bottom w:val="nil"/>
              <w:right w:val="nil"/>
            </w:tcBorders>
            <w:shd w:val="clear" w:color="auto" w:fill="auto"/>
            <w:noWrap/>
            <w:vAlign w:val="bottom"/>
            <w:hideMark/>
          </w:tcPr>
          <w:p w14:paraId="50D8BE5F" w14:textId="3715AFA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15,204</w:t>
            </w:r>
          </w:p>
        </w:tc>
        <w:tc>
          <w:tcPr>
            <w:tcW w:w="860" w:type="dxa"/>
            <w:tcBorders>
              <w:top w:val="nil"/>
              <w:left w:val="nil"/>
              <w:bottom w:val="nil"/>
              <w:right w:val="nil"/>
            </w:tcBorders>
            <w:shd w:val="clear" w:color="auto" w:fill="auto"/>
            <w:noWrap/>
            <w:vAlign w:val="bottom"/>
            <w:hideMark/>
          </w:tcPr>
          <w:p w14:paraId="260C178F" w14:textId="56015BC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13,190</w:t>
            </w:r>
          </w:p>
        </w:tc>
      </w:tr>
      <w:tr w:rsidR="00A8085D" w:rsidRPr="00331631" w14:paraId="3DA5216E" w14:textId="77777777" w:rsidTr="00F96D8A">
        <w:trPr>
          <w:trHeight w:val="204"/>
        </w:trPr>
        <w:tc>
          <w:tcPr>
            <w:tcW w:w="3261" w:type="dxa"/>
            <w:tcBorders>
              <w:top w:val="nil"/>
              <w:left w:val="nil"/>
              <w:bottom w:val="nil"/>
              <w:right w:val="nil"/>
            </w:tcBorders>
            <w:shd w:val="clear" w:color="auto" w:fill="auto"/>
            <w:noWrap/>
            <w:vAlign w:val="bottom"/>
            <w:hideMark/>
          </w:tcPr>
          <w:p w14:paraId="7DD0C888"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4DAA0C61" w14:textId="0D2BBAF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3,473</w:t>
            </w:r>
          </w:p>
        </w:tc>
        <w:tc>
          <w:tcPr>
            <w:tcW w:w="860" w:type="dxa"/>
            <w:tcBorders>
              <w:top w:val="nil"/>
              <w:left w:val="nil"/>
              <w:bottom w:val="nil"/>
              <w:right w:val="nil"/>
            </w:tcBorders>
            <w:shd w:val="clear" w:color="000000" w:fill="E7E6E6"/>
            <w:noWrap/>
            <w:vAlign w:val="bottom"/>
            <w:hideMark/>
          </w:tcPr>
          <w:p w14:paraId="0FA9D290" w14:textId="61AF5F8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00FF9251" w14:textId="1FEFBB4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679CE326" w14:textId="4AF10782"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08C30BB7" w14:textId="1BB9E936"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3,473</w:t>
            </w:r>
          </w:p>
        </w:tc>
      </w:tr>
      <w:tr w:rsidR="00A8085D" w:rsidRPr="00331631" w14:paraId="2459351C" w14:textId="77777777" w:rsidTr="00F96D8A">
        <w:trPr>
          <w:trHeight w:val="204"/>
        </w:trPr>
        <w:tc>
          <w:tcPr>
            <w:tcW w:w="3261" w:type="dxa"/>
            <w:tcBorders>
              <w:top w:val="nil"/>
              <w:left w:val="nil"/>
              <w:bottom w:val="nil"/>
              <w:right w:val="nil"/>
            </w:tcBorders>
            <w:shd w:val="clear" w:color="auto" w:fill="auto"/>
            <w:noWrap/>
            <w:vAlign w:val="bottom"/>
            <w:hideMark/>
          </w:tcPr>
          <w:p w14:paraId="03004A69" w14:textId="77777777" w:rsidR="00A8085D" w:rsidRPr="00331631" w:rsidRDefault="00A8085D" w:rsidP="00A8085D">
            <w:pPr>
              <w:spacing w:after="0" w:line="240" w:lineRule="auto"/>
              <w:ind w:left="113"/>
              <w:jc w:val="left"/>
              <w:rPr>
                <w:rFonts w:ascii="Arial" w:hAnsi="Arial" w:cs="Arial"/>
                <w:b/>
                <w:bCs/>
                <w:color w:val="000000"/>
                <w:sz w:val="16"/>
                <w:szCs w:val="16"/>
              </w:rPr>
            </w:pPr>
            <w:r w:rsidRPr="00F21454">
              <w:rPr>
                <w:rFonts w:ascii="Arial" w:hAnsi="Arial" w:cs="Arial"/>
                <w:b/>
                <w:bCs/>
                <w:i/>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3D3362A1" w14:textId="2646C355"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34,575</w:t>
            </w:r>
          </w:p>
        </w:tc>
        <w:tc>
          <w:tcPr>
            <w:tcW w:w="860" w:type="dxa"/>
            <w:tcBorders>
              <w:top w:val="single" w:sz="4" w:space="0" w:color="000000"/>
              <w:left w:val="nil"/>
              <w:bottom w:val="single" w:sz="4" w:space="0" w:color="000000"/>
              <w:right w:val="nil"/>
            </w:tcBorders>
            <w:shd w:val="clear" w:color="000000" w:fill="E7E6E6"/>
            <w:noWrap/>
            <w:vAlign w:val="bottom"/>
            <w:hideMark/>
          </w:tcPr>
          <w:p w14:paraId="775B9513" w14:textId="0B20D691"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45,727</w:t>
            </w:r>
          </w:p>
        </w:tc>
        <w:tc>
          <w:tcPr>
            <w:tcW w:w="860" w:type="dxa"/>
            <w:tcBorders>
              <w:top w:val="single" w:sz="4" w:space="0" w:color="000000"/>
              <w:left w:val="nil"/>
              <w:bottom w:val="single" w:sz="4" w:space="0" w:color="000000"/>
              <w:right w:val="nil"/>
            </w:tcBorders>
            <w:shd w:val="clear" w:color="auto" w:fill="auto"/>
            <w:noWrap/>
            <w:vAlign w:val="bottom"/>
            <w:hideMark/>
          </w:tcPr>
          <w:p w14:paraId="0F7301E7" w14:textId="6DFBF29D"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31,519</w:t>
            </w:r>
          </w:p>
        </w:tc>
        <w:tc>
          <w:tcPr>
            <w:tcW w:w="860" w:type="dxa"/>
            <w:tcBorders>
              <w:top w:val="single" w:sz="4" w:space="0" w:color="000000"/>
              <w:left w:val="nil"/>
              <w:bottom w:val="single" w:sz="4" w:space="0" w:color="000000"/>
              <w:right w:val="nil"/>
            </w:tcBorders>
            <w:shd w:val="clear" w:color="auto" w:fill="auto"/>
            <w:noWrap/>
            <w:vAlign w:val="bottom"/>
            <w:hideMark/>
          </w:tcPr>
          <w:p w14:paraId="4A1CA21B" w14:textId="4CA63C01"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18,677</w:t>
            </w:r>
          </w:p>
        </w:tc>
        <w:tc>
          <w:tcPr>
            <w:tcW w:w="860" w:type="dxa"/>
            <w:tcBorders>
              <w:top w:val="single" w:sz="4" w:space="0" w:color="000000"/>
              <w:left w:val="nil"/>
              <w:bottom w:val="single" w:sz="4" w:space="0" w:color="000000"/>
              <w:right w:val="nil"/>
            </w:tcBorders>
            <w:shd w:val="clear" w:color="auto" w:fill="auto"/>
            <w:noWrap/>
            <w:vAlign w:val="bottom"/>
            <w:hideMark/>
          </w:tcPr>
          <w:p w14:paraId="4783BF93" w14:textId="752045E8"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16,663</w:t>
            </w:r>
          </w:p>
        </w:tc>
      </w:tr>
      <w:tr w:rsidR="00A8085D" w:rsidRPr="00331631" w14:paraId="33F37607" w14:textId="77777777" w:rsidTr="00F96D8A">
        <w:trPr>
          <w:trHeight w:val="204"/>
        </w:trPr>
        <w:tc>
          <w:tcPr>
            <w:tcW w:w="3261" w:type="dxa"/>
            <w:tcBorders>
              <w:top w:val="nil"/>
              <w:left w:val="nil"/>
              <w:bottom w:val="nil"/>
              <w:right w:val="nil"/>
            </w:tcBorders>
            <w:shd w:val="clear" w:color="auto" w:fill="auto"/>
            <w:noWrap/>
            <w:vAlign w:val="bottom"/>
            <w:hideMark/>
          </w:tcPr>
          <w:p w14:paraId="0D572A53" w14:textId="77777777" w:rsidR="00A8085D" w:rsidRPr="00331631" w:rsidRDefault="00A8085D" w:rsidP="00A8085D">
            <w:pPr>
              <w:spacing w:after="0" w:line="240" w:lineRule="auto"/>
              <w:ind w:left="113"/>
              <w:jc w:val="left"/>
              <w:rPr>
                <w:rFonts w:ascii="Arial" w:hAnsi="Arial" w:cs="Arial"/>
                <w:b/>
                <w:bCs/>
                <w:color w:val="000000"/>
                <w:sz w:val="16"/>
                <w:szCs w:val="16"/>
              </w:rPr>
            </w:pPr>
            <w:r w:rsidRPr="00331631">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63FF59A3" w14:textId="77777777" w:rsidR="00A8085D" w:rsidRPr="00A8085D" w:rsidRDefault="00A8085D" w:rsidP="00A8085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561EB7DA" w14:textId="7226C5E5"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38006C6"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190DF4E"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DD37319"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6EBAA463" w14:textId="77777777" w:rsidTr="00F96D8A">
        <w:trPr>
          <w:trHeight w:val="204"/>
        </w:trPr>
        <w:tc>
          <w:tcPr>
            <w:tcW w:w="3261" w:type="dxa"/>
            <w:tcBorders>
              <w:top w:val="nil"/>
              <w:left w:val="nil"/>
              <w:bottom w:val="nil"/>
              <w:right w:val="nil"/>
            </w:tcBorders>
            <w:shd w:val="clear" w:color="auto" w:fill="auto"/>
            <w:noWrap/>
            <w:vAlign w:val="bottom"/>
            <w:hideMark/>
          </w:tcPr>
          <w:p w14:paraId="1E03AC68" w14:textId="77777777" w:rsidR="00A8085D" w:rsidRPr="00331631" w:rsidRDefault="00A8085D" w:rsidP="00A8085D">
            <w:pPr>
              <w:spacing w:after="0" w:line="240" w:lineRule="auto"/>
              <w:ind w:left="227"/>
              <w:jc w:val="left"/>
              <w:rPr>
                <w:rFonts w:ascii="Arial" w:hAnsi="Arial" w:cs="Arial"/>
                <w:color w:val="000000"/>
                <w:sz w:val="16"/>
                <w:szCs w:val="16"/>
              </w:rPr>
            </w:pPr>
            <w:r w:rsidRPr="00331631">
              <w:rPr>
                <w:rFonts w:ascii="Arial" w:hAnsi="Arial" w:cs="Arial"/>
                <w:sz w:val="16"/>
                <w:szCs w:val="16"/>
              </w:rPr>
              <w:t>Leases</w:t>
            </w:r>
          </w:p>
        </w:tc>
        <w:tc>
          <w:tcPr>
            <w:tcW w:w="928" w:type="dxa"/>
            <w:tcBorders>
              <w:top w:val="nil"/>
              <w:left w:val="nil"/>
              <w:bottom w:val="nil"/>
              <w:right w:val="nil"/>
            </w:tcBorders>
            <w:shd w:val="clear" w:color="auto" w:fill="auto"/>
            <w:noWrap/>
            <w:vAlign w:val="bottom"/>
            <w:hideMark/>
          </w:tcPr>
          <w:p w14:paraId="0DF9DEA9" w14:textId="5482E2B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97,230</w:t>
            </w:r>
          </w:p>
        </w:tc>
        <w:tc>
          <w:tcPr>
            <w:tcW w:w="860" w:type="dxa"/>
            <w:tcBorders>
              <w:top w:val="nil"/>
              <w:left w:val="nil"/>
              <w:bottom w:val="nil"/>
              <w:right w:val="nil"/>
            </w:tcBorders>
            <w:shd w:val="clear" w:color="000000" w:fill="E7E6E6"/>
            <w:noWrap/>
            <w:vAlign w:val="bottom"/>
            <w:hideMark/>
          </w:tcPr>
          <w:p w14:paraId="45DFBACF" w14:textId="3C3F8DE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78,539</w:t>
            </w:r>
          </w:p>
        </w:tc>
        <w:tc>
          <w:tcPr>
            <w:tcW w:w="860" w:type="dxa"/>
            <w:tcBorders>
              <w:top w:val="nil"/>
              <w:left w:val="nil"/>
              <w:bottom w:val="nil"/>
              <w:right w:val="nil"/>
            </w:tcBorders>
            <w:shd w:val="clear" w:color="auto" w:fill="auto"/>
            <w:noWrap/>
            <w:vAlign w:val="bottom"/>
            <w:hideMark/>
          </w:tcPr>
          <w:p w14:paraId="330E60A1" w14:textId="6D34669B"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59,794</w:t>
            </w:r>
          </w:p>
        </w:tc>
        <w:tc>
          <w:tcPr>
            <w:tcW w:w="860" w:type="dxa"/>
            <w:tcBorders>
              <w:top w:val="nil"/>
              <w:left w:val="nil"/>
              <w:bottom w:val="nil"/>
              <w:right w:val="nil"/>
            </w:tcBorders>
            <w:shd w:val="clear" w:color="auto" w:fill="auto"/>
            <w:noWrap/>
            <w:vAlign w:val="bottom"/>
            <w:hideMark/>
          </w:tcPr>
          <w:p w14:paraId="499DDAA0" w14:textId="0E513A47"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39,799</w:t>
            </w:r>
          </w:p>
        </w:tc>
        <w:tc>
          <w:tcPr>
            <w:tcW w:w="860" w:type="dxa"/>
            <w:tcBorders>
              <w:top w:val="nil"/>
              <w:left w:val="nil"/>
              <w:bottom w:val="nil"/>
              <w:right w:val="nil"/>
            </w:tcBorders>
            <w:shd w:val="clear" w:color="auto" w:fill="auto"/>
            <w:noWrap/>
            <w:vAlign w:val="bottom"/>
            <w:hideMark/>
          </w:tcPr>
          <w:p w14:paraId="47D919AC" w14:textId="5D3573E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19,804</w:t>
            </w:r>
          </w:p>
        </w:tc>
      </w:tr>
      <w:tr w:rsidR="00A8085D" w:rsidRPr="00331631" w14:paraId="3DDF0198" w14:textId="77777777" w:rsidTr="00F96D8A">
        <w:trPr>
          <w:trHeight w:val="204"/>
        </w:trPr>
        <w:tc>
          <w:tcPr>
            <w:tcW w:w="3261" w:type="dxa"/>
            <w:tcBorders>
              <w:top w:val="nil"/>
              <w:left w:val="nil"/>
              <w:bottom w:val="nil"/>
              <w:right w:val="nil"/>
            </w:tcBorders>
            <w:shd w:val="clear" w:color="auto" w:fill="auto"/>
            <w:noWrap/>
            <w:vAlign w:val="bottom"/>
            <w:hideMark/>
          </w:tcPr>
          <w:p w14:paraId="0941600E" w14:textId="77777777" w:rsidR="00A8085D" w:rsidRPr="00331631" w:rsidRDefault="00A8085D" w:rsidP="00A8085D">
            <w:pPr>
              <w:spacing w:after="0" w:line="240" w:lineRule="auto"/>
              <w:ind w:left="113"/>
              <w:jc w:val="left"/>
              <w:rPr>
                <w:rFonts w:ascii="Arial" w:hAnsi="Arial" w:cs="Arial"/>
                <w:b/>
                <w:bCs/>
                <w:color w:val="000000"/>
                <w:sz w:val="16"/>
                <w:szCs w:val="16"/>
              </w:rPr>
            </w:pPr>
            <w:r w:rsidRPr="00F21454">
              <w:rPr>
                <w:rFonts w:ascii="Arial" w:hAnsi="Arial" w:cs="Arial"/>
                <w:b/>
                <w:bCs/>
                <w:i/>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2C0EB6C1" w14:textId="1BBC499B"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97,230</w:t>
            </w:r>
          </w:p>
        </w:tc>
        <w:tc>
          <w:tcPr>
            <w:tcW w:w="860" w:type="dxa"/>
            <w:tcBorders>
              <w:top w:val="single" w:sz="4" w:space="0" w:color="000000"/>
              <w:left w:val="nil"/>
              <w:bottom w:val="single" w:sz="4" w:space="0" w:color="000000"/>
              <w:right w:val="nil"/>
            </w:tcBorders>
            <w:shd w:val="clear" w:color="000000" w:fill="E7E6E6"/>
            <w:noWrap/>
            <w:vAlign w:val="bottom"/>
            <w:hideMark/>
          </w:tcPr>
          <w:p w14:paraId="4B85D065" w14:textId="2F8D924A"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78,539</w:t>
            </w:r>
          </w:p>
        </w:tc>
        <w:tc>
          <w:tcPr>
            <w:tcW w:w="860" w:type="dxa"/>
            <w:tcBorders>
              <w:top w:val="single" w:sz="4" w:space="0" w:color="000000"/>
              <w:left w:val="nil"/>
              <w:bottom w:val="single" w:sz="4" w:space="0" w:color="000000"/>
              <w:right w:val="nil"/>
            </w:tcBorders>
            <w:shd w:val="clear" w:color="auto" w:fill="auto"/>
            <w:noWrap/>
            <w:vAlign w:val="bottom"/>
            <w:hideMark/>
          </w:tcPr>
          <w:p w14:paraId="67989B10" w14:textId="7960FFD1"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59,794</w:t>
            </w:r>
          </w:p>
        </w:tc>
        <w:tc>
          <w:tcPr>
            <w:tcW w:w="860" w:type="dxa"/>
            <w:tcBorders>
              <w:top w:val="single" w:sz="4" w:space="0" w:color="000000"/>
              <w:left w:val="nil"/>
              <w:bottom w:val="single" w:sz="4" w:space="0" w:color="000000"/>
              <w:right w:val="nil"/>
            </w:tcBorders>
            <w:shd w:val="clear" w:color="auto" w:fill="auto"/>
            <w:noWrap/>
            <w:vAlign w:val="bottom"/>
            <w:hideMark/>
          </w:tcPr>
          <w:p w14:paraId="6481B5FD" w14:textId="695C2F88"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39,799</w:t>
            </w:r>
          </w:p>
        </w:tc>
        <w:tc>
          <w:tcPr>
            <w:tcW w:w="860" w:type="dxa"/>
            <w:tcBorders>
              <w:top w:val="single" w:sz="4" w:space="0" w:color="000000"/>
              <w:left w:val="nil"/>
              <w:bottom w:val="single" w:sz="4" w:space="0" w:color="000000"/>
              <w:right w:val="nil"/>
            </w:tcBorders>
            <w:shd w:val="clear" w:color="auto" w:fill="auto"/>
            <w:noWrap/>
            <w:vAlign w:val="bottom"/>
            <w:hideMark/>
          </w:tcPr>
          <w:p w14:paraId="5F2F8A71" w14:textId="13F3385E"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19,804</w:t>
            </w:r>
          </w:p>
        </w:tc>
      </w:tr>
      <w:tr w:rsidR="00A8085D" w:rsidRPr="00331631" w14:paraId="054379D0" w14:textId="77777777" w:rsidTr="00F96D8A">
        <w:trPr>
          <w:trHeight w:val="204"/>
        </w:trPr>
        <w:tc>
          <w:tcPr>
            <w:tcW w:w="3261" w:type="dxa"/>
            <w:tcBorders>
              <w:top w:val="nil"/>
              <w:left w:val="nil"/>
              <w:bottom w:val="nil"/>
              <w:right w:val="nil"/>
            </w:tcBorders>
            <w:shd w:val="clear" w:color="auto" w:fill="auto"/>
            <w:noWrap/>
            <w:vAlign w:val="bottom"/>
            <w:hideMark/>
          </w:tcPr>
          <w:p w14:paraId="2F4CF751" w14:textId="77777777" w:rsidR="00A8085D" w:rsidRPr="00331631" w:rsidRDefault="00A8085D" w:rsidP="00A8085D">
            <w:pPr>
              <w:spacing w:after="0" w:line="240" w:lineRule="auto"/>
              <w:ind w:left="113"/>
              <w:jc w:val="left"/>
              <w:rPr>
                <w:rFonts w:ascii="Arial" w:hAnsi="Arial" w:cs="Arial"/>
                <w:b/>
                <w:bCs/>
                <w:color w:val="000000"/>
                <w:sz w:val="16"/>
                <w:szCs w:val="16"/>
              </w:rPr>
            </w:pPr>
            <w:r w:rsidRPr="00331631">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36B8A2C3" w14:textId="77777777" w:rsidR="00A8085D" w:rsidRPr="00A8085D" w:rsidRDefault="00A8085D" w:rsidP="00A8085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6448DF7D" w14:textId="74C61D5A"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AB2B7A5"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53C0ABD"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B74A750"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65732AA8" w14:textId="77777777" w:rsidTr="00F96D8A">
        <w:trPr>
          <w:trHeight w:val="204"/>
        </w:trPr>
        <w:tc>
          <w:tcPr>
            <w:tcW w:w="3261" w:type="dxa"/>
            <w:tcBorders>
              <w:top w:val="nil"/>
              <w:left w:val="nil"/>
              <w:bottom w:val="nil"/>
              <w:right w:val="nil"/>
            </w:tcBorders>
            <w:shd w:val="clear" w:color="auto" w:fill="auto"/>
            <w:noWrap/>
            <w:vAlign w:val="bottom"/>
            <w:hideMark/>
          </w:tcPr>
          <w:p w14:paraId="08A4DA90"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Employee provisions</w:t>
            </w:r>
          </w:p>
        </w:tc>
        <w:tc>
          <w:tcPr>
            <w:tcW w:w="928" w:type="dxa"/>
            <w:tcBorders>
              <w:top w:val="nil"/>
              <w:left w:val="nil"/>
              <w:bottom w:val="nil"/>
              <w:right w:val="nil"/>
            </w:tcBorders>
            <w:shd w:val="clear" w:color="auto" w:fill="auto"/>
            <w:noWrap/>
            <w:vAlign w:val="bottom"/>
            <w:hideMark/>
          </w:tcPr>
          <w:p w14:paraId="37616A0E" w14:textId="6F60F02A"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78,157</w:t>
            </w:r>
          </w:p>
        </w:tc>
        <w:tc>
          <w:tcPr>
            <w:tcW w:w="860" w:type="dxa"/>
            <w:tcBorders>
              <w:top w:val="nil"/>
              <w:left w:val="nil"/>
              <w:bottom w:val="nil"/>
              <w:right w:val="nil"/>
            </w:tcBorders>
            <w:shd w:val="clear" w:color="000000" w:fill="E7E6E6"/>
            <w:noWrap/>
            <w:vAlign w:val="bottom"/>
            <w:hideMark/>
          </w:tcPr>
          <w:p w14:paraId="2F2E6737" w14:textId="74EA7FCE"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81,931</w:t>
            </w:r>
          </w:p>
        </w:tc>
        <w:tc>
          <w:tcPr>
            <w:tcW w:w="860" w:type="dxa"/>
            <w:tcBorders>
              <w:top w:val="nil"/>
              <w:left w:val="nil"/>
              <w:bottom w:val="nil"/>
              <w:right w:val="nil"/>
            </w:tcBorders>
            <w:shd w:val="clear" w:color="auto" w:fill="auto"/>
            <w:noWrap/>
            <w:vAlign w:val="bottom"/>
            <w:hideMark/>
          </w:tcPr>
          <w:p w14:paraId="223A7170" w14:textId="6335E81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81,556</w:t>
            </w:r>
          </w:p>
        </w:tc>
        <w:tc>
          <w:tcPr>
            <w:tcW w:w="860" w:type="dxa"/>
            <w:tcBorders>
              <w:top w:val="nil"/>
              <w:left w:val="nil"/>
              <w:bottom w:val="nil"/>
              <w:right w:val="nil"/>
            </w:tcBorders>
            <w:shd w:val="clear" w:color="auto" w:fill="auto"/>
            <w:noWrap/>
            <w:vAlign w:val="bottom"/>
            <w:hideMark/>
          </w:tcPr>
          <w:p w14:paraId="371EA1F7" w14:textId="2616782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81,153</w:t>
            </w:r>
          </w:p>
        </w:tc>
        <w:tc>
          <w:tcPr>
            <w:tcW w:w="860" w:type="dxa"/>
            <w:tcBorders>
              <w:top w:val="nil"/>
              <w:left w:val="nil"/>
              <w:bottom w:val="nil"/>
              <w:right w:val="nil"/>
            </w:tcBorders>
            <w:shd w:val="clear" w:color="auto" w:fill="auto"/>
            <w:noWrap/>
            <w:vAlign w:val="bottom"/>
            <w:hideMark/>
          </w:tcPr>
          <w:p w14:paraId="2D385720" w14:textId="470B4A6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82,079</w:t>
            </w:r>
          </w:p>
        </w:tc>
      </w:tr>
      <w:tr w:rsidR="00A8085D" w:rsidRPr="00331631" w14:paraId="34F79F8C" w14:textId="77777777" w:rsidTr="00F96D8A">
        <w:trPr>
          <w:trHeight w:val="204"/>
        </w:trPr>
        <w:tc>
          <w:tcPr>
            <w:tcW w:w="3261" w:type="dxa"/>
            <w:tcBorders>
              <w:top w:val="nil"/>
              <w:left w:val="nil"/>
              <w:bottom w:val="nil"/>
              <w:right w:val="nil"/>
            </w:tcBorders>
            <w:shd w:val="clear" w:color="auto" w:fill="auto"/>
            <w:noWrap/>
            <w:vAlign w:val="bottom"/>
            <w:hideMark/>
          </w:tcPr>
          <w:p w14:paraId="0E386C8A"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Other provisions</w:t>
            </w:r>
          </w:p>
        </w:tc>
        <w:tc>
          <w:tcPr>
            <w:tcW w:w="928" w:type="dxa"/>
            <w:tcBorders>
              <w:top w:val="nil"/>
              <w:left w:val="nil"/>
              <w:bottom w:val="nil"/>
              <w:right w:val="nil"/>
            </w:tcBorders>
            <w:shd w:val="clear" w:color="auto" w:fill="auto"/>
            <w:noWrap/>
            <w:vAlign w:val="bottom"/>
            <w:hideMark/>
          </w:tcPr>
          <w:p w14:paraId="25A8A720" w14:textId="1733198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714</w:t>
            </w:r>
          </w:p>
        </w:tc>
        <w:tc>
          <w:tcPr>
            <w:tcW w:w="860" w:type="dxa"/>
            <w:tcBorders>
              <w:top w:val="nil"/>
              <w:left w:val="nil"/>
              <w:bottom w:val="nil"/>
              <w:right w:val="nil"/>
            </w:tcBorders>
            <w:shd w:val="clear" w:color="000000" w:fill="E7E6E6"/>
            <w:noWrap/>
            <w:vAlign w:val="bottom"/>
            <w:hideMark/>
          </w:tcPr>
          <w:p w14:paraId="52204AEB" w14:textId="1E673965"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3BE70079" w14:textId="79119A0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2809F966" w14:textId="334DE8B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21B196EC" w14:textId="4EE476F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714</w:t>
            </w:r>
          </w:p>
        </w:tc>
      </w:tr>
      <w:tr w:rsidR="00A8085D" w:rsidRPr="00331631" w14:paraId="78994314" w14:textId="77777777" w:rsidTr="00F96D8A">
        <w:trPr>
          <w:trHeight w:val="204"/>
        </w:trPr>
        <w:tc>
          <w:tcPr>
            <w:tcW w:w="3261" w:type="dxa"/>
            <w:tcBorders>
              <w:top w:val="nil"/>
              <w:left w:val="nil"/>
              <w:bottom w:val="nil"/>
              <w:right w:val="nil"/>
            </w:tcBorders>
            <w:shd w:val="clear" w:color="auto" w:fill="auto"/>
            <w:noWrap/>
            <w:vAlign w:val="bottom"/>
            <w:hideMark/>
          </w:tcPr>
          <w:p w14:paraId="1AB08019" w14:textId="77777777" w:rsidR="00A8085D" w:rsidRPr="00331631" w:rsidRDefault="00A8085D" w:rsidP="00A8085D">
            <w:pPr>
              <w:spacing w:after="0" w:line="240" w:lineRule="auto"/>
              <w:ind w:left="113"/>
              <w:jc w:val="left"/>
              <w:rPr>
                <w:rFonts w:ascii="Arial" w:hAnsi="Arial" w:cs="Arial"/>
                <w:b/>
                <w:bCs/>
                <w:i/>
                <w:iCs/>
                <w:color w:val="000000"/>
                <w:sz w:val="16"/>
                <w:szCs w:val="16"/>
              </w:rPr>
            </w:pPr>
            <w:r w:rsidRPr="00F21454">
              <w:rPr>
                <w:rFonts w:ascii="Arial" w:hAnsi="Arial" w:cs="Arial"/>
                <w:b/>
                <w:bCs/>
                <w:i/>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002F0871" w14:textId="38F29BB5"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78,871</w:t>
            </w:r>
          </w:p>
        </w:tc>
        <w:tc>
          <w:tcPr>
            <w:tcW w:w="860" w:type="dxa"/>
            <w:tcBorders>
              <w:top w:val="single" w:sz="4" w:space="0" w:color="000000"/>
              <w:left w:val="nil"/>
              <w:bottom w:val="single" w:sz="4" w:space="0" w:color="000000"/>
              <w:right w:val="nil"/>
            </w:tcBorders>
            <w:shd w:val="clear" w:color="000000" w:fill="E7E6E6"/>
            <w:noWrap/>
            <w:vAlign w:val="bottom"/>
            <w:hideMark/>
          </w:tcPr>
          <w:p w14:paraId="276383DC" w14:textId="565687D2"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82,645</w:t>
            </w:r>
          </w:p>
        </w:tc>
        <w:tc>
          <w:tcPr>
            <w:tcW w:w="860" w:type="dxa"/>
            <w:tcBorders>
              <w:top w:val="single" w:sz="4" w:space="0" w:color="000000"/>
              <w:left w:val="nil"/>
              <w:bottom w:val="single" w:sz="4" w:space="0" w:color="000000"/>
              <w:right w:val="nil"/>
            </w:tcBorders>
            <w:shd w:val="clear" w:color="auto" w:fill="auto"/>
            <w:noWrap/>
            <w:vAlign w:val="bottom"/>
            <w:hideMark/>
          </w:tcPr>
          <w:p w14:paraId="2FC65A3A" w14:textId="4162C7DB"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82,270</w:t>
            </w:r>
          </w:p>
        </w:tc>
        <w:tc>
          <w:tcPr>
            <w:tcW w:w="860" w:type="dxa"/>
            <w:tcBorders>
              <w:top w:val="single" w:sz="4" w:space="0" w:color="000000"/>
              <w:left w:val="nil"/>
              <w:bottom w:val="single" w:sz="4" w:space="0" w:color="000000"/>
              <w:right w:val="nil"/>
            </w:tcBorders>
            <w:shd w:val="clear" w:color="auto" w:fill="auto"/>
            <w:noWrap/>
            <w:vAlign w:val="bottom"/>
            <w:hideMark/>
          </w:tcPr>
          <w:p w14:paraId="678039FC" w14:textId="0B1A3183"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81,867</w:t>
            </w:r>
          </w:p>
        </w:tc>
        <w:tc>
          <w:tcPr>
            <w:tcW w:w="860" w:type="dxa"/>
            <w:tcBorders>
              <w:top w:val="single" w:sz="4" w:space="0" w:color="000000"/>
              <w:left w:val="nil"/>
              <w:bottom w:val="single" w:sz="4" w:space="0" w:color="000000"/>
              <w:right w:val="nil"/>
            </w:tcBorders>
            <w:shd w:val="clear" w:color="auto" w:fill="auto"/>
            <w:noWrap/>
            <w:vAlign w:val="bottom"/>
            <w:hideMark/>
          </w:tcPr>
          <w:p w14:paraId="3D3D6D5C" w14:textId="35CD16F8"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82,793</w:t>
            </w:r>
          </w:p>
        </w:tc>
      </w:tr>
      <w:tr w:rsidR="00A8085D" w:rsidRPr="00331631" w14:paraId="5B99468D" w14:textId="77777777" w:rsidTr="00F96D8A">
        <w:trPr>
          <w:trHeight w:val="204"/>
        </w:trPr>
        <w:tc>
          <w:tcPr>
            <w:tcW w:w="3261" w:type="dxa"/>
            <w:tcBorders>
              <w:top w:val="nil"/>
              <w:left w:val="nil"/>
              <w:bottom w:val="nil"/>
              <w:right w:val="nil"/>
            </w:tcBorders>
            <w:shd w:val="clear" w:color="auto" w:fill="auto"/>
            <w:noWrap/>
            <w:vAlign w:val="bottom"/>
            <w:hideMark/>
          </w:tcPr>
          <w:p w14:paraId="2AAF3C3F" w14:textId="77777777" w:rsidR="00A8085D" w:rsidRPr="00331631" w:rsidRDefault="00A8085D" w:rsidP="00A8085D">
            <w:pPr>
              <w:spacing w:after="0" w:line="240" w:lineRule="auto"/>
              <w:jc w:val="left"/>
              <w:rPr>
                <w:rFonts w:ascii="Arial" w:hAnsi="Arial" w:cs="Arial"/>
                <w:b/>
                <w:bCs/>
                <w:color w:val="000000"/>
                <w:sz w:val="16"/>
                <w:szCs w:val="16"/>
              </w:rPr>
            </w:pPr>
            <w:r w:rsidRPr="00331631">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1FA6F89B" w14:textId="3CF46793"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210,676</w:t>
            </w:r>
          </w:p>
        </w:tc>
        <w:tc>
          <w:tcPr>
            <w:tcW w:w="860" w:type="dxa"/>
            <w:tcBorders>
              <w:top w:val="single" w:sz="4" w:space="0" w:color="auto"/>
              <w:left w:val="nil"/>
              <w:bottom w:val="single" w:sz="4" w:space="0" w:color="auto"/>
              <w:right w:val="nil"/>
            </w:tcBorders>
            <w:shd w:val="clear" w:color="000000" w:fill="E7E6E6"/>
            <w:noWrap/>
            <w:vAlign w:val="bottom"/>
            <w:hideMark/>
          </w:tcPr>
          <w:p w14:paraId="639C233B" w14:textId="2973E8D5"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206,911</w:t>
            </w:r>
          </w:p>
        </w:tc>
        <w:tc>
          <w:tcPr>
            <w:tcW w:w="860" w:type="dxa"/>
            <w:tcBorders>
              <w:top w:val="single" w:sz="4" w:space="0" w:color="auto"/>
              <w:left w:val="nil"/>
              <w:bottom w:val="single" w:sz="4" w:space="0" w:color="auto"/>
              <w:right w:val="nil"/>
            </w:tcBorders>
            <w:shd w:val="clear" w:color="auto" w:fill="auto"/>
            <w:noWrap/>
            <w:vAlign w:val="bottom"/>
            <w:hideMark/>
          </w:tcPr>
          <w:p w14:paraId="78006EDD" w14:textId="69C1ED6A"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173,583</w:t>
            </w:r>
          </w:p>
        </w:tc>
        <w:tc>
          <w:tcPr>
            <w:tcW w:w="860" w:type="dxa"/>
            <w:tcBorders>
              <w:top w:val="single" w:sz="4" w:space="0" w:color="auto"/>
              <w:left w:val="nil"/>
              <w:bottom w:val="single" w:sz="4" w:space="0" w:color="auto"/>
              <w:right w:val="nil"/>
            </w:tcBorders>
            <w:shd w:val="clear" w:color="auto" w:fill="auto"/>
            <w:noWrap/>
            <w:vAlign w:val="bottom"/>
            <w:hideMark/>
          </w:tcPr>
          <w:p w14:paraId="43AA0BB9" w14:textId="1000BA95"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140,343</w:t>
            </w:r>
          </w:p>
        </w:tc>
        <w:tc>
          <w:tcPr>
            <w:tcW w:w="860" w:type="dxa"/>
            <w:tcBorders>
              <w:top w:val="single" w:sz="4" w:space="0" w:color="auto"/>
              <w:left w:val="nil"/>
              <w:bottom w:val="single" w:sz="4" w:space="0" w:color="auto"/>
              <w:right w:val="nil"/>
            </w:tcBorders>
            <w:shd w:val="clear" w:color="auto" w:fill="auto"/>
            <w:noWrap/>
            <w:vAlign w:val="bottom"/>
            <w:hideMark/>
          </w:tcPr>
          <w:p w14:paraId="6D90805C" w14:textId="25DF1FCC"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119,260</w:t>
            </w:r>
          </w:p>
        </w:tc>
      </w:tr>
      <w:tr w:rsidR="00A8085D" w:rsidRPr="00331631" w14:paraId="0BE265FF" w14:textId="77777777" w:rsidTr="00F96D8A">
        <w:trPr>
          <w:trHeight w:val="204"/>
        </w:trPr>
        <w:tc>
          <w:tcPr>
            <w:tcW w:w="3261" w:type="dxa"/>
            <w:tcBorders>
              <w:top w:val="nil"/>
              <w:left w:val="nil"/>
              <w:bottom w:val="nil"/>
              <w:right w:val="nil"/>
            </w:tcBorders>
            <w:shd w:val="clear" w:color="auto" w:fill="auto"/>
            <w:noWrap/>
            <w:vAlign w:val="bottom"/>
            <w:hideMark/>
          </w:tcPr>
          <w:p w14:paraId="22347640" w14:textId="77777777" w:rsidR="00A8085D" w:rsidRPr="00331631" w:rsidRDefault="00A8085D" w:rsidP="00A8085D">
            <w:pPr>
              <w:spacing w:after="0" w:line="240" w:lineRule="auto"/>
              <w:jc w:val="left"/>
              <w:rPr>
                <w:rFonts w:ascii="Arial" w:hAnsi="Arial" w:cs="Arial"/>
                <w:b/>
                <w:bCs/>
                <w:sz w:val="16"/>
                <w:szCs w:val="16"/>
              </w:rPr>
            </w:pPr>
            <w:r w:rsidRPr="00331631">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51A945B9" w14:textId="72BFE352"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181,399</w:t>
            </w:r>
          </w:p>
        </w:tc>
        <w:tc>
          <w:tcPr>
            <w:tcW w:w="860" w:type="dxa"/>
            <w:tcBorders>
              <w:top w:val="nil"/>
              <w:left w:val="nil"/>
              <w:bottom w:val="single" w:sz="4" w:space="0" w:color="auto"/>
              <w:right w:val="nil"/>
            </w:tcBorders>
            <w:shd w:val="clear" w:color="000000" w:fill="E7E6E6"/>
            <w:noWrap/>
            <w:vAlign w:val="bottom"/>
            <w:hideMark/>
          </w:tcPr>
          <w:p w14:paraId="65E4A731" w14:textId="525617C0"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174,550</w:t>
            </w:r>
          </w:p>
        </w:tc>
        <w:tc>
          <w:tcPr>
            <w:tcW w:w="860" w:type="dxa"/>
            <w:tcBorders>
              <w:top w:val="nil"/>
              <w:left w:val="nil"/>
              <w:bottom w:val="single" w:sz="4" w:space="0" w:color="auto"/>
              <w:right w:val="nil"/>
            </w:tcBorders>
            <w:shd w:val="clear" w:color="auto" w:fill="auto"/>
            <w:noWrap/>
            <w:vAlign w:val="bottom"/>
            <w:hideMark/>
          </w:tcPr>
          <w:p w14:paraId="0FEEEC9A" w14:textId="2CE1F699"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167,978</w:t>
            </w:r>
          </w:p>
        </w:tc>
        <w:tc>
          <w:tcPr>
            <w:tcW w:w="860" w:type="dxa"/>
            <w:tcBorders>
              <w:top w:val="nil"/>
              <w:left w:val="nil"/>
              <w:bottom w:val="single" w:sz="4" w:space="0" w:color="auto"/>
              <w:right w:val="nil"/>
            </w:tcBorders>
            <w:shd w:val="clear" w:color="auto" w:fill="auto"/>
            <w:noWrap/>
            <w:vAlign w:val="bottom"/>
            <w:hideMark/>
          </w:tcPr>
          <w:p w14:paraId="5BF795B4" w14:textId="0A630744"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161,446</w:t>
            </w:r>
          </w:p>
        </w:tc>
        <w:tc>
          <w:tcPr>
            <w:tcW w:w="860" w:type="dxa"/>
            <w:tcBorders>
              <w:top w:val="nil"/>
              <w:left w:val="nil"/>
              <w:bottom w:val="single" w:sz="4" w:space="0" w:color="auto"/>
              <w:right w:val="nil"/>
            </w:tcBorders>
            <w:shd w:val="clear" w:color="auto" w:fill="auto"/>
            <w:noWrap/>
            <w:vAlign w:val="bottom"/>
            <w:hideMark/>
          </w:tcPr>
          <w:p w14:paraId="4436F85A" w14:textId="6BC18342"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154,876</w:t>
            </w:r>
          </w:p>
        </w:tc>
      </w:tr>
      <w:tr w:rsidR="00A8085D" w:rsidRPr="00331631" w14:paraId="7C248468" w14:textId="77777777" w:rsidTr="00F96D8A">
        <w:trPr>
          <w:trHeight w:val="204"/>
        </w:trPr>
        <w:tc>
          <w:tcPr>
            <w:tcW w:w="3261" w:type="dxa"/>
            <w:tcBorders>
              <w:top w:val="nil"/>
              <w:left w:val="nil"/>
              <w:bottom w:val="nil"/>
              <w:right w:val="nil"/>
            </w:tcBorders>
            <w:shd w:val="clear" w:color="auto" w:fill="auto"/>
            <w:noWrap/>
            <w:vAlign w:val="bottom"/>
            <w:hideMark/>
          </w:tcPr>
          <w:p w14:paraId="076F9E30" w14:textId="77777777" w:rsidR="00A8085D" w:rsidRPr="00331631" w:rsidRDefault="00A8085D" w:rsidP="00A8085D">
            <w:pPr>
              <w:spacing w:after="0" w:line="240" w:lineRule="auto"/>
              <w:jc w:val="left"/>
              <w:rPr>
                <w:rFonts w:ascii="Arial" w:hAnsi="Arial" w:cs="Arial"/>
                <w:b/>
                <w:bCs/>
                <w:color w:val="000000"/>
                <w:sz w:val="16"/>
                <w:szCs w:val="16"/>
              </w:rPr>
            </w:pPr>
            <w:r w:rsidRPr="00331631">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601453E7" w14:textId="77777777" w:rsidR="00A8085D" w:rsidRPr="00A8085D" w:rsidRDefault="00A8085D" w:rsidP="00A8085D">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06E3B52A" w14:textId="79D560CD"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8A9C37A"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3BD1A80"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8AE9205"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1750082A" w14:textId="77777777" w:rsidTr="00F96D8A">
        <w:trPr>
          <w:trHeight w:val="204"/>
        </w:trPr>
        <w:tc>
          <w:tcPr>
            <w:tcW w:w="3261" w:type="dxa"/>
            <w:tcBorders>
              <w:top w:val="nil"/>
              <w:left w:val="nil"/>
              <w:bottom w:val="nil"/>
              <w:right w:val="nil"/>
            </w:tcBorders>
            <w:shd w:val="clear" w:color="auto" w:fill="auto"/>
            <w:noWrap/>
            <w:vAlign w:val="bottom"/>
            <w:hideMark/>
          </w:tcPr>
          <w:p w14:paraId="1FF88BA2" w14:textId="77777777" w:rsidR="00A8085D" w:rsidRPr="00331631" w:rsidRDefault="00A8085D" w:rsidP="00A8085D">
            <w:pPr>
              <w:spacing w:after="0" w:line="240" w:lineRule="auto"/>
              <w:ind w:left="113"/>
              <w:jc w:val="left"/>
              <w:rPr>
                <w:rFonts w:ascii="Arial" w:hAnsi="Arial" w:cs="Arial"/>
                <w:b/>
                <w:bCs/>
                <w:color w:val="000000"/>
                <w:sz w:val="16"/>
                <w:szCs w:val="16"/>
              </w:rPr>
            </w:pPr>
            <w:r w:rsidRPr="00331631">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1D119773" w14:textId="77777777" w:rsidR="00A8085D" w:rsidRPr="00A8085D" w:rsidRDefault="00A8085D" w:rsidP="00A8085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7E6E6"/>
            <w:noWrap/>
            <w:vAlign w:val="bottom"/>
            <w:hideMark/>
          </w:tcPr>
          <w:p w14:paraId="46EBE933" w14:textId="09EF92FC"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35E1BDF" w14:textId="77777777" w:rsidR="00A8085D" w:rsidRPr="00A8085D" w:rsidRDefault="00A8085D" w:rsidP="00A8085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C602BC1" w14:textId="77777777" w:rsidR="00A8085D" w:rsidRPr="00A8085D"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07B5A9E" w14:textId="77777777" w:rsidR="00A8085D" w:rsidRPr="00A8085D" w:rsidRDefault="00A8085D" w:rsidP="00A8085D">
            <w:pPr>
              <w:spacing w:after="0" w:line="240" w:lineRule="auto"/>
              <w:jc w:val="right"/>
              <w:rPr>
                <w:rFonts w:ascii="Arial" w:hAnsi="Arial" w:cs="Arial"/>
                <w:sz w:val="16"/>
                <w:szCs w:val="16"/>
              </w:rPr>
            </w:pPr>
          </w:p>
        </w:tc>
      </w:tr>
      <w:tr w:rsidR="00A8085D" w:rsidRPr="00331631" w14:paraId="4834CBC0" w14:textId="77777777" w:rsidTr="00F96D8A">
        <w:trPr>
          <w:trHeight w:val="204"/>
        </w:trPr>
        <w:tc>
          <w:tcPr>
            <w:tcW w:w="3261" w:type="dxa"/>
            <w:tcBorders>
              <w:top w:val="nil"/>
              <w:left w:val="nil"/>
              <w:bottom w:val="nil"/>
              <w:right w:val="nil"/>
            </w:tcBorders>
            <w:shd w:val="clear" w:color="auto" w:fill="auto"/>
            <w:noWrap/>
            <w:vAlign w:val="bottom"/>
            <w:hideMark/>
          </w:tcPr>
          <w:p w14:paraId="7455DF8A"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Contributed equity</w:t>
            </w:r>
          </w:p>
        </w:tc>
        <w:tc>
          <w:tcPr>
            <w:tcW w:w="928" w:type="dxa"/>
            <w:tcBorders>
              <w:top w:val="nil"/>
              <w:left w:val="nil"/>
              <w:bottom w:val="nil"/>
              <w:right w:val="nil"/>
            </w:tcBorders>
            <w:shd w:val="clear" w:color="auto" w:fill="auto"/>
            <w:noWrap/>
            <w:vAlign w:val="bottom"/>
            <w:hideMark/>
          </w:tcPr>
          <w:p w14:paraId="1D6DA3E3" w14:textId="46E6806C"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32,826</w:t>
            </w:r>
          </w:p>
        </w:tc>
        <w:tc>
          <w:tcPr>
            <w:tcW w:w="860" w:type="dxa"/>
            <w:tcBorders>
              <w:top w:val="nil"/>
              <w:left w:val="nil"/>
              <w:bottom w:val="nil"/>
              <w:right w:val="nil"/>
            </w:tcBorders>
            <w:shd w:val="clear" w:color="000000" w:fill="E7E6E6"/>
            <w:noWrap/>
            <w:vAlign w:val="bottom"/>
            <w:hideMark/>
          </w:tcPr>
          <w:p w14:paraId="1235092B" w14:textId="13D995E4"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43,008</w:t>
            </w:r>
          </w:p>
        </w:tc>
        <w:tc>
          <w:tcPr>
            <w:tcW w:w="860" w:type="dxa"/>
            <w:tcBorders>
              <w:top w:val="nil"/>
              <w:left w:val="nil"/>
              <w:bottom w:val="nil"/>
              <w:right w:val="nil"/>
            </w:tcBorders>
            <w:shd w:val="clear" w:color="auto" w:fill="auto"/>
            <w:noWrap/>
            <w:vAlign w:val="bottom"/>
            <w:hideMark/>
          </w:tcPr>
          <w:p w14:paraId="17AD77F6" w14:textId="1D57F976"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52,961</w:t>
            </w:r>
          </w:p>
        </w:tc>
        <w:tc>
          <w:tcPr>
            <w:tcW w:w="860" w:type="dxa"/>
            <w:tcBorders>
              <w:top w:val="nil"/>
              <w:left w:val="nil"/>
              <w:bottom w:val="nil"/>
              <w:right w:val="nil"/>
            </w:tcBorders>
            <w:shd w:val="clear" w:color="auto" w:fill="auto"/>
            <w:noWrap/>
            <w:vAlign w:val="bottom"/>
            <w:hideMark/>
          </w:tcPr>
          <w:p w14:paraId="74DFDAD3" w14:textId="5309EF1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63,149</w:t>
            </w:r>
          </w:p>
        </w:tc>
        <w:tc>
          <w:tcPr>
            <w:tcW w:w="860" w:type="dxa"/>
            <w:tcBorders>
              <w:top w:val="nil"/>
              <w:left w:val="nil"/>
              <w:bottom w:val="nil"/>
              <w:right w:val="nil"/>
            </w:tcBorders>
            <w:shd w:val="clear" w:color="auto" w:fill="auto"/>
            <w:noWrap/>
            <w:vAlign w:val="bottom"/>
            <w:hideMark/>
          </w:tcPr>
          <w:p w14:paraId="4ADAD546" w14:textId="3F2653A5"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73,299</w:t>
            </w:r>
          </w:p>
        </w:tc>
      </w:tr>
      <w:tr w:rsidR="00A8085D" w:rsidRPr="00331631" w14:paraId="768C3612" w14:textId="77777777" w:rsidTr="00F96D8A">
        <w:trPr>
          <w:trHeight w:val="204"/>
        </w:trPr>
        <w:tc>
          <w:tcPr>
            <w:tcW w:w="3261" w:type="dxa"/>
            <w:tcBorders>
              <w:top w:val="nil"/>
              <w:left w:val="nil"/>
              <w:bottom w:val="nil"/>
              <w:right w:val="nil"/>
            </w:tcBorders>
            <w:shd w:val="clear" w:color="auto" w:fill="auto"/>
            <w:noWrap/>
            <w:vAlign w:val="bottom"/>
            <w:hideMark/>
          </w:tcPr>
          <w:p w14:paraId="2C795F1D" w14:textId="77777777" w:rsidR="00A8085D" w:rsidRPr="00331631" w:rsidRDefault="00A8085D" w:rsidP="00A8085D">
            <w:pPr>
              <w:spacing w:after="0" w:line="240" w:lineRule="auto"/>
              <w:ind w:left="227"/>
              <w:jc w:val="left"/>
              <w:rPr>
                <w:rFonts w:ascii="Arial" w:hAnsi="Arial" w:cs="Arial"/>
                <w:sz w:val="16"/>
                <w:szCs w:val="16"/>
              </w:rPr>
            </w:pPr>
            <w:r w:rsidRPr="00331631">
              <w:rPr>
                <w:rFonts w:ascii="Arial" w:hAnsi="Arial" w:cs="Arial"/>
                <w:sz w:val="16"/>
                <w:szCs w:val="16"/>
              </w:rPr>
              <w:t>Reserves</w:t>
            </w:r>
          </w:p>
        </w:tc>
        <w:tc>
          <w:tcPr>
            <w:tcW w:w="928" w:type="dxa"/>
            <w:tcBorders>
              <w:top w:val="nil"/>
              <w:left w:val="nil"/>
              <w:bottom w:val="nil"/>
              <w:right w:val="nil"/>
            </w:tcBorders>
            <w:shd w:val="clear" w:color="auto" w:fill="auto"/>
            <w:noWrap/>
            <w:vAlign w:val="bottom"/>
            <w:hideMark/>
          </w:tcPr>
          <w:p w14:paraId="4742B79F" w14:textId="3C63B84F"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42,001</w:t>
            </w:r>
          </w:p>
        </w:tc>
        <w:tc>
          <w:tcPr>
            <w:tcW w:w="860" w:type="dxa"/>
            <w:tcBorders>
              <w:top w:val="nil"/>
              <w:left w:val="nil"/>
              <w:bottom w:val="nil"/>
              <w:right w:val="nil"/>
            </w:tcBorders>
            <w:shd w:val="clear" w:color="000000" w:fill="E7E6E6"/>
            <w:noWrap/>
            <w:vAlign w:val="bottom"/>
            <w:hideMark/>
          </w:tcPr>
          <w:p w14:paraId="658B31AA" w14:textId="58A28098"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27FD3DF8" w14:textId="6D2C3583"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393F2C8F" w14:textId="540DCAD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479D3F24" w14:textId="302A80E1"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42,001</w:t>
            </w:r>
          </w:p>
        </w:tc>
      </w:tr>
      <w:tr w:rsidR="00A8085D" w:rsidRPr="00331631" w14:paraId="18E64947" w14:textId="77777777" w:rsidTr="00F96D8A">
        <w:trPr>
          <w:trHeight w:val="204"/>
        </w:trPr>
        <w:tc>
          <w:tcPr>
            <w:tcW w:w="3261" w:type="dxa"/>
            <w:tcBorders>
              <w:top w:val="nil"/>
              <w:left w:val="nil"/>
              <w:bottom w:val="nil"/>
              <w:right w:val="nil"/>
            </w:tcBorders>
            <w:shd w:val="clear" w:color="auto" w:fill="auto"/>
            <w:vAlign w:val="bottom"/>
            <w:hideMark/>
          </w:tcPr>
          <w:p w14:paraId="7C034340" w14:textId="55394780" w:rsidR="00A8085D" w:rsidRPr="00331631" w:rsidRDefault="00EB6CBF" w:rsidP="00EB6CBF">
            <w:pPr>
              <w:spacing w:after="0" w:line="240" w:lineRule="auto"/>
              <w:ind w:left="227"/>
              <w:jc w:val="left"/>
              <w:rPr>
                <w:rFonts w:ascii="Arial" w:hAnsi="Arial" w:cs="Arial"/>
                <w:sz w:val="16"/>
                <w:szCs w:val="16"/>
              </w:rPr>
            </w:pPr>
            <w:r>
              <w:rPr>
                <w:rFonts w:ascii="Arial" w:hAnsi="Arial" w:cs="Arial"/>
                <w:sz w:val="16"/>
                <w:szCs w:val="16"/>
              </w:rPr>
              <w:t>Accumulated</w:t>
            </w:r>
            <w:r w:rsidR="00A8085D" w:rsidRPr="00331631">
              <w:rPr>
                <w:rFonts w:ascii="Arial" w:hAnsi="Arial" w:cs="Arial"/>
                <w:sz w:val="16"/>
                <w:szCs w:val="16"/>
              </w:rPr>
              <w:t xml:space="preserve"> surplus</w:t>
            </w:r>
          </w:p>
        </w:tc>
        <w:tc>
          <w:tcPr>
            <w:tcW w:w="928" w:type="dxa"/>
            <w:tcBorders>
              <w:top w:val="nil"/>
              <w:left w:val="nil"/>
              <w:bottom w:val="nil"/>
              <w:right w:val="nil"/>
            </w:tcBorders>
            <w:shd w:val="clear" w:color="auto" w:fill="auto"/>
            <w:noWrap/>
            <w:vAlign w:val="bottom"/>
            <w:hideMark/>
          </w:tcPr>
          <w:p w14:paraId="2437F20D" w14:textId="699F001E"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106,572</w:t>
            </w:r>
          </w:p>
        </w:tc>
        <w:tc>
          <w:tcPr>
            <w:tcW w:w="860" w:type="dxa"/>
            <w:tcBorders>
              <w:top w:val="nil"/>
              <w:left w:val="nil"/>
              <w:bottom w:val="nil"/>
              <w:right w:val="nil"/>
            </w:tcBorders>
            <w:shd w:val="clear" w:color="000000" w:fill="E7E6E6"/>
            <w:noWrap/>
            <w:vAlign w:val="bottom"/>
            <w:hideMark/>
          </w:tcPr>
          <w:p w14:paraId="114DA3AF" w14:textId="13D46A93"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89,541</w:t>
            </w:r>
          </w:p>
        </w:tc>
        <w:tc>
          <w:tcPr>
            <w:tcW w:w="860" w:type="dxa"/>
            <w:tcBorders>
              <w:top w:val="nil"/>
              <w:left w:val="nil"/>
              <w:bottom w:val="nil"/>
              <w:right w:val="nil"/>
            </w:tcBorders>
            <w:shd w:val="clear" w:color="auto" w:fill="auto"/>
            <w:noWrap/>
            <w:vAlign w:val="bottom"/>
            <w:hideMark/>
          </w:tcPr>
          <w:p w14:paraId="6A8D2492" w14:textId="57093D8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73,016</w:t>
            </w:r>
          </w:p>
        </w:tc>
        <w:tc>
          <w:tcPr>
            <w:tcW w:w="860" w:type="dxa"/>
            <w:tcBorders>
              <w:top w:val="nil"/>
              <w:left w:val="nil"/>
              <w:bottom w:val="nil"/>
              <w:right w:val="nil"/>
            </w:tcBorders>
            <w:shd w:val="clear" w:color="auto" w:fill="auto"/>
            <w:noWrap/>
            <w:vAlign w:val="bottom"/>
            <w:hideMark/>
          </w:tcPr>
          <w:p w14:paraId="43C0F77D" w14:textId="188B3440"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56,296</w:t>
            </w:r>
          </w:p>
        </w:tc>
        <w:tc>
          <w:tcPr>
            <w:tcW w:w="860" w:type="dxa"/>
            <w:tcBorders>
              <w:top w:val="nil"/>
              <w:left w:val="nil"/>
              <w:bottom w:val="nil"/>
              <w:right w:val="nil"/>
            </w:tcBorders>
            <w:shd w:val="clear" w:color="auto" w:fill="auto"/>
            <w:noWrap/>
            <w:vAlign w:val="bottom"/>
            <w:hideMark/>
          </w:tcPr>
          <w:p w14:paraId="5CE35950" w14:textId="2F602F8D" w:rsidR="00A8085D" w:rsidRPr="00A8085D" w:rsidRDefault="00A8085D" w:rsidP="00A8085D">
            <w:pPr>
              <w:spacing w:after="0" w:line="240" w:lineRule="auto"/>
              <w:jc w:val="right"/>
              <w:rPr>
                <w:rFonts w:ascii="Arial" w:hAnsi="Arial" w:cs="Arial"/>
                <w:sz w:val="16"/>
                <w:szCs w:val="16"/>
              </w:rPr>
            </w:pPr>
            <w:r w:rsidRPr="00A8085D">
              <w:rPr>
                <w:rFonts w:ascii="Arial" w:hAnsi="Arial" w:cs="Arial"/>
                <w:sz w:val="16"/>
                <w:szCs w:val="16"/>
              </w:rPr>
              <w:t>39,576</w:t>
            </w:r>
          </w:p>
        </w:tc>
      </w:tr>
      <w:tr w:rsidR="00A8085D" w:rsidRPr="00331631" w14:paraId="4EDEDA36" w14:textId="77777777" w:rsidTr="00F96D8A">
        <w:trPr>
          <w:trHeight w:val="204"/>
        </w:trPr>
        <w:tc>
          <w:tcPr>
            <w:tcW w:w="3261" w:type="dxa"/>
            <w:tcBorders>
              <w:top w:val="nil"/>
              <w:left w:val="nil"/>
              <w:bottom w:val="nil"/>
              <w:right w:val="nil"/>
            </w:tcBorders>
            <w:shd w:val="clear" w:color="auto" w:fill="auto"/>
            <w:noWrap/>
            <w:vAlign w:val="bottom"/>
            <w:hideMark/>
          </w:tcPr>
          <w:p w14:paraId="5595DBE5" w14:textId="77777777" w:rsidR="00A8085D" w:rsidRPr="00331631" w:rsidRDefault="00A8085D" w:rsidP="00A8085D">
            <w:pPr>
              <w:spacing w:after="0" w:line="240" w:lineRule="auto"/>
              <w:ind w:left="113"/>
              <w:jc w:val="left"/>
              <w:rPr>
                <w:rFonts w:ascii="Arial" w:hAnsi="Arial" w:cs="Arial"/>
                <w:b/>
                <w:bCs/>
                <w:i/>
                <w:iCs/>
                <w:color w:val="000000"/>
                <w:sz w:val="16"/>
                <w:szCs w:val="16"/>
              </w:rPr>
            </w:pPr>
            <w:r w:rsidRPr="00F21454">
              <w:rPr>
                <w:rFonts w:ascii="Arial" w:hAnsi="Arial" w:cs="Arial"/>
                <w:b/>
                <w:bCs/>
                <w:i/>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7121B562" w14:textId="180D05D3"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181,399</w:t>
            </w:r>
          </w:p>
        </w:tc>
        <w:tc>
          <w:tcPr>
            <w:tcW w:w="860" w:type="dxa"/>
            <w:tcBorders>
              <w:top w:val="single" w:sz="4" w:space="0" w:color="000000"/>
              <w:left w:val="nil"/>
              <w:bottom w:val="single" w:sz="4" w:space="0" w:color="000000"/>
              <w:right w:val="nil"/>
            </w:tcBorders>
            <w:shd w:val="clear" w:color="000000" w:fill="E6E6E6"/>
            <w:noWrap/>
            <w:vAlign w:val="bottom"/>
            <w:hideMark/>
          </w:tcPr>
          <w:p w14:paraId="35385E99" w14:textId="46A51BB6"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174,550</w:t>
            </w:r>
          </w:p>
        </w:tc>
        <w:tc>
          <w:tcPr>
            <w:tcW w:w="860" w:type="dxa"/>
            <w:tcBorders>
              <w:top w:val="single" w:sz="4" w:space="0" w:color="000000"/>
              <w:left w:val="nil"/>
              <w:bottom w:val="single" w:sz="4" w:space="0" w:color="000000"/>
              <w:right w:val="nil"/>
            </w:tcBorders>
            <w:shd w:val="clear" w:color="auto" w:fill="auto"/>
            <w:noWrap/>
            <w:vAlign w:val="bottom"/>
            <w:hideMark/>
          </w:tcPr>
          <w:p w14:paraId="4E91DFEF" w14:textId="4724E777"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167,978</w:t>
            </w:r>
          </w:p>
        </w:tc>
        <w:tc>
          <w:tcPr>
            <w:tcW w:w="860" w:type="dxa"/>
            <w:tcBorders>
              <w:top w:val="single" w:sz="4" w:space="0" w:color="000000"/>
              <w:left w:val="nil"/>
              <w:bottom w:val="single" w:sz="4" w:space="0" w:color="000000"/>
              <w:right w:val="nil"/>
            </w:tcBorders>
            <w:shd w:val="clear" w:color="auto" w:fill="auto"/>
            <w:noWrap/>
            <w:vAlign w:val="bottom"/>
            <w:hideMark/>
          </w:tcPr>
          <w:p w14:paraId="4D48B12F" w14:textId="6DD08B9B"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161,446</w:t>
            </w:r>
          </w:p>
        </w:tc>
        <w:tc>
          <w:tcPr>
            <w:tcW w:w="860" w:type="dxa"/>
            <w:tcBorders>
              <w:top w:val="single" w:sz="4" w:space="0" w:color="000000"/>
              <w:left w:val="nil"/>
              <w:bottom w:val="single" w:sz="4" w:space="0" w:color="000000"/>
              <w:right w:val="nil"/>
            </w:tcBorders>
            <w:shd w:val="clear" w:color="auto" w:fill="auto"/>
            <w:noWrap/>
            <w:vAlign w:val="bottom"/>
            <w:hideMark/>
          </w:tcPr>
          <w:p w14:paraId="78C23E59" w14:textId="7488AF2B" w:rsidR="00A8085D" w:rsidRPr="00A8085D" w:rsidRDefault="00A8085D" w:rsidP="00A8085D">
            <w:pPr>
              <w:spacing w:after="0" w:line="240" w:lineRule="auto"/>
              <w:jc w:val="right"/>
              <w:rPr>
                <w:rFonts w:ascii="Arial" w:hAnsi="Arial" w:cs="Arial"/>
                <w:b/>
                <w:bCs/>
                <w:i/>
                <w:iCs/>
                <w:color w:val="000000"/>
                <w:sz w:val="16"/>
                <w:szCs w:val="16"/>
              </w:rPr>
            </w:pPr>
            <w:r w:rsidRPr="00A8085D">
              <w:rPr>
                <w:rFonts w:ascii="Arial" w:hAnsi="Arial" w:cs="Arial"/>
                <w:b/>
                <w:bCs/>
                <w:i/>
                <w:iCs/>
                <w:color w:val="000000"/>
                <w:sz w:val="16"/>
                <w:szCs w:val="16"/>
              </w:rPr>
              <w:t>154,876</w:t>
            </w:r>
          </w:p>
        </w:tc>
      </w:tr>
      <w:tr w:rsidR="00A8085D" w:rsidRPr="00331631" w14:paraId="36E09B2E" w14:textId="77777777" w:rsidTr="00F96D8A">
        <w:trPr>
          <w:trHeight w:val="204"/>
        </w:trPr>
        <w:tc>
          <w:tcPr>
            <w:tcW w:w="3261" w:type="dxa"/>
            <w:tcBorders>
              <w:top w:val="nil"/>
              <w:left w:val="nil"/>
              <w:bottom w:val="single" w:sz="4" w:space="0" w:color="000000"/>
              <w:right w:val="nil"/>
            </w:tcBorders>
            <w:shd w:val="clear" w:color="auto" w:fill="auto"/>
            <w:noWrap/>
            <w:vAlign w:val="bottom"/>
            <w:hideMark/>
          </w:tcPr>
          <w:p w14:paraId="56662973" w14:textId="77777777" w:rsidR="00A8085D" w:rsidRPr="00331631" w:rsidRDefault="00A8085D" w:rsidP="00A8085D">
            <w:pPr>
              <w:spacing w:after="0" w:line="240" w:lineRule="auto"/>
              <w:jc w:val="left"/>
              <w:rPr>
                <w:rFonts w:ascii="Arial" w:hAnsi="Arial" w:cs="Arial"/>
                <w:b/>
                <w:bCs/>
                <w:color w:val="000000"/>
                <w:sz w:val="16"/>
                <w:szCs w:val="16"/>
              </w:rPr>
            </w:pPr>
            <w:r w:rsidRPr="00331631">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285106D5" w14:textId="3AB4FA2F"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181,399</w:t>
            </w:r>
          </w:p>
        </w:tc>
        <w:tc>
          <w:tcPr>
            <w:tcW w:w="860" w:type="dxa"/>
            <w:tcBorders>
              <w:top w:val="nil"/>
              <w:left w:val="nil"/>
              <w:bottom w:val="single" w:sz="4" w:space="0" w:color="000000"/>
              <w:right w:val="nil"/>
            </w:tcBorders>
            <w:shd w:val="clear" w:color="000000" w:fill="E6E6E6"/>
            <w:noWrap/>
            <w:vAlign w:val="bottom"/>
            <w:hideMark/>
          </w:tcPr>
          <w:p w14:paraId="477FDBFD" w14:textId="4BEEB6C3"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174,550</w:t>
            </w:r>
          </w:p>
        </w:tc>
        <w:tc>
          <w:tcPr>
            <w:tcW w:w="860" w:type="dxa"/>
            <w:tcBorders>
              <w:top w:val="nil"/>
              <w:left w:val="nil"/>
              <w:bottom w:val="single" w:sz="4" w:space="0" w:color="000000"/>
              <w:right w:val="nil"/>
            </w:tcBorders>
            <w:shd w:val="clear" w:color="auto" w:fill="auto"/>
            <w:noWrap/>
            <w:vAlign w:val="bottom"/>
            <w:hideMark/>
          </w:tcPr>
          <w:p w14:paraId="0F27651C" w14:textId="1FE640F1"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167,978</w:t>
            </w:r>
          </w:p>
        </w:tc>
        <w:tc>
          <w:tcPr>
            <w:tcW w:w="860" w:type="dxa"/>
            <w:tcBorders>
              <w:top w:val="nil"/>
              <w:left w:val="nil"/>
              <w:bottom w:val="single" w:sz="4" w:space="0" w:color="000000"/>
              <w:right w:val="nil"/>
            </w:tcBorders>
            <w:shd w:val="clear" w:color="auto" w:fill="auto"/>
            <w:noWrap/>
            <w:vAlign w:val="bottom"/>
            <w:hideMark/>
          </w:tcPr>
          <w:p w14:paraId="755EA1BC" w14:textId="5F5618D1"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161,446</w:t>
            </w:r>
          </w:p>
        </w:tc>
        <w:tc>
          <w:tcPr>
            <w:tcW w:w="860" w:type="dxa"/>
            <w:tcBorders>
              <w:top w:val="nil"/>
              <w:left w:val="nil"/>
              <w:bottom w:val="single" w:sz="4" w:space="0" w:color="000000"/>
              <w:right w:val="nil"/>
            </w:tcBorders>
            <w:shd w:val="clear" w:color="auto" w:fill="auto"/>
            <w:noWrap/>
            <w:vAlign w:val="bottom"/>
            <w:hideMark/>
          </w:tcPr>
          <w:p w14:paraId="4A6F9CD6" w14:textId="0502FDC5" w:rsidR="00A8085D" w:rsidRPr="00A8085D" w:rsidRDefault="00A8085D" w:rsidP="00A8085D">
            <w:pPr>
              <w:spacing w:after="0" w:line="240" w:lineRule="auto"/>
              <w:jc w:val="right"/>
              <w:rPr>
                <w:rFonts w:ascii="Arial" w:hAnsi="Arial" w:cs="Arial"/>
                <w:b/>
                <w:bCs/>
                <w:color w:val="000000"/>
                <w:sz w:val="16"/>
                <w:szCs w:val="16"/>
              </w:rPr>
            </w:pPr>
            <w:r w:rsidRPr="00A8085D">
              <w:rPr>
                <w:rFonts w:ascii="Arial" w:hAnsi="Arial" w:cs="Arial"/>
                <w:b/>
                <w:bCs/>
                <w:color w:val="000000"/>
                <w:sz w:val="16"/>
                <w:szCs w:val="16"/>
              </w:rPr>
              <w:t>154,876</w:t>
            </w:r>
          </w:p>
        </w:tc>
      </w:tr>
    </w:tbl>
    <w:p w14:paraId="61ADFA97" w14:textId="77777777" w:rsidR="00B91F3E" w:rsidRPr="00331631" w:rsidRDefault="00B91F3E" w:rsidP="00B91F3E">
      <w:pPr>
        <w:spacing w:before="60" w:after="0"/>
        <w:rPr>
          <w:rFonts w:ascii="Arial" w:hAnsi="Arial" w:cs="Arial"/>
          <w:sz w:val="16"/>
          <w:szCs w:val="16"/>
          <w:lang w:val="x-none" w:eastAsia="x-none"/>
        </w:rPr>
      </w:pPr>
      <w:r w:rsidRPr="00331631">
        <w:rPr>
          <w:rFonts w:ascii="Arial" w:hAnsi="Arial" w:cs="Arial"/>
          <w:sz w:val="16"/>
          <w:szCs w:val="16"/>
          <w:lang w:val="x-none" w:eastAsia="x-none"/>
        </w:rPr>
        <w:t>Prepared on Australian Accounting Standards basis.</w:t>
      </w:r>
    </w:p>
    <w:p w14:paraId="6A736C9D" w14:textId="77777777" w:rsidR="00B91F3E" w:rsidRDefault="00B91F3E" w:rsidP="00B91F3E">
      <w:pPr>
        <w:spacing w:after="160" w:line="259" w:lineRule="auto"/>
        <w:jc w:val="left"/>
      </w:pPr>
      <w:r>
        <w:br w:type="page"/>
      </w:r>
    </w:p>
    <w:p w14:paraId="691AA33E" w14:textId="77777777" w:rsidR="00B91F3E" w:rsidRPr="00F626C2" w:rsidRDefault="00B91F3E" w:rsidP="00B91F3E">
      <w:pPr>
        <w:pStyle w:val="TableGraphic"/>
      </w:pPr>
    </w:p>
    <w:p w14:paraId="3DF5640E" w14:textId="6E60D233" w:rsidR="00B91F3E" w:rsidRDefault="00B91F3E" w:rsidP="00B91F3E">
      <w:pPr>
        <w:pStyle w:val="TableHeading"/>
      </w:pPr>
      <w:r w:rsidRPr="00AD42E2">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0" w:type="auto"/>
        <w:tblLayout w:type="fixed"/>
        <w:tblLook w:val="04A0" w:firstRow="1" w:lastRow="0" w:firstColumn="1" w:lastColumn="0" w:noHBand="0" w:noVBand="1"/>
      </w:tblPr>
      <w:tblGrid>
        <w:gridCol w:w="3480"/>
        <w:gridCol w:w="1056"/>
        <w:gridCol w:w="999"/>
        <w:gridCol w:w="1044"/>
        <w:gridCol w:w="934"/>
      </w:tblGrid>
      <w:tr w:rsidR="00B91F3E" w:rsidRPr="00786797" w14:paraId="6BBC963E" w14:textId="77777777" w:rsidTr="00F96D8A">
        <w:trPr>
          <w:trHeight w:val="204"/>
        </w:trPr>
        <w:tc>
          <w:tcPr>
            <w:tcW w:w="3480" w:type="dxa"/>
            <w:tcBorders>
              <w:top w:val="single" w:sz="4" w:space="0" w:color="auto"/>
              <w:left w:val="nil"/>
              <w:bottom w:val="nil"/>
              <w:right w:val="nil"/>
            </w:tcBorders>
            <w:shd w:val="clear" w:color="auto" w:fill="auto"/>
            <w:noWrap/>
            <w:vAlign w:val="bottom"/>
            <w:hideMark/>
          </w:tcPr>
          <w:p w14:paraId="0A0C4175" w14:textId="77777777" w:rsidR="00B91F3E" w:rsidRPr="00786797" w:rsidRDefault="00B91F3E" w:rsidP="00F96D8A">
            <w:pPr>
              <w:spacing w:after="0" w:line="240" w:lineRule="auto"/>
              <w:jc w:val="right"/>
              <w:rPr>
                <w:rFonts w:ascii="Arial" w:hAnsi="Arial" w:cs="Arial"/>
                <w:color w:val="000000"/>
                <w:sz w:val="16"/>
                <w:szCs w:val="16"/>
              </w:rPr>
            </w:pPr>
            <w:r w:rsidRPr="00786797">
              <w:rPr>
                <w:rFonts w:ascii="Arial" w:hAnsi="Arial" w:cs="Arial"/>
                <w:color w:val="000000"/>
                <w:sz w:val="16"/>
                <w:szCs w:val="16"/>
              </w:rPr>
              <w:t> </w:t>
            </w:r>
          </w:p>
        </w:tc>
        <w:tc>
          <w:tcPr>
            <w:tcW w:w="1056" w:type="dxa"/>
            <w:tcBorders>
              <w:top w:val="single" w:sz="4" w:space="0" w:color="auto"/>
              <w:left w:val="nil"/>
              <w:bottom w:val="single" w:sz="4" w:space="0" w:color="000000"/>
              <w:right w:val="nil"/>
            </w:tcBorders>
            <w:shd w:val="clear" w:color="auto" w:fill="auto"/>
            <w:vAlign w:val="bottom"/>
            <w:hideMark/>
          </w:tcPr>
          <w:p w14:paraId="1337ED37" w14:textId="77777777" w:rsidR="00B91F3E" w:rsidRPr="00786797" w:rsidRDefault="00B91F3E" w:rsidP="00F96D8A">
            <w:pPr>
              <w:spacing w:after="0" w:line="240" w:lineRule="auto"/>
              <w:jc w:val="right"/>
              <w:rPr>
                <w:rFonts w:ascii="Arial" w:hAnsi="Arial" w:cs="Arial"/>
                <w:color w:val="000000"/>
                <w:sz w:val="16"/>
                <w:szCs w:val="16"/>
              </w:rPr>
            </w:pPr>
            <w:r w:rsidRPr="00786797">
              <w:rPr>
                <w:rFonts w:ascii="Arial" w:hAnsi="Arial" w:cs="Arial"/>
                <w:color w:val="000000"/>
                <w:sz w:val="16"/>
                <w:szCs w:val="16"/>
              </w:rPr>
              <w:t>Retained</w:t>
            </w:r>
            <w:r w:rsidRPr="00786797">
              <w:rPr>
                <w:rFonts w:ascii="Arial" w:hAnsi="Arial" w:cs="Arial"/>
                <w:color w:val="000000"/>
                <w:sz w:val="16"/>
                <w:szCs w:val="16"/>
              </w:rPr>
              <w:br/>
              <w:t>earnings</w:t>
            </w:r>
            <w:r w:rsidRPr="00786797">
              <w:rPr>
                <w:rFonts w:ascii="Arial" w:hAnsi="Arial" w:cs="Arial"/>
                <w:color w:val="000000"/>
                <w:sz w:val="16"/>
                <w:szCs w:val="16"/>
              </w:rPr>
              <w:br/>
            </w:r>
            <w:r w:rsidRPr="00786797">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639403F0" w14:textId="77777777" w:rsidR="00B91F3E" w:rsidRPr="00786797" w:rsidRDefault="00B91F3E" w:rsidP="00F96D8A">
            <w:pPr>
              <w:spacing w:after="0" w:line="240" w:lineRule="auto"/>
              <w:jc w:val="right"/>
              <w:rPr>
                <w:rFonts w:ascii="Arial" w:hAnsi="Arial" w:cs="Arial"/>
                <w:color w:val="000000"/>
                <w:sz w:val="16"/>
                <w:szCs w:val="16"/>
              </w:rPr>
            </w:pPr>
            <w:r w:rsidRPr="00786797">
              <w:rPr>
                <w:rFonts w:ascii="Arial" w:hAnsi="Arial" w:cs="Arial"/>
                <w:color w:val="000000"/>
                <w:sz w:val="16"/>
                <w:szCs w:val="16"/>
              </w:rPr>
              <w:t>Asset</w:t>
            </w:r>
            <w:r w:rsidRPr="00786797">
              <w:rPr>
                <w:rFonts w:ascii="Arial" w:hAnsi="Arial" w:cs="Arial"/>
                <w:color w:val="000000"/>
                <w:sz w:val="16"/>
                <w:szCs w:val="16"/>
              </w:rPr>
              <w:br/>
              <w:t>revaluation</w:t>
            </w:r>
            <w:r w:rsidRPr="00786797">
              <w:rPr>
                <w:rFonts w:ascii="Arial" w:hAnsi="Arial" w:cs="Arial"/>
                <w:color w:val="000000"/>
                <w:sz w:val="16"/>
                <w:szCs w:val="16"/>
              </w:rPr>
              <w:br/>
              <w:t>reserve</w:t>
            </w:r>
            <w:r w:rsidRPr="00786797">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4067E76D" w14:textId="77777777" w:rsidR="00B91F3E" w:rsidRPr="00786797" w:rsidRDefault="00B91F3E" w:rsidP="00F96D8A">
            <w:pPr>
              <w:spacing w:after="0" w:line="240" w:lineRule="auto"/>
              <w:jc w:val="right"/>
              <w:rPr>
                <w:rFonts w:ascii="Arial" w:hAnsi="Arial" w:cs="Arial"/>
                <w:color w:val="000000"/>
                <w:sz w:val="16"/>
                <w:szCs w:val="16"/>
              </w:rPr>
            </w:pPr>
            <w:r w:rsidRPr="00786797">
              <w:rPr>
                <w:rFonts w:ascii="Arial" w:hAnsi="Arial" w:cs="Arial"/>
                <w:color w:val="000000"/>
                <w:sz w:val="16"/>
                <w:szCs w:val="16"/>
              </w:rPr>
              <w:t>Contributed</w:t>
            </w:r>
            <w:r w:rsidRPr="00786797">
              <w:rPr>
                <w:rFonts w:ascii="Arial" w:hAnsi="Arial" w:cs="Arial"/>
                <w:color w:val="000000"/>
                <w:sz w:val="16"/>
                <w:szCs w:val="16"/>
              </w:rPr>
              <w:br/>
              <w:t>equity/</w:t>
            </w:r>
            <w:r w:rsidRPr="00786797">
              <w:rPr>
                <w:rFonts w:ascii="Arial" w:hAnsi="Arial" w:cs="Arial"/>
                <w:color w:val="000000"/>
                <w:sz w:val="16"/>
                <w:szCs w:val="16"/>
              </w:rPr>
              <w:br/>
              <w:t>capital</w:t>
            </w:r>
            <w:r w:rsidRPr="00786797">
              <w:rPr>
                <w:rFonts w:ascii="Arial" w:hAnsi="Arial" w:cs="Arial"/>
                <w:color w:val="000000"/>
                <w:sz w:val="16"/>
                <w:szCs w:val="16"/>
              </w:rPr>
              <w:br/>
              <w:t>$'000</w:t>
            </w:r>
          </w:p>
        </w:tc>
        <w:tc>
          <w:tcPr>
            <w:tcW w:w="934" w:type="dxa"/>
            <w:tcBorders>
              <w:top w:val="single" w:sz="4" w:space="0" w:color="auto"/>
              <w:left w:val="nil"/>
              <w:bottom w:val="single" w:sz="4" w:space="0" w:color="000000"/>
              <w:right w:val="nil"/>
            </w:tcBorders>
            <w:shd w:val="clear" w:color="auto" w:fill="auto"/>
            <w:vAlign w:val="bottom"/>
            <w:hideMark/>
          </w:tcPr>
          <w:p w14:paraId="6D26273F" w14:textId="77777777" w:rsidR="00B91F3E" w:rsidRPr="00786797" w:rsidRDefault="00B91F3E" w:rsidP="00F96D8A">
            <w:pPr>
              <w:spacing w:after="0" w:line="240" w:lineRule="auto"/>
              <w:jc w:val="right"/>
              <w:rPr>
                <w:rFonts w:ascii="Arial" w:hAnsi="Arial" w:cs="Arial"/>
                <w:color w:val="000000"/>
                <w:sz w:val="16"/>
                <w:szCs w:val="16"/>
              </w:rPr>
            </w:pPr>
            <w:r w:rsidRPr="00786797">
              <w:rPr>
                <w:rFonts w:ascii="Arial" w:hAnsi="Arial" w:cs="Arial"/>
                <w:color w:val="000000"/>
                <w:sz w:val="16"/>
                <w:szCs w:val="16"/>
              </w:rPr>
              <w:t>Total</w:t>
            </w:r>
            <w:r w:rsidRPr="00786797">
              <w:rPr>
                <w:rFonts w:ascii="Arial" w:hAnsi="Arial" w:cs="Arial"/>
                <w:color w:val="000000"/>
                <w:sz w:val="16"/>
                <w:szCs w:val="16"/>
              </w:rPr>
              <w:br/>
              <w:t xml:space="preserve">equity </w:t>
            </w:r>
            <w:r w:rsidRPr="00786797">
              <w:rPr>
                <w:rFonts w:ascii="Arial" w:hAnsi="Arial" w:cs="Arial"/>
                <w:color w:val="000000"/>
                <w:sz w:val="16"/>
                <w:szCs w:val="16"/>
              </w:rPr>
              <w:br/>
            </w:r>
            <w:r w:rsidRPr="00786797">
              <w:rPr>
                <w:rFonts w:ascii="Arial" w:hAnsi="Arial" w:cs="Arial"/>
                <w:color w:val="000000"/>
                <w:sz w:val="16"/>
                <w:szCs w:val="16"/>
              </w:rPr>
              <w:br/>
              <w:t>$'000</w:t>
            </w:r>
          </w:p>
        </w:tc>
      </w:tr>
      <w:tr w:rsidR="00B91F3E" w:rsidRPr="00786797" w14:paraId="2ABB6497" w14:textId="77777777" w:rsidTr="00F96D8A">
        <w:trPr>
          <w:trHeight w:val="204"/>
        </w:trPr>
        <w:tc>
          <w:tcPr>
            <w:tcW w:w="3480" w:type="dxa"/>
            <w:tcBorders>
              <w:top w:val="nil"/>
              <w:left w:val="nil"/>
              <w:bottom w:val="nil"/>
              <w:right w:val="nil"/>
            </w:tcBorders>
            <w:shd w:val="clear" w:color="auto" w:fill="auto"/>
            <w:vAlign w:val="bottom"/>
            <w:hideMark/>
          </w:tcPr>
          <w:p w14:paraId="3CDCBA31" w14:textId="0289EEC8" w:rsidR="00B91F3E" w:rsidRPr="00786797" w:rsidRDefault="00B91F3E" w:rsidP="00F96D8A">
            <w:pPr>
              <w:spacing w:after="0" w:line="240" w:lineRule="auto"/>
              <w:jc w:val="left"/>
              <w:rPr>
                <w:rFonts w:ascii="Arial" w:hAnsi="Arial" w:cs="Arial"/>
                <w:b/>
                <w:bCs/>
                <w:color w:val="000000"/>
                <w:sz w:val="16"/>
                <w:szCs w:val="16"/>
              </w:rPr>
            </w:pPr>
            <w:r w:rsidRPr="00786797">
              <w:rPr>
                <w:rFonts w:ascii="Arial" w:hAnsi="Arial" w:cs="Arial"/>
                <w:b/>
                <w:bCs/>
                <w:color w:val="000000"/>
                <w:sz w:val="16"/>
                <w:szCs w:val="16"/>
              </w:rPr>
              <w:t>O</w:t>
            </w:r>
            <w:r w:rsidR="00AF3F8B">
              <w:rPr>
                <w:rFonts w:ascii="Arial" w:hAnsi="Arial" w:cs="Arial"/>
                <w:b/>
                <w:bCs/>
                <w:color w:val="000000"/>
                <w:sz w:val="16"/>
                <w:szCs w:val="16"/>
              </w:rPr>
              <w:t>pening balance as at 1 July 2022</w:t>
            </w:r>
          </w:p>
        </w:tc>
        <w:tc>
          <w:tcPr>
            <w:tcW w:w="1056" w:type="dxa"/>
            <w:tcBorders>
              <w:top w:val="nil"/>
              <w:left w:val="nil"/>
              <w:bottom w:val="nil"/>
              <w:right w:val="nil"/>
            </w:tcBorders>
            <w:shd w:val="clear" w:color="auto" w:fill="auto"/>
            <w:noWrap/>
            <w:vAlign w:val="bottom"/>
            <w:hideMark/>
          </w:tcPr>
          <w:p w14:paraId="7ADFB267" w14:textId="77777777" w:rsidR="00B91F3E" w:rsidRPr="00F21454" w:rsidRDefault="00B91F3E" w:rsidP="00F96D8A">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72CC19FE" w14:textId="77777777" w:rsidR="00B91F3E" w:rsidRPr="00F21454" w:rsidRDefault="00B91F3E" w:rsidP="00F96D8A">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1B0E19CA" w14:textId="77777777" w:rsidR="00B91F3E" w:rsidRPr="00F21454" w:rsidRDefault="00B91F3E" w:rsidP="00F96D8A">
            <w:pPr>
              <w:spacing w:after="0" w:line="240" w:lineRule="auto"/>
              <w:jc w:val="right"/>
              <w:rPr>
                <w:rFonts w:ascii="Times New Roman" w:hAnsi="Times New Roman"/>
                <w:sz w:val="16"/>
                <w:szCs w:val="16"/>
              </w:rPr>
            </w:pPr>
          </w:p>
        </w:tc>
        <w:tc>
          <w:tcPr>
            <w:tcW w:w="934" w:type="dxa"/>
            <w:tcBorders>
              <w:top w:val="nil"/>
              <w:left w:val="nil"/>
              <w:bottom w:val="nil"/>
              <w:right w:val="nil"/>
            </w:tcBorders>
            <w:shd w:val="clear" w:color="auto" w:fill="auto"/>
            <w:noWrap/>
            <w:vAlign w:val="bottom"/>
            <w:hideMark/>
          </w:tcPr>
          <w:p w14:paraId="07001F3F" w14:textId="77777777" w:rsidR="00B91F3E" w:rsidRPr="00F21454" w:rsidRDefault="00B91F3E" w:rsidP="00F96D8A">
            <w:pPr>
              <w:spacing w:after="0" w:line="240" w:lineRule="auto"/>
              <w:jc w:val="right"/>
              <w:rPr>
                <w:rFonts w:ascii="Times New Roman" w:hAnsi="Times New Roman"/>
                <w:sz w:val="16"/>
                <w:szCs w:val="16"/>
              </w:rPr>
            </w:pPr>
          </w:p>
        </w:tc>
      </w:tr>
      <w:tr w:rsidR="00A8085D" w:rsidRPr="00786797" w14:paraId="216CEA9D" w14:textId="77777777" w:rsidTr="00F96D8A">
        <w:trPr>
          <w:trHeight w:val="204"/>
        </w:trPr>
        <w:tc>
          <w:tcPr>
            <w:tcW w:w="3480" w:type="dxa"/>
            <w:tcBorders>
              <w:top w:val="nil"/>
              <w:left w:val="nil"/>
              <w:bottom w:val="nil"/>
              <w:right w:val="nil"/>
            </w:tcBorders>
            <w:shd w:val="clear" w:color="auto" w:fill="auto"/>
            <w:vAlign w:val="bottom"/>
            <w:hideMark/>
          </w:tcPr>
          <w:p w14:paraId="720ED13D" w14:textId="77777777" w:rsidR="00A8085D" w:rsidRPr="00786797" w:rsidRDefault="00A8085D" w:rsidP="00A8085D">
            <w:pPr>
              <w:spacing w:after="0" w:line="240" w:lineRule="auto"/>
              <w:ind w:left="113"/>
              <w:jc w:val="left"/>
              <w:rPr>
                <w:rFonts w:ascii="Arial" w:hAnsi="Arial" w:cs="Arial"/>
                <w:color w:val="000000"/>
                <w:sz w:val="16"/>
                <w:szCs w:val="16"/>
              </w:rPr>
            </w:pPr>
            <w:r w:rsidRPr="00786797">
              <w:rPr>
                <w:rFonts w:ascii="Arial" w:hAnsi="Arial" w:cs="Arial"/>
                <w:color w:val="000000"/>
                <w:sz w:val="16"/>
                <w:szCs w:val="16"/>
              </w:rPr>
              <w:t>Balance carried forward from previous period</w:t>
            </w:r>
          </w:p>
        </w:tc>
        <w:tc>
          <w:tcPr>
            <w:tcW w:w="1056" w:type="dxa"/>
            <w:tcBorders>
              <w:top w:val="nil"/>
              <w:left w:val="nil"/>
              <w:bottom w:val="nil"/>
              <w:right w:val="nil"/>
            </w:tcBorders>
            <w:shd w:val="clear" w:color="auto" w:fill="auto"/>
            <w:noWrap/>
            <w:vAlign w:val="bottom"/>
            <w:hideMark/>
          </w:tcPr>
          <w:p w14:paraId="3D7E0FF0" w14:textId="52EE9C5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106,572 </w:t>
            </w:r>
          </w:p>
        </w:tc>
        <w:tc>
          <w:tcPr>
            <w:tcW w:w="999" w:type="dxa"/>
            <w:tcBorders>
              <w:top w:val="nil"/>
              <w:left w:val="nil"/>
              <w:bottom w:val="nil"/>
              <w:right w:val="nil"/>
            </w:tcBorders>
            <w:shd w:val="clear" w:color="auto" w:fill="auto"/>
            <w:noWrap/>
            <w:vAlign w:val="bottom"/>
            <w:hideMark/>
          </w:tcPr>
          <w:p w14:paraId="283650EA" w14:textId="4EA5BC45"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42,001 </w:t>
            </w:r>
          </w:p>
        </w:tc>
        <w:tc>
          <w:tcPr>
            <w:tcW w:w="1044" w:type="dxa"/>
            <w:tcBorders>
              <w:top w:val="nil"/>
              <w:left w:val="nil"/>
              <w:bottom w:val="nil"/>
              <w:right w:val="nil"/>
            </w:tcBorders>
            <w:shd w:val="clear" w:color="auto" w:fill="auto"/>
            <w:noWrap/>
            <w:vAlign w:val="bottom"/>
            <w:hideMark/>
          </w:tcPr>
          <w:p w14:paraId="46CAFBF8" w14:textId="433886FF"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32,826 </w:t>
            </w:r>
          </w:p>
        </w:tc>
        <w:tc>
          <w:tcPr>
            <w:tcW w:w="934" w:type="dxa"/>
            <w:tcBorders>
              <w:top w:val="nil"/>
              <w:left w:val="nil"/>
              <w:bottom w:val="nil"/>
              <w:right w:val="nil"/>
            </w:tcBorders>
            <w:shd w:val="clear" w:color="auto" w:fill="auto"/>
            <w:noWrap/>
            <w:vAlign w:val="bottom"/>
            <w:hideMark/>
          </w:tcPr>
          <w:p w14:paraId="74314690" w14:textId="0E60B43A"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181,399 </w:t>
            </w:r>
          </w:p>
        </w:tc>
      </w:tr>
      <w:tr w:rsidR="00A8085D" w:rsidRPr="00786797" w14:paraId="213C15F1" w14:textId="77777777" w:rsidTr="00F96D8A">
        <w:trPr>
          <w:trHeight w:val="204"/>
        </w:trPr>
        <w:tc>
          <w:tcPr>
            <w:tcW w:w="3480" w:type="dxa"/>
            <w:tcBorders>
              <w:top w:val="nil"/>
              <w:left w:val="nil"/>
              <w:bottom w:val="nil"/>
              <w:right w:val="nil"/>
            </w:tcBorders>
            <w:shd w:val="clear" w:color="auto" w:fill="auto"/>
            <w:vAlign w:val="bottom"/>
            <w:hideMark/>
          </w:tcPr>
          <w:p w14:paraId="6A715CE1" w14:textId="77777777" w:rsidR="00A8085D" w:rsidRPr="00786797" w:rsidRDefault="00A8085D" w:rsidP="00A8085D">
            <w:pPr>
              <w:spacing w:after="0" w:line="240" w:lineRule="auto"/>
              <w:jc w:val="left"/>
              <w:rPr>
                <w:rFonts w:ascii="Arial" w:hAnsi="Arial" w:cs="Arial"/>
                <w:b/>
                <w:bCs/>
                <w:i/>
                <w:iCs/>
                <w:color w:val="000000"/>
                <w:sz w:val="16"/>
                <w:szCs w:val="16"/>
              </w:rPr>
            </w:pPr>
            <w:r w:rsidRPr="00786797">
              <w:rPr>
                <w:rFonts w:ascii="Arial" w:hAnsi="Arial" w:cs="Arial"/>
                <w:b/>
                <w:bCs/>
                <w:i/>
                <w:iCs/>
                <w:color w:val="000000"/>
                <w:sz w:val="16"/>
                <w:szCs w:val="16"/>
              </w:rPr>
              <w:t>Adjusted opening balance</w:t>
            </w:r>
          </w:p>
        </w:tc>
        <w:tc>
          <w:tcPr>
            <w:tcW w:w="1056" w:type="dxa"/>
            <w:tcBorders>
              <w:top w:val="single" w:sz="4" w:space="0" w:color="000000"/>
              <w:left w:val="nil"/>
              <w:bottom w:val="single" w:sz="4" w:space="0" w:color="000000"/>
              <w:right w:val="nil"/>
            </w:tcBorders>
            <w:shd w:val="clear" w:color="auto" w:fill="auto"/>
            <w:noWrap/>
            <w:vAlign w:val="bottom"/>
            <w:hideMark/>
          </w:tcPr>
          <w:p w14:paraId="1A050765" w14:textId="1AC9C670"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106,572 </w:t>
            </w:r>
          </w:p>
        </w:tc>
        <w:tc>
          <w:tcPr>
            <w:tcW w:w="999" w:type="dxa"/>
            <w:tcBorders>
              <w:top w:val="single" w:sz="4" w:space="0" w:color="000000"/>
              <w:left w:val="nil"/>
              <w:bottom w:val="single" w:sz="4" w:space="0" w:color="000000"/>
              <w:right w:val="nil"/>
            </w:tcBorders>
            <w:shd w:val="clear" w:color="auto" w:fill="auto"/>
            <w:noWrap/>
            <w:vAlign w:val="bottom"/>
            <w:hideMark/>
          </w:tcPr>
          <w:p w14:paraId="4DF9777F" w14:textId="1066AC70"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42,001 </w:t>
            </w:r>
          </w:p>
        </w:tc>
        <w:tc>
          <w:tcPr>
            <w:tcW w:w="1044" w:type="dxa"/>
            <w:tcBorders>
              <w:top w:val="single" w:sz="4" w:space="0" w:color="000000"/>
              <w:left w:val="nil"/>
              <w:bottom w:val="single" w:sz="4" w:space="0" w:color="000000"/>
              <w:right w:val="nil"/>
            </w:tcBorders>
            <w:shd w:val="clear" w:color="auto" w:fill="auto"/>
            <w:noWrap/>
            <w:vAlign w:val="bottom"/>
            <w:hideMark/>
          </w:tcPr>
          <w:p w14:paraId="766A19C0" w14:textId="5A64EB6A"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32,826 </w:t>
            </w:r>
          </w:p>
        </w:tc>
        <w:tc>
          <w:tcPr>
            <w:tcW w:w="934" w:type="dxa"/>
            <w:tcBorders>
              <w:top w:val="single" w:sz="4" w:space="0" w:color="000000"/>
              <w:left w:val="nil"/>
              <w:bottom w:val="single" w:sz="4" w:space="0" w:color="000000"/>
              <w:right w:val="nil"/>
            </w:tcBorders>
            <w:shd w:val="clear" w:color="auto" w:fill="auto"/>
            <w:noWrap/>
            <w:vAlign w:val="bottom"/>
            <w:hideMark/>
          </w:tcPr>
          <w:p w14:paraId="5F6ADA0D" w14:textId="0B167583"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181,399 </w:t>
            </w:r>
          </w:p>
        </w:tc>
      </w:tr>
      <w:tr w:rsidR="00A8085D" w:rsidRPr="00786797" w14:paraId="2BA0F45F" w14:textId="77777777" w:rsidTr="00F96D8A">
        <w:trPr>
          <w:trHeight w:val="204"/>
        </w:trPr>
        <w:tc>
          <w:tcPr>
            <w:tcW w:w="3480" w:type="dxa"/>
            <w:tcBorders>
              <w:top w:val="nil"/>
              <w:left w:val="nil"/>
              <w:bottom w:val="nil"/>
              <w:right w:val="nil"/>
            </w:tcBorders>
            <w:shd w:val="clear" w:color="auto" w:fill="auto"/>
            <w:noWrap/>
            <w:vAlign w:val="bottom"/>
            <w:hideMark/>
          </w:tcPr>
          <w:p w14:paraId="192283A3" w14:textId="77777777" w:rsidR="00A8085D" w:rsidRPr="00786797" w:rsidRDefault="00A8085D" w:rsidP="00A8085D">
            <w:pPr>
              <w:spacing w:after="0" w:line="240" w:lineRule="auto"/>
              <w:jc w:val="left"/>
              <w:rPr>
                <w:rFonts w:ascii="Arial" w:hAnsi="Arial" w:cs="Arial"/>
                <w:b/>
                <w:bCs/>
                <w:color w:val="000000"/>
                <w:sz w:val="16"/>
                <w:szCs w:val="16"/>
              </w:rPr>
            </w:pPr>
            <w:r w:rsidRPr="00786797">
              <w:rPr>
                <w:rFonts w:ascii="Arial" w:hAnsi="Arial" w:cs="Arial"/>
                <w:b/>
                <w:bCs/>
                <w:color w:val="000000"/>
                <w:sz w:val="16"/>
                <w:szCs w:val="16"/>
              </w:rPr>
              <w:t>Comprehensive income</w:t>
            </w:r>
          </w:p>
        </w:tc>
        <w:tc>
          <w:tcPr>
            <w:tcW w:w="1056" w:type="dxa"/>
            <w:tcBorders>
              <w:top w:val="nil"/>
              <w:left w:val="nil"/>
              <w:bottom w:val="nil"/>
              <w:right w:val="nil"/>
            </w:tcBorders>
            <w:shd w:val="clear" w:color="auto" w:fill="auto"/>
            <w:noWrap/>
            <w:vAlign w:val="bottom"/>
            <w:hideMark/>
          </w:tcPr>
          <w:p w14:paraId="5C20C9D2" w14:textId="77777777" w:rsidR="00A8085D" w:rsidRPr="00F21454" w:rsidRDefault="00A8085D" w:rsidP="00A8085D">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70EB73AC" w14:textId="77777777" w:rsidR="00A8085D" w:rsidRPr="00F21454" w:rsidRDefault="00A8085D" w:rsidP="00A8085D">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13C18D64" w14:textId="77777777" w:rsidR="00A8085D" w:rsidRPr="00F21454" w:rsidRDefault="00A8085D" w:rsidP="00A8085D">
            <w:pPr>
              <w:spacing w:after="0" w:line="240" w:lineRule="auto"/>
              <w:jc w:val="right"/>
              <w:rPr>
                <w:rFonts w:ascii="Times New Roman" w:hAnsi="Times New Roman"/>
                <w:sz w:val="16"/>
                <w:szCs w:val="16"/>
              </w:rPr>
            </w:pPr>
          </w:p>
        </w:tc>
        <w:tc>
          <w:tcPr>
            <w:tcW w:w="934" w:type="dxa"/>
            <w:tcBorders>
              <w:top w:val="nil"/>
              <w:left w:val="nil"/>
              <w:bottom w:val="nil"/>
              <w:right w:val="nil"/>
            </w:tcBorders>
            <w:shd w:val="clear" w:color="auto" w:fill="auto"/>
            <w:noWrap/>
            <w:vAlign w:val="bottom"/>
            <w:hideMark/>
          </w:tcPr>
          <w:p w14:paraId="0359EB35" w14:textId="77777777" w:rsidR="00A8085D" w:rsidRPr="00F21454" w:rsidRDefault="00A8085D" w:rsidP="00A8085D">
            <w:pPr>
              <w:spacing w:after="0" w:line="240" w:lineRule="auto"/>
              <w:jc w:val="right"/>
              <w:rPr>
                <w:rFonts w:ascii="Times New Roman" w:hAnsi="Times New Roman"/>
                <w:sz w:val="16"/>
                <w:szCs w:val="16"/>
              </w:rPr>
            </w:pPr>
          </w:p>
        </w:tc>
      </w:tr>
      <w:tr w:rsidR="00A8085D" w:rsidRPr="00786797" w14:paraId="261D75D8" w14:textId="77777777" w:rsidTr="00F96D8A">
        <w:trPr>
          <w:trHeight w:val="204"/>
        </w:trPr>
        <w:tc>
          <w:tcPr>
            <w:tcW w:w="3480" w:type="dxa"/>
            <w:tcBorders>
              <w:top w:val="nil"/>
              <w:left w:val="nil"/>
              <w:bottom w:val="nil"/>
              <w:right w:val="nil"/>
            </w:tcBorders>
            <w:shd w:val="clear" w:color="auto" w:fill="auto"/>
            <w:noWrap/>
            <w:vAlign w:val="bottom"/>
            <w:hideMark/>
          </w:tcPr>
          <w:p w14:paraId="58CBA91E" w14:textId="77777777" w:rsidR="00A8085D" w:rsidRPr="00786797" w:rsidRDefault="00A8085D" w:rsidP="00A8085D">
            <w:pPr>
              <w:spacing w:after="0" w:line="240" w:lineRule="auto"/>
              <w:ind w:left="113"/>
              <w:jc w:val="left"/>
              <w:rPr>
                <w:rFonts w:ascii="Arial" w:hAnsi="Arial" w:cs="Arial"/>
                <w:sz w:val="16"/>
                <w:szCs w:val="16"/>
              </w:rPr>
            </w:pPr>
            <w:r w:rsidRPr="00F21454">
              <w:rPr>
                <w:rFonts w:ascii="Arial" w:hAnsi="Arial" w:cs="Arial"/>
                <w:color w:val="000000"/>
                <w:sz w:val="16"/>
                <w:szCs w:val="16"/>
              </w:rPr>
              <w:t>Surplus</w:t>
            </w:r>
            <w:r w:rsidRPr="00786797">
              <w:rPr>
                <w:rFonts w:ascii="Arial" w:hAnsi="Arial" w:cs="Arial"/>
                <w:sz w:val="16"/>
                <w:szCs w:val="16"/>
              </w:rPr>
              <w:t>/(deficit) for the period</w:t>
            </w:r>
          </w:p>
        </w:tc>
        <w:tc>
          <w:tcPr>
            <w:tcW w:w="1056" w:type="dxa"/>
            <w:tcBorders>
              <w:top w:val="nil"/>
              <w:left w:val="nil"/>
              <w:bottom w:val="nil"/>
              <w:right w:val="nil"/>
            </w:tcBorders>
            <w:shd w:val="clear" w:color="auto" w:fill="auto"/>
            <w:noWrap/>
            <w:vAlign w:val="bottom"/>
            <w:hideMark/>
          </w:tcPr>
          <w:p w14:paraId="1823BE1D" w14:textId="576650B9"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(17,031)</w:t>
            </w:r>
          </w:p>
        </w:tc>
        <w:tc>
          <w:tcPr>
            <w:tcW w:w="999" w:type="dxa"/>
            <w:tcBorders>
              <w:top w:val="nil"/>
              <w:left w:val="nil"/>
              <w:bottom w:val="nil"/>
              <w:right w:val="nil"/>
            </w:tcBorders>
            <w:shd w:val="clear" w:color="auto" w:fill="auto"/>
            <w:noWrap/>
            <w:vAlign w:val="bottom"/>
            <w:hideMark/>
          </w:tcPr>
          <w:p w14:paraId="2E412CB0" w14:textId="5B52A35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155C20B9" w14:textId="4AED18B2"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shd w:val="clear" w:color="auto" w:fill="auto"/>
            <w:noWrap/>
            <w:vAlign w:val="bottom"/>
            <w:hideMark/>
          </w:tcPr>
          <w:p w14:paraId="0A60294F" w14:textId="1F731331"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(17,031)</w:t>
            </w:r>
          </w:p>
        </w:tc>
      </w:tr>
      <w:tr w:rsidR="00A8085D" w:rsidRPr="00786797" w14:paraId="379F4163" w14:textId="77777777" w:rsidTr="00F96D8A">
        <w:trPr>
          <w:trHeight w:val="204"/>
        </w:trPr>
        <w:tc>
          <w:tcPr>
            <w:tcW w:w="3480" w:type="dxa"/>
            <w:tcBorders>
              <w:top w:val="nil"/>
              <w:left w:val="nil"/>
              <w:bottom w:val="nil"/>
              <w:right w:val="nil"/>
            </w:tcBorders>
            <w:shd w:val="clear" w:color="auto" w:fill="auto"/>
            <w:vAlign w:val="bottom"/>
            <w:hideMark/>
          </w:tcPr>
          <w:p w14:paraId="533EB782" w14:textId="77777777" w:rsidR="00A8085D" w:rsidRPr="00786797" w:rsidRDefault="00A8085D" w:rsidP="00A8085D">
            <w:pPr>
              <w:spacing w:after="0" w:line="240" w:lineRule="auto"/>
              <w:jc w:val="left"/>
              <w:rPr>
                <w:rFonts w:ascii="Arial" w:hAnsi="Arial" w:cs="Arial"/>
                <w:b/>
                <w:bCs/>
                <w:i/>
                <w:iCs/>
                <w:color w:val="000000"/>
                <w:sz w:val="16"/>
                <w:szCs w:val="16"/>
              </w:rPr>
            </w:pPr>
            <w:r w:rsidRPr="00786797">
              <w:rPr>
                <w:rFonts w:ascii="Arial" w:hAnsi="Arial" w:cs="Arial"/>
                <w:b/>
                <w:bCs/>
                <w:i/>
                <w:iCs/>
                <w:color w:val="000000"/>
                <w:sz w:val="16"/>
                <w:szCs w:val="16"/>
              </w:rPr>
              <w:t>Total comprehensive income</w:t>
            </w:r>
          </w:p>
        </w:tc>
        <w:tc>
          <w:tcPr>
            <w:tcW w:w="1056" w:type="dxa"/>
            <w:tcBorders>
              <w:top w:val="single" w:sz="4" w:space="0" w:color="000000"/>
              <w:left w:val="nil"/>
              <w:bottom w:val="nil"/>
              <w:right w:val="nil"/>
            </w:tcBorders>
            <w:shd w:val="clear" w:color="auto" w:fill="auto"/>
            <w:noWrap/>
            <w:vAlign w:val="bottom"/>
            <w:hideMark/>
          </w:tcPr>
          <w:p w14:paraId="2812E07A" w14:textId="3E00A3DD"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(17,031)</w:t>
            </w:r>
          </w:p>
        </w:tc>
        <w:tc>
          <w:tcPr>
            <w:tcW w:w="999" w:type="dxa"/>
            <w:tcBorders>
              <w:top w:val="single" w:sz="4" w:space="0" w:color="000000"/>
              <w:left w:val="nil"/>
              <w:bottom w:val="nil"/>
              <w:right w:val="nil"/>
            </w:tcBorders>
            <w:shd w:val="clear" w:color="auto" w:fill="auto"/>
            <w:noWrap/>
            <w:vAlign w:val="bottom"/>
            <w:hideMark/>
          </w:tcPr>
          <w:p w14:paraId="773A7186" w14:textId="0F5AC819"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044" w:type="dxa"/>
            <w:tcBorders>
              <w:top w:val="single" w:sz="4" w:space="0" w:color="000000"/>
              <w:left w:val="nil"/>
              <w:bottom w:val="nil"/>
              <w:right w:val="nil"/>
            </w:tcBorders>
            <w:shd w:val="clear" w:color="auto" w:fill="auto"/>
            <w:noWrap/>
            <w:vAlign w:val="bottom"/>
            <w:hideMark/>
          </w:tcPr>
          <w:p w14:paraId="18220D48" w14:textId="2B8C81EB"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934" w:type="dxa"/>
            <w:tcBorders>
              <w:top w:val="single" w:sz="4" w:space="0" w:color="000000"/>
              <w:left w:val="nil"/>
              <w:bottom w:val="nil"/>
              <w:right w:val="nil"/>
            </w:tcBorders>
            <w:shd w:val="clear" w:color="auto" w:fill="auto"/>
            <w:noWrap/>
            <w:vAlign w:val="bottom"/>
            <w:hideMark/>
          </w:tcPr>
          <w:p w14:paraId="6D643056" w14:textId="46E1FED8"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(17,031)</w:t>
            </w:r>
          </w:p>
        </w:tc>
      </w:tr>
      <w:tr w:rsidR="00A8085D" w:rsidRPr="00786797" w14:paraId="79450F5F" w14:textId="77777777" w:rsidTr="00807D41">
        <w:trPr>
          <w:trHeight w:val="204"/>
        </w:trPr>
        <w:tc>
          <w:tcPr>
            <w:tcW w:w="3480" w:type="dxa"/>
            <w:tcBorders>
              <w:top w:val="nil"/>
              <w:left w:val="nil"/>
              <w:bottom w:val="nil"/>
              <w:right w:val="nil"/>
            </w:tcBorders>
            <w:shd w:val="clear" w:color="auto" w:fill="auto"/>
            <w:noWrap/>
            <w:vAlign w:val="bottom"/>
            <w:hideMark/>
          </w:tcPr>
          <w:p w14:paraId="739C4D67" w14:textId="77777777" w:rsidR="00A8085D" w:rsidRPr="00786797" w:rsidRDefault="00A8085D" w:rsidP="00A8085D">
            <w:pPr>
              <w:spacing w:after="0" w:line="240" w:lineRule="auto"/>
              <w:ind w:left="113"/>
              <w:jc w:val="left"/>
              <w:rPr>
                <w:rFonts w:ascii="Arial" w:hAnsi="Arial" w:cs="Arial"/>
                <w:color w:val="000000"/>
                <w:sz w:val="16"/>
                <w:szCs w:val="16"/>
              </w:rPr>
            </w:pPr>
            <w:r w:rsidRPr="00786797">
              <w:rPr>
                <w:rFonts w:ascii="Arial" w:hAnsi="Arial" w:cs="Arial"/>
                <w:color w:val="000000"/>
                <w:sz w:val="16"/>
                <w:szCs w:val="16"/>
              </w:rPr>
              <w:t>of which:</w:t>
            </w:r>
          </w:p>
        </w:tc>
        <w:tc>
          <w:tcPr>
            <w:tcW w:w="1056" w:type="dxa"/>
            <w:tcBorders>
              <w:top w:val="single" w:sz="4" w:space="0" w:color="000000"/>
              <w:left w:val="nil"/>
              <w:right w:val="nil"/>
            </w:tcBorders>
            <w:shd w:val="clear" w:color="auto" w:fill="auto"/>
            <w:noWrap/>
            <w:vAlign w:val="bottom"/>
            <w:hideMark/>
          </w:tcPr>
          <w:p w14:paraId="4E524B79" w14:textId="66FA85F3"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99" w:type="dxa"/>
            <w:tcBorders>
              <w:top w:val="single" w:sz="4" w:space="0" w:color="000000"/>
              <w:left w:val="nil"/>
              <w:right w:val="nil"/>
            </w:tcBorders>
            <w:shd w:val="clear" w:color="auto" w:fill="auto"/>
            <w:noWrap/>
            <w:vAlign w:val="bottom"/>
            <w:hideMark/>
          </w:tcPr>
          <w:p w14:paraId="46263FE4" w14:textId="33F1A12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44" w:type="dxa"/>
            <w:tcBorders>
              <w:top w:val="single" w:sz="4" w:space="0" w:color="000000"/>
              <w:left w:val="nil"/>
              <w:right w:val="nil"/>
            </w:tcBorders>
            <w:shd w:val="clear" w:color="auto" w:fill="auto"/>
            <w:noWrap/>
            <w:vAlign w:val="bottom"/>
            <w:hideMark/>
          </w:tcPr>
          <w:p w14:paraId="446DECFD" w14:textId="57C13CBF"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34" w:type="dxa"/>
            <w:tcBorders>
              <w:top w:val="single" w:sz="4" w:space="0" w:color="000000"/>
              <w:left w:val="nil"/>
              <w:right w:val="nil"/>
            </w:tcBorders>
            <w:shd w:val="clear" w:color="auto" w:fill="auto"/>
            <w:noWrap/>
            <w:vAlign w:val="bottom"/>
            <w:hideMark/>
          </w:tcPr>
          <w:p w14:paraId="4829739C" w14:textId="2B445FD4"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r>
      <w:tr w:rsidR="00A8085D" w:rsidRPr="00786797" w14:paraId="3A7951FC" w14:textId="77777777" w:rsidTr="00807D41">
        <w:trPr>
          <w:trHeight w:val="204"/>
        </w:trPr>
        <w:tc>
          <w:tcPr>
            <w:tcW w:w="3480" w:type="dxa"/>
            <w:tcBorders>
              <w:top w:val="nil"/>
              <w:left w:val="nil"/>
              <w:bottom w:val="nil"/>
              <w:right w:val="nil"/>
            </w:tcBorders>
            <w:shd w:val="clear" w:color="auto" w:fill="auto"/>
            <w:vAlign w:val="bottom"/>
            <w:hideMark/>
          </w:tcPr>
          <w:p w14:paraId="696B9856" w14:textId="77777777" w:rsidR="00A8085D" w:rsidRPr="00786797" w:rsidRDefault="00A8085D" w:rsidP="00A8085D">
            <w:pPr>
              <w:spacing w:after="0" w:line="240" w:lineRule="auto"/>
              <w:ind w:left="227"/>
              <w:jc w:val="left"/>
              <w:rPr>
                <w:rFonts w:ascii="Arial" w:hAnsi="Arial" w:cs="Arial"/>
                <w:color w:val="000000"/>
                <w:sz w:val="16"/>
                <w:szCs w:val="16"/>
              </w:rPr>
            </w:pPr>
            <w:r w:rsidRPr="00786797">
              <w:rPr>
                <w:rFonts w:ascii="Arial" w:hAnsi="Arial" w:cs="Arial"/>
                <w:color w:val="000000"/>
                <w:sz w:val="16"/>
                <w:szCs w:val="16"/>
              </w:rPr>
              <w:t>Attributable to the Australian Government</w:t>
            </w:r>
          </w:p>
        </w:tc>
        <w:tc>
          <w:tcPr>
            <w:tcW w:w="1056" w:type="dxa"/>
            <w:tcBorders>
              <w:top w:val="nil"/>
              <w:left w:val="nil"/>
              <w:bottom w:val="single" w:sz="4" w:space="0" w:color="auto"/>
              <w:right w:val="nil"/>
            </w:tcBorders>
            <w:shd w:val="clear" w:color="auto" w:fill="auto"/>
            <w:noWrap/>
            <w:vAlign w:val="bottom"/>
            <w:hideMark/>
          </w:tcPr>
          <w:p w14:paraId="5FBFF993" w14:textId="69759099"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(17,031)</w:t>
            </w:r>
          </w:p>
        </w:tc>
        <w:tc>
          <w:tcPr>
            <w:tcW w:w="999" w:type="dxa"/>
            <w:tcBorders>
              <w:top w:val="nil"/>
              <w:left w:val="nil"/>
              <w:bottom w:val="single" w:sz="4" w:space="0" w:color="auto"/>
              <w:right w:val="nil"/>
            </w:tcBorders>
            <w:shd w:val="clear" w:color="auto" w:fill="auto"/>
            <w:noWrap/>
            <w:vAlign w:val="bottom"/>
            <w:hideMark/>
          </w:tcPr>
          <w:p w14:paraId="62D6708A" w14:textId="5035D10B"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single" w:sz="4" w:space="0" w:color="auto"/>
              <w:right w:val="nil"/>
            </w:tcBorders>
            <w:shd w:val="clear" w:color="auto" w:fill="auto"/>
            <w:noWrap/>
            <w:vAlign w:val="bottom"/>
            <w:hideMark/>
          </w:tcPr>
          <w:p w14:paraId="57A84CCD" w14:textId="3AA561B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single" w:sz="4" w:space="0" w:color="auto"/>
              <w:right w:val="nil"/>
            </w:tcBorders>
            <w:shd w:val="clear" w:color="auto" w:fill="auto"/>
            <w:noWrap/>
            <w:vAlign w:val="bottom"/>
            <w:hideMark/>
          </w:tcPr>
          <w:p w14:paraId="6E97392C" w14:textId="1E5FE822"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(17,031)</w:t>
            </w:r>
          </w:p>
        </w:tc>
      </w:tr>
      <w:tr w:rsidR="00A8085D" w:rsidRPr="00786797" w14:paraId="57E8DEB9" w14:textId="77777777" w:rsidTr="00807D41">
        <w:trPr>
          <w:trHeight w:val="204"/>
        </w:trPr>
        <w:tc>
          <w:tcPr>
            <w:tcW w:w="3480" w:type="dxa"/>
            <w:tcBorders>
              <w:top w:val="nil"/>
              <w:left w:val="nil"/>
              <w:bottom w:val="nil"/>
              <w:right w:val="nil"/>
            </w:tcBorders>
            <w:shd w:val="clear" w:color="auto" w:fill="auto"/>
            <w:noWrap/>
            <w:vAlign w:val="bottom"/>
            <w:hideMark/>
          </w:tcPr>
          <w:p w14:paraId="5B4AF3E8" w14:textId="77777777" w:rsidR="00A8085D" w:rsidRPr="00786797" w:rsidRDefault="00A8085D" w:rsidP="00A8085D">
            <w:pPr>
              <w:spacing w:after="0" w:line="240" w:lineRule="auto"/>
              <w:jc w:val="left"/>
              <w:rPr>
                <w:rFonts w:ascii="Arial" w:hAnsi="Arial" w:cs="Arial"/>
                <w:b/>
                <w:bCs/>
                <w:color w:val="000000"/>
                <w:sz w:val="16"/>
                <w:szCs w:val="16"/>
              </w:rPr>
            </w:pPr>
            <w:r w:rsidRPr="00786797">
              <w:rPr>
                <w:rFonts w:ascii="Arial" w:hAnsi="Arial" w:cs="Arial"/>
                <w:b/>
                <w:bCs/>
                <w:color w:val="000000"/>
                <w:sz w:val="16"/>
                <w:szCs w:val="16"/>
              </w:rPr>
              <w:t>Transactions with owners</w:t>
            </w:r>
          </w:p>
        </w:tc>
        <w:tc>
          <w:tcPr>
            <w:tcW w:w="1056" w:type="dxa"/>
            <w:tcBorders>
              <w:top w:val="single" w:sz="4" w:space="0" w:color="auto"/>
              <w:left w:val="nil"/>
              <w:bottom w:val="nil"/>
              <w:right w:val="nil"/>
            </w:tcBorders>
            <w:shd w:val="clear" w:color="auto" w:fill="auto"/>
            <w:noWrap/>
            <w:vAlign w:val="bottom"/>
            <w:hideMark/>
          </w:tcPr>
          <w:p w14:paraId="657BF06F" w14:textId="77777777" w:rsidR="00A8085D" w:rsidRPr="00F21454" w:rsidRDefault="00A8085D" w:rsidP="00A8085D">
            <w:pPr>
              <w:spacing w:after="0" w:line="240" w:lineRule="auto"/>
              <w:jc w:val="right"/>
              <w:rPr>
                <w:rFonts w:ascii="Arial" w:hAnsi="Arial" w:cs="Arial"/>
                <w:b/>
                <w:b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5EC3B467" w14:textId="77777777" w:rsidR="00A8085D" w:rsidRPr="00F21454" w:rsidRDefault="00A8085D" w:rsidP="00A8085D">
            <w:pPr>
              <w:spacing w:after="0" w:line="240" w:lineRule="auto"/>
              <w:jc w:val="right"/>
              <w:rPr>
                <w:rFonts w:ascii="Times New Roman" w:hAnsi="Times New Roman"/>
                <w:sz w:val="16"/>
                <w:szCs w:val="16"/>
              </w:rPr>
            </w:pPr>
          </w:p>
        </w:tc>
        <w:tc>
          <w:tcPr>
            <w:tcW w:w="1044" w:type="dxa"/>
            <w:tcBorders>
              <w:top w:val="single" w:sz="4" w:space="0" w:color="auto"/>
              <w:left w:val="nil"/>
              <w:bottom w:val="nil"/>
              <w:right w:val="nil"/>
            </w:tcBorders>
            <w:shd w:val="clear" w:color="auto" w:fill="auto"/>
            <w:noWrap/>
            <w:vAlign w:val="bottom"/>
            <w:hideMark/>
          </w:tcPr>
          <w:p w14:paraId="14ECCAB5" w14:textId="77777777" w:rsidR="00A8085D" w:rsidRPr="00F21454" w:rsidRDefault="00A8085D" w:rsidP="00A8085D">
            <w:pPr>
              <w:spacing w:after="0" w:line="240" w:lineRule="auto"/>
              <w:jc w:val="right"/>
              <w:rPr>
                <w:rFonts w:ascii="Times New Roman" w:hAnsi="Times New Roman"/>
                <w:sz w:val="16"/>
                <w:szCs w:val="16"/>
              </w:rPr>
            </w:pPr>
          </w:p>
        </w:tc>
        <w:tc>
          <w:tcPr>
            <w:tcW w:w="934" w:type="dxa"/>
            <w:tcBorders>
              <w:top w:val="single" w:sz="4" w:space="0" w:color="auto"/>
              <w:left w:val="nil"/>
              <w:bottom w:val="nil"/>
              <w:right w:val="nil"/>
            </w:tcBorders>
            <w:shd w:val="clear" w:color="auto" w:fill="auto"/>
            <w:noWrap/>
            <w:vAlign w:val="bottom"/>
            <w:hideMark/>
          </w:tcPr>
          <w:p w14:paraId="5B293BD2" w14:textId="77777777" w:rsidR="00A8085D" w:rsidRPr="00F21454" w:rsidRDefault="00A8085D" w:rsidP="00A8085D">
            <w:pPr>
              <w:spacing w:after="0" w:line="240" w:lineRule="auto"/>
              <w:jc w:val="right"/>
              <w:rPr>
                <w:rFonts w:ascii="Times New Roman" w:hAnsi="Times New Roman"/>
                <w:sz w:val="16"/>
                <w:szCs w:val="16"/>
              </w:rPr>
            </w:pPr>
          </w:p>
        </w:tc>
      </w:tr>
      <w:tr w:rsidR="00A8085D" w:rsidRPr="00786797" w14:paraId="69A2317A" w14:textId="77777777" w:rsidTr="00F96D8A">
        <w:trPr>
          <w:trHeight w:val="204"/>
        </w:trPr>
        <w:tc>
          <w:tcPr>
            <w:tcW w:w="3480" w:type="dxa"/>
            <w:tcBorders>
              <w:top w:val="nil"/>
              <w:left w:val="nil"/>
              <w:bottom w:val="nil"/>
              <w:right w:val="nil"/>
            </w:tcBorders>
            <w:shd w:val="clear" w:color="auto" w:fill="auto"/>
            <w:noWrap/>
            <w:vAlign w:val="bottom"/>
            <w:hideMark/>
          </w:tcPr>
          <w:p w14:paraId="1BB54D94" w14:textId="5479EB55" w:rsidR="00A8085D" w:rsidRPr="00786797" w:rsidRDefault="00A8085D" w:rsidP="00A8085D">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Pr="00786797">
              <w:rPr>
                <w:rFonts w:ascii="Arial" w:hAnsi="Arial" w:cs="Arial"/>
                <w:color w:val="000000"/>
                <w:sz w:val="16"/>
                <w:szCs w:val="16"/>
              </w:rPr>
              <w:t>al Capital Budget (DCB)</w:t>
            </w:r>
          </w:p>
        </w:tc>
        <w:tc>
          <w:tcPr>
            <w:tcW w:w="1056" w:type="dxa"/>
            <w:tcBorders>
              <w:top w:val="nil"/>
              <w:left w:val="nil"/>
              <w:bottom w:val="nil"/>
              <w:right w:val="nil"/>
            </w:tcBorders>
            <w:shd w:val="clear" w:color="auto" w:fill="auto"/>
            <w:noWrap/>
            <w:vAlign w:val="bottom"/>
            <w:hideMark/>
          </w:tcPr>
          <w:p w14:paraId="156DEF99" w14:textId="5603EA8C"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358D8957" w14:textId="7F429CBF"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11DA9065" w14:textId="2399AE8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10,182 </w:t>
            </w:r>
          </w:p>
        </w:tc>
        <w:tc>
          <w:tcPr>
            <w:tcW w:w="934" w:type="dxa"/>
            <w:tcBorders>
              <w:top w:val="nil"/>
              <w:left w:val="nil"/>
              <w:bottom w:val="nil"/>
              <w:right w:val="nil"/>
            </w:tcBorders>
            <w:shd w:val="clear" w:color="auto" w:fill="auto"/>
            <w:noWrap/>
            <w:vAlign w:val="bottom"/>
            <w:hideMark/>
          </w:tcPr>
          <w:p w14:paraId="08E2389A" w14:textId="6FB39C4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10,182 </w:t>
            </w:r>
          </w:p>
        </w:tc>
      </w:tr>
      <w:tr w:rsidR="00A8085D" w:rsidRPr="00786797" w14:paraId="77D4BF03" w14:textId="77777777" w:rsidTr="00F96D8A">
        <w:trPr>
          <w:trHeight w:val="204"/>
        </w:trPr>
        <w:tc>
          <w:tcPr>
            <w:tcW w:w="3480" w:type="dxa"/>
            <w:tcBorders>
              <w:top w:val="nil"/>
              <w:left w:val="nil"/>
              <w:bottom w:val="nil"/>
              <w:right w:val="nil"/>
            </w:tcBorders>
            <w:shd w:val="clear" w:color="auto" w:fill="auto"/>
            <w:vAlign w:val="bottom"/>
            <w:hideMark/>
          </w:tcPr>
          <w:p w14:paraId="0E5104BE" w14:textId="77777777" w:rsidR="00A8085D" w:rsidRPr="00786797" w:rsidRDefault="00A8085D" w:rsidP="00A8085D">
            <w:pPr>
              <w:spacing w:after="0" w:line="240" w:lineRule="auto"/>
              <w:jc w:val="left"/>
              <w:rPr>
                <w:rFonts w:ascii="Arial" w:hAnsi="Arial" w:cs="Arial"/>
                <w:b/>
                <w:bCs/>
                <w:i/>
                <w:iCs/>
                <w:color w:val="000000"/>
                <w:sz w:val="16"/>
                <w:szCs w:val="16"/>
              </w:rPr>
            </w:pPr>
            <w:r w:rsidRPr="00786797">
              <w:rPr>
                <w:rFonts w:ascii="Arial" w:hAnsi="Arial" w:cs="Arial"/>
                <w:b/>
                <w:bCs/>
                <w:i/>
                <w:iCs/>
                <w:color w:val="000000"/>
                <w:sz w:val="16"/>
                <w:szCs w:val="16"/>
              </w:rPr>
              <w:t>Sub-total transactions with owners</w:t>
            </w:r>
          </w:p>
        </w:tc>
        <w:tc>
          <w:tcPr>
            <w:tcW w:w="1056" w:type="dxa"/>
            <w:tcBorders>
              <w:top w:val="single" w:sz="4" w:space="0" w:color="000000"/>
              <w:left w:val="nil"/>
              <w:bottom w:val="single" w:sz="4" w:space="0" w:color="000000"/>
              <w:right w:val="nil"/>
            </w:tcBorders>
            <w:shd w:val="clear" w:color="auto" w:fill="auto"/>
            <w:noWrap/>
            <w:vAlign w:val="bottom"/>
            <w:hideMark/>
          </w:tcPr>
          <w:p w14:paraId="552FA452" w14:textId="4C31F0EC"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1FBFB994" w14:textId="642AF019"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193F29CD" w14:textId="554DF69D"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10,182 </w:t>
            </w:r>
          </w:p>
        </w:tc>
        <w:tc>
          <w:tcPr>
            <w:tcW w:w="934" w:type="dxa"/>
            <w:tcBorders>
              <w:top w:val="single" w:sz="4" w:space="0" w:color="000000"/>
              <w:left w:val="nil"/>
              <w:bottom w:val="single" w:sz="4" w:space="0" w:color="000000"/>
              <w:right w:val="nil"/>
            </w:tcBorders>
            <w:shd w:val="clear" w:color="auto" w:fill="auto"/>
            <w:noWrap/>
            <w:vAlign w:val="bottom"/>
            <w:hideMark/>
          </w:tcPr>
          <w:p w14:paraId="27335871" w14:textId="71737DCB"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10,182 </w:t>
            </w:r>
          </w:p>
        </w:tc>
      </w:tr>
      <w:tr w:rsidR="00A8085D" w:rsidRPr="00786797" w14:paraId="24613205" w14:textId="77777777" w:rsidTr="00F96D8A">
        <w:trPr>
          <w:trHeight w:val="204"/>
        </w:trPr>
        <w:tc>
          <w:tcPr>
            <w:tcW w:w="3480" w:type="dxa"/>
            <w:tcBorders>
              <w:top w:val="nil"/>
              <w:left w:val="nil"/>
              <w:bottom w:val="nil"/>
              <w:right w:val="nil"/>
            </w:tcBorders>
            <w:shd w:val="clear" w:color="auto" w:fill="auto"/>
            <w:vAlign w:val="bottom"/>
            <w:hideMark/>
          </w:tcPr>
          <w:p w14:paraId="37B0DFBC" w14:textId="01459C4F" w:rsidR="00A8085D" w:rsidRPr="00786797" w:rsidRDefault="00A8085D" w:rsidP="00A8085D">
            <w:pPr>
              <w:spacing w:after="0" w:line="240" w:lineRule="auto"/>
              <w:jc w:val="left"/>
              <w:rPr>
                <w:rFonts w:ascii="Arial" w:hAnsi="Arial" w:cs="Arial"/>
                <w:b/>
                <w:bCs/>
                <w:color w:val="000000"/>
                <w:sz w:val="16"/>
                <w:szCs w:val="16"/>
              </w:rPr>
            </w:pPr>
            <w:r w:rsidRPr="00786797">
              <w:rPr>
                <w:rFonts w:ascii="Arial" w:hAnsi="Arial" w:cs="Arial"/>
                <w:b/>
                <w:bCs/>
                <w:color w:val="000000"/>
                <w:sz w:val="16"/>
                <w:szCs w:val="16"/>
              </w:rPr>
              <w:t>Estimated closing balance as at 30</w:t>
            </w:r>
            <w:r>
              <w:rPr>
                <w:rFonts w:ascii="Arial" w:hAnsi="Arial" w:cs="Arial"/>
                <w:b/>
                <w:bCs/>
                <w:color w:val="000000"/>
                <w:sz w:val="16"/>
                <w:szCs w:val="16"/>
              </w:rPr>
              <w:t> </w:t>
            </w:r>
            <w:r w:rsidRPr="00786797">
              <w:rPr>
                <w:rFonts w:ascii="Arial" w:hAnsi="Arial" w:cs="Arial"/>
                <w:b/>
                <w:bCs/>
                <w:color w:val="000000"/>
                <w:sz w:val="16"/>
                <w:szCs w:val="16"/>
              </w:rPr>
              <w:t>June</w:t>
            </w:r>
            <w:r>
              <w:rPr>
                <w:rFonts w:ascii="Arial" w:hAnsi="Arial" w:cs="Arial"/>
                <w:b/>
                <w:bCs/>
                <w:color w:val="000000"/>
                <w:sz w:val="16"/>
                <w:szCs w:val="16"/>
              </w:rPr>
              <w:t> 2023</w:t>
            </w:r>
          </w:p>
        </w:tc>
        <w:tc>
          <w:tcPr>
            <w:tcW w:w="1056" w:type="dxa"/>
            <w:tcBorders>
              <w:top w:val="nil"/>
              <w:left w:val="nil"/>
              <w:bottom w:val="single" w:sz="4" w:space="0" w:color="auto"/>
              <w:right w:val="nil"/>
            </w:tcBorders>
            <w:shd w:val="clear" w:color="auto" w:fill="auto"/>
            <w:noWrap/>
            <w:vAlign w:val="bottom"/>
            <w:hideMark/>
          </w:tcPr>
          <w:p w14:paraId="1783FCB3" w14:textId="03C1379F"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89,541 </w:t>
            </w:r>
          </w:p>
        </w:tc>
        <w:tc>
          <w:tcPr>
            <w:tcW w:w="999" w:type="dxa"/>
            <w:tcBorders>
              <w:top w:val="nil"/>
              <w:left w:val="nil"/>
              <w:bottom w:val="single" w:sz="4" w:space="0" w:color="auto"/>
              <w:right w:val="nil"/>
            </w:tcBorders>
            <w:shd w:val="clear" w:color="auto" w:fill="auto"/>
            <w:noWrap/>
            <w:vAlign w:val="bottom"/>
            <w:hideMark/>
          </w:tcPr>
          <w:p w14:paraId="3D822ADB" w14:textId="02AEC71D"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42,001 </w:t>
            </w:r>
          </w:p>
        </w:tc>
        <w:tc>
          <w:tcPr>
            <w:tcW w:w="1044" w:type="dxa"/>
            <w:tcBorders>
              <w:top w:val="nil"/>
              <w:left w:val="nil"/>
              <w:bottom w:val="single" w:sz="4" w:space="0" w:color="auto"/>
              <w:right w:val="nil"/>
            </w:tcBorders>
            <w:shd w:val="clear" w:color="auto" w:fill="auto"/>
            <w:noWrap/>
            <w:vAlign w:val="bottom"/>
            <w:hideMark/>
          </w:tcPr>
          <w:p w14:paraId="45B2E681" w14:textId="17090A4C"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43,008 </w:t>
            </w:r>
          </w:p>
        </w:tc>
        <w:tc>
          <w:tcPr>
            <w:tcW w:w="934" w:type="dxa"/>
            <w:tcBorders>
              <w:top w:val="nil"/>
              <w:left w:val="nil"/>
              <w:bottom w:val="single" w:sz="4" w:space="0" w:color="auto"/>
              <w:right w:val="nil"/>
            </w:tcBorders>
            <w:shd w:val="clear" w:color="auto" w:fill="auto"/>
            <w:noWrap/>
            <w:vAlign w:val="bottom"/>
            <w:hideMark/>
          </w:tcPr>
          <w:p w14:paraId="7B41BF9F" w14:textId="430D64A4"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174,550 </w:t>
            </w:r>
          </w:p>
        </w:tc>
      </w:tr>
      <w:tr w:rsidR="00A8085D" w:rsidRPr="00786797" w14:paraId="255F8ED2" w14:textId="77777777" w:rsidTr="00F96D8A">
        <w:trPr>
          <w:trHeight w:val="204"/>
        </w:trPr>
        <w:tc>
          <w:tcPr>
            <w:tcW w:w="3480" w:type="dxa"/>
            <w:tcBorders>
              <w:top w:val="nil"/>
              <w:left w:val="nil"/>
              <w:bottom w:val="single" w:sz="4" w:space="0" w:color="000000"/>
              <w:right w:val="nil"/>
            </w:tcBorders>
            <w:shd w:val="clear" w:color="auto" w:fill="auto"/>
            <w:vAlign w:val="bottom"/>
            <w:hideMark/>
          </w:tcPr>
          <w:p w14:paraId="3FC8BC03" w14:textId="77777777" w:rsidR="00A8085D" w:rsidRPr="00786797" w:rsidRDefault="00A8085D" w:rsidP="00A8085D">
            <w:pPr>
              <w:spacing w:after="0" w:line="240" w:lineRule="auto"/>
              <w:jc w:val="left"/>
              <w:rPr>
                <w:rFonts w:ascii="Arial" w:hAnsi="Arial" w:cs="Arial"/>
                <w:b/>
                <w:bCs/>
                <w:color w:val="000000"/>
                <w:sz w:val="16"/>
                <w:szCs w:val="16"/>
              </w:rPr>
            </w:pPr>
            <w:r w:rsidRPr="00786797">
              <w:rPr>
                <w:rFonts w:ascii="Arial" w:hAnsi="Arial" w:cs="Arial"/>
                <w:b/>
                <w:bCs/>
                <w:color w:val="000000"/>
                <w:sz w:val="16"/>
                <w:szCs w:val="16"/>
              </w:rPr>
              <w:t>Closing balance attributable to the Australian Government</w:t>
            </w:r>
          </w:p>
        </w:tc>
        <w:tc>
          <w:tcPr>
            <w:tcW w:w="1056" w:type="dxa"/>
            <w:tcBorders>
              <w:top w:val="nil"/>
              <w:left w:val="nil"/>
              <w:bottom w:val="single" w:sz="4" w:space="0" w:color="auto"/>
              <w:right w:val="nil"/>
            </w:tcBorders>
            <w:shd w:val="clear" w:color="auto" w:fill="auto"/>
            <w:noWrap/>
            <w:vAlign w:val="bottom"/>
            <w:hideMark/>
          </w:tcPr>
          <w:p w14:paraId="12E1A2E6" w14:textId="29F31AC7"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89,541 </w:t>
            </w:r>
          </w:p>
        </w:tc>
        <w:tc>
          <w:tcPr>
            <w:tcW w:w="999" w:type="dxa"/>
            <w:tcBorders>
              <w:top w:val="nil"/>
              <w:left w:val="nil"/>
              <w:bottom w:val="single" w:sz="4" w:space="0" w:color="auto"/>
              <w:right w:val="nil"/>
            </w:tcBorders>
            <w:shd w:val="clear" w:color="auto" w:fill="auto"/>
            <w:noWrap/>
            <w:vAlign w:val="bottom"/>
            <w:hideMark/>
          </w:tcPr>
          <w:p w14:paraId="753302EE" w14:textId="1D4EA57E"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42,001 </w:t>
            </w:r>
          </w:p>
        </w:tc>
        <w:tc>
          <w:tcPr>
            <w:tcW w:w="1044" w:type="dxa"/>
            <w:tcBorders>
              <w:top w:val="nil"/>
              <w:left w:val="nil"/>
              <w:bottom w:val="single" w:sz="4" w:space="0" w:color="auto"/>
              <w:right w:val="nil"/>
            </w:tcBorders>
            <w:shd w:val="clear" w:color="auto" w:fill="auto"/>
            <w:noWrap/>
            <w:vAlign w:val="bottom"/>
            <w:hideMark/>
          </w:tcPr>
          <w:p w14:paraId="41045933" w14:textId="57F5609B"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43,008 </w:t>
            </w:r>
          </w:p>
        </w:tc>
        <w:tc>
          <w:tcPr>
            <w:tcW w:w="934" w:type="dxa"/>
            <w:tcBorders>
              <w:top w:val="nil"/>
              <w:left w:val="nil"/>
              <w:bottom w:val="single" w:sz="4" w:space="0" w:color="auto"/>
              <w:right w:val="nil"/>
            </w:tcBorders>
            <w:shd w:val="clear" w:color="auto" w:fill="auto"/>
            <w:noWrap/>
            <w:vAlign w:val="bottom"/>
            <w:hideMark/>
          </w:tcPr>
          <w:p w14:paraId="5EDED35D" w14:textId="28F62FC1"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174,550 </w:t>
            </w:r>
          </w:p>
        </w:tc>
      </w:tr>
    </w:tbl>
    <w:p w14:paraId="5DF6E7AD" w14:textId="7EECDC79" w:rsidR="00B91F3E" w:rsidRPr="00132F9E" w:rsidRDefault="00B91F3E" w:rsidP="00B91F3E">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AF3F8B">
        <w:rPr>
          <w:rFonts w:ascii="Arial" w:hAnsi="Arial" w:cs="Arial"/>
          <w:sz w:val="16"/>
        </w:rPr>
        <w:t>.</w:t>
      </w:r>
    </w:p>
    <w:p w14:paraId="6422CC6F" w14:textId="77777777" w:rsidR="00B91F3E" w:rsidRDefault="00B91F3E" w:rsidP="00B91F3E">
      <w:pPr>
        <w:pStyle w:val="Source"/>
      </w:pPr>
    </w:p>
    <w:p w14:paraId="2609B071" w14:textId="6CE1AF24" w:rsidR="00B91F3E" w:rsidRDefault="00B91F3E" w:rsidP="00B91F3E">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528" w:type="dxa"/>
        <w:tblLook w:val="04A0" w:firstRow="1" w:lastRow="0" w:firstColumn="1" w:lastColumn="0" w:noHBand="0" w:noVBand="1"/>
      </w:tblPr>
      <w:tblGrid>
        <w:gridCol w:w="3080"/>
        <w:gridCol w:w="928"/>
        <w:gridCol w:w="880"/>
        <w:gridCol w:w="880"/>
        <w:gridCol w:w="880"/>
        <w:gridCol w:w="880"/>
      </w:tblGrid>
      <w:tr w:rsidR="00B91F3E" w:rsidRPr="00F21454" w14:paraId="3D8B39AE" w14:textId="77777777" w:rsidTr="00F96D8A">
        <w:trPr>
          <w:trHeight w:val="510"/>
        </w:trPr>
        <w:tc>
          <w:tcPr>
            <w:tcW w:w="3080" w:type="dxa"/>
            <w:tcBorders>
              <w:top w:val="single" w:sz="4" w:space="0" w:color="auto"/>
              <w:left w:val="nil"/>
              <w:bottom w:val="nil"/>
              <w:right w:val="nil"/>
            </w:tcBorders>
            <w:shd w:val="clear" w:color="auto" w:fill="auto"/>
            <w:noWrap/>
            <w:hideMark/>
          </w:tcPr>
          <w:p w14:paraId="5CC2AB07" w14:textId="77777777" w:rsidR="00B91F3E" w:rsidRPr="00F21454" w:rsidRDefault="00B91F3E" w:rsidP="00F96D8A">
            <w:pPr>
              <w:spacing w:after="0" w:line="240" w:lineRule="auto"/>
              <w:jc w:val="left"/>
              <w:rPr>
                <w:rFonts w:ascii="Arial" w:hAnsi="Arial" w:cs="Arial"/>
                <w:b/>
                <w:bCs/>
                <w:sz w:val="16"/>
                <w:szCs w:val="16"/>
              </w:rPr>
            </w:pPr>
            <w:r w:rsidRPr="00F2145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3280C6D" w14:textId="77777777" w:rsidR="00B91F3E" w:rsidRPr="00F21454" w:rsidRDefault="00B91F3E" w:rsidP="00F96D8A">
            <w:pPr>
              <w:spacing w:after="0" w:line="240" w:lineRule="auto"/>
              <w:jc w:val="right"/>
              <w:rPr>
                <w:rFonts w:ascii="Arial" w:hAnsi="Arial" w:cs="Arial"/>
                <w:sz w:val="16"/>
                <w:szCs w:val="16"/>
              </w:rPr>
            </w:pPr>
            <w:r w:rsidRPr="00F21454">
              <w:rPr>
                <w:rFonts w:ascii="Arial" w:hAnsi="Arial" w:cs="Arial"/>
                <w:sz w:val="16"/>
                <w:szCs w:val="16"/>
              </w:rPr>
              <w:t>2021-22</w:t>
            </w:r>
            <w:r w:rsidRPr="00F21454">
              <w:rPr>
                <w:rFonts w:ascii="Arial" w:hAnsi="Arial" w:cs="Arial"/>
                <w:sz w:val="16"/>
                <w:szCs w:val="16"/>
              </w:rPr>
              <w:br/>
              <w:t>Estimated actual</w:t>
            </w:r>
            <w:r w:rsidRPr="00F2145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2271861E" w14:textId="77777777" w:rsidR="00B91F3E" w:rsidRPr="00F21454" w:rsidRDefault="00B91F3E" w:rsidP="00F96D8A">
            <w:pPr>
              <w:spacing w:after="0" w:line="240" w:lineRule="auto"/>
              <w:jc w:val="right"/>
              <w:rPr>
                <w:rFonts w:ascii="Arial" w:hAnsi="Arial" w:cs="Arial"/>
                <w:sz w:val="16"/>
                <w:szCs w:val="16"/>
              </w:rPr>
            </w:pPr>
            <w:r w:rsidRPr="00F21454">
              <w:rPr>
                <w:rFonts w:ascii="Arial" w:hAnsi="Arial" w:cs="Arial"/>
                <w:sz w:val="16"/>
                <w:szCs w:val="16"/>
              </w:rPr>
              <w:t>2022-23</w:t>
            </w:r>
            <w:r w:rsidRPr="00F21454">
              <w:rPr>
                <w:rFonts w:ascii="Arial" w:hAnsi="Arial" w:cs="Arial"/>
                <w:sz w:val="16"/>
                <w:szCs w:val="16"/>
              </w:rPr>
              <w:br/>
              <w:t>Budget</w:t>
            </w:r>
            <w:r w:rsidRPr="00F21454">
              <w:rPr>
                <w:rFonts w:ascii="Arial" w:hAnsi="Arial" w:cs="Arial"/>
                <w:sz w:val="16"/>
                <w:szCs w:val="16"/>
              </w:rPr>
              <w:br/>
            </w:r>
            <w:r w:rsidRPr="00F2145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833028A" w14:textId="77777777" w:rsidR="00B91F3E" w:rsidRPr="00F21454" w:rsidRDefault="00B91F3E" w:rsidP="00F96D8A">
            <w:pPr>
              <w:spacing w:after="0" w:line="240" w:lineRule="auto"/>
              <w:jc w:val="right"/>
              <w:rPr>
                <w:rFonts w:ascii="Arial" w:hAnsi="Arial" w:cs="Arial"/>
                <w:sz w:val="16"/>
                <w:szCs w:val="16"/>
              </w:rPr>
            </w:pPr>
            <w:r w:rsidRPr="00F21454">
              <w:rPr>
                <w:rFonts w:ascii="Arial" w:hAnsi="Arial" w:cs="Arial"/>
                <w:sz w:val="16"/>
                <w:szCs w:val="16"/>
              </w:rPr>
              <w:t>2023-24</w:t>
            </w:r>
            <w:r w:rsidRPr="00F21454">
              <w:rPr>
                <w:rFonts w:ascii="Arial" w:hAnsi="Arial" w:cs="Arial"/>
                <w:sz w:val="16"/>
                <w:szCs w:val="16"/>
              </w:rPr>
              <w:br/>
              <w:t>Forward estimate</w:t>
            </w:r>
            <w:r w:rsidRPr="00F2145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7F55993" w14:textId="77777777" w:rsidR="00B91F3E" w:rsidRPr="00F21454" w:rsidRDefault="00B91F3E" w:rsidP="00F96D8A">
            <w:pPr>
              <w:spacing w:after="0" w:line="240" w:lineRule="auto"/>
              <w:jc w:val="right"/>
              <w:rPr>
                <w:rFonts w:ascii="Arial" w:hAnsi="Arial" w:cs="Arial"/>
                <w:sz w:val="16"/>
                <w:szCs w:val="16"/>
              </w:rPr>
            </w:pPr>
            <w:r w:rsidRPr="00F21454">
              <w:rPr>
                <w:rFonts w:ascii="Arial" w:hAnsi="Arial" w:cs="Arial"/>
                <w:sz w:val="16"/>
                <w:szCs w:val="16"/>
              </w:rPr>
              <w:t>2024-25</w:t>
            </w:r>
            <w:r w:rsidRPr="00F21454">
              <w:rPr>
                <w:rFonts w:ascii="Arial" w:hAnsi="Arial" w:cs="Arial"/>
                <w:sz w:val="16"/>
                <w:szCs w:val="16"/>
              </w:rPr>
              <w:br/>
              <w:t>Forward estimate</w:t>
            </w:r>
            <w:r w:rsidRPr="00F2145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A7A368A" w14:textId="77777777" w:rsidR="00B91F3E" w:rsidRPr="00F21454" w:rsidRDefault="00B91F3E" w:rsidP="00F96D8A">
            <w:pPr>
              <w:spacing w:after="0" w:line="240" w:lineRule="auto"/>
              <w:jc w:val="right"/>
              <w:rPr>
                <w:rFonts w:ascii="Arial" w:hAnsi="Arial" w:cs="Arial"/>
                <w:sz w:val="16"/>
                <w:szCs w:val="16"/>
              </w:rPr>
            </w:pPr>
            <w:r w:rsidRPr="00F21454">
              <w:rPr>
                <w:rFonts w:ascii="Arial" w:hAnsi="Arial" w:cs="Arial"/>
                <w:sz w:val="16"/>
                <w:szCs w:val="16"/>
              </w:rPr>
              <w:t>2025-26</w:t>
            </w:r>
            <w:r w:rsidRPr="00F21454">
              <w:rPr>
                <w:rFonts w:ascii="Arial" w:hAnsi="Arial" w:cs="Arial"/>
                <w:sz w:val="16"/>
                <w:szCs w:val="16"/>
              </w:rPr>
              <w:br/>
              <w:t>Forward estimate</w:t>
            </w:r>
            <w:r w:rsidRPr="00F21454">
              <w:rPr>
                <w:rFonts w:ascii="Arial" w:hAnsi="Arial" w:cs="Arial"/>
                <w:sz w:val="16"/>
                <w:szCs w:val="16"/>
              </w:rPr>
              <w:br/>
              <w:t>$'000</w:t>
            </w:r>
          </w:p>
        </w:tc>
      </w:tr>
      <w:tr w:rsidR="00B91F3E" w:rsidRPr="00F21454" w14:paraId="47D64911" w14:textId="77777777" w:rsidTr="00F96D8A">
        <w:trPr>
          <w:trHeight w:val="204"/>
        </w:trPr>
        <w:tc>
          <w:tcPr>
            <w:tcW w:w="3080" w:type="dxa"/>
            <w:tcBorders>
              <w:top w:val="nil"/>
              <w:left w:val="nil"/>
              <w:bottom w:val="nil"/>
              <w:right w:val="nil"/>
            </w:tcBorders>
            <w:shd w:val="clear" w:color="auto" w:fill="auto"/>
            <w:noWrap/>
            <w:vAlign w:val="center"/>
            <w:hideMark/>
          </w:tcPr>
          <w:p w14:paraId="21309145" w14:textId="77777777" w:rsidR="00B91F3E" w:rsidRPr="00F21454" w:rsidRDefault="00B91F3E" w:rsidP="00F96D8A">
            <w:pPr>
              <w:spacing w:after="0" w:line="240" w:lineRule="auto"/>
              <w:jc w:val="left"/>
              <w:rPr>
                <w:rFonts w:ascii="Arial" w:hAnsi="Arial" w:cs="Arial"/>
                <w:b/>
                <w:bCs/>
                <w:color w:val="000000"/>
                <w:sz w:val="16"/>
                <w:szCs w:val="16"/>
              </w:rPr>
            </w:pPr>
            <w:r w:rsidRPr="00F21454">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5F41BB5D" w14:textId="77777777" w:rsidR="00B91F3E" w:rsidRPr="00F21454" w:rsidRDefault="00B91F3E" w:rsidP="00741AE0">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7BDBA92" w14:textId="77777777" w:rsidR="00B91F3E" w:rsidRPr="00F21454" w:rsidRDefault="00B91F3E" w:rsidP="00741AE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4AB606F" w14:textId="77777777" w:rsidR="00B91F3E" w:rsidRPr="00F21454" w:rsidRDefault="00B91F3E" w:rsidP="00741AE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D9F63A7" w14:textId="77777777" w:rsidR="00B91F3E" w:rsidRPr="00F21454" w:rsidRDefault="00B91F3E" w:rsidP="00741AE0">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6BEFBFF" w14:textId="77777777" w:rsidR="00B91F3E" w:rsidRPr="00F21454" w:rsidRDefault="00B91F3E" w:rsidP="00741AE0">
            <w:pPr>
              <w:spacing w:after="0" w:line="240" w:lineRule="auto"/>
              <w:jc w:val="right"/>
              <w:rPr>
                <w:rFonts w:ascii="Times New Roman" w:hAnsi="Times New Roman"/>
                <w:sz w:val="16"/>
                <w:szCs w:val="16"/>
              </w:rPr>
            </w:pPr>
          </w:p>
        </w:tc>
      </w:tr>
      <w:tr w:rsidR="00B91F3E" w:rsidRPr="00F21454" w14:paraId="1F74ACD3" w14:textId="77777777" w:rsidTr="00F96D8A">
        <w:trPr>
          <w:trHeight w:val="204"/>
        </w:trPr>
        <w:tc>
          <w:tcPr>
            <w:tcW w:w="3080" w:type="dxa"/>
            <w:tcBorders>
              <w:top w:val="nil"/>
              <w:left w:val="nil"/>
              <w:bottom w:val="nil"/>
              <w:right w:val="nil"/>
            </w:tcBorders>
            <w:shd w:val="clear" w:color="auto" w:fill="auto"/>
            <w:noWrap/>
            <w:vAlign w:val="center"/>
            <w:hideMark/>
          </w:tcPr>
          <w:p w14:paraId="02BDEC71" w14:textId="77777777" w:rsidR="00B91F3E" w:rsidRPr="00F21454" w:rsidRDefault="00B91F3E" w:rsidP="00F96D8A">
            <w:pPr>
              <w:spacing w:after="0" w:line="240" w:lineRule="auto"/>
              <w:ind w:left="113"/>
              <w:jc w:val="left"/>
              <w:rPr>
                <w:rFonts w:ascii="Arial" w:hAnsi="Arial" w:cs="Arial"/>
                <w:b/>
                <w:bCs/>
                <w:color w:val="000000"/>
                <w:sz w:val="16"/>
                <w:szCs w:val="16"/>
              </w:rPr>
            </w:pPr>
            <w:r w:rsidRPr="00F21454">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B2467AB" w14:textId="77777777" w:rsidR="00B91F3E" w:rsidRPr="00F21454" w:rsidRDefault="00B91F3E" w:rsidP="00741AE0">
            <w:pPr>
              <w:spacing w:after="0" w:line="240" w:lineRule="auto"/>
              <w:ind w:firstLineChars="100" w:firstLine="160"/>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EA9E2F0" w14:textId="77777777" w:rsidR="00B91F3E" w:rsidRPr="00F21454" w:rsidRDefault="00B91F3E" w:rsidP="00741AE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673FD88" w14:textId="77777777" w:rsidR="00B91F3E" w:rsidRPr="00F21454" w:rsidRDefault="00B91F3E" w:rsidP="00741AE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AD23D46" w14:textId="77777777" w:rsidR="00B91F3E" w:rsidRPr="00F21454" w:rsidRDefault="00B91F3E" w:rsidP="00741AE0">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3E856B5D" w14:textId="77777777" w:rsidR="00B91F3E" w:rsidRPr="00F21454" w:rsidRDefault="00B91F3E" w:rsidP="00741AE0">
            <w:pPr>
              <w:spacing w:after="0" w:line="240" w:lineRule="auto"/>
              <w:jc w:val="right"/>
              <w:rPr>
                <w:rFonts w:ascii="Times New Roman" w:hAnsi="Times New Roman"/>
                <w:sz w:val="16"/>
                <w:szCs w:val="16"/>
              </w:rPr>
            </w:pPr>
          </w:p>
        </w:tc>
      </w:tr>
      <w:tr w:rsidR="00A8085D" w:rsidRPr="00F21454" w14:paraId="49F93639" w14:textId="77777777" w:rsidTr="00A8085D">
        <w:trPr>
          <w:trHeight w:val="204"/>
        </w:trPr>
        <w:tc>
          <w:tcPr>
            <w:tcW w:w="3080" w:type="dxa"/>
            <w:tcBorders>
              <w:top w:val="nil"/>
              <w:left w:val="nil"/>
              <w:bottom w:val="nil"/>
              <w:right w:val="nil"/>
            </w:tcBorders>
            <w:shd w:val="clear" w:color="auto" w:fill="auto"/>
            <w:noWrap/>
            <w:vAlign w:val="center"/>
            <w:hideMark/>
          </w:tcPr>
          <w:p w14:paraId="5A16CC8E" w14:textId="72EE9E22"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37B23C60" w14:textId="66E3A655"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412,828 </w:t>
            </w:r>
          </w:p>
        </w:tc>
        <w:tc>
          <w:tcPr>
            <w:tcW w:w="880" w:type="dxa"/>
            <w:tcBorders>
              <w:top w:val="nil"/>
              <w:left w:val="nil"/>
              <w:bottom w:val="nil"/>
              <w:right w:val="nil"/>
            </w:tcBorders>
            <w:shd w:val="clear" w:color="000000" w:fill="E6E6E6"/>
            <w:noWrap/>
            <w:vAlign w:val="bottom"/>
            <w:hideMark/>
          </w:tcPr>
          <w:p w14:paraId="4BC31214" w14:textId="77F42B1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481,604 </w:t>
            </w:r>
          </w:p>
        </w:tc>
        <w:tc>
          <w:tcPr>
            <w:tcW w:w="880" w:type="dxa"/>
            <w:tcBorders>
              <w:top w:val="nil"/>
              <w:left w:val="nil"/>
              <w:bottom w:val="nil"/>
              <w:right w:val="nil"/>
            </w:tcBorders>
            <w:shd w:val="clear" w:color="auto" w:fill="auto"/>
            <w:noWrap/>
            <w:vAlign w:val="bottom"/>
            <w:hideMark/>
          </w:tcPr>
          <w:p w14:paraId="159975FD" w14:textId="125B6A5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404,548 </w:t>
            </w:r>
          </w:p>
        </w:tc>
        <w:tc>
          <w:tcPr>
            <w:tcW w:w="880" w:type="dxa"/>
            <w:tcBorders>
              <w:top w:val="nil"/>
              <w:left w:val="nil"/>
              <w:bottom w:val="nil"/>
              <w:right w:val="nil"/>
            </w:tcBorders>
            <w:shd w:val="clear" w:color="auto" w:fill="auto"/>
            <w:noWrap/>
            <w:vAlign w:val="bottom"/>
            <w:hideMark/>
          </w:tcPr>
          <w:p w14:paraId="3B5033E4" w14:textId="6D1F6F61"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346,107 </w:t>
            </w:r>
          </w:p>
        </w:tc>
        <w:tc>
          <w:tcPr>
            <w:tcW w:w="880" w:type="dxa"/>
            <w:tcBorders>
              <w:top w:val="nil"/>
              <w:left w:val="nil"/>
              <w:bottom w:val="nil"/>
              <w:right w:val="nil"/>
            </w:tcBorders>
            <w:shd w:val="clear" w:color="auto" w:fill="auto"/>
            <w:noWrap/>
            <w:vAlign w:val="bottom"/>
            <w:hideMark/>
          </w:tcPr>
          <w:p w14:paraId="0EE38886" w14:textId="399220CA"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338,776 </w:t>
            </w:r>
          </w:p>
        </w:tc>
      </w:tr>
      <w:tr w:rsidR="00A8085D" w:rsidRPr="00F21454" w14:paraId="1DC12E67" w14:textId="77777777" w:rsidTr="00A8085D">
        <w:trPr>
          <w:trHeight w:val="204"/>
        </w:trPr>
        <w:tc>
          <w:tcPr>
            <w:tcW w:w="3080" w:type="dxa"/>
            <w:tcBorders>
              <w:top w:val="nil"/>
              <w:left w:val="nil"/>
              <w:bottom w:val="nil"/>
              <w:right w:val="nil"/>
            </w:tcBorders>
            <w:shd w:val="clear" w:color="000000" w:fill="FFFFFF"/>
            <w:vAlign w:val="center"/>
            <w:hideMark/>
          </w:tcPr>
          <w:p w14:paraId="78A215B9" w14:textId="51FD4A2F"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Revenue from contracts with customers</w:t>
            </w:r>
          </w:p>
        </w:tc>
        <w:tc>
          <w:tcPr>
            <w:tcW w:w="928" w:type="dxa"/>
            <w:tcBorders>
              <w:top w:val="nil"/>
              <w:left w:val="nil"/>
              <w:bottom w:val="nil"/>
              <w:right w:val="nil"/>
            </w:tcBorders>
            <w:shd w:val="clear" w:color="auto" w:fill="auto"/>
            <w:noWrap/>
            <w:vAlign w:val="bottom"/>
            <w:hideMark/>
          </w:tcPr>
          <w:p w14:paraId="7D28656C" w14:textId="7DE4CC98"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7,608 </w:t>
            </w:r>
          </w:p>
        </w:tc>
        <w:tc>
          <w:tcPr>
            <w:tcW w:w="880" w:type="dxa"/>
            <w:tcBorders>
              <w:top w:val="nil"/>
              <w:left w:val="nil"/>
              <w:bottom w:val="nil"/>
              <w:right w:val="nil"/>
            </w:tcBorders>
            <w:shd w:val="clear" w:color="000000" w:fill="E6E6E6"/>
            <w:noWrap/>
            <w:vAlign w:val="bottom"/>
            <w:hideMark/>
          </w:tcPr>
          <w:p w14:paraId="11C7CCF5" w14:textId="3E0336B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5,734 </w:t>
            </w:r>
          </w:p>
        </w:tc>
        <w:tc>
          <w:tcPr>
            <w:tcW w:w="880" w:type="dxa"/>
            <w:tcBorders>
              <w:top w:val="nil"/>
              <w:left w:val="nil"/>
              <w:bottom w:val="nil"/>
              <w:right w:val="nil"/>
            </w:tcBorders>
            <w:shd w:val="clear" w:color="auto" w:fill="auto"/>
            <w:noWrap/>
            <w:vAlign w:val="bottom"/>
            <w:hideMark/>
          </w:tcPr>
          <w:p w14:paraId="390E9C0F" w14:textId="24D098A1"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5,734 </w:t>
            </w:r>
          </w:p>
        </w:tc>
        <w:tc>
          <w:tcPr>
            <w:tcW w:w="880" w:type="dxa"/>
            <w:tcBorders>
              <w:top w:val="nil"/>
              <w:left w:val="nil"/>
              <w:bottom w:val="nil"/>
              <w:right w:val="nil"/>
            </w:tcBorders>
            <w:shd w:val="clear" w:color="auto" w:fill="auto"/>
            <w:noWrap/>
            <w:vAlign w:val="bottom"/>
            <w:hideMark/>
          </w:tcPr>
          <w:p w14:paraId="0085C91D" w14:textId="430E446C"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5,734 </w:t>
            </w:r>
          </w:p>
        </w:tc>
        <w:tc>
          <w:tcPr>
            <w:tcW w:w="880" w:type="dxa"/>
            <w:tcBorders>
              <w:top w:val="nil"/>
              <w:left w:val="nil"/>
              <w:bottom w:val="nil"/>
              <w:right w:val="nil"/>
            </w:tcBorders>
            <w:shd w:val="clear" w:color="auto" w:fill="auto"/>
            <w:noWrap/>
            <w:vAlign w:val="bottom"/>
            <w:hideMark/>
          </w:tcPr>
          <w:p w14:paraId="278112F6" w14:textId="2F228A86"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5,734 </w:t>
            </w:r>
          </w:p>
        </w:tc>
      </w:tr>
      <w:tr w:rsidR="00A8085D" w:rsidRPr="00F21454" w14:paraId="518D9CE4" w14:textId="77777777" w:rsidTr="00A8085D">
        <w:trPr>
          <w:trHeight w:val="204"/>
        </w:trPr>
        <w:tc>
          <w:tcPr>
            <w:tcW w:w="3080" w:type="dxa"/>
            <w:tcBorders>
              <w:top w:val="nil"/>
              <w:left w:val="nil"/>
              <w:bottom w:val="nil"/>
              <w:right w:val="nil"/>
            </w:tcBorders>
            <w:shd w:val="clear" w:color="auto" w:fill="auto"/>
            <w:noWrap/>
            <w:vAlign w:val="center"/>
            <w:hideMark/>
          </w:tcPr>
          <w:p w14:paraId="32C8A241" w14:textId="4E5DB32A"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560556A1" w14:textId="0B6C3F0D"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5,217 </w:t>
            </w:r>
          </w:p>
        </w:tc>
        <w:tc>
          <w:tcPr>
            <w:tcW w:w="880" w:type="dxa"/>
            <w:tcBorders>
              <w:top w:val="nil"/>
              <w:left w:val="nil"/>
              <w:bottom w:val="nil"/>
              <w:right w:val="nil"/>
            </w:tcBorders>
            <w:shd w:val="clear" w:color="000000" w:fill="E6E6E6"/>
            <w:noWrap/>
            <w:vAlign w:val="bottom"/>
            <w:hideMark/>
          </w:tcPr>
          <w:p w14:paraId="25D92F1D" w14:textId="7D40D594"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4,680 </w:t>
            </w:r>
          </w:p>
        </w:tc>
        <w:tc>
          <w:tcPr>
            <w:tcW w:w="880" w:type="dxa"/>
            <w:tcBorders>
              <w:top w:val="nil"/>
              <w:left w:val="nil"/>
              <w:bottom w:val="nil"/>
              <w:right w:val="nil"/>
            </w:tcBorders>
            <w:shd w:val="clear" w:color="auto" w:fill="auto"/>
            <w:noWrap/>
            <w:vAlign w:val="bottom"/>
            <w:hideMark/>
          </w:tcPr>
          <w:p w14:paraId="17F13019" w14:textId="4F3FD84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5,807 </w:t>
            </w:r>
          </w:p>
        </w:tc>
        <w:tc>
          <w:tcPr>
            <w:tcW w:w="880" w:type="dxa"/>
            <w:tcBorders>
              <w:top w:val="nil"/>
              <w:left w:val="nil"/>
              <w:bottom w:val="nil"/>
              <w:right w:val="nil"/>
            </w:tcBorders>
            <w:shd w:val="clear" w:color="auto" w:fill="auto"/>
            <w:noWrap/>
            <w:vAlign w:val="bottom"/>
            <w:hideMark/>
          </w:tcPr>
          <w:p w14:paraId="1ACEEA47" w14:textId="1E2E8633"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5,807 </w:t>
            </w:r>
          </w:p>
        </w:tc>
        <w:tc>
          <w:tcPr>
            <w:tcW w:w="880" w:type="dxa"/>
            <w:tcBorders>
              <w:top w:val="nil"/>
              <w:left w:val="nil"/>
              <w:bottom w:val="nil"/>
              <w:right w:val="nil"/>
            </w:tcBorders>
            <w:shd w:val="clear" w:color="auto" w:fill="auto"/>
            <w:noWrap/>
            <w:vAlign w:val="bottom"/>
            <w:hideMark/>
          </w:tcPr>
          <w:p w14:paraId="0EFE6C4E" w14:textId="7D4C36A4"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5,807 </w:t>
            </w:r>
          </w:p>
        </w:tc>
      </w:tr>
      <w:tr w:rsidR="00A8085D" w:rsidRPr="00F21454" w14:paraId="0AC871AC" w14:textId="77777777" w:rsidTr="00F96D8A">
        <w:trPr>
          <w:trHeight w:val="204"/>
        </w:trPr>
        <w:tc>
          <w:tcPr>
            <w:tcW w:w="3080" w:type="dxa"/>
            <w:tcBorders>
              <w:top w:val="nil"/>
              <w:left w:val="nil"/>
              <w:bottom w:val="nil"/>
              <w:right w:val="nil"/>
            </w:tcBorders>
            <w:shd w:val="clear" w:color="auto" w:fill="auto"/>
            <w:noWrap/>
            <w:vAlign w:val="center"/>
            <w:hideMark/>
          </w:tcPr>
          <w:p w14:paraId="40C8A547" w14:textId="7B8849B1" w:rsidR="00A8085D" w:rsidRPr="00F21454" w:rsidRDefault="00A8085D" w:rsidP="00A8085D">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6C797573" w14:textId="6809F3D5"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425,653 </w:t>
            </w:r>
          </w:p>
        </w:tc>
        <w:tc>
          <w:tcPr>
            <w:tcW w:w="880" w:type="dxa"/>
            <w:tcBorders>
              <w:top w:val="single" w:sz="4" w:space="0" w:color="000000"/>
              <w:left w:val="nil"/>
              <w:bottom w:val="single" w:sz="4" w:space="0" w:color="000000"/>
              <w:right w:val="nil"/>
            </w:tcBorders>
            <w:shd w:val="clear" w:color="000000" w:fill="E6E6E6"/>
            <w:noWrap/>
            <w:vAlign w:val="bottom"/>
            <w:hideMark/>
          </w:tcPr>
          <w:p w14:paraId="0A9BA2C2" w14:textId="7A7930B4"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492,018 </w:t>
            </w:r>
          </w:p>
        </w:tc>
        <w:tc>
          <w:tcPr>
            <w:tcW w:w="880" w:type="dxa"/>
            <w:tcBorders>
              <w:top w:val="single" w:sz="4" w:space="0" w:color="000000"/>
              <w:left w:val="nil"/>
              <w:bottom w:val="single" w:sz="4" w:space="0" w:color="000000"/>
              <w:right w:val="nil"/>
            </w:tcBorders>
            <w:shd w:val="clear" w:color="auto" w:fill="auto"/>
            <w:noWrap/>
            <w:vAlign w:val="bottom"/>
            <w:hideMark/>
          </w:tcPr>
          <w:p w14:paraId="0FBFA833" w14:textId="57B76F3D"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416,089 </w:t>
            </w:r>
          </w:p>
        </w:tc>
        <w:tc>
          <w:tcPr>
            <w:tcW w:w="880" w:type="dxa"/>
            <w:tcBorders>
              <w:top w:val="single" w:sz="4" w:space="0" w:color="000000"/>
              <w:left w:val="nil"/>
              <w:bottom w:val="single" w:sz="4" w:space="0" w:color="000000"/>
              <w:right w:val="nil"/>
            </w:tcBorders>
            <w:shd w:val="clear" w:color="auto" w:fill="auto"/>
            <w:noWrap/>
            <w:vAlign w:val="bottom"/>
            <w:hideMark/>
          </w:tcPr>
          <w:p w14:paraId="46A45716" w14:textId="56633462"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357,648 </w:t>
            </w:r>
          </w:p>
        </w:tc>
        <w:tc>
          <w:tcPr>
            <w:tcW w:w="880" w:type="dxa"/>
            <w:tcBorders>
              <w:top w:val="single" w:sz="4" w:space="0" w:color="000000"/>
              <w:left w:val="nil"/>
              <w:bottom w:val="single" w:sz="4" w:space="0" w:color="000000"/>
              <w:right w:val="nil"/>
            </w:tcBorders>
            <w:shd w:val="clear" w:color="auto" w:fill="auto"/>
            <w:noWrap/>
            <w:vAlign w:val="bottom"/>
            <w:hideMark/>
          </w:tcPr>
          <w:p w14:paraId="29ADC76D" w14:textId="66F042E7"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350,317 </w:t>
            </w:r>
          </w:p>
        </w:tc>
      </w:tr>
      <w:tr w:rsidR="00A8085D" w:rsidRPr="00F21454" w14:paraId="774D10CA" w14:textId="77777777" w:rsidTr="00F96D8A">
        <w:trPr>
          <w:trHeight w:val="204"/>
        </w:trPr>
        <w:tc>
          <w:tcPr>
            <w:tcW w:w="3080" w:type="dxa"/>
            <w:tcBorders>
              <w:top w:val="nil"/>
              <w:left w:val="nil"/>
              <w:bottom w:val="nil"/>
              <w:right w:val="nil"/>
            </w:tcBorders>
            <w:shd w:val="clear" w:color="auto" w:fill="auto"/>
            <w:noWrap/>
            <w:vAlign w:val="center"/>
            <w:hideMark/>
          </w:tcPr>
          <w:p w14:paraId="46BD9B7E" w14:textId="7BF96868" w:rsidR="00A8085D" w:rsidRPr="00F21454" w:rsidRDefault="00A8085D" w:rsidP="00A8085D">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7302F99A" w14:textId="77777777" w:rsidR="00A8085D" w:rsidRPr="00F21454" w:rsidRDefault="00A8085D" w:rsidP="00A8085D">
            <w:pPr>
              <w:spacing w:after="0" w:line="240" w:lineRule="auto"/>
              <w:ind w:firstLineChars="100" w:firstLine="160"/>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42E7810" w14:textId="2A2763C1"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15C0E60A" w14:textId="77777777" w:rsidR="00A8085D" w:rsidRPr="00F21454" w:rsidRDefault="00A8085D" w:rsidP="00A8085D">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445DA83" w14:textId="77777777" w:rsidR="00A8085D" w:rsidRPr="00F21454" w:rsidRDefault="00A8085D" w:rsidP="00A8085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26DC9501" w14:textId="77777777" w:rsidR="00A8085D" w:rsidRPr="00F21454" w:rsidRDefault="00A8085D" w:rsidP="00A8085D">
            <w:pPr>
              <w:spacing w:after="0" w:line="240" w:lineRule="auto"/>
              <w:jc w:val="right"/>
              <w:rPr>
                <w:rFonts w:ascii="Times New Roman" w:hAnsi="Times New Roman"/>
                <w:sz w:val="16"/>
                <w:szCs w:val="16"/>
              </w:rPr>
            </w:pPr>
          </w:p>
        </w:tc>
      </w:tr>
      <w:tr w:rsidR="00A8085D" w:rsidRPr="00F21454" w14:paraId="669711AF" w14:textId="77777777" w:rsidTr="00F96D8A">
        <w:trPr>
          <w:trHeight w:val="204"/>
        </w:trPr>
        <w:tc>
          <w:tcPr>
            <w:tcW w:w="3080" w:type="dxa"/>
            <w:tcBorders>
              <w:top w:val="nil"/>
              <w:left w:val="nil"/>
              <w:bottom w:val="nil"/>
              <w:right w:val="nil"/>
            </w:tcBorders>
            <w:shd w:val="clear" w:color="auto" w:fill="auto"/>
            <w:noWrap/>
            <w:vAlign w:val="center"/>
            <w:hideMark/>
          </w:tcPr>
          <w:p w14:paraId="0440B090" w14:textId="35523D51"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40C22BF3" w14:textId="3D2934D8"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240,201 </w:t>
            </w:r>
          </w:p>
        </w:tc>
        <w:tc>
          <w:tcPr>
            <w:tcW w:w="880" w:type="dxa"/>
            <w:tcBorders>
              <w:top w:val="nil"/>
              <w:left w:val="nil"/>
              <w:bottom w:val="nil"/>
              <w:right w:val="nil"/>
            </w:tcBorders>
            <w:shd w:val="clear" w:color="000000" w:fill="E6E6E6"/>
            <w:noWrap/>
            <w:vAlign w:val="bottom"/>
            <w:hideMark/>
          </w:tcPr>
          <w:p w14:paraId="741CE67C" w14:textId="6F31C1BF"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251,835 </w:t>
            </w:r>
          </w:p>
        </w:tc>
        <w:tc>
          <w:tcPr>
            <w:tcW w:w="880" w:type="dxa"/>
            <w:tcBorders>
              <w:top w:val="nil"/>
              <w:left w:val="nil"/>
              <w:bottom w:val="nil"/>
              <w:right w:val="nil"/>
            </w:tcBorders>
            <w:shd w:val="clear" w:color="auto" w:fill="auto"/>
            <w:noWrap/>
            <w:vAlign w:val="bottom"/>
            <w:hideMark/>
          </w:tcPr>
          <w:p w14:paraId="13C321C1" w14:textId="2CAC5E29"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251,159 </w:t>
            </w:r>
          </w:p>
        </w:tc>
        <w:tc>
          <w:tcPr>
            <w:tcW w:w="880" w:type="dxa"/>
            <w:tcBorders>
              <w:top w:val="nil"/>
              <w:left w:val="nil"/>
              <w:bottom w:val="nil"/>
              <w:right w:val="nil"/>
            </w:tcBorders>
            <w:shd w:val="clear" w:color="auto" w:fill="auto"/>
            <w:noWrap/>
            <w:vAlign w:val="bottom"/>
            <w:hideMark/>
          </w:tcPr>
          <w:p w14:paraId="3FF2A295" w14:textId="35EFDAF7"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251,516 </w:t>
            </w:r>
          </w:p>
        </w:tc>
        <w:tc>
          <w:tcPr>
            <w:tcW w:w="880" w:type="dxa"/>
            <w:tcBorders>
              <w:top w:val="nil"/>
              <w:left w:val="nil"/>
              <w:bottom w:val="nil"/>
              <w:right w:val="nil"/>
            </w:tcBorders>
            <w:shd w:val="clear" w:color="auto" w:fill="auto"/>
            <w:noWrap/>
            <w:vAlign w:val="bottom"/>
            <w:hideMark/>
          </w:tcPr>
          <w:p w14:paraId="5A54142E" w14:textId="769162DD"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252,336 </w:t>
            </w:r>
          </w:p>
        </w:tc>
      </w:tr>
      <w:tr w:rsidR="00A8085D" w:rsidRPr="00F21454" w14:paraId="73FB5870" w14:textId="77777777" w:rsidTr="00F96D8A">
        <w:trPr>
          <w:trHeight w:val="204"/>
        </w:trPr>
        <w:tc>
          <w:tcPr>
            <w:tcW w:w="3080" w:type="dxa"/>
            <w:tcBorders>
              <w:top w:val="nil"/>
              <w:left w:val="nil"/>
              <w:bottom w:val="nil"/>
              <w:right w:val="nil"/>
            </w:tcBorders>
            <w:shd w:val="clear" w:color="auto" w:fill="auto"/>
            <w:noWrap/>
            <w:vAlign w:val="center"/>
            <w:hideMark/>
          </w:tcPr>
          <w:p w14:paraId="4C8E52C5" w14:textId="5CAC7DFC"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Suppliers and Grants</w:t>
            </w:r>
          </w:p>
        </w:tc>
        <w:tc>
          <w:tcPr>
            <w:tcW w:w="928" w:type="dxa"/>
            <w:tcBorders>
              <w:top w:val="nil"/>
              <w:left w:val="nil"/>
              <w:bottom w:val="nil"/>
              <w:right w:val="nil"/>
            </w:tcBorders>
            <w:shd w:val="clear" w:color="auto" w:fill="auto"/>
            <w:noWrap/>
            <w:vAlign w:val="bottom"/>
            <w:hideMark/>
          </w:tcPr>
          <w:p w14:paraId="0B0A3480" w14:textId="6315C10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152,921 </w:t>
            </w:r>
          </w:p>
        </w:tc>
        <w:tc>
          <w:tcPr>
            <w:tcW w:w="880" w:type="dxa"/>
            <w:tcBorders>
              <w:top w:val="nil"/>
              <w:left w:val="nil"/>
              <w:bottom w:val="nil"/>
              <w:right w:val="nil"/>
            </w:tcBorders>
            <w:shd w:val="clear" w:color="000000" w:fill="E6E6E6"/>
            <w:noWrap/>
            <w:vAlign w:val="bottom"/>
            <w:hideMark/>
          </w:tcPr>
          <w:p w14:paraId="218CB951" w14:textId="3329361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217,198 </w:t>
            </w:r>
          </w:p>
        </w:tc>
        <w:tc>
          <w:tcPr>
            <w:tcW w:w="880" w:type="dxa"/>
            <w:tcBorders>
              <w:top w:val="nil"/>
              <w:left w:val="nil"/>
              <w:bottom w:val="nil"/>
              <w:right w:val="nil"/>
            </w:tcBorders>
            <w:shd w:val="clear" w:color="auto" w:fill="auto"/>
            <w:noWrap/>
            <w:vAlign w:val="bottom"/>
            <w:hideMark/>
          </w:tcPr>
          <w:p w14:paraId="2EAE0F59" w14:textId="1112F195"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143,045 </w:t>
            </w:r>
          </w:p>
        </w:tc>
        <w:tc>
          <w:tcPr>
            <w:tcW w:w="880" w:type="dxa"/>
            <w:tcBorders>
              <w:top w:val="nil"/>
              <w:left w:val="nil"/>
              <w:bottom w:val="nil"/>
              <w:right w:val="nil"/>
            </w:tcBorders>
            <w:shd w:val="clear" w:color="auto" w:fill="auto"/>
            <w:noWrap/>
            <w:vAlign w:val="bottom"/>
            <w:hideMark/>
          </w:tcPr>
          <w:p w14:paraId="668FA8A4" w14:textId="5D072C3B"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80,064 </w:t>
            </w:r>
          </w:p>
        </w:tc>
        <w:tc>
          <w:tcPr>
            <w:tcW w:w="880" w:type="dxa"/>
            <w:tcBorders>
              <w:top w:val="nil"/>
              <w:left w:val="nil"/>
              <w:bottom w:val="nil"/>
              <w:right w:val="nil"/>
            </w:tcBorders>
            <w:shd w:val="clear" w:color="auto" w:fill="auto"/>
            <w:noWrap/>
            <w:vAlign w:val="bottom"/>
            <w:hideMark/>
          </w:tcPr>
          <w:p w14:paraId="30457737" w14:textId="53A15082"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71,913 </w:t>
            </w:r>
          </w:p>
        </w:tc>
      </w:tr>
      <w:tr w:rsidR="00A8085D" w:rsidRPr="00F21454" w14:paraId="4B5A9CCC" w14:textId="77777777" w:rsidTr="00F96D8A">
        <w:trPr>
          <w:trHeight w:val="204"/>
        </w:trPr>
        <w:tc>
          <w:tcPr>
            <w:tcW w:w="3080" w:type="dxa"/>
            <w:tcBorders>
              <w:top w:val="nil"/>
              <w:left w:val="nil"/>
              <w:bottom w:val="nil"/>
              <w:right w:val="nil"/>
            </w:tcBorders>
            <w:shd w:val="clear" w:color="auto" w:fill="auto"/>
            <w:noWrap/>
            <w:vAlign w:val="center"/>
            <w:hideMark/>
          </w:tcPr>
          <w:p w14:paraId="44491D7C" w14:textId="33FBD0A9"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43FD09CB" w14:textId="08FD1A19"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2,425 </w:t>
            </w:r>
          </w:p>
        </w:tc>
        <w:tc>
          <w:tcPr>
            <w:tcW w:w="880" w:type="dxa"/>
            <w:tcBorders>
              <w:top w:val="nil"/>
              <w:left w:val="nil"/>
              <w:bottom w:val="nil"/>
              <w:right w:val="nil"/>
            </w:tcBorders>
            <w:shd w:val="clear" w:color="000000" w:fill="E6E6E6"/>
            <w:noWrap/>
            <w:vAlign w:val="bottom"/>
            <w:hideMark/>
          </w:tcPr>
          <w:p w14:paraId="5D6D923A" w14:textId="317A590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1,942 </w:t>
            </w:r>
          </w:p>
        </w:tc>
        <w:tc>
          <w:tcPr>
            <w:tcW w:w="880" w:type="dxa"/>
            <w:tcBorders>
              <w:top w:val="nil"/>
              <w:left w:val="nil"/>
              <w:bottom w:val="nil"/>
              <w:right w:val="nil"/>
            </w:tcBorders>
            <w:shd w:val="clear" w:color="auto" w:fill="auto"/>
            <w:noWrap/>
            <w:vAlign w:val="bottom"/>
            <w:hideMark/>
          </w:tcPr>
          <w:p w14:paraId="4F8FA0F9" w14:textId="386F41E1"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1,824 </w:t>
            </w:r>
          </w:p>
        </w:tc>
        <w:tc>
          <w:tcPr>
            <w:tcW w:w="880" w:type="dxa"/>
            <w:tcBorders>
              <w:top w:val="nil"/>
              <w:left w:val="nil"/>
              <w:bottom w:val="nil"/>
              <w:right w:val="nil"/>
            </w:tcBorders>
            <w:shd w:val="clear" w:color="auto" w:fill="auto"/>
            <w:noWrap/>
            <w:vAlign w:val="bottom"/>
            <w:hideMark/>
          </w:tcPr>
          <w:p w14:paraId="541F4B7E" w14:textId="52F99752"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1,824 </w:t>
            </w:r>
          </w:p>
        </w:tc>
        <w:tc>
          <w:tcPr>
            <w:tcW w:w="880" w:type="dxa"/>
            <w:tcBorders>
              <w:top w:val="nil"/>
              <w:left w:val="nil"/>
              <w:bottom w:val="nil"/>
              <w:right w:val="nil"/>
            </w:tcBorders>
            <w:shd w:val="clear" w:color="auto" w:fill="auto"/>
            <w:noWrap/>
            <w:vAlign w:val="bottom"/>
            <w:hideMark/>
          </w:tcPr>
          <w:p w14:paraId="4FA01536" w14:textId="42AEAF5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1,824 </w:t>
            </w:r>
          </w:p>
        </w:tc>
      </w:tr>
      <w:tr w:rsidR="00A8085D" w:rsidRPr="00F21454" w14:paraId="70245AC2" w14:textId="77777777" w:rsidTr="00F96D8A">
        <w:trPr>
          <w:trHeight w:val="204"/>
        </w:trPr>
        <w:tc>
          <w:tcPr>
            <w:tcW w:w="3080" w:type="dxa"/>
            <w:tcBorders>
              <w:top w:val="nil"/>
              <w:left w:val="nil"/>
              <w:bottom w:val="nil"/>
              <w:right w:val="nil"/>
            </w:tcBorders>
            <w:shd w:val="clear" w:color="auto" w:fill="auto"/>
            <w:noWrap/>
            <w:vAlign w:val="center"/>
            <w:hideMark/>
          </w:tcPr>
          <w:p w14:paraId="6E3E1254" w14:textId="54FE4A88"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5E5200A6" w14:textId="1573B1B2"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66 </w:t>
            </w:r>
          </w:p>
        </w:tc>
        <w:tc>
          <w:tcPr>
            <w:tcW w:w="880" w:type="dxa"/>
            <w:tcBorders>
              <w:top w:val="nil"/>
              <w:left w:val="nil"/>
              <w:bottom w:val="nil"/>
              <w:right w:val="nil"/>
            </w:tcBorders>
            <w:shd w:val="clear" w:color="000000" w:fill="E6E6E6"/>
            <w:noWrap/>
            <w:vAlign w:val="bottom"/>
            <w:hideMark/>
          </w:tcPr>
          <w:p w14:paraId="0AEFBBF2" w14:textId="2408AE63"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66 </w:t>
            </w:r>
          </w:p>
        </w:tc>
        <w:tc>
          <w:tcPr>
            <w:tcW w:w="880" w:type="dxa"/>
            <w:tcBorders>
              <w:top w:val="nil"/>
              <w:left w:val="nil"/>
              <w:bottom w:val="nil"/>
              <w:right w:val="nil"/>
            </w:tcBorders>
            <w:shd w:val="clear" w:color="auto" w:fill="auto"/>
            <w:noWrap/>
            <w:vAlign w:val="bottom"/>
            <w:hideMark/>
          </w:tcPr>
          <w:p w14:paraId="2A09EC03" w14:textId="114D919F"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66 </w:t>
            </w:r>
          </w:p>
        </w:tc>
        <w:tc>
          <w:tcPr>
            <w:tcW w:w="880" w:type="dxa"/>
            <w:tcBorders>
              <w:top w:val="nil"/>
              <w:left w:val="nil"/>
              <w:bottom w:val="nil"/>
              <w:right w:val="nil"/>
            </w:tcBorders>
            <w:shd w:val="clear" w:color="auto" w:fill="auto"/>
            <w:noWrap/>
            <w:vAlign w:val="bottom"/>
            <w:hideMark/>
          </w:tcPr>
          <w:p w14:paraId="59AFF24D" w14:textId="6C13DCEF"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66 </w:t>
            </w:r>
          </w:p>
        </w:tc>
        <w:tc>
          <w:tcPr>
            <w:tcW w:w="880" w:type="dxa"/>
            <w:tcBorders>
              <w:top w:val="nil"/>
              <w:left w:val="nil"/>
              <w:bottom w:val="nil"/>
              <w:right w:val="nil"/>
            </w:tcBorders>
            <w:shd w:val="clear" w:color="auto" w:fill="auto"/>
            <w:noWrap/>
            <w:vAlign w:val="bottom"/>
            <w:hideMark/>
          </w:tcPr>
          <w:p w14:paraId="4DEF4B30" w14:textId="6155640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66 </w:t>
            </w:r>
          </w:p>
        </w:tc>
      </w:tr>
      <w:tr w:rsidR="00A8085D" w:rsidRPr="00F21454" w14:paraId="549B4F20" w14:textId="77777777" w:rsidTr="00F96D8A">
        <w:trPr>
          <w:trHeight w:val="204"/>
        </w:trPr>
        <w:tc>
          <w:tcPr>
            <w:tcW w:w="3080" w:type="dxa"/>
            <w:tcBorders>
              <w:top w:val="nil"/>
              <w:left w:val="nil"/>
              <w:bottom w:val="nil"/>
              <w:right w:val="nil"/>
            </w:tcBorders>
            <w:shd w:val="clear" w:color="auto" w:fill="auto"/>
            <w:noWrap/>
            <w:vAlign w:val="center"/>
            <w:hideMark/>
          </w:tcPr>
          <w:p w14:paraId="3DBABB03" w14:textId="6A07419C" w:rsidR="00A8085D" w:rsidRPr="00F21454" w:rsidRDefault="00A8085D" w:rsidP="00A8085D">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3FA549B7" w14:textId="7773EA9F"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395,613 </w:t>
            </w:r>
          </w:p>
        </w:tc>
        <w:tc>
          <w:tcPr>
            <w:tcW w:w="880" w:type="dxa"/>
            <w:tcBorders>
              <w:top w:val="single" w:sz="4" w:space="0" w:color="000000"/>
              <w:left w:val="nil"/>
              <w:bottom w:val="nil"/>
              <w:right w:val="nil"/>
            </w:tcBorders>
            <w:shd w:val="clear" w:color="000000" w:fill="E6E6E6"/>
            <w:noWrap/>
            <w:vAlign w:val="bottom"/>
            <w:hideMark/>
          </w:tcPr>
          <w:p w14:paraId="4309D356" w14:textId="618CA334"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471,041 </w:t>
            </w:r>
          </w:p>
        </w:tc>
        <w:tc>
          <w:tcPr>
            <w:tcW w:w="880" w:type="dxa"/>
            <w:tcBorders>
              <w:top w:val="single" w:sz="4" w:space="0" w:color="000000"/>
              <w:left w:val="nil"/>
              <w:bottom w:val="nil"/>
              <w:right w:val="nil"/>
            </w:tcBorders>
            <w:shd w:val="clear" w:color="auto" w:fill="auto"/>
            <w:noWrap/>
            <w:vAlign w:val="bottom"/>
            <w:hideMark/>
          </w:tcPr>
          <w:p w14:paraId="6AFD6C9F" w14:textId="0E585D5B"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396,094 </w:t>
            </w:r>
          </w:p>
        </w:tc>
        <w:tc>
          <w:tcPr>
            <w:tcW w:w="880" w:type="dxa"/>
            <w:tcBorders>
              <w:top w:val="single" w:sz="4" w:space="0" w:color="000000"/>
              <w:left w:val="nil"/>
              <w:bottom w:val="nil"/>
              <w:right w:val="nil"/>
            </w:tcBorders>
            <w:shd w:val="clear" w:color="auto" w:fill="auto"/>
            <w:noWrap/>
            <w:vAlign w:val="bottom"/>
            <w:hideMark/>
          </w:tcPr>
          <w:p w14:paraId="173CFC8F" w14:textId="3DE86ECE"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333,470 </w:t>
            </w:r>
          </w:p>
        </w:tc>
        <w:tc>
          <w:tcPr>
            <w:tcW w:w="880" w:type="dxa"/>
            <w:tcBorders>
              <w:top w:val="single" w:sz="4" w:space="0" w:color="000000"/>
              <w:left w:val="nil"/>
              <w:bottom w:val="nil"/>
              <w:right w:val="nil"/>
            </w:tcBorders>
            <w:shd w:val="clear" w:color="auto" w:fill="auto"/>
            <w:noWrap/>
            <w:vAlign w:val="bottom"/>
            <w:hideMark/>
          </w:tcPr>
          <w:p w14:paraId="19B1C9E6" w14:textId="3F71647C"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326,139 </w:t>
            </w:r>
          </w:p>
        </w:tc>
      </w:tr>
      <w:tr w:rsidR="00A8085D" w:rsidRPr="00F21454" w14:paraId="28E6E927" w14:textId="77777777" w:rsidTr="00F96D8A">
        <w:trPr>
          <w:trHeight w:val="204"/>
        </w:trPr>
        <w:tc>
          <w:tcPr>
            <w:tcW w:w="3080" w:type="dxa"/>
            <w:tcBorders>
              <w:top w:val="nil"/>
              <w:left w:val="nil"/>
              <w:bottom w:val="nil"/>
              <w:right w:val="nil"/>
            </w:tcBorders>
            <w:shd w:val="clear" w:color="auto" w:fill="auto"/>
            <w:vAlign w:val="center"/>
            <w:hideMark/>
          </w:tcPr>
          <w:p w14:paraId="65375EE8" w14:textId="40E0A61F"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1840D3C8" w14:textId="2FA61F91"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30,040 </w:t>
            </w:r>
          </w:p>
        </w:tc>
        <w:tc>
          <w:tcPr>
            <w:tcW w:w="880" w:type="dxa"/>
            <w:tcBorders>
              <w:top w:val="single" w:sz="4" w:space="0" w:color="auto"/>
              <w:left w:val="nil"/>
              <w:bottom w:val="single" w:sz="4" w:space="0" w:color="auto"/>
              <w:right w:val="nil"/>
            </w:tcBorders>
            <w:shd w:val="clear" w:color="000000" w:fill="E6E6E6"/>
            <w:noWrap/>
            <w:vAlign w:val="bottom"/>
            <w:hideMark/>
          </w:tcPr>
          <w:p w14:paraId="0A096FE8" w14:textId="4398A710"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20,977 </w:t>
            </w:r>
          </w:p>
        </w:tc>
        <w:tc>
          <w:tcPr>
            <w:tcW w:w="880" w:type="dxa"/>
            <w:tcBorders>
              <w:top w:val="single" w:sz="4" w:space="0" w:color="auto"/>
              <w:left w:val="nil"/>
              <w:bottom w:val="single" w:sz="4" w:space="0" w:color="auto"/>
              <w:right w:val="nil"/>
            </w:tcBorders>
            <w:shd w:val="clear" w:color="auto" w:fill="auto"/>
            <w:noWrap/>
            <w:vAlign w:val="bottom"/>
            <w:hideMark/>
          </w:tcPr>
          <w:p w14:paraId="2716DF5D" w14:textId="1183621A"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19,995 </w:t>
            </w:r>
          </w:p>
        </w:tc>
        <w:tc>
          <w:tcPr>
            <w:tcW w:w="880" w:type="dxa"/>
            <w:tcBorders>
              <w:top w:val="single" w:sz="4" w:space="0" w:color="auto"/>
              <w:left w:val="nil"/>
              <w:bottom w:val="single" w:sz="4" w:space="0" w:color="auto"/>
              <w:right w:val="nil"/>
            </w:tcBorders>
            <w:shd w:val="clear" w:color="auto" w:fill="auto"/>
            <w:noWrap/>
            <w:vAlign w:val="bottom"/>
            <w:hideMark/>
          </w:tcPr>
          <w:p w14:paraId="3383C296" w14:textId="46C77CB2"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24,178 </w:t>
            </w:r>
          </w:p>
        </w:tc>
        <w:tc>
          <w:tcPr>
            <w:tcW w:w="880" w:type="dxa"/>
            <w:tcBorders>
              <w:top w:val="single" w:sz="4" w:space="0" w:color="auto"/>
              <w:left w:val="nil"/>
              <w:bottom w:val="single" w:sz="4" w:space="0" w:color="auto"/>
              <w:right w:val="nil"/>
            </w:tcBorders>
            <w:shd w:val="clear" w:color="auto" w:fill="auto"/>
            <w:noWrap/>
            <w:vAlign w:val="bottom"/>
            <w:hideMark/>
          </w:tcPr>
          <w:p w14:paraId="60CCB920" w14:textId="345B273A"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24,178 </w:t>
            </w:r>
          </w:p>
        </w:tc>
      </w:tr>
      <w:tr w:rsidR="00A8085D" w:rsidRPr="00F21454" w14:paraId="34CB3719" w14:textId="77777777" w:rsidTr="00F96D8A">
        <w:trPr>
          <w:trHeight w:val="204"/>
        </w:trPr>
        <w:tc>
          <w:tcPr>
            <w:tcW w:w="3080" w:type="dxa"/>
            <w:tcBorders>
              <w:top w:val="nil"/>
              <w:left w:val="nil"/>
              <w:bottom w:val="nil"/>
              <w:right w:val="nil"/>
            </w:tcBorders>
            <w:shd w:val="clear" w:color="auto" w:fill="auto"/>
            <w:noWrap/>
            <w:vAlign w:val="center"/>
            <w:hideMark/>
          </w:tcPr>
          <w:p w14:paraId="3D8B3F8E" w14:textId="20972E76"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221201E1" w14:textId="77777777" w:rsidR="00A8085D" w:rsidRPr="00F21454" w:rsidRDefault="00A8085D" w:rsidP="00A8085D">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7DEDFAB" w14:textId="62DE375D"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C376F2D" w14:textId="77777777" w:rsidR="00A8085D" w:rsidRPr="00F21454" w:rsidRDefault="00A8085D" w:rsidP="00A8085D">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5B0D2D5" w14:textId="77777777" w:rsidR="00A8085D" w:rsidRPr="00F21454" w:rsidRDefault="00A8085D" w:rsidP="00A8085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4B952C24" w14:textId="77777777" w:rsidR="00A8085D" w:rsidRPr="00F21454" w:rsidRDefault="00A8085D" w:rsidP="00A8085D">
            <w:pPr>
              <w:spacing w:after="0" w:line="240" w:lineRule="auto"/>
              <w:jc w:val="right"/>
              <w:rPr>
                <w:rFonts w:ascii="Times New Roman" w:hAnsi="Times New Roman"/>
                <w:sz w:val="16"/>
                <w:szCs w:val="16"/>
              </w:rPr>
            </w:pPr>
          </w:p>
        </w:tc>
      </w:tr>
      <w:tr w:rsidR="00A8085D" w:rsidRPr="00F21454" w14:paraId="176CC358" w14:textId="77777777" w:rsidTr="00F96D8A">
        <w:trPr>
          <w:trHeight w:val="204"/>
        </w:trPr>
        <w:tc>
          <w:tcPr>
            <w:tcW w:w="3080" w:type="dxa"/>
            <w:tcBorders>
              <w:top w:val="nil"/>
              <w:left w:val="nil"/>
              <w:bottom w:val="nil"/>
              <w:right w:val="nil"/>
            </w:tcBorders>
            <w:shd w:val="clear" w:color="auto" w:fill="auto"/>
            <w:noWrap/>
            <w:vAlign w:val="center"/>
            <w:hideMark/>
          </w:tcPr>
          <w:p w14:paraId="730D81A3" w14:textId="25B5E0B4" w:rsidR="00A8085D" w:rsidRPr="00F21454" w:rsidRDefault="00A8085D" w:rsidP="00A8085D">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683335F6" w14:textId="77777777" w:rsidR="00A8085D" w:rsidRPr="00F21454" w:rsidRDefault="00A8085D" w:rsidP="00A8085D">
            <w:pPr>
              <w:spacing w:after="0" w:line="240" w:lineRule="auto"/>
              <w:ind w:firstLineChars="100" w:firstLine="160"/>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FAA0001" w14:textId="4D7A2944"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7CECD7B" w14:textId="77777777" w:rsidR="00A8085D" w:rsidRPr="00F21454" w:rsidRDefault="00A8085D" w:rsidP="00A8085D">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3AD941E" w14:textId="77777777" w:rsidR="00A8085D" w:rsidRPr="00F21454" w:rsidRDefault="00A8085D" w:rsidP="00A8085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51811B9" w14:textId="77777777" w:rsidR="00A8085D" w:rsidRPr="00F21454" w:rsidRDefault="00A8085D" w:rsidP="00A8085D">
            <w:pPr>
              <w:spacing w:after="0" w:line="240" w:lineRule="auto"/>
              <w:jc w:val="right"/>
              <w:rPr>
                <w:rFonts w:ascii="Times New Roman" w:hAnsi="Times New Roman"/>
                <w:sz w:val="16"/>
                <w:szCs w:val="16"/>
              </w:rPr>
            </w:pPr>
          </w:p>
        </w:tc>
      </w:tr>
      <w:tr w:rsidR="00A8085D" w:rsidRPr="00F21454" w14:paraId="2DD15B15" w14:textId="77777777" w:rsidTr="00F96D8A">
        <w:trPr>
          <w:trHeight w:val="204"/>
        </w:trPr>
        <w:tc>
          <w:tcPr>
            <w:tcW w:w="3080" w:type="dxa"/>
            <w:tcBorders>
              <w:top w:val="nil"/>
              <w:left w:val="nil"/>
              <w:bottom w:val="nil"/>
              <w:right w:val="nil"/>
            </w:tcBorders>
            <w:shd w:val="clear" w:color="auto" w:fill="auto"/>
            <w:vAlign w:val="bottom"/>
            <w:hideMark/>
          </w:tcPr>
          <w:p w14:paraId="428ED857" w14:textId="7B7BCA09"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Purchase of land, buildings, property, plant and equipment and intangibles</w:t>
            </w:r>
          </w:p>
        </w:tc>
        <w:tc>
          <w:tcPr>
            <w:tcW w:w="928" w:type="dxa"/>
            <w:tcBorders>
              <w:top w:val="nil"/>
              <w:left w:val="nil"/>
              <w:bottom w:val="nil"/>
              <w:right w:val="nil"/>
            </w:tcBorders>
            <w:shd w:val="clear" w:color="auto" w:fill="auto"/>
            <w:noWrap/>
            <w:vAlign w:val="bottom"/>
            <w:hideMark/>
          </w:tcPr>
          <w:p w14:paraId="7D0E657B" w14:textId="1B892931"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33,029 </w:t>
            </w:r>
          </w:p>
        </w:tc>
        <w:tc>
          <w:tcPr>
            <w:tcW w:w="880" w:type="dxa"/>
            <w:tcBorders>
              <w:top w:val="nil"/>
              <w:left w:val="nil"/>
              <w:bottom w:val="nil"/>
              <w:right w:val="nil"/>
            </w:tcBorders>
            <w:shd w:val="clear" w:color="000000" w:fill="E6E6E6"/>
            <w:noWrap/>
            <w:vAlign w:val="bottom"/>
            <w:hideMark/>
          </w:tcPr>
          <w:p w14:paraId="2C5824C2" w14:textId="65703485"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10,182 </w:t>
            </w:r>
          </w:p>
        </w:tc>
        <w:tc>
          <w:tcPr>
            <w:tcW w:w="880" w:type="dxa"/>
            <w:tcBorders>
              <w:top w:val="nil"/>
              <w:left w:val="nil"/>
              <w:bottom w:val="nil"/>
              <w:right w:val="nil"/>
            </w:tcBorders>
            <w:shd w:val="clear" w:color="auto" w:fill="auto"/>
            <w:noWrap/>
            <w:vAlign w:val="bottom"/>
            <w:hideMark/>
          </w:tcPr>
          <w:p w14:paraId="4C86F0BB" w14:textId="206F4F6C"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9,992 </w:t>
            </w:r>
          </w:p>
        </w:tc>
        <w:tc>
          <w:tcPr>
            <w:tcW w:w="880" w:type="dxa"/>
            <w:tcBorders>
              <w:top w:val="nil"/>
              <w:left w:val="nil"/>
              <w:bottom w:val="nil"/>
              <w:right w:val="nil"/>
            </w:tcBorders>
            <w:shd w:val="clear" w:color="auto" w:fill="auto"/>
            <w:noWrap/>
            <w:vAlign w:val="bottom"/>
            <w:hideMark/>
          </w:tcPr>
          <w:p w14:paraId="6FCE0FFF" w14:textId="56CA17A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10,210 </w:t>
            </w:r>
          </w:p>
        </w:tc>
        <w:tc>
          <w:tcPr>
            <w:tcW w:w="880" w:type="dxa"/>
            <w:tcBorders>
              <w:top w:val="nil"/>
              <w:left w:val="nil"/>
              <w:bottom w:val="nil"/>
              <w:right w:val="nil"/>
            </w:tcBorders>
            <w:shd w:val="clear" w:color="auto" w:fill="auto"/>
            <w:noWrap/>
            <w:vAlign w:val="bottom"/>
            <w:hideMark/>
          </w:tcPr>
          <w:p w14:paraId="4F489037" w14:textId="42D68C1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10,172 </w:t>
            </w:r>
          </w:p>
        </w:tc>
      </w:tr>
      <w:tr w:rsidR="00A8085D" w:rsidRPr="00F21454" w14:paraId="6DBEAAB4" w14:textId="77777777" w:rsidTr="00F96D8A">
        <w:trPr>
          <w:trHeight w:val="204"/>
        </w:trPr>
        <w:tc>
          <w:tcPr>
            <w:tcW w:w="3080" w:type="dxa"/>
            <w:tcBorders>
              <w:top w:val="nil"/>
              <w:left w:val="nil"/>
              <w:bottom w:val="nil"/>
              <w:right w:val="nil"/>
            </w:tcBorders>
            <w:shd w:val="clear" w:color="auto" w:fill="auto"/>
            <w:noWrap/>
            <w:vAlign w:val="center"/>
            <w:hideMark/>
          </w:tcPr>
          <w:p w14:paraId="53A00AF2" w14:textId="079D1E8D" w:rsidR="00A8085D" w:rsidRPr="00F21454" w:rsidRDefault="00A8085D" w:rsidP="00A8085D">
            <w:pPr>
              <w:spacing w:after="0" w:line="240" w:lineRule="auto"/>
              <w:ind w:left="113"/>
              <w:jc w:val="left"/>
              <w:rPr>
                <w:rFonts w:ascii="Arial" w:hAnsi="Arial" w:cs="Arial"/>
                <w:b/>
                <w:bCs/>
                <w:i/>
                <w:color w:val="000000"/>
                <w:sz w:val="16"/>
                <w:szCs w:val="16"/>
              </w:rPr>
            </w:pPr>
            <w:r>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3DD0C958" w14:textId="559A8BA6"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33,029 </w:t>
            </w:r>
          </w:p>
        </w:tc>
        <w:tc>
          <w:tcPr>
            <w:tcW w:w="880" w:type="dxa"/>
            <w:tcBorders>
              <w:top w:val="single" w:sz="4" w:space="0" w:color="000000"/>
              <w:left w:val="nil"/>
              <w:bottom w:val="single" w:sz="4" w:space="0" w:color="000000"/>
              <w:right w:val="nil"/>
            </w:tcBorders>
            <w:shd w:val="clear" w:color="000000" w:fill="E6E6E6"/>
            <w:noWrap/>
            <w:vAlign w:val="bottom"/>
            <w:hideMark/>
          </w:tcPr>
          <w:p w14:paraId="0DC9103C" w14:textId="1797F840"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10,182 </w:t>
            </w:r>
          </w:p>
        </w:tc>
        <w:tc>
          <w:tcPr>
            <w:tcW w:w="880" w:type="dxa"/>
            <w:tcBorders>
              <w:top w:val="single" w:sz="4" w:space="0" w:color="000000"/>
              <w:left w:val="nil"/>
              <w:bottom w:val="single" w:sz="4" w:space="0" w:color="000000"/>
              <w:right w:val="nil"/>
            </w:tcBorders>
            <w:shd w:val="clear" w:color="auto" w:fill="auto"/>
            <w:noWrap/>
            <w:vAlign w:val="bottom"/>
            <w:hideMark/>
          </w:tcPr>
          <w:p w14:paraId="75808A69" w14:textId="048CE9E1"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9,992 </w:t>
            </w:r>
          </w:p>
        </w:tc>
        <w:tc>
          <w:tcPr>
            <w:tcW w:w="880" w:type="dxa"/>
            <w:tcBorders>
              <w:top w:val="single" w:sz="4" w:space="0" w:color="000000"/>
              <w:left w:val="nil"/>
              <w:bottom w:val="single" w:sz="4" w:space="0" w:color="000000"/>
              <w:right w:val="nil"/>
            </w:tcBorders>
            <w:shd w:val="clear" w:color="auto" w:fill="auto"/>
            <w:noWrap/>
            <w:vAlign w:val="bottom"/>
            <w:hideMark/>
          </w:tcPr>
          <w:p w14:paraId="5F4ADC52" w14:textId="520E4D8C"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10,210 </w:t>
            </w:r>
          </w:p>
        </w:tc>
        <w:tc>
          <w:tcPr>
            <w:tcW w:w="880" w:type="dxa"/>
            <w:tcBorders>
              <w:top w:val="single" w:sz="4" w:space="0" w:color="000000"/>
              <w:left w:val="nil"/>
              <w:bottom w:val="single" w:sz="4" w:space="0" w:color="000000"/>
              <w:right w:val="nil"/>
            </w:tcBorders>
            <w:shd w:val="clear" w:color="auto" w:fill="auto"/>
            <w:noWrap/>
            <w:vAlign w:val="bottom"/>
            <w:hideMark/>
          </w:tcPr>
          <w:p w14:paraId="55F3317F" w14:textId="6AB2610F"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10,172 </w:t>
            </w:r>
          </w:p>
        </w:tc>
      </w:tr>
      <w:tr w:rsidR="00A8085D" w:rsidRPr="00F21454" w14:paraId="4B7C7034" w14:textId="77777777" w:rsidTr="00F96D8A">
        <w:trPr>
          <w:trHeight w:val="204"/>
        </w:trPr>
        <w:tc>
          <w:tcPr>
            <w:tcW w:w="3080" w:type="dxa"/>
            <w:tcBorders>
              <w:top w:val="nil"/>
              <w:left w:val="nil"/>
              <w:bottom w:val="nil"/>
              <w:right w:val="nil"/>
            </w:tcBorders>
            <w:shd w:val="clear" w:color="auto" w:fill="auto"/>
            <w:vAlign w:val="center"/>
            <w:hideMark/>
          </w:tcPr>
          <w:p w14:paraId="46A7A5DD" w14:textId="0872F2D4"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2892ED79" w14:textId="211E0C27"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(33,029)</w:t>
            </w:r>
          </w:p>
        </w:tc>
        <w:tc>
          <w:tcPr>
            <w:tcW w:w="880" w:type="dxa"/>
            <w:tcBorders>
              <w:top w:val="nil"/>
              <w:left w:val="nil"/>
              <w:bottom w:val="single" w:sz="4" w:space="0" w:color="auto"/>
              <w:right w:val="nil"/>
            </w:tcBorders>
            <w:shd w:val="clear" w:color="000000" w:fill="E6E6E6"/>
            <w:noWrap/>
            <w:vAlign w:val="bottom"/>
            <w:hideMark/>
          </w:tcPr>
          <w:p w14:paraId="27ACFACC" w14:textId="5A38BA16"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(10,182)</w:t>
            </w:r>
          </w:p>
        </w:tc>
        <w:tc>
          <w:tcPr>
            <w:tcW w:w="880" w:type="dxa"/>
            <w:tcBorders>
              <w:top w:val="nil"/>
              <w:left w:val="nil"/>
              <w:bottom w:val="single" w:sz="4" w:space="0" w:color="auto"/>
              <w:right w:val="nil"/>
            </w:tcBorders>
            <w:shd w:val="clear" w:color="auto" w:fill="auto"/>
            <w:noWrap/>
            <w:vAlign w:val="bottom"/>
            <w:hideMark/>
          </w:tcPr>
          <w:p w14:paraId="321E34A9" w14:textId="578048B7"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(9,992)</w:t>
            </w:r>
          </w:p>
        </w:tc>
        <w:tc>
          <w:tcPr>
            <w:tcW w:w="880" w:type="dxa"/>
            <w:tcBorders>
              <w:top w:val="nil"/>
              <w:left w:val="nil"/>
              <w:bottom w:val="single" w:sz="4" w:space="0" w:color="auto"/>
              <w:right w:val="nil"/>
            </w:tcBorders>
            <w:shd w:val="clear" w:color="auto" w:fill="auto"/>
            <w:noWrap/>
            <w:vAlign w:val="bottom"/>
            <w:hideMark/>
          </w:tcPr>
          <w:p w14:paraId="4BD6F4FC" w14:textId="17DBE4FA"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(10,210)</w:t>
            </w:r>
          </w:p>
        </w:tc>
        <w:tc>
          <w:tcPr>
            <w:tcW w:w="880" w:type="dxa"/>
            <w:tcBorders>
              <w:top w:val="nil"/>
              <w:left w:val="nil"/>
              <w:bottom w:val="single" w:sz="4" w:space="0" w:color="auto"/>
              <w:right w:val="nil"/>
            </w:tcBorders>
            <w:shd w:val="clear" w:color="auto" w:fill="auto"/>
            <w:noWrap/>
            <w:vAlign w:val="bottom"/>
            <w:hideMark/>
          </w:tcPr>
          <w:p w14:paraId="10814D3A" w14:textId="1DC0F8B2"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(10,172)</w:t>
            </w:r>
          </w:p>
        </w:tc>
      </w:tr>
      <w:tr w:rsidR="00A8085D" w:rsidRPr="00F21454" w14:paraId="2D82EE7B" w14:textId="77777777" w:rsidTr="00F96D8A">
        <w:trPr>
          <w:trHeight w:val="204"/>
        </w:trPr>
        <w:tc>
          <w:tcPr>
            <w:tcW w:w="3080" w:type="dxa"/>
            <w:tcBorders>
              <w:top w:val="nil"/>
              <w:left w:val="nil"/>
              <w:bottom w:val="nil"/>
              <w:right w:val="nil"/>
            </w:tcBorders>
            <w:shd w:val="clear" w:color="auto" w:fill="auto"/>
            <w:noWrap/>
            <w:vAlign w:val="center"/>
            <w:hideMark/>
          </w:tcPr>
          <w:p w14:paraId="7FE95553" w14:textId="310ED724"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357B5A92" w14:textId="77777777" w:rsidR="00A8085D" w:rsidRPr="00F21454" w:rsidRDefault="00A8085D" w:rsidP="00A8085D">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84E71F9" w14:textId="21605220"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54773C9D" w14:textId="77777777" w:rsidR="00A8085D" w:rsidRPr="00F21454" w:rsidRDefault="00A8085D" w:rsidP="00A8085D">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D5D4718" w14:textId="77777777" w:rsidR="00A8085D" w:rsidRPr="00F21454" w:rsidRDefault="00A8085D" w:rsidP="00A8085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7E7D71C8" w14:textId="77777777" w:rsidR="00A8085D" w:rsidRPr="00F21454" w:rsidRDefault="00A8085D" w:rsidP="00A8085D">
            <w:pPr>
              <w:spacing w:after="0" w:line="240" w:lineRule="auto"/>
              <w:jc w:val="right"/>
              <w:rPr>
                <w:rFonts w:ascii="Times New Roman" w:hAnsi="Times New Roman"/>
                <w:sz w:val="16"/>
                <w:szCs w:val="16"/>
              </w:rPr>
            </w:pPr>
          </w:p>
        </w:tc>
      </w:tr>
      <w:tr w:rsidR="00A8085D" w:rsidRPr="00F21454" w14:paraId="2E788C9A" w14:textId="77777777" w:rsidTr="00F96D8A">
        <w:trPr>
          <w:trHeight w:val="204"/>
        </w:trPr>
        <w:tc>
          <w:tcPr>
            <w:tcW w:w="3080" w:type="dxa"/>
            <w:tcBorders>
              <w:top w:val="nil"/>
              <w:left w:val="nil"/>
              <w:bottom w:val="nil"/>
              <w:right w:val="nil"/>
            </w:tcBorders>
            <w:shd w:val="clear" w:color="auto" w:fill="auto"/>
            <w:noWrap/>
            <w:vAlign w:val="center"/>
            <w:hideMark/>
          </w:tcPr>
          <w:p w14:paraId="1303C305" w14:textId="0D97A0C3" w:rsidR="00A8085D" w:rsidRPr="00F21454" w:rsidRDefault="00A8085D" w:rsidP="00A8085D">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125D6498" w14:textId="77777777" w:rsidR="00A8085D" w:rsidRPr="00F21454" w:rsidRDefault="00A8085D" w:rsidP="00A8085D">
            <w:pPr>
              <w:spacing w:after="0" w:line="240" w:lineRule="auto"/>
              <w:ind w:firstLineChars="100" w:firstLine="160"/>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3E8E387" w14:textId="0CFF001B"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386D7062" w14:textId="77777777" w:rsidR="00A8085D" w:rsidRPr="00F21454" w:rsidRDefault="00A8085D" w:rsidP="00A8085D">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97D3E3C" w14:textId="77777777" w:rsidR="00A8085D" w:rsidRPr="00F21454" w:rsidRDefault="00A8085D" w:rsidP="00A8085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34C96D72" w14:textId="77777777" w:rsidR="00A8085D" w:rsidRPr="00F21454" w:rsidRDefault="00A8085D" w:rsidP="00A8085D">
            <w:pPr>
              <w:spacing w:after="0" w:line="240" w:lineRule="auto"/>
              <w:jc w:val="right"/>
              <w:rPr>
                <w:rFonts w:ascii="Times New Roman" w:hAnsi="Times New Roman"/>
                <w:sz w:val="16"/>
                <w:szCs w:val="16"/>
              </w:rPr>
            </w:pPr>
          </w:p>
        </w:tc>
      </w:tr>
      <w:tr w:rsidR="00A8085D" w:rsidRPr="00F21454" w14:paraId="6A5F0FB9" w14:textId="77777777" w:rsidTr="00F96D8A">
        <w:trPr>
          <w:trHeight w:val="204"/>
        </w:trPr>
        <w:tc>
          <w:tcPr>
            <w:tcW w:w="3080" w:type="dxa"/>
            <w:tcBorders>
              <w:top w:val="nil"/>
              <w:left w:val="nil"/>
              <w:bottom w:val="nil"/>
              <w:right w:val="nil"/>
            </w:tcBorders>
            <w:shd w:val="clear" w:color="auto" w:fill="auto"/>
            <w:noWrap/>
            <w:vAlign w:val="center"/>
            <w:hideMark/>
          </w:tcPr>
          <w:p w14:paraId="61B6AFC8" w14:textId="64C6994B"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38828291" w14:textId="6CB8D2A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20,989 </w:t>
            </w:r>
          </w:p>
        </w:tc>
        <w:tc>
          <w:tcPr>
            <w:tcW w:w="880" w:type="dxa"/>
            <w:tcBorders>
              <w:top w:val="nil"/>
              <w:left w:val="nil"/>
              <w:bottom w:val="nil"/>
              <w:right w:val="nil"/>
            </w:tcBorders>
            <w:shd w:val="clear" w:color="000000" w:fill="E6E6E6"/>
            <w:noWrap/>
            <w:vAlign w:val="bottom"/>
            <w:hideMark/>
          </w:tcPr>
          <w:p w14:paraId="01D7D8A2" w14:textId="3E9BB30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10,182 </w:t>
            </w:r>
          </w:p>
        </w:tc>
        <w:tc>
          <w:tcPr>
            <w:tcW w:w="880" w:type="dxa"/>
            <w:tcBorders>
              <w:top w:val="nil"/>
              <w:left w:val="nil"/>
              <w:bottom w:val="nil"/>
              <w:right w:val="nil"/>
            </w:tcBorders>
            <w:shd w:val="clear" w:color="auto" w:fill="auto"/>
            <w:noWrap/>
            <w:vAlign w:val="bottom"/>
            <w:hideMark/>
          </w:tcPr>
          <w:p w14:paraId="509E7E2A" w14:textId="4F1EF436"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9,992 </w:t>
            </w:r>
          </w:p>
        </w:tc>
        <w:tc>
          <w:tcPr>
            <w:tcW w:w="880" w:type="dxa"/>
            <w:tcBorders>
              <w:top w:val="nil"/>
              <w:left w:val="nil"/>
              <w:bottom w:val="nil"/>
              <w:right w:val="nil"/>
            </w:tcBorders>
            <w:shd w:val="clear" w:color="auto" w:fill="auto"/>
            <w:noWrap/>
            <w:vAlign w:val="bottom"/>
            <w:hideMark/>
          </w:tcPr>
          <w:p w14:paraId="6B5AFDC1" w14:textId="11FA464D"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10,210 </w:t>
            </w:r>
          </w:p>
        </w:tc>
        <w:tc>
          <w:tcPr>
            <w:tcW w:w="880" w:type="dxa"/>
            <w:tcBorders>
              <w:top w:val="nil"/>
              <w:left w:val="nil"/>
              <w:bottom w:val="nil"/>
              <w:right w:val="nil"/>
            </w:tcBorders>
            <w:shd w:val="clear" w:color="auto" w:fill="auto"/>
            <w:noWrap/>
            <w:vAlign w:val="bottom"/>
            <w:hideMark/>
          </w:tcPr>
          <w:p w14:paraId="1CC5C68F" w14:textId="2A769D73"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10,172 </w:t>
            </w:r>
          </w:p>
        </w:tc>
      </w:tr>
      <w:tr w:rsidR="00A8085D" w:rsidRPr="00F21454" w14:paraId="413DC81D" w14:textId="77777777" w:rsidTr="00F96D8A">
        <w:trPr>
          <w:trHeight w:val="204"/>
        </w:trPr>
        <w:tc>
          <w:tcPr>
            <w:tcW w:w="3080" w:type="dxa"/>
            <w:tcBorders>
              <w:top w:val="nil"/>
              <w:left w:val="nil"/>
              <w:bottom w:val="nil"/>
              <w:right w:val="nil"/>
            </w:tcBorders>
            <w:shd w:val="clear" w:color="auto" w:fill="auto"/>
            <w:noWrap/>
            <w:vAlign w:val="center"/>
            <w:hideMark/>
          </w:tcPr>
          <w:p w14:paraId="5BEB19C0" w14:textId="7582C45D" w:rsidR="00A8085D" w:rsidRPr="00F21454" w:rsidRDefault="00A8085D" w:rsidP="00A8085D">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6547CA04" w14:textId="7DBE73B0"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20,989 </w:t>
            </w:r>
          </w:p>
        </w:tc>
        <w:tc>
          <w:tcPr>
            <w:tcW w:w="880" w:type="dxa"/>
            <w:tcBorders>
              <w:top w:val="single" w:sz="4" w:space="0" w:color="000000"/>
              <w:left w:val="nil"/>
              <w:bottom w:val="single" w:sz="4" w:space="0" w:color="000000"/>
              <w:right w:val="nil"/>
            </w:tcBorders>
            <w:shd w:val="clear" w:color="000000" w:fill="E6E6E6"/>
            <w:noWrap/>
            <w:vAlign w:val="bottom"/>
            <w:hideMark/>
          </w:tcPr>
          <w:p w14:paraId="0E1DF18B" w14:textId="733A7FF5"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10,182 </w:t>
            </w:r>
          </w:p>
        </w:tc>
        <w:tc>
          <w:tcPr>
            <w:tcW w:w="880" w:type="dxa"/>
            <w:tcBorders>
              <w:top w:val="single" w:sz="4" w:space="0" w:color="000000"/>
              <w:left w:val="nil"/>
              <w:bottom w:val="single" w:sz="4" w:space="0" w:color="000000"/>
              <w:right w:val="nil"/>
            </w:tcBorders>
            <w:shd w:val="clear" w:color="auto" w:fill="auto"/>
            <w:noWrap/>
            <w:vAlign w:val="bottom"/>
            <w:hideMark/>
          </w:tcPr>
          <w:p w14:paraId="2DC81F2A" w14:textId="4580A647"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9,992 </w:t>
            </w:r>
          </w:p>
        </w:tc>
        <w:tc>
          <w:tcPr>
            <w:tcW w:w="880" w:type="dxa"/>
            <w:tcBorders>
              <w:top w:val="single" w:sz="4" w:space="0" w:color="000000"/>
              <w:left w:val="nil"/>
              <w:bottom w:val="single" w:sz="4" w:space="0" w:color="000000"/>
              <w:right w:val="nil"/>
            </w:tcBorders>
            <w:shd w:val="clear" w:color="auto" w:fill="auto"/>
            <w:noWrap/>
            <w:vAlign w:val="bottom"/>
            <w:hideMark/>
          </w:tcPr>
          <w:p w14:paraId="7160548A" w14:textId="53B80F73"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10,210 </w:t>
            </w:r>
          </w:p>
        </w:tc>
        <w:tc>
          <w:tcPr>
            <w:tcW w:w="880" w:type="dxa"/>
            <w:tcBorders>
              <w:top w:val="single" w:sz="4" w:space="0" w:color="000000"/>
              <w:left w:val="nil"/>
              <w:bottom w:val="single" w:sz="4" w:space="0" w:color="000000"/>
              <w:right w:val="nil"/>
            </w:tcBorders>
            <w:shd w:val="clear" w:color="auto" w:fill="auto"/>
            <w:noWrap/>
            <w:vAlign w:val="bottom"/>
            <w:hideMark/>
          </w:tcPr>
          <w:p w14:paraId="17981A83" w14:textId="3AFDB020"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10,172 </w:t>
            </w:r>
          </w:p>
        </w:tc>
      </w:tr>
      <w:tr w:rsidR="00A8085D" w:rsidRPr="00F21454" w14:paraId="03F8E0E1" w14:textId="77777777" w:rsidTr="00F96D8A">
        <w:trPr>
          <w:trHeight w:val="204"/>
        </w:trPr>
        <w:tc>
          <w:tcPr>
            <w:tcW w:w="3080" w:type="dxa"/>
            <w:tcBorders>
              <w:top w:val="nil"/>
              <w:left w:val="nil"/>
              <w:bottom w:val="nil"/>
              <w:right w:val="nil"/>
            </w:tcBorders>
            <w:shd w:val="clear" w:color="auto" w:fill="auto"/>
            <w:noWrap/>
            <w:vAlign w:val="center"/>
            <w:hideMark/>
          </w:tcPr>
          <w:p w14:paraId="7A32E709" w14:textId="7850687D" w:rsidR="00A8085D" w:rsidRPr="00F21454" w:rsidRDefault="00A8085D" w:rsidP="00A8085D">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DD630B2" w14:textId="77777777" w:rsidR="00A8085D" w:rsidRPr="00F21454" w:rsidRDefault="00A8085D" w:rsidP="00A8085D">
            <w:pPr>
              <w:spacing w:after="0" w:line="240" w:lineRule="auto"/>
              <w:ind w:firstLineChars="100" w:firstLine="160"/>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D16C9D8" w14:textId="3FC585DC"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1E4A519E" w14:textId="77777777" w:rsidR="00A8085D" w:rsidRPr="00F21454" w:rsidRDefault="00A8085D" w:rsidP="00A8085D">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429CE7A" w14:textId="77777777" w:rsidR="00A8085D" w:rsidRPr="00F21454" w:rsidRDefault="00A8085D" w:rsidP="00A8085D">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72E2DB02" w14:textId="77777777" w:rsidR="00A8085D" w:rsidRPr="00F21454" w:rsidRDefault="00A8085D" w:rsidP="00A8085D">
            <w:pPr>
              <w:spacing w:after="0" w:line="240" w:lineRule="auto"/>
              <w:jc w:val="right"/>
              <w:rPr>
                <w:rFonts w:ascii="Times New Roman" w:hAnsi="Times New Roman"/>
                <w:sz w:val="16"/>
                <w:szCs w:val="16"/>
              </w:rPr>
            </w:pPr>
          </w:p>
        </w:tc>
      </w:tr>
      <w:tr w:rsidR="00A8085D" w:rsidRPr="00F21454" w14:paraId="635ADEE1" w14:textId="77777777" w:rsidTr="00F96D8A">
        <w:trPr>
          <w:trHeight w:val="204"/>
        </w:trPr>
        <w:tc>
          <w:tcPr>
            <w:tcW w:w="3080" w:type="dxa"/>
            <w:tcBorders>
              <w:top w:val="nil"/>
              <w:left w:val="nil"/>
              <w:bottom w:val="nil"/>
              <w:right w:val="nil"/>
            </w:tcBorders>
            <w:shd w:val="clear" w:color="auto" w:fill="auto"/>
            <w:noWrap/>
            <w:vAlign w:val="center"/>
            <w:hideMark/>
          </w:tcPr>
          <w:p w14:paraId="7DD7C2AB" w14:textId="697A14BB" w:rsidR="00A8085D" w:rsidRPr="00F21454" w:rsidRDefault="00A8085D" w:rsidP="00A8085D">
            <w:pPr>
              <w:spacing w:after="0" w:line="240" w:lineRule="auto"/>
              <w:ind w:left="227"/>
              <w:jc w:val="left"/>
              <w:rPr>
                <w:rFonts w:ascii="Arial" w:hAnsi="Arial" w:cs="Arial"/>
                <w:color w:val="000000"/>
                <w:sz w:val="16"/>
                <w:szCs w:val="16"/>
              </w:rPr>
            </w:pPr>
            <w:r>
              <w:rPr>
                <w:rFonts w:ascii="Arial" w:hAnsi="Arial" w:cs="Arial"/>
                <w:color w:val="000000"/>
                <w:sz w:val="16"/>
                <w:szCs w:val="16"/>
              </w:rPr>
              <w:t>Principle payments on lease liability</w:t>
            </w:r>
          </w:p>
        </w:tc>
        <w:tc>
          <w:tcPr>
            <w:tcW w:w="928" w:type="dxa"/>
            <w:tcBorders>
              <w:top w:val="nil"/>
              <w:left w:val="nil"/>
              <w:bottom w:val="nil"/>
              <w:right w:val="nil"/>
            </w:tcBorders>
            <w:shd w:val="clear" w:color="auto" w:fill="auto"/>
            <w:noWrap/>
            <w:vAlign w:val="bottom"/>
            <w:hideMark/>
          </w:tcPr>
          <w:p w14:paraId="59541D65" w14:textId="6CCE7A25"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18,935 </w:t>
            </w:r>
          </w:p>
        </w:tc>
        <w:tc>
          <w:tcPr>
            <w:tcW w:w="880" w:type="dxa"/>
            <w:tcBorders>
              <w:top w:val="nil"/>
              <w:left w:val="nil"/>
              <w:bottom w:val="nil"/>
              <w:right w:val="nil"/>
            </w:tcBorders>
            <w:shd w:val="clear" w:color="000000" w:fill="E6E6E6"/>
            <w:noWrap/>
            <w:vAlign w:val="bottom"/>
            <w:hideMark/>
          </w:tcPr>
          <w:p w14:paraId="0AF88E86" w14:textId="12723A32"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19,932 </w:t>
            </w:r>
          </w:p>
        </w:tc>
        <w:tc>
          <w:tcPr>
            <w:tcW w:w="880" w:type="dxa"/>
            <w:tcBorders>
              <w:top w:val="nil"/>
              <w:left w:val="nil"/>
              <w:bottom w:val="nil"/>
              <w:right w:val="nil"/>
            </w:tcBorders>
            <w:shd w:val="clear" w:color="auto" w:fill="auto"/>
            <w:noWrap/>
            <w:vAlign w:val="bottom"/>
            <w:hideMark/>
          </w:tcPr>
          <w:p w14:paraId="7C80748E" w14:textId="091D06EA"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19,995 </w:t>
            </w:r>
          </w:p>
        </w:tc>
        <w:tc>
          <w:tcPr>
            <w:tcW w:w="880" w:type="dxa"/>
            <w:tcBorders>
              <w:top w:val="nil"/>
              <w:left w:val="nil"/>
              <w:bottom w:val="nil"/>
              <w:right w:val="nil"/>
            </w:tcBorders>
            <w:shd w:val="clear" w:color="auto" w:fill="auto"/>
            <w:noWrap/>
            <w:vAlign w:val="bottom"/>
            <w:hideMark/>
          </w:tcPr>
          <w:p w14:paraId="67046F88" w14:textId="234D5F43"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24,178 </w:t>
            </w:r>
          </w:p>
        </w:tc>
        <w:tc>
          <w:tcPr>
            <w:tcW w:w="880" w:type="dxa"/>
            <w:tcBorders>
              <w:top w:val="nil"/>
              <w:left w:val="nil"/>
              <w:bottom w:val="nil"/>
              <w:right w:val="nil"/>
            </w:tcBorders>
            <w:shd w:val="clear" w:color="auto" w:fill="auto"/>
            <w:noWrap/>
            <w:vAlign w:val="bottom"/>
            <w:hideMark/>
          </w:tcPr>
          <w:p w14:paraId="3037AFAA" w14:textId="0D2B2366"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24,178 </w:t>
            </w:r>
          </w:p>
        </w:tc>
      </w:tr>
      <w:tr w:rsidR="00A8085D" w:rsidRPr="00F21454" w14:paraId="27BFBBE1" w14:textId="77777777" w:rsidTr="00F96D8A">
        <w:trPr>
          <w:trHeight w:val="204"/>
        </w:trPr>
        <w:tc>
          <w:tcPr>
            <w:tcW w:w="3080" w:type="dxa"/>
            <w:tcBorders>
              <w:top w:val="nil"/>
              <w:left w:val="nil"/>
              <w:bottom w:val="nil"/>
              <w:right w:val="nil"/>
            </w:tcBorders>
            <w:shd w:val="clear" w:color="auto" w:fill="auto"/>
            <w:noWrap/>
            <w:vAlign w:val="center"/>
            <w:hideMark/>
          </w:tcPr>
          <w:p w14:paraId="30253A93" w14:textId="69CACA2B" w:rsidR="00A8085D" w:rsidRPr="00F21454" w:rsidRDefault="00A8085D" w:rsidP="00A8085D">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1F44F544" w14:textId="50128632"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18,935 </w:t>
            </w:r>
          </w:p>
        </w:tc>
        <w:tc>
          <w:tcPr>
            <w:tcW w:w="880" w:type="dxa"/>
            <w:tcBorders>
              <w:top w:val="single" w:sz="4" w:space="0" w:color="000000"/>
              <w:left w:val="nil"/>
              <w:bottom w:val="single" w:sz="4" w:space="0" w:color="000000"/>
              <w:right w:val="nil"/>
            </w:tcBorders>
            <w:shd w:val="clear" w:color="000000" w:fill="E6E6E6"/>
            <w:noWrap/>
            <w:vAlign w:val="bottom"/>
            <w:hideMark/>
          </w:tcPr>
          <w:p w14:paraId="3381FFB4" w14:textId="7DF12F66"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19,932 </w:t>
            </w:r>
          </w:p>
        </w:tc>
        <w:tc>
          <w:tcPr>
            <w:tcW w:w="880" w:type="dxa"/>
            <w:tcBorders>
              <w:top w:val="single" w:sz="4" w:space="0" w:color="000000"/>
              <w:left w:val="nil"/>
              <w:bottom w:val="single" w:sz="4" w:space="0" w:color="000000"/>
              <w:right w:val="nil"/>
            </w:tcBorders>
            <w:shd w:val="clear" w:color="auto" w:fill="auto"/>
            <w:noWrap/>
            <w:vAlign w:val="bottom"/>
            <w:hideMark/>
          </w:tcPr>
          <w:p w14:paraId="1D3B799B" w14:textId="2B5DD50D"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19,995 </w:t>
            </w:r>
          </w:p>
        </w:tc>
        <w:tc>
          <w:tcPr>
            <w:tcW w:w="880" w:type="dxa"/>
            <w:tcBorders>
              <w:top w:val="single" w:sz="4" w:space="0" w:color="000000"/>
              <w:left w:val="nil"/>
              <w:bottom w:val="single" w:sz="4" w:space="0" w:color="000000"/>
              <w:right w:val="nil"/>
            </w:tcBorders>
            <w:shd w:val="clear" w:color="auto" w:fill="auto"/>
            <w:noWrap/>
            <w:vAlign w:val="bottom"/>
            <w:hideMark/>
          </w:tcPr>
          <w:p w14:paraId="0DB4E14A" w14:textId="5DA9B6A6"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24,178 </w:t>
            </w:r>
          </w:p>
        </w:tc>
        <w:tc>
          <w:tcPr>
            <w:tcW w:w="880" w:type="dxa"/>
            <w:tcBorders>
              <w:top w:val="single" w:sz="4" w:space="0" w:color="000000"/>
              <w:left w:val="nil"/>
              <w:bottom w:val="single" w:sz="4" w:space="0" w:color="000000"/>
              <w:right w:val="nil"/>
            </w:tcBorders>
            <w:shd w:val="clear" w:color="auto" w:fill="auto"/>
            <w:noWrap/>
            <w:vAlign w:val="bottom"/>
            <w:hideMark/>
          </w:tcPr>
          <w:p w14:paraId="6F338D46" w14:textId="34B84A4F" w:rsidR="00A8085D" w:rsidRPr="00F21454" w:rsidRDefault="00A8085D" w:rsidP="00A8085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24,178 </w:t>
            </w:r>
          </w:p>
        </w:tc>
      </w:tr>
      <w:tr w:rsidR="00A8085D" w:rsidRPr="00F21454" w14:paraId="0D8311A6" w14:textId="77777777" w:rsidTr="00F96D8A">
        <w:trPr>
          <w:trHeight w:val="204"/>
        </w:trPr>
        <w:tc>
          <w:tcPr>
            <w:tcW w:w="3080" w:type="dxa"/>
            <w:tcBorders>
              <w:top w:val="nil"/>
              <w:left w:val="nil"/>
              <w:bottom w:val="nil"/>
              <w:right w:val="nil"/>
            </w:tcBorders>
            <w:shd w:val="clear" w:color="auto" w:fill="auto"/>
            <w:vAlign w:val="center"/>
            <w:hideMark/>
          </w:tcPr>
          <w:p w14:paraId="01976D8D" w14:textId="43490F70"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2952604A" w14:textId="51CDBD4A"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2,054 </w:t>
            </w:r>
          </w:p>
        </w:tc>
        <w:tc>
          <w:tcPr>
            <w:tcW w:w="880" w:type="dxa"/>
            <w:tcBorders>
              <w:top w:val="nil"/>
              <w:left w:val="nil"/>
              <w:bottom w:val="single" w:sz="4" w:space="0" w:color="000000"/>
              <w:right w:val="nil"/>
            </w:tcBorders>
            <w:shd w:val="clear" w:color="000000" w:fill="E6E6E6"/>
            <w:noWrap/>
            <w:vAlign w:val="bottom"/>
            <w:hideMark/>
          </w:tcPr>
          <w:p w14:paraId="5844B4D9" w14:textId="2489E8FD"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(9,750)</w:t>
            </w:r>
          </w:p>
        </w:tc>
        <w:tc>
          <w:tcPr>
            <w:tcW w:w="880" w:type="dxa"/>
            <w:tcBorders>
              <w:top w:val="nil"/>
              <w:left w:val="nil"/>
              <w:bottom w:val="single" w:sz="4" w:space="0" w:color="000000"/>
              <w:right w:val="nil"/>
            </w:tcBorders>
            <w:shd w:val="clear" w:color="auto" w:fill="auto"/>
            <w:noWrap/>
            <w:vAlign w:val="bottom"/>
            <w:hideMark/>
          </w:tcPr>
          <w:p w14:paraId="5EDAD67D" w14:textId="1DF6381B"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(10,003)</w:t>
            </w:r>
          </w:p>
        </w:tc>
        <w:tc>
          <w:tcPr>
            <w:tcW w:w="880" w:type="dxa"/>
            <w:tcBorders>
              <w:top w:val="nil"/>
              <w:left w:val="nil"/>
              <w:bottom w:val="single" w:sz="4" w:space="0" w:color="000000"/>
              <w:right w:val="nil"/>
            </w:tcBorders>
            <w:shd w:val="clear" w:color="auto" w:fill="auto"/>
            <w:noWrap/>
            <w:vAlign w:val="bottom"/>
            <w:hideMark/>
          </w:tcPr>
          <w:p w14:paraId="0C635FEA" w14:textId="046763B8"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(13,968)</w:t>
            </w:r>
          </w:p>
        </w:tc>
        <w:tc>
          <w:tcPr>
            <w:tcW w:w="880" w:type="dxa"/>
            <w:tcBorders>
              <w:top w:val="nil"/>
              <w:left w:val="nil"/>
              <w:bottom w:val="single" w:sz="4" w:space="0" w:color="000000"/>
              <w:right w:val="nil"/>
            </w:tcBorders>
            <w:shd w:val="clear" w:color="auto" w:fill="auto"/>
            <w:noWrap/>
            <w:vAlign w:val="bottom"/>
            <w:hideMark/>
          </w:tcPr>
          <w:p w14:paraId="5B635A10" w14:textId="18626FF9"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(14,006)</w:t>
            </w:r>
          </w:p>
        </w:tc>
      </w:tr>
      <w:tr w:rsidR="00A8085D" w:rsidRPr="00F21454" w14:paraId="23E5F746" w14:textId="77777777" w:rsidTr="00F96D8A">
        <w:trPr>
          <w:trHeight w:val="204"/>
        </w:trPr>
        <w:tc>
          <w:tcPr>
            <w:tcW w:w="3080" w:type="dxa"/>
            <w:tcBorders>
              <w:top w:val="nil"/>
              <w:left w:val="nil"/>
              <w:bottom w:val="nil"/>
              <w:right w:val="nil"/>
            </w:tcBorders>
            <w:shd w:val="clear" w:color="auto" w:fill="auto"/>
            <w:vAlign w:val="center"/>
            <w:hideMark/>
          </w:tcPr>
          <w:p w14:paraId="7848CE1D" w14:textId="0E319C29"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1C183350" w14:textId="6500AF3E"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(935)</w:t>
            </w:r>
          </w:p>
        </w:tc>
        <w:tc>
          <w:tcPr>
            <w:tcW w:w="880" w:type="dxa"/>
            <w:tcBorders>
              <w:top w:val="nil"/>
              <w:left w:val="nil"/>
              <w:bottom w:val="single" w:sz="4" w:space="0" w:color="000000"/>
              <w:right w:val="nil"/>
            </w:tcBorders>
            <w:shd w:val="clear" w:color="000000" w:fill="E6E6E6"/>
            <w:noWrap/>
            <w:vAlign w:val="bottom"/>
            <w:hideMark/>
          </w:tcPr>
          <w:p w14:paraId="67753271" w14:textId="200B64FA"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1,045 </w:t>
            </w:r>
          </w:p>
        </w:tc>
        <w:tc>
          <w:tcPr>
            <w:tcW w:w="880" w:type="dxa"/>
            <w:tcBorders>
              <w:top w:val="nil"/>
              <w:left w:val="nil"/>
              <w:bottom w:val="single" w:sz="4" w:space="0" w:color="000000"/>
              <w:right w:val="nil"/>
            </w:tcBorders>
            <w:shd w:val="clear" w:color="auto" w:fill="auto"/>
            <w:noWrap/>
            <w:vAlign w:val="bottom"/>
            <w:hideMark/>
          </w:tcPr>
          <w:p w14:paraId="161D039A" w14:textId="2185DF68"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721FE9A8" w14:textId="316800D6"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4D53D382" w14:textId="38210340" w:rsidR="00A8085D" w:rsidRPr="00F21454" w:rsidRDefault="00A8085D" w:rsidP="00A8085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A8085D" w:rsidRPr="00F21454" w14:paraId="3075287C" w14:textId="77777777" w:rsidTr="00F96D8A">
        <w:trPr>
          <w:trHeight w:val="204"/>
        </w:trPr>
        <w:tc>
          <w:tcPr>
            <w:tcW w:w="3080" w:type="dxa"/>
            <w:tcBorders>
              <w:top w:val="nil"/>
              <w:left w:val="nil"/>
              <w:bottom w:val="nil"/>
              <w:right w:val="nil"/>
            </w:tcBorders>
            <w:shd w:val="clear" w:color="auto" w:fill="auto"/>
            <w:vAlign w:val="center"/>
            <w:hideMark/>
          </w:tcPr>
          <w:p w14:paraId="484BF220" w14:textId="736ABFAF" w:rsidR="00A8085D" w:rsidRPr="00F21454" w:rsidRDefault="00A8085D" w:rsidP="00A8085D">
            <w:pPr>
              <w:spacing w:before="60" w:after="0" w:line="240" w:lineRule="auto"/>
              <w:jc w:val="left"/>
              <w:rPr>
                <w:rFonts w:ascii="Arial" w:hAnsi="Arial" w:cs="Arial"/>
                <w:color w:val="000000"/>
                <w:sz w:val="16"/>
                <w:szCs w:val="16"/>
              </w:rPr>
            </w:pPr>
            <w:r>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24948A39" w14:textId="35C53D4E"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12,100 </w:t>
            </w:r>
          </w:p>
        </w:tc>
        <w:tc>
          <w:tcPr>
            <w:tcW w:w="880" w:type="dxa"/>
            <w:tcBorders>
              <w:top w:val="nil"/>
              <w:left w:val="nil"/>
              <w:bottom w:val="nil"/>
              <w:right w:val="nil"/>
            </w:tcBorders>
            <w:shd w:val="clear" w:color="000000" w:fill="E6E6E6"/>
            <w:noWrap/>
            <w:vAlign w:val="bottom"/>
            <w:hideMark/>
          </w:tcPr>
          <w:p w14:paraId="718762F4" w14:textId="6F098668"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11,165 </w:t>
            </w:r>
          </w:p>
        </w:tc>
        <w:tc>
          <w:tcPr>
            <w:tcW w:w="880" w:type="dxa"/>
            <w:tcBorders>
              <w:top w:val="nil"/>
              <w:left w:val="nil"/>
              <w:bottom w:val="nil"/>
              <w:right w:val="nil"/>
            </w:tcBorders>
            <w:shd w:val="clear" w:color="auto" w:fill="auto"/>
            <w:noWrap/>
            <w:vAlign w:val="bottom"/>
            <w:hideMark/>
          </w:tcPr>
          <w:p w14:paraId="71EC17F5" w14:textId="61CD7B4B"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12,210 </w:t>
            </w:r>
          </w:p>
        </w:tc>
        <w:tc>
          <w:tcPr>
            <w:tcW w:w="880" w:type="dxa"/>
            <w:tcBorders>
              <w:top w:val="nil"/>
              <w:left w:val="nil"/>
              <w:bottom w:val="nil"/>
              <w:right w:val="nil"/>
            </w:tcBorders>
            <w:shd w:val="clear" w:color="auto" w:fill="auto"/>
            <w:noWrap/>
            <w:vAlign w:val="bottom"/>
            <w:hideMark/>
          </w:tcPr>
          <w:p w14:paraId="096012CF" w14:textId="4CFF81E4"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12,210 </w:t>
            </w:r>
          </w:p>
        </w:tc>
        <w:tc>
          <w:tcPr>
            <w:tcW w:w="880" w:type="dxa"/>
            <w:tcBorders>
              <w:top w:val="nil"/>
              <w:left w:val="nil"/>
              <w:bottom w:val="nil"/>
              <w:right w:val="nil"/>
            </w:tcBorders>
            <w:shd w:val="clear" w:color="auto" w:fill="auto"/>
            <w:noWrap/>
            <w:vAlign w:val="bottom"/>
            <w:hideMark/>
          </w:tcPr>
          <w:p w14:paraId="45BE4BF7" w14:textId="4D587B86" w:rsidR="00A8085D" w:rsidRPr="00F21454" w:rsidRDefault="00A8085D" w:rsidP="00A8085D">
            <w:pPr>
              <w:spacing w:after="0" w:line="240" w:lineRule="auto"/>
              <w:jc w:val="right"/>
              <w:rPr>
                <w:rFonts w:ascii="Arial" w:hAnsi="Arial" w:cs="Arial"/>
                <w:color w:val="000000"/>
                <w:sz w:val="16"/>
                <w:szCs w:val="16"/>
              </w:rPr>
            </w:pPr>
            <w:r>
              <w:rPr>
                <w:rFonts w:ascii="Arial" w:hAnsi="Arial" w:cs="Arial"/>
                <w:color w:val="000000"/>
                <w:sz w:val="16"/>
                <w:szCs w:val="16"/>
              </w:rPr>
              <w:t xml:space="preserve">12,210 </w:t>
            </w:r>
          </w:p>
        </w:tc>
      </w:tr>
      <w:tr w:rsidR="00A8085D" w:rsidRPr="00F21454" w14:paraId="2934032C" w14:textId="77777777" w:rsidTr="00F96D8A">
        <w:trPr>
          <w:trHeight w:val="204"/>
        </w:trPr>
        <w:tc>
          <w:tcPr>
            <w:tcW w:w="3080" w:type="dxa"/>
            <w:tcBorders>
              <w:top w:val="nil"/>
              <w:left w:val="nil"/>
              <w:bottom w:val="single" w:sz="4" w:space="0" w:color="auto"/>
              <w:right w:val="nil"/>
            </w:tcBorders>
            <w:shd w:val="clear" w:color="auto" w:fill="auto"/>
            <w:vAlign w:val="center"/>
            <w:hideMark/>
          </w:tcPr>
          <w:p w14:paraId="199EEA27" w14:textId="2B98F59E" w:rsidR="00A8085D" w:rsidRPr="00F21454" w:rsidRDefault="00A8085D" w:rsidP="00A8085D">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00898A20" w14:textId="54E8AEA5" w:rsidR="00A8085D" w:rsidRPr="00807D41" w:rsidRDefault="00A8085D" w:rsidP="00A8085D">
            <w:pPr>
              <w:spacing w:after="0" w:line="240" w:lineRule="auto"/>
              <w:jc w:val="right"/>
              <w:rPr>
                <w:rFonts w:ascii="Arial" w:hAnsi="Arial" w:cs="Arial"/>
                <w:b/>
                <w:color w:val="000000"/>
                <w:sz w:val="16"/>
                <w:szCs w:val="16"/>
              </w:rPr>
            </w:pPr>
            <w:r>
              <w:rPr>
                <w:rFonts w:ascii="Arial" w:hAnsi="Arial" w:cs="Arial"/>
                <w:b/>
                <w:bCs/>
                <w:color w:val="000000"/>
                <w:sz w:val="16"/>
                <w:szCs w:val="16"/>
              </w:rPr>
              <w:t xml:space="preserve">11,165 </w:t>
            </w:r>
          </w:p>
        </w:tc>
        <w:tc>
          <w:tcPr>
            <w:tcW w:w="880" w:type="dxa"/>
            <w:tcBorders>
              <w:top w:val="single" w:sz="4" w:space="0" w:color="000000"/>
              <w:left w:val="nil"/>
              <w:bottom w:val="single" w:sz="4" w:space="0" w:color="auto"/>
              <w:right w:val="nil"/>
            </w:tcBorders>
            <w:shd w:val="clear" w:color="000000" w:fill="E6E6E6"/>
            <w:noWrap/>
            <w:vAlign w:val="bottom"/>
            <w:hideMark/>
          </w:tcPr>
          <w:p w14:paraId="3784AAB1" w14:textId="5084D26E" w:rsidR="00A8085D" w:rsidRPr="00807D41" w:rsidRDefault="00A8085D" w:rsidP="00A8085D">
            <w:pPr>
              <w:spacing w:after="0" w:line="240" w:lineRule="auto"/>
              <w:jc w:val="right"/>
              <w:rPr>
                <w:rFonts w:ascii="Arial" w:hAnsi="Arial" w:cs="Arial"/>
                <w:b/>
                <w:color w:val="000000"/>
                <w:sz w:val="16"/>
                <w:szCs w:val="16"/>
              </w:rPr>
            </w:pPr>
            <w:r>
              <w:rPr>
                <w:rFonts w:ascii="Arial" w:hAnsi="Arial" w:cs="Arial"/>
                <w:b/>
                <w:bCs/>
                <w:color w:val="000000"/>
                <w:sz w:val="16"/>
                <w:szCs w:val="16"/>
              </w:rPr>
              <w:t xml:space="preserve">12,210 </w:t>
            </w:r>
          </w:p>
        </w:tc>
        <w:tc>
          <w:tcPr>
            <w:tcW w:w="880" w:type="dxa"/>
            <w:tcBorders>
              <w:top w:val="single" w:sz="4" w:space="0" w:color="000000"/>
              <w:left w:val="nil"/>
              <w:bottom w:val="single" w:sz="4" w:space="0" w:color="auto"/>
              <w:right w:val="nil"/>
            </w:tcBorders>
            <w:shd w:val="clear" w:color="auto" w:fill="auto"/>
            <w:noWrap/>
            <w:vAlign w:val="bottom"/>
            <w:hideMark/>
          </w:tcPr>
          <w:p w14:paraId="77952390" w14:textId="480BA762" w:rsidR="00A8085D" w:rsidRPr="00807D41" w:rsidRDefault="00A8085D" w:rsidP="00A8085D">
            <w:pPr>
              <w:spacing w:after="0" w:line="240" w:lineRule="auto"/>
              <w:jc w:val="right"/>
              <w:rPr>
                <w:rFonts w:ascii="Arial" w:hAnsi="Arial" w:cs="Arial"/>
                <w:b/>
                <w:color w:val="000000"/>
                <w:sz w:val="16"/>
                <w:szCs w:val="16"/>
              </w:rPr>
            </w:pPr>
            <w:r>
              <w:rPr>
                <w:rFonts w:ascii="Arial" w:hAnsi="Arial" w:cs="Arial"/>
                <w:b/>
                <w:bCs/>
                <w:color w:val="000000"/>
                <w:sz w:val="16"/>
                <w:szCs w:val="16"/>
              </w:rPr>
              <w:t xml:space="preserve">12,210 </w:t>
            </w:r>
          </w:p>
        </w:tc>
        <w:tc>
          <w:tcPr>
            <w:tcW w:w="880" w:type="dxa"/>
            <w:tcBorders>
              <w:top w:val="single" w:sz="4" w:space="0" w:color="000000"/>
              <w:left w:val="nil"/>
              <w:bottom w:val="single" w:sz="4" w:space="0" w:color="auto"/>
              <w:right w:val="nil"/>
            </w:tcBorders>
            <w:shd w:val="clear" w:color="auto" w:fill="auto"/>
            <w:noWrap/>
            <w:vAlign w:val="bottom"/>
            <w:hideMark/>
          </w:tcPr>
          <w:p w14:paraId="2F8239C2" w14:textId="4CB7FDD0" w:rsidR="00A8085D" w:rsidRPr="00807D41" w:rsidRDefault="00A8085D" w:rsidP="00A8085D">
            <w:pPr>
              <w:spacing w:after="0" w:line="240" w:lineRule="auto"/>
              <w:jc w:val="right"/>
              <w:rPr>
                <w:rFonts w:ascii="Arial" w:hAnsi="Arial" w:cs="Arial"/>
                <w:b/>
                <w:color w:val="000000"/>
                <w:sz w:val="16"/>
                <w:szCs w:val="16"/>
              </w:rPr>
            </w:pPr>
            <w:r>
              <w:rPr>
                <w:rFonts w:ascii="Arial" w:hAnsi="Arial" w:cs="Arial"/>
                <w:b/>
                <w:bCs/>
                <w:color w:val="000000"/>
                <w:sz w:val="16"/>
                <w:szCs w:val="16"/>
              </w:rPr>
              <w:t xml:space="preserve">12,210 </w:t>
            </w:r>
          </w:p>
        </w:tc>
        <w:tc>
          <w:tcPr>
            <w:tcW w:w="880" w:type="dxa"/>
            <w:tcBorders>
              <w:top w:val="single" w:sz="4" w:space="0" w:color="000000"/>
              <w:left w:val="nil"/>
              <w:bottom w:val="single" w:sz="4" w:space="0" w:color="auto"/>
              <w:right w:val="nil"/>
            </w:tcBorders>
            <w:shd w:val="clear" w:color="auto" w:fill="auto"/>
            <w:noWrap/>
            <w:vAlign w:val="bottom"/>
            <w:hideMark/>
          </w:tcPr>
          <w:p w14:paraId="31EE976D" w14:textId="5719D979" w:rsidR="00A8085D" w:rsidRPr="00807D41" w:rsidRDefault="00A8085D" w:rsidP="00A8085D">
            <w:pPr>
              <w:spacing w:after="0" w:line="240" w:lineRule="auto"/>
              <w:jc w:val="right"/>
              <w:rPr>
                <w:rFonts w:ascii="Arial" w:hAnsi="Arial" w:cs="Arial"/>
                <w:b/>
                <w:color w:val="000000"/>
                <w:sz w:val="16"/>
                <w:szCs w:val="16"/>
              </w:rPr>
            </w:pPr>
            <w:r>
              <w:rPr>
                <w:rFonts w:ascii="Arial" w:hAnsi="Arial" w:cs="Arial"/>
                <w:b/>
                <w:bCs/>
                <w:color w:val="000000"/>
                <w:sz w:val="16"/>
                <w:szCs w:val="16"/>
              </w:rPr>
              <w:t xml:space="preserve">12,210 </w:t>
            </w:r>
          </w:p>
        </w:tc>
      </w:tr>
    </w:tbl>
    <w:p w14:paraId="4B6A68E7" w14:textId="77777777" w:rsidR="00B91F3E" w:rsidRDefault="00B91F3E" w:rsidP="00B91F3E">
      <w:pPr>
        <w:spacing w:before="60" w:after="0"/>
      </w:pPr>
      <w:r w:rsidRPr="00D55810">
        <w:rPr>
          <w:rFonts w:ascii="Arial" w:hAnsi="Arial" w:cs="Arial"/>
          <w:sz w:val="16"/>
          <w:lang w:val="x-none" w:eastAsia="x-none"/>
        </w:rPr>
        <w:t>Prepared on Australian Accounting Standards basis.</w:t>
      </w:r>
      <w:r w:rsidRPr="00D30CBA">
        <w:t xml:space="preserve"> </w:t>
      </w:r>
    </w:p>
    <w:p w14:paraId="4C474F6B" w14:textId="77777777" w:rsidR="00B91F3E" w:rsidRDefault="00B91F3E" w:rsidP="00B91F3E">
      <w:r>
        <w:br w:type="page"/>
      </w:r>
    </w:p>
    <w:p w14:paraId="66BE8C1E" w14:textId="77777777" w:rsidR="00B91F3E" w:rsidRPr="00C27D3C" w:rsidRDefault="00B91F3E" w:rsidP="00B91F3E">
      <w:pPr>
        <w:spacing w:before="60" w:after="0"/>
        <w:rPr>
          <w:rFonts w:ascii="Arial" w:hAnsi="Arial" w:cs="Arial"/>
          <w:sz w:val="16"/>
          <w:lang w:val="x-none" w:eastAsia="x-none"/>
        </w:rPr>
      </w:pPr>
    </w:p>
    <w:p w14:paraId="37124958" w14:textId="54BCFB6C" w:rsidR="00B91F3E" w:rsidRDefault="00B91F3E" w:rsidP="00B91F3E">
      <w:pPr>
        <w:pStyle w:val="TableHeading"/>
      </w:pPr>
      <w:r w:rsidRPr="00D30CBA">
        <w:t>Table</w:t>
      </w:r>
      <w:r>
        <w:t xml:space="preserve"> 3.5</w:t>
      </w:r>
      <w:r w:rsidRPr="00D30CBA">
        <w:t xml:space="preserve">: </w:t>
      </w:r>
      <w:r w:rsidR="003C4CC6">
        <w:t>Department</w:t>
      </w:r>
      <w:r>
        <w:t>al capital budget statement (for the period ended 30 June)</w:t>
      </w:r>
    </w:p>
    <w:tbl>
      <w:tblPr>
        <w:tblW w:w="0" w:type="auto"/>
        <w:tblLayout w:type="fixed"/>
        <w:tblLook w:val="04A0" w:firstRow="1" w:lastRow="0" w:firstColumn="1" w:lastColumn="0" w:noHBand="0" w:noVBand="1"/>
      </w:tblPr>
      <w:tblGrid>
        <w:gridCol w:w="3119"/>
        <w:gridCol w:w="928"/>
        <w:gridCol w:w="860"/>
        <w:gridCol w:w="860"/>
        <w:gridCol w:w="860"/>
        <w:gridCol w:w="860"/>
      </w:tblGrid>
      <w:tr w:rsidR="00B91F3E" w:rsidRPr="00C27D3C" w14:paraId="43C361FA" w14:textId="77777777" w:rsidTr="00B91F3E">
        <w:trPr>
          <w:trHeight w:val="204"/>
        </w:trPr>
        <w:tc>
          <w:tcPr>
            <w:tcW w:w="3119" w:type="dxa"/>
            <w:tcBorders>
              <w:top w:val="single" w:sz="4" w:space="0" w:color="auto"/>
              <w:left w:val="nil"/>
              <w:bottom w:val="nil"/>
              <w:right w:val="nil"/>
            </w:tcBorders>
            <w:shd w:val="clear" w:color="auto" w:fill="auto"/>
            <w:noWrap/>
            <w:vAlign w:val="bottom"/>
            <w:hideMark/>
          </w:tcPr>
          <w:p w14:paraId="539484C4" w14:textId="77777777" w:rsidR="00B91F3E" w:rsidRPr="00C27D3C" w:rsidRDefault="00B91F3E" w:rsidP="00F96D8A">
            <w:pPr>
              <w:spacing w:after="0" w:line="240" w:lineRule="auto"/>
              <w:jc w:val="left"/>
              <w:rPr>
                <w:rFonts w:ascii="Arial" w:hAnsi="Arial" w:cs="Arial"/>
                <w:b/>
                <w:bCs/>
                <w:sz w:val="16"/>
                <w:szCs w:val="16"/>
              </w:rPr>
            </w:pPr>
            <w:r w:rsidRPr="00C27D3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3B63E34" w14:textId="77777777" w:rsidR="00B91F3E" w:rsidRPr="00C27D3C" w:rsidRDefault="00B91F3E" w:rsidP="00F96D8A">
            <w:pPr>
              <w:spacing w:after="0" w:line="240" w:lineRule="auto"/>
              <w:jc w:val="right"/>
              <w:rPr>
                <w:rFonts w:ascii="Arial" w:hAnsi="Arial" w:cs="Arial"/>
                <w:sz w:val="16"/>
                <w:szCs w:val="16"/>
              </w:rPr>
            </w:pPr>
            <w:r w:rsidRPr="00C27D3C">
              <w:rPr>
                <w:rFonts w:ascii="Arial" w:hAnsi="Arial" w:cs="Arial"/>
                <w:sz w:val="16"/>
                <w:szCs w:val="16"/>
              </w:rPr>
              <w:t>2021-22</w:t>
            </w:r>
            <w:r w:rsidRPr="00C27D3C">
              <w:rPr>
                <w:rFonts w:ascii="Arial" w:hAnsi="Arial" w:cs="Arial"/>
                <w:sz w:val="16"/>
                <w:szCs w:val="16"/>
              </w:rPr>
              <w:br/>
              <w:t>Estimated actual</w:t>
            </w:r>
            <w:r w:rsidRPr="00C27D3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bottom"/>
            <w:hideMark/>
          </w:tcPr>
          <w:p w14:paraId="017D130E" w14:textId="77777777" w:rsidR="00B91F3E" w:rsidRPr="00C27D3C" w:rsidRDefault="00B91F3E" w:rsidP="00F96D8A">
            <w:pPr>
              <w:spacing w:after="0" w:line="240" w:lineRule="auto"/>
              <w:jc w:val="right"/>
              <w:rPr>
                <w:rFonts w:ascii="Arial" w:hAnsi="Arial" w:cs="Arial"/>
                <w:sz w:val="16"/>
                <w:szCs w:val="16"/>
              </w:rPr>
            </w:pPr>
            <w:r w:rsidRPr="00C27D3C">
              <w:rPr>
                <w:rFonts w:ascii="Arial" w:hAnsi="Arial" w:cs="Arial"/>
                <w:sz w:val="16"/>
                <w:szCs w:val="16"/>
              </w:rPr>
              <w:t>2022-23</w:t>
            </w:r>
            <w:r w:rsidRPr="00C27D3C">
              <w:rPr>
                <w:rFonts w:ascii="Arial" w:hAnsi="Arial" w:cs="Arial"/>
                <w:sz w:val="16"/>
                <w:szCs w:val="16"/>
              </w:rPr>
              <w:br/>
              <w:t>Budget</w:t>
            </w:r>
            <w:r w:rsidRPr="00C27D3C">
              <w:rPr>
                <w:rFonts w:ascii="Arial" w:hAnsi="Arial" w:cs="Arial"/>
                <w:sz w:val="16"/>
                <w:szCs w:val="16"/>
              </w:rPr>
              <w:br/>
            </w:r>
            <w:r w:rsidRPr="00C27D3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3650C279" w14:textId="77777777" w:rsidR="00B91F3E" w:rsidRPr="00C27D3C" w:rsidRDefault="00B91F3E" w:rsidP="00F96D8A">
            <w:pPr>
              <w:spacing w:after="0" w:line="240" w:lineRule="auto"/>
              <w:jc w:val="right"/>
              <w:rPr>
                <w:rFonts w:ascii="Arial" w:hAnsi="Arial" w:cs="Arial"/>
                <w:sz w:val="16"/>
                <w:szCs w:val="16"/>
              </w:rPr>
            </w:pPr>
            <w:r w:rsidRPr="00C27D3C">
              <w:rPr>
                <w:rFonts w:ascii="Arial" w:hAnsi="Arial" w:cs="Arial"/>
                <w:sz w:val="16"/>
                <w:szCs w:val="16"/>
              </w:rPr>
              <w:t>2023-24</w:t>
            </w:r>
            <w:r w:rsidRPr="00C27D3C">
              <w:rPr>
                <w:rFonts w:ascii="Arial" w:hAnsi="Arial" w:cs="Arial"/>
                <w:sz w:val="16"/>
                <w:szCs w:val="16"/>
              </w:rPr>
              <w:br/>
              <w:t>Forward estimate</w:t>
            </w:r>
            <w:r w:rsidRPr="00C27D3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3417340" w14:textId="77777777" w:rsidR="00B91F3E" w:rsidRPr="00C27D3C" w:rsidRDefault="00B91F3E" w:rsidP="00F96D8A">
            <w:pPr>
              <w:spacing w:after="0" w:line="240" w:lineRule="auto"/>
              <w:jc w:val="right"/>
              <w:rPr>
                <w:rFonts w:ascii="Arial" w:hAnsi="Arial" w:cs="Arial"/>
                <w:sz w:val="16"/>
                <w:szCs w:val="16"/>
              </w:rPr>
            </w:pPr>
            <w:r w:rsidRPr="00C27D3C">
              <w:rPr>
                <w:rFonts w:ascii="Arial" w:hAnsi="Arial" w:cs="Arial"/>
                <w:sz w:val="16"/>
                <w:szCs w:val="16"/>
              </w:rPr>
              <w:t>2024-25</w:t>
            </w:r>
            <w:r w:rsidRPr="00C27D3C">
              <w:rPr>
                <w:rFonts w:ascii="Arial" w:hAnsi="Arial" w:cs="Arial"/>
                <w:sz w:val="16"/>
                <w:szCs w:val="16"/>
              </w:rPr>
              <w:br/>
              <w:t>Forward estimate</w:t>
            </w:r>
            <w:r w:rsidRPr="00C27D3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10EF34A5" w14:textId="77777777" w:rsidR="00B91F3E" w:rsidRPr="00C27D3C" w:rsidRDefault="00B91F3E" w:rsidP="00F96D8A">
            <w:pPr>
              <w:spacing w:after="0" w:line="240" w:lineRule="auto"/>
              <w:jc w:val="right"/>
              <w:rPr>
                <w:rFonts w:ascii="Arial" w:hAnsi="Arial" w:cs="Arial"/>
                <w:sz w:val="16"/>
                <w:szCs w:val="16"/>
              </w:rPr>
            </w:pPr>
            <w:r w:rsidRPr="00C27D3C">
              <w:rPr>
                <w:rFonts w:ascii="Arial" w:hAnsi="Arial" w:cs="Arial"/>
                <w:sz w:val="16"/>
                <w:szCs w:val="16"/>
              </w:rPr>
              <w:t>2025-26</w:t>
            </w:r>
            <w:r w:rsidRPr="00C27D3C">
              <w:rPr>
                <w:rFonts w:ascii="Arial" w:hAnsi="Arial" w:cs="Arial"/>
                <w:sz w:val="16"/>
                <w:szCs w:val="16"/>
              </w:rPr>
              <w:br/>
              <w:t>Forward estimate</w:t>
            </w:r>
            <w:r w:rsidRPr="00C27D3C">
              <w:rPr>
                <w:rFonts w:ascii="Arial" w:hAnsi="Arial" w:cs="Arial"/>
                <w:sz w:val="16"/>
                <w:szCs w:val="16"/>
              </w:rPr>
              <w:br/>
              <w:t>$'000</w:t>
            </w:r>
          </w:p>
        </w:tc>
      </w:tr>
      <w:tr w:rsidR="00B91F3E" w:rsidRPr="00C27D3C" w14:paraId="541E2830" w14:textId="77777777" w:rsidTr="00B91F3E">
        <w:trPr>
          <w:trHeight w:val="204"/>
        </w:trPr>
        <w:tc>
          <w:tcPr>
            <w:tcW w:w="3119" w:type="dxa"/>
            <w:tcBorders>
              <w:top w:val="nil"/>
              <w:left w:val="nil"/>
              <w:bottom w:val="nil"/>
              <w:right w:val="nil"/>
            </w:tcBorders>
            <w:shd w:val="clear" w:color="auto" w:fill="auto"/>
            <w:noWrap/>
            <w:vAlign w:val="bottom"/>
            <w:hideMark/>
          </w:tcPr>
          <w:p w14:paraId="39928AF6" w14:textId="77777777" w:rsidR="00B91F3E" w:rsidRPr="00C27D3C" w:rsidRDefault="00B91F3E" w:rsidP="00F96D8A">
            <w:pPr>
              <w:spacing w:after="0" w:line="240" w:lineRule="auto"/>
              <w:jc w:val="left"/>
              <w:rPr>
                <w:rFonts w:ascii="Arial" w:hAnsi="Arial" w:cs="Arial"/>
                <w:b/>
                <w:bCs/>
                <w:sz w:val="16"/>
                <w:szCs w:val="16"/>
              </w:rPr>
            </w:pPr>
            <w:r w:rsidRPr="00C27D3C">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45E9E2B9" w14:textId="77777777" w:rsidR="00B91F3E" w:rsidRPr="004D1991" w:rsidRDefault="00B91F3E" w:rsidP="00F96D8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38ABA781" w14:textId="77777777" w:rsidR="00B91F3E" w:rsidRPr="004D1991" w:rsidRDefault="00B91F3E" w:rsidP="00F96D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C45C09A" w14:textId="77777777" w:rsidR="00B91F3E" w:rsidRPr="004D1991" w:rsidRDefault="00B91F3E" w:rsidP="00F96D8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AFAAB64" w14:textId="77777777" w:rsidR="00B91F3E" w:rsidRPr="004D1991" w:rsidRDefault="00B91F3E" w:rsidP="00F96D8A">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4D8DCDD4" w14:textId="77777777" w:rsidR="00B91F3E" w:rsidRPr="004D1991" w:rsidRDefault="00B91F3E" w:rsidP="00F96D8A">
            <w:pPr>
              <w:spacing w:after="0" w:line="240" w:lineRule="auto"/>
              <w:jc w:val="right"/>
              <w:rPr>
                <w:rFonts w:ascii="Times New Roman" w:hAnsi="Times New Roman"/>
                <w:sz w:val="16"/>
                <w:szCs w:val="16"/>
              </w:rPr>
            </w:pPr>
          </w:p>
        </w:tc>
      </w:tr>
      <w:tr w:rsidR="00A8085D" w:rsidRPr="00C27D3C" w14:paraId="759DF89B" w14:textId="77777777" w:rsidTr="00B91F3E">
        <w:trPr>
          <w:trHeight w:val="204"/>
        </w:trPr>
        <w:tc>
          <w:tcPr>
            <w:tcW w:w="3119" w:type="dxa"/>
            <w:tcBorders>
              <w:top w:val="nil"/>
              <w:left w:val="nil"/>
              <w:bottom w:val="nil"/>
              <w:right w:val="nil"/>
            </w:tcBorders>
            <w:shd w:val="clear" w:color="auto" w:fill="auto"/>
            <w:noWrap/>
            <w:vAlign w:val="bottom"/>
            <w:hideMark/>
          </w:tcPr>
          <w:p w14:paraId="23F8A20A" w14:textId="77777777" w:rsidR="00A8085D" w:rsidRPr="00C27D3C" w:rsidRDefault="00A8085D" w:rsidP="00A8085D">
            <w:pPr>
              <w:spacing w:after="0" w:line="240" w:lineRule="auto"/>
              <w:ind w:left="113"/>
              <w:jc w:val="left"/>
              <w:rPr>
                <w:rFonts w:ascii="Arial" w:hAnsi="Arial" w:cs="Arial"/>
                <w:sz w:val="16"/>
                <w:szCs w:val="16"/>
              </w:rPr>
            </w:pPr>
            <w:r w:rsidRPr="00C27D3C">
              <w:rPr>
                <w:rFonts w:ascii="Arial" w:hAnsi="Arial" w:cs="Arial"/>
                <w:sz w:val="16"/>
                <w:szCs w:val="16"/>
              </w:rPr>
              <w:t>Capital budget - Act No. 1 and Bill 3 (DCB)</w:t>
            </w:r>
          </w:p>
        </w:tc>
        <w:tc>
          <w:tcPr>
            <w:tcW w:w="928" w:type="dxa"/>
            <w:tcBorders>
              <w:top w:val="nil"/>
              <w:left w:val="nil"/>
              <w:bottom w:val="nil"/>
              <w:right w:val="nil"/>
            </w:tcBorders>
            <w:shd w:val="clear" w:color="auto" w:fill="auto"/>
            <w:noWrap/>
            <w:vAlign w:val="bottom"/>
            <w:hideMark/>
          </w:tcPr>
          <w:p w14:paraId="146D22FE" w14:textId="04FE21AF"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20,989 </w:t>
            </w:r>
          </w:p>
        </w:tc>
        <w:tc>
          <w:tcPr>
            <w:tcW w:w="860" w:type="dxa"/>
            <w:tcBorders>
              <w:top w:val="nil"/>
              <w:left w:val="nil"/>
              <w:bottom w:val="nil"/>
              <w:right w:val="nil"/>
            </w:tcBorders>
            <w:shd w:val="clear" w:color="000000" w:fill="E6E6E6"/>
            <w:noWrap/>
            <w:vAlign w:val="bottom"/>
            <w:hideMark/>
          </w:tcPr>
          <w:p w14:paraId="39E41715" w14:textId="66547CC4"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10,182 </w:t>
            </w:r>
          </w:p>
        </w:tc>
        <w:tc>
          <w:tcPr>
            <w:tcW w:w="860" w:type="dxa"/>
            <w:tcBorders>
              <w:top w:val="nil"/>
              <w:left w:val="nil"/>
              <w:bottom w:val="nil"/>
              <w:right w:val="nil"/>
            </w:tcBorders>
            <w:shd w:val="clear" w:color="auto" w:fill="auto"/>
            <w:noWrap/>
            <w:vAlign w:val="bottom"/>
            <w:hideMark/>
          </w:tcPr>
          <w:p w14:paraId="7E564BEE" w14:textId="7D06C2C6"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9,992 </w:t>
            </w:r>
          </w:p>
        </w:tc>
        <w:tc>
          <w:tcPr>
            <w:tcW w:w="860" w:type="dxa"/>
            <w:tcBorders>
              <w:top w:val="nil"/>
              <w:left w:val="nil"/>
              <w:bottom w:val="nil"/>
              <w:right w:val="nil"/>
            </w:tcBorders>
            <w:shd w:val="clear" w:color="auto" w:fill="auto"/>
            <w:noWrap/>
            <w:vAlign w:val="bottom"/>
            <w:hideMark/>
          </w:tcPr>
          <w:p w14:paraId="4FABD85B" w14:textId="31D6F860"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10,210 </w:t>
            </w:r>
          </w:p>
        </w:tc>
        <w:tc>
          <w:tcPr>
            <w:tcW w:w="860" w:type="dxa"/>
            <w:tcBorders>
              <w:top w:val="nil"/>
              <w:left w:val="nil"/>
              <w:bottom w:val="nil"/>
              <w:right w:val="nil"/>
            </w:tcBorders>
            <w:shd w:val="clear" w:color="auto" w:fill="auto"/>
            <w:noWrap/>
            <w:vAlign w:val="bottom"/>
            <w:hideMark/>
          </w:tcPr>
          <w:p w14:paraId="0E97EE4F" w14:textId="5E685B8E"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10,172 </w:t>
            </w:r>
          </w:p>
        </w:tc>
      </w:tr>
      <w:tr w:rsidR="00A8085D" w:rsidRPr="00C27D3C" w14:paraId="38AB1DC5" w14:textId="77777777" w:rsidTr="00B91F3E">
        <w:trPr>
          <w:trHeight w:val="204"/>
        </w:trPr>
        <w:tc>
          <w:tcPr>
            <w:tcW w:w="3119" w:type="dxa"/>
            <w:tcBorders>
              <w:top w:val="nil"/>
              <w:left w:val="nil"/>
              <w:bottom w:val="nil"/>
              <w:right w:val="nil"/>
            </w:tcBorders>
            <w:shd w:val="clear" w:color="auto" w:fill="auto"/>
            <w:noWrap/>
            <w:vAlign w:val="bottom"/>
            <w:hideMark/>
          </w:tcPr>
          <w:p w14:paraId="48573D15" w14:textId="77777777" w:rsidR="00A8085D" w:rsidRPr="00C27D3C" w:rsidRDefault="00A8085D" w:rsidP="00A8085D">
            <w:pPr>
              <w:spacing w:after="0" w:line="240" w:lineRule="auto"/>
              <w:jc w:val="left"/>
              <w:rPr>
                <w:rFonts w:ascii="Arial" w:hAnsi="Arial" w:cs="Arial"/>
                <w:b/>
                <w:bCs/>
                <w:sz w:val="16"/>
                <w:szCs w:val="16"/>
              </w:rPr>
            </w:pPr>
            <w:r w:rsidRPr="00C27D3C">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55CF2253" w14:textId="1A75D585"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20,989 </w:t>
            </w:r>
          </w:p>
        </w:tc>
        <w:tc>
          <w:tcPr>
            <w:tcW w:w="860" w:type="dxa"/>
            <w:tcBorders>
              <w:top w:val="single" w:sz="4" w:space="0" w:color="auto"/>
              <w:left w:val="nil"/>
              <w:bottom w:val="single" w:sz="4" w:space="0" w:color="auto"/>
              <w:right w:val="nil"/>
            </w:tcBorders>
            <w:shd w:val="clear" w:color="000000" w:fill="E6E6E6"/>
            <w:noWrap/>
            <w:vAlign w:val="bottom"/>
            <w:hideMark/>
          </w:tcPr>
          <w:p w14:paraId="06649FE0" w14:textId="7D691AA6"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10,182 </w:t>
            </w:r>
          </w:p>
        </w:tc>
        <w:tc>
          <w:tcPr>
            <w:tcW w:w="860" w:type="dxa"/>
            <w:tcBorders>
              <w:top w:val="single" w:sz="4" w:space="0" w:color="auto"/>
              <w:left w:val="nil"/>
              <w:bottom w:val="single" w:sz="4" w:space="0" w:color="auto"/>
              <w:right w:val="nil"/>
            </w:tcBorders>
            <w:shd w:val="clear" w:color="auto" w:fill="auto"/>
            <w:noWrap/>
            <w:vAlign w:val="bottom"/>
            <w:hideMark/>
          </w:tcPr>
          <w:p w14:paraId="5D56000F" w14:textId="0AFA0C80"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9,992 </w:t>
            </w:r>
          </w:p>
        </w:tc>
        <w:tc>
          <w:tcPr>
            <w:tcW w:w="860" w:type="dxa"/>
            <w:tcBorders>
              <w:top w:val="single" w:sz="4" w:space="0" w:color="auto"/>
              <w:left w:val="nil"/>
              <w:bottom w:val="single" w:sz="4" w:space="0" w:color="auto"/>
              <w:right w:val="nil"/>
            </w:tcBorders>
            <w:shd w:val="clear" w:color="auto" w:fill="auto"/>
            <w:noWrap/>
            <w:vAlign w:val="bottom"/>
            <w:hideMark/>
          </w:tcPr>
          <w:p w14:paraId="474D1551" w14:textId="5DF21647"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10,210 </w:t>
            </w:r>
          </w:p>
        </w:tc>
        <w:tc>
          <w:tcPr>
            <w:tcW w:w="860" w:type="dxa"/>
            <w:tcBorders>
              <w:top w:val="single" w:sz="4" w:space="0" w:color="auto"/>
              <w:left w:val="nil"/>
              <w:bottom w:val="single" w:sz="4" w:space="0" w:color="auto"/>
              <w:right w:val="nil"/>
            </w:tcBorders>
            <w:shd w:val="clear" w:color="auto" w:fill="auto"/>
            <w:noWrap/>
            <w:vAlign w:val="bottom"/>
            <w:hideMark/>
          </w:tcPr>
          <w:p w14:paraId="7337A468" w14:textId="565629FB"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10,172 </w:t>
            </w:r>
          </w:p>
        </w:tc>
      </w:tr>
      <w:tr w:rsidR="00A8085D" w:rsidRPr="00C27D3C" w14:paraId="60F448C3" w14:textId="77777777" w:rsidTr="00B91F3E">
        <w:trPr>
          <w:trHeight w:val="204"/>
        </w:trPr>
        <w:tc>
          <w:tcPr>
            <w:tcW w:w="3119" w:type="dxa"/>
            <w:tcBorders>
              <w:top w:val="nil"/>
              <w:left w:val="nil"/>
              <w:bottom w:val="nil"/>
              <w:right w:val="nil"/>
            </w:tcBorders>
            <w:shd w:val="clear" w:color="auto" w:fill="auto"/>
            <w:noWrap/>
            <w:vAlign w:val="bottom"/>
            <w:hideMark/>
          </w:tcPr>
          <w:p w14:paraId="17A1EF4D" w14:textId="77777777" w:rsidR="00A8085D" w:rsidRPr="00C27D3C" w:rsidRDefault="00A8085D" w:rsidP="00A8085D">
            <w:pPr>
              <w:spacing w:after="0" w:line="240" w:lineRule="auto"/>
              <w:ind w:left="113"/>
              <w:jc w:val="left"/>
              <w:rPr>
                <w:rFonts w:ascii="Arial" w:hAnsi="Arial" w:cs="Arial"/>
                <w:b/>
                <w:bCs/>
                <w:sz w:val="16"/>
                <w:szCs w:val="16"/>
              </w:rPr>
            </w:pPr>
            <w:r w:rsidRPr="00C27D3C">
              <w:rPr>
                <w:rFonts w:ascii="Arial" w:hAnsi="Arial" w:cs="Arial"/>
                <w:b/>
                <w:bCs/>
                <w:sz w:val="16"/>
                <w:szCs w:val="16"/>
              </w:rPr>
              <w:t>Provided for:</w:t>
            </w:r>
          </w:p>
        </w:tc>
        <w:tc>
          <w:tcPr>
            <w:tcW w:w="928" w:type="dxa"/>
            <w:tcBorders>
              <w:top w:val="nil"/>
              <w:left w:val="nil"/>
              <w:bottom w:val="nil"/>
              <w:right w:val="nil"/>
            </w:tcBorders>
            <w:shd w:val="clear" w:color="auto" w:fill="auto"/>
            <w:noWrap/>
            <w:vAlign w:val="bottom"/>
            <w:hideMark/>
          </w:tcPr>
          <w:p w14:paraId="3A66238E" w14:textId="77777777" w:rsidR="00A8085D" w:rsidRPr="004D1991" w:rsidRDefault="00A8085D" w:rsidP="00A8085D">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7B6EDC78" w14:textId="42955D26" w:rsidR="00A8085D" w:rsidRPr="004D1991" w:rsidRDefault="00A8085D" w:rsidP="00A8085D">
            <w:pPr>
              <w:spacing w:after="0" w:line="240" w:lineRule="auto"/>
              <w:jc w:val="right"/>
              <w:rPr>
                <w:rFonts w:ascii="Arial" w:hAnsi="Arial" w:cs="Arial"/>
                <w:i/>
                <w:iCs/>
                <w:sz w:val="16"/>
                <w:szCs w:val="16"/>
              </w:rPr>
            </w:pPr>
            <w:r>
              <w:rPr>
                <w:rFonts w:ascii="Arial" w:hAnsi="Arial" w:cs="Arial"/>
                <w:i/>
                <w:iCs/>
                <w:sz w:val="16"/>
                <w:szCs w:val="16"/>
              </w:rPr>
              <w:t> </w:t>
            </w:r>
          </w:p>
        </w:tc>
        <w:tc>
          <w:tcPr>
            <w:tcW w:w="860" w:type="dxa"/>
            <w:tcBorders>
              <w:top w:val="nil"/>
              <w:left w:val="nil"/>
              <w:bottom w:val="nil"/>
              <w:right w:val="nil"/>
            </w:tcBorders>
            <w:shd w:val="clear" w:color="auto" w:fill="auto"/>
            <w:noWrap/>
            <w:vAlign w:val="bottom"/>
            <w:hideMark/>
          </w:tcPr>
          <w:p w14:paraId="670CD849" w14:textId="77777777" w:rsidR="00A8085D" w:rsidRPr="004D1991" w:rsidRDefault="00A8085D" w:rsidP="00A8085D">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14:paraId="72D2498D" w14:textId="77777777" w:rsidR="00A8085D" w:rsidRPr="004D1991" w:rsidRDefault="00A8085D" w:rsidP="00A8085D">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085C88AF" w14:textId="77777777" w:rsidR="00A8085D" w:rsidRPr="004D1991" w:rsidRDefault="00A8085D" w:rsidP="00A8085D">
            <w:pPr>
              <w:spacing w:after="0" w:line="240" w:lineRule="auto"/>
              <w:jc w:val="right"/>
              <w:rPr>
                <w:rFonts w:ascii="Times New Roman" w:hAnsi="Times New Roman"/>
                <w:sz w:val="16"/>
                <w:szCs w:val="16"/>
              </w:rPr>
            </w:pPr>
          </w:p>
        </w:tc>
      </w:tr>
      <w:tr w:rsidR="00A8085D" w:rsidRPr="00C27D3C" w14:paraId="39AF6316" w14:textId="77777777" w:rsidTr="00B91F3E">
        <w:trPr>
          <w:trHeight w:val="204"/>
        </w:trPr>
        <w:tc>
          <w:tcPr>
            <w:tcW w:w="3119" w:type="dxa"/>
            <w:tcBorders>
              <w:top w:val="nil"/>
              <w:left w:val="nil"/>
              <w:bottom w:val="nil"/>
              <w:right w:val="nil"/>
            </w:tcBorders>
            <w:shd w:val="clear" w:color="auto" w:fill="auto"/>
            <w:noWrap/>
            <w:vAlign w:val="bottom"/>
            <w:hideMark/>
          </w:tcPr>
          <w:p w14:paraId="16983A9B" w14:textId="77777777" w:rsidR="00A8085D" w:rsidRPr="00C27D3C" w:rsidRDefault="00A8085D" w:rsidP="00A8085D">
            <w:pPr>
              <w:spacing w:after="0" w:line="240" w:lineRule="auto"/>
              <w:ind w:left="227"/>
              <w:jc w:val="left"/>
              <w:rPr>
                <w:rFonts w:ascii="Arial" w:hAnsi="Arial" w:cs="Arial"/>
                <w:sz w:val="16"/>
                <w:szCs w:val="16"/>
              </w:rPr>
            </w:pPr>
            <w:r w:rsidRPr="00C27D3C">
              <w:rPr>
                <w:rFonts w:ascii="Arial" w:hAnsi="Arial" w:cs="Arial"/>
                <w:sz w:val="16"/>
                <w:szCs w:val="16"/>
              </w:rPr>
              <w:t>Purchase of non-financial assets</w:t>
            </w:r>
          </w:p>
        </w:tc>
        <w:tc>
          <w:tcPr>
            <w:tcW w:w="928" w:type="dxa"/>
            <w:tcBorders>
              <w:top w:val="nil"/>
              <w:left w:val="nil"/>
              <w:bottom w:val="nil"/>
              <w:right w:val="nil"/>
            </w:tcBorders>
            <w:shd w:val="clear" w:color="auto" w:fill="auto"/>
            <w:noWrap/>
            <w:vAlign w:val="bottom"/>
            <w:hideMark/>
          </w:tcPr>
          <w:p w14:paraId="690D1703" w14:textId="1EA46FF2"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20,989 </w:t>
            </w:r>
          </w:p>
        </w:tc>
        <w:tc>
          <w:tcPr>
            <w:tcW w:w="860" w:type="dxa"/>
            <w:tcBorders>
              <w:top w:val="nil"/>
              <w:left w:val="nil"/>
              <w:bottom w:val="nil"/>
              <w:right w:val="nil"/>
            </w:tcBorders>
            <w:shd w:val="clear" w:color="000000" w:fill="E6E6E6"/>
            <w:noWrap/>
            <w:vAlign w:val="bottom"/>
            <w:hideMark/>
          </w:tcPr>
          <w:p w14:paraId="3638AB9A" w14:textId="0B777822"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10,182 </w:t>
            </w:r>
          </w:p>
        </w:tc>
        <w:tc>
          <w:tcPr>
            <w:tcW w:w="860" w:type="dxa"/>
            <w:tcBorders>
              <w:top w:val="nil"/>
              <w:left w:val="nil"/>
              <w:bottom w:val="nil"/>
              <w:right w:val="nil"/>
            </w:tcBorders>
            <w:shd w:val="clear" w:color="auto" w:fill="auto"/>
            <w:noWrap/>
            <w:vAlign w:val="bottom"/>
            <w:hideMark/>
          </w:tcPr>
          <w:p w14:paraId="371C00CC" w14:textId="54832726"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9,992 </w:t>
            </w:r>
          </w:p>
        </w:tc>
        <w:tc>
          <w:tcPr>
            <w:tcW w:w="860" w:type="dxa"/>
            <w:tcBorders>
              <w:top w:val="nil"/>
              <w:left w:val="nil"/>
              <w:bottom w:val="nil"/>
              <w:right w:val="nil"/>
            </w:tcBorders>
            <w:shd w:val="clear" w:color="auto" w:fill="auto"/>
            <w:noWrap/>
            <w:vAlign w:val="bottom"/>
            <w:hideMark/>
          </w:tcPr>
          <w:p w14:paraId="48576162" w14:textId="792636A0"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10,210 </w:t>
            </w:r>
          </w:p>
        </w:tc>
        <w:tc>
          <w:tcPr>
            <w:tcW w:w="860" w:type="dxa"/>
            <w:tcBorders>
              <w:top w:val="nil"/>
              <w:left w:val="nil"/>
              <w:bottom w:val="nil"/>
              <w:right w:val="nil"/>
            </w:tcBorders>
            <w:shd w:val="clear" w:color="auto" w:fill="auto"/>
            <w:noWrap/>
            <w:vAlign w:val="bottom"/>
            <w:hideMark/>
          </w:tcPr>
          <w:p w14:paraId="5B3FCD2F" w14:textId="13E73BD0"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10,172 </w:t>
            </w:r>
          </w:p>
        </w:tc>
      </w:tr>
      <w:tr w:rsidR="00A8085D" w:rsidRPr="00C27D3C" w14:paraId="60D4037F" w14:textId="77777777" w:rsidTr="00B91F3E">
        <w:trPr>
          <w:trHeight w:val="204"/>
        </w:trPr>
        <w:tc>
          <w:tcPr>
            <w:tcW w:w="3119" w:type="dxa"/>
            <w:tcBorders>
              <w:top w:val="nil"/>
              <w:left w:val="nil"/>
              <w:bottom w:val="nil"/>
              <w:right w:val="nil"/>
            </w:tcBorders>
            <w:shd w:val="clear" w:color="auto" w:fill="auto"/>
            <w:noWrap/>
            <w:vAlign w:val="bottom"/>
            <w:hideMark/>
          </w:tcPr>
          <w:p w14:paraId="187902C2" w14:textId="77777777" w:rsidR="00A8085D" w:rsidRPr="00C27D3C" w:rsidRDefault="00A8085D" w:rsidP="00A8085D">
            <w:pPr>
              <w:spacing w:after="0" w:line="240" w:lineRule="auto"/>
              <w:ind w:left="113"/>
              <w:jc w:val="left"/>
              <w:rPr>
                <w:rFonts w:ascii="Arial" w:hAnsi="Arial" w:cs="Arial"/>
                <w:b/>
                <w:bCs/>
                <w:sz w:val="16"/>
                <w:szCs w:val="16"/>
              </w:rPr>
            </w:pPr>
            <w:r w:rsidRPr="00C27D3C">
              <w:rPr>
                <w:rFonts w:ascii="Arial" w:hAnsi="Arial" w:cs="Arial"/>
                <w:b/>
                <w:b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756B960E" w14:textId="5C9BA01E"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20,989 </w:t>
            </w:r>
          </w:p>
        </w:tc>
        <w:tc>
          <w:tcPr>
            <w:tcW w:w="860" w:type="dxa"/>
            <w:tcBorders>
              <w:top w:val="single" w:sz="4" w:space="0" w:color="auto"/>
              <w:left w:val="nil"/>
              <w:bottom w:val="single" w:sz="4" w:space="0" w:color="auto"/>
              <w:right w:val="nil"/>
            </w:tcBorders>
            <w:shd w:val="clear" w:color="000000" w:fill="E6E6E6"/>
            <w:noWrap/>
            <w:vAlign w:val="bottom"/>
            <w:hideMark/>
          </w:tcPr>
          <w:p w14:paraId="3B687F29" w14:textId="015D7F3D"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10,182 </w:t>
            </w:r>
          </w:p>
        </w:tc>
        <w:tc>
          <w:tcPr>
            <w:tcW w:w="860" w:type="dxa"/>
            <w:tcBorders>
              <w:top w:val="single" w:sz="4" w:space="0" w:color="auto"/>
              <w:left w:val="nil"/>
              <w:bottom w:val="single" w:sz="4" w:space="0" w:color="auto"/>
              <w:right w:val="nil"/>
            </w:tcBorders>
            <w:shd w:val="clear" w:color="auto" w:fill="auto"/>
            <w:noWrap/>
            <w:vAlign w:val="bottom"/>
            <w:hideMark/>
          </w:tcPr>
          <w:p w14:paraId="32E32D46" w14:textId="091EBCEB"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9,992 </w:t>
            </w:r>
          </w:p>
        </w:tc>
        <w:tc>
          <w:tcPr>
            <w:tcW w:w="860" w:type="dxa"/>
            <w:tcBorders>
              <w:top w:val="single" w:sz="4" w:space="0" w:color="auto"/>
              <w:left w:val="nil"/>
              <w:bottom w:val="single" w:sz="4" w:space="0" w:color="auto"/>
              <w:right w:val="nil"/>
            </w:tcBorders>
            <w:shd w:val="clear" w:color="auto" w:fill="auto"/>
            <w:noWrap/>
            <w:vAlign w:val="bottom"/>
            <w:hideMark/>
          </w:tcPr>
          <w:p w14:paraId="504CA70D" w14:textId="37DCE1E2"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10,210 </w:t>
            </w:r>
          </w:p>
        </w:tc>
        <w:tc>
          <w:tcPr>
            <w:tcW w:w="860" w:type="dxa"/>
            <w:tcBorders>
              <w:top w:val="single" w:sz="4" w:space="0" w:color="auto"/>
              <w:left w:val="nil"/>
              <w:bottom w:val="single" w:sz="4" w:space="0" w:color="auto"/>
              <w:right w:val="nil"/>
            </w:tcBorders>
            <w:shd w:val="clear" w:color="auto" w:fill="auto"/>
            <w:noWrap/>
            <w:vAlign w:val="bottom"/>
            <w:hideMark/>
          </w:tcPr>
          <w:p w14:paraId="27B188A6" w14:textId="351FB2C7" w:rsidR="00A8085D" w:rsidRPr="004D1991"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10,172 </w:t>
            </w:r>
          </w:p>
        </w:tc>
      </w:tr>
      <w:tr w:rsidR="00A8085D" w:rsidRPr="00C27D3C" w14:paraId="58A17018" w14:textId="77777777" w:rsidTr="00B91F3E">
        <w:trPr>
          <w:trHeight w:val="204"/>
        </w:trPr>
        <w:tc>
          <w:tcPr>
            <w:tcW w:w="3119" w:type="dxa"/>
            <w:tcBorders>
              <w:top w:val="nil"/>
              <w:left w:val="nil"/>
              <w:bottom w:val="nil"/>
              <w:right w:val="nil"/>
            </w:tcBorders>
            <w:shd w:val="clear" w:color="auto" w:fill="auto"/>
            <w:vAlign w:val="bottom"/>
            <w:hideMark/>
          </w:tcPr>
          <w:p w14:paraId="40970C02" w14:textId="77777777" w:rsidR="00A8085D" w:rsidRPr="00C27D3C" w:rsidRDefault="00A8085D" w:rsidP="00A8085D">
            <w:pPr>
              <w:spacing w:after="0" w:line="240" w:lineRule="auto"/>
              <w:jc w:val="left"/>
              <w:rPr>
                <w:rFonts w:ascii="Arial" w:hAnsi="Arial" w:cs="Arial"/>
                <w:b/>
                <w:bCs/>
                <w:sz w:val="16"/>
                <w:szCs w:val="16"/>
              </w:rPr>
            </w:pPr>
            <w:r w:rsidRPr="00C27D3C">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7DB47FA4" w14:textId="77777777" w:rsidR="00A8085D" w:rsidRPr="004D1991" w:rsidRDefault="00A8085D" w:rsidP="00A8085D">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14:paraId="1091AB65" w14:textId="1C1A5DC7"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w:t>
            </w:r>
          </w:p>
        </w:tc>
        <w:tc>
          <w:tcPr>
            <w:tcW w:w="860" w:type="dxa"/>
            <w:tcBorders>
              <w:top w:val="nil"/>
              <w:left w:val="nil"/>
              <w:bottom w:val="nil"/>
              <w:right w:val="nil"/>
            </w:tcBorders>
            <w:shd w:val="clear" w:color="auto" w:fill="auto"/>
            <w:vAlign w:val="bottom"/>
            <w:hideMark/>
          </w:tcPr>
          <w:p w14:paraId="3F68FC10" w14:textId="77777777" w:rsidR="00A8085D" w:rsidRPr="004D1991"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399AB865" w14:textId="77777777" w:rsidR="00A8085D" w:rsidRPr="004D1991" w:rsidRDefault="00A8085D" w:rsidP="00A8085D">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vAlign w:val="bottom"/>
            <w:hideMark/>
          </w:tcPr>
          <w:p w14:paraId="7FA0D893" w14:textId="77777777" w:rsidR="00A8085D" w:rsidRPr="004D1991" w:rsidRDefault="00A8085D" w:rsidP="00A8085D">
            <w:pPr>
              <w:spacing w:after="0" w:line="240" w:lineRule="auto"/>
              <w:jc w:val="right"/>
              <w:rPr>
                <w:rFonts w:ascii="Times New Roman" w:hAnsi="Times New Roman"/>
                <w:sz w:val="16"/>
                <w:szCs w:val="16"/>
              </w:rPr>
            </w:pPr>
          </w:p>
        </w:tc>
      </w:tr>
      <w:tr w:rsidR="00A8085D" w:rsidRPr="00C27D3C" w14:paraId="67D61F55" w14:textId="77777777" w:rsidTr="00B91F3E">
        <w:trPr>
          <w:trHeight w:val="204"/>
        </w:trPr>
        <w:tc>
          <w:tcPr>
            <w:tcW w:w="3119" w:type="dxa"/>
            <w:tcBorders>
              <w:top w:val="nil"/>
              <w:left w:val="nil"/>
              <w:bottom w:val="nil"/>
              <w:right w:val="nil"/>
            </w:tcBorders>
            <w:shd w:val="clear" w:color="auto" w:fill="auto"/>
            <w:vAlign w:val="bottom"/>
            <w:hideMark/>
          </w:tcPr>
          <w:p w14:paraId="445629C0" w14:textId="77777777" w:rsidR="00A8085D" w:rsidRPr="00C27D3C" w:rsidRDefault="00A8085D" w:rsidP="00A8085D">
            <w:pPr>
              <w:spacing w:after="0" w:line="240" w:lineRule="auto"/>
              <w:ind w:left="113"/>
              <w:jc w:val="left"/>
              <w:rPr>
                <w:rFonts w:ascii="Arial" w:hAnsi="Arial" w:cs="Arial"/>
                <w:sz w:val="16"/>
                <w:szCs w:val="16"/>
              </w:rPr>
            </w:pPr>
            <w:r w:rsidRPr="00C27D3C">
              <w:rPr>
                <w:rFonts w:ascii="Arial" w:hAnsi="Arial" w:cs="Arial"/>
                <w:sz w:val="16"/>
                <w:szCs w:val="16"/>
              </w:rPr>
              <w:t xml:space="preserve">Funded by capital appropriation - DCB </w:t>
            </w:r>
          </w:p>
        </w:tc>
        <w:tc>
          <w:tcPr>
            <w:tcW w:w="928" w:type="dxa"/>
            <w:tcBorders>
              <w:top w:val="nil"/>
              <w:left w:val="nil"/>
              <w:bottom w:val="nil"/>
              <w:right w:val="nil"/>
            </w:tcBorders>
            <w:shd w:val="clear" w:color="auto" w:fill="auto"/>
            <w:noWrap/>
            <w:vAlign w:val="bottom"/>
            <w:hideMark/>
          </w:tcPr>
          <w:p w14:paraId="388C8D35" w14:textId="3585786B"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20,989 </w:t>
            </w:r>
          </w:p>
        </w:tc>
        <w:tc>
          <w:tcPr>
            <w:tcW w:w="860" w:type="dxa"/>
            <w:tcBorders>
              <w:top w:val="nil"/>
              <w:left w:val="nil"/>
              <w:bottom w:val="nil"/>
              <w:right w:val="nil"/>
            </w:tcBorders>
            <w:shd w:val="clear" w:color="000000" w:fill="E6E6E6"/>
            <w:noWrap/>
            <w:vAlign w:val="bottom"/>
            <w:hideMark/>
          </w:tcPr>
          <w:p w14:paraId="0311F7A9" w14:textId="53D21E18"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10,182 </w:t>
            </w:r>
          </w:p>
        </w:tc>
        <w:tc>
          <w:tcPr>
            <w:tcW w:w="860" w:type="dxa"/>
            <w:tcBorders>
              <w:top w:val="nil"/>
              <w:left w:val="nil"/>
              <w:bottom w:val="nil"/>
              <w:right w:val="nil"/>
            </w:tcBorders>
            <w:shd w:val="clear" w:color="auto" w:fill="auto"/>
            <w:noWrap/>
            <w:vAlign w:val="bottom"/>
            <w:hideMark/>
          </w:tcPr>
          <w:p w14:paraId="6356B3DB" w14:textId="324FA152"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9,992 </w:t>
            </w:r>
          </w:p>
        </w:tc>
        <w:tc>
          <w:tcPr>
            <w:tcW w:w="860" w:type="dxa"/>
            <w:tcBorders>
              <w:top w:val="nil"/>
              <w:left w:val="nil"/>
              <w:bottom w:val="nil"/>
              <w:right w:val="nil"/>
            </w:tcBorders>
            <w:shd w:val="clear" w:color="auto" w:fill="auto"/>
            <w:noWrap/>
            <w:vAlign w:val="bottom"/>
            <w:hideMark/>
          </w:tcPr>
          <w:p w14:paraId="103ED1E0" w14:textId="181D2F30"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10,210 </w:t>
            </w:r>
          </w:p>
        </w:tc>
        <w:tc>
          <w:tcPr>
            <w:tcW w:w="860" w:type="dxa"/>
            <w:tcBorders>
              <w:top w:val="nil"/>
              <w:left w:val="nil"/>
              <w:bottom w:val="nil"/>
              <w:right w:val="nil"/>
            </w:tcBorders>
            <w:shd w:val="clear" w:color="auto" w:fill="auto"/>
            <w:noWrap/>
            <w:vAlign w:val="bottom"/>
            <w:hideMark/>
          </w:tcPr>
          <w:p w14:paraId="55062569" w14:textId="73D85B68"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xml:space="preserve">10,172 </w:t>
            </w:r>
          </w:p>
        </w:tc>
      </w:tr>
      <w:tr w:rsidR="00A8085D" w:rsidRPr="00C27D3C" w14:paraId="41C55D95" w14:textId="77777777" w:rsidTr="00B91F3E">
        <w:trPr>
          <w:trHeight w:val="204"/>
        </w:trPr>
        <w:tc>
          <w:tcPr>
            <w:tcW w:w="3119" w:type="dxa"/>
            <w:tcBorders>
              <w:top w:val="nil"/>
              <w:left w:val="nil"/>
              <w:bottom w:val="nil"/>
              <w:right w:val="nil"/>
            </w:tcBorders>
            <w:shd w:val="clear" w:color="auto" w:fill="auto"/>
            <w:vAlign w:val="bottom"/>
          </w:tcPr>
          <w:p w14:paraId="682B2E28" w14:textId="3C083443" w:rsidR="00A8085D" w:rsidRPr="00C27D3C" w:rsidRDefault="00A8085D" w:rsidP="00A8085D">
            <w:pPr>
              <w:spacing w:after="0" w:line="240" w:lineRule="auto"/>
              <w:ind w:left="113"/>
              <w:jc w:val="left"/>
              <w:rPr>
                <w:rFonts w:ascii="Arial" w:hAnsi="Arial" w:cs="Arial"/>
                <w:sz w:val="16"/>
                <w:szCs w:val="16"/>
              </w:rPr>
            </w:pPr>
            <w:r>
              <w:rPr>
                <w:rFonts w:ascii="Arial" w:hAnsi="Arial" w:cs="Arial"/>
                <w:sz w:val="16"/>
                <w:szCs w:val="16"/>
              </w:rPr>
              <w:t>Funded internally from departmental resources</w:t>
            </w:r>
            <w:r w:rsidRPr="00AF3F8B">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tcPr>
          <w:p w14:paraId="5B969CFB" w14:textId="4500E90E" w:rsidR="00A8085D" w:rsidRDefault="00A8085D" w:rsidP="00A8085D">
            <w:pPr>
              <w:spacing w:after="0" w:line="240" w:lineRule="auto"/>
              <w:jc w:val="right"/>
              <w:rPr>
                <w:rFonts w:ascii="Arial" w:hAnsi="Arial" w:cs="Arial"/>
                <w:sz w:val="16"/>
                <w:szCs w:val="16"/>
              </w:rPr>
            </w:pPr>
            <w:r>
              <w:rPr>
                <w:rFonts w:ascii="Arial" w:hAnsi="Arial" w:cs="Arial"/>
                <w:sz w:val="16"/>
                <w:szCs w:val="16"/>
              </w:rPr>
              <w:t xml:space="preserve">12,040 </w:t>
            </w:r>
          </w:p>
        </w:tc>
        <w:tc>
          <w:tcPr>
            <w:tcW w:w="860" w:type="dxa"/>
            <w:tcBorders>
              <w:top w:val="nil"/>
              <w:left w:val="nil"/>
              <w:bottom w:val="nil"/>
              <w:right w:val="nil"/>
            </w:tcBorders>
            <w:shd w:val="clear" w:color="000000" w:fill="E6E6E6"/>
            <w:noWrap/>
            <w:vAlign w:val="bottom"/>
          </w:tcPr>
          <w:p w14:paraId="3C112AF7" w14:textId="566066A0" w:rsidR="00A8085D"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tcPr>
          <w:p w14:paraId="79AA2124" w14:textId="06B468F7" w:rsidR="00A8085D"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tcPr>
          <w:p w14:paraId="0EC65300" w14:textId="6A937C39" w:rsidR="00A8085D"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tcPr>
          <w:p w14:paraId="696AD049" w14:textId="38729ED8" w:rsidR="00A8085D" w:rsidRDefault="00A8085D" w:rsidP="00A8085D">
            <w:pPr>
              <w:spacing w:after="0" w:line="240" w:lineRule="auto"/>
              <w:jc w:val="right"/>
              <w:rPr>
                <w:rFonts w:ascii="Arial" w:hAnsi="Arial" w:cs="Arial"/>
                <w:sz w:val="16"/>
                <w:szCs w:val="16"/>
              </w:rPr>
            </w:pPr>
            <w:r>
              <w:rPr>
                <w:rFonts w:ascii="Arial" w:hAnsi="Arial" w:cs="Arial"/>
                <w:sz w:val="16"/>
                <w:szCs w:val="16"/>
              </w:rPr>
              <w:t xml:space="preserve">- </w:t>
            </w:r>
          </w:p>
        </w:tc>
      </w:tr>
      <w:tr w:rsidR="00A8085D" w:rsidRPr="00C27D3C" w14:paraId="67C26E88" w14:textId="77777777" w:rsidTr="00B91F3E">
        <w:trPr>
          <w:trHeight w:val="204"/>
        </w:trPr>
        <w:tc>
          <w:tcPr>
            <w:tcW w:w="3119" w:type="dxa"/>
            <w:tcBorders>
              <w:top w:val="nil"/>
              <w:left w:val="nil"/>
              <w:bottom w:val="nil"/>
              <w:right w:val="nil"/>
            </w:tcBorders>
            <w:shd w:val="clear" w:color="auto" w:fill="auto"/>
            <w:noWrap/>
            <w:vAlign w:val="bottom"/>
            <w:hideMark/>
          </w:tcPr>
          <w:p w14:paraId="29B1743A" w14:textId="77777777" w:rsidR="00A8085D" w:rsidRPr="00C27D3C" w:rsidRDefault="00A8085D" w:rsidP="00A8085D">
            <w:pPr>
              <w:spacing w:after="0" w:line="240" w:lineRule="auto"/>
              <w:jc w:val="left"/>
              <w:rPr>
                <w:rFonts w:ascii="Arial" w:hAnsi="Arial" w:cs="Arial"/>
                <w:b/>
                <w:bCs/>
                <w:sz w:val="16"/>
                <w:szCs w:val="16"/>
              </w:rPr>
            </w:pPr>
            <w:r w:rsidRPr="00C27D3C">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17C4ABC4" w14:textId="02073F0F"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33,029 </w:t>
            </w:r>
          </w:p>
        </w:tc>
        <w:tc>
          <w:tcPr>
            <w:tcW w:w="860" w:type="dxa"/>
            <w:tcBorders>
              <w:top w:val="single" w:sz="4" w:space="0" w:color="auto"/>
              <w:left w:val="nil"/>
              <w:bottom w:val="single" w:sz="4" w:space="0" w:color="auto"/>
              <w:right w:val="nil"/>
            </w:tcBorders>
            <w:shd w:val="clear" w:color="000000" w:fill="E6E6E6"/>
            <w:noWrap/>
            <w:vAlign w:val="bottom"/>
            <w:hideMark/>
          </w:tcPr>
          <w:p w14:paraId="6EFE37BF" w14:textId="18DAA0FE"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10,182 </w:t>
            </w:r>
          </w:p>
        </w:tc>
        <w:tc>
          <w:tcPr>
            <w:tcW w:w="860" w:type="dxa"/>
            <w:tcBorders>
              <w:top w:val="single" w:sz="4" w:space="0" w:color="auto"/>
              <w:left w:val="nil"/>
              <w:bottom w:val="single" w:sz="4" w:space="0" w:color="auto"/>
              <w:right w:val="nil"/>
            </w:tcBorders>
            <w:shd w:val="clear" w:color="auto" w:fill="auto"/>
            <w:noWrap/>
            <w:vAlign w:val="bottom"/>
            <w:hideMark/>
          </w:tcPr>
          <w:p w14:paraId="29AD8769" w14:textId="51C14982"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9,992 </w:t>
            </w:r>
          </w:p>
        </w:tc>
        <w:tc>
          <w:tcPr>
            <w:tcW w:w="860" w:type="dxa"/>
            <w:tcBorders>
              <w:top w:val="single" w:sz="4" w:space="0" w:color="auto"/>
              <w:left w:val="nil"/>
              <w:bottom w:val="single" w:sz="4" w:space="0" w:color="auto"/>
              <w:right w:val="nil"/>
            </w:tcBorders>
            <w:shd w:val="clear" w:color="auto" w:fill="auto"/>
            <w:noWrap/>
            <w:vAlign w:val="bottom"/>
            <w:hideMark/>
          </w:tcPr>
          <w:p w14:paraId="013085B7" w14:textId="1C89960F"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10,210 </w:t>
            </w:r>
          </w:p>
        </w:tc>
        <w:tc>
          <w:tcPr>
            <w:tcW w:w="860" w:type="dxa"/>
            <w:tcBorders>
              <w:top w:val="single" w:sz="4" w:space="0" w:color="auto"/>
              <w:left w:val="nil"/>
              <w:bottom w:val="single" w:sz="4" w:space="0" w:color="auto"/>
              <w:right w:val="nil"/>
            </w:tcBorders>
            <w:shd w:val="clear" w:color="auto" w:fill="auto"/>
            <w:noWrap/>
            <w:vAlign w:val="bottom"/>
            <w:hideMark/>
          </w:tcPr>
          <w:p w14:paraId="3D86644B" w14:textId="0E297BF2"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10,172 </w:t>
            </w:r>
          </w:p>
        </w:tc>
      </w:tr>
      <w:tr w:rsidR="00A8085D" w:rsidRPr="00C27D3C" w14:paraId="7C72FA81" w14:textId="77777777" w:rsidTr="00AF3F8B">
        <w:trPr>
          <w:trHeight w:val="204"/>
        </w:trPr>
        <w:tc>
          <w:tcPr>
            <w:tcW w:w="3119" w:type="dxa"/>
            <w:tcBorders>
              <w:top w:val="nil"/>
              <w:left w:val="nil"/>
              <w:bottom w:val="nil"/>
              <w:right w:val="nil"/>
            </w:tcBorders>
            <w:shd w:val="clear" w:color="auto" w:fill="auto"/>
            <w:vAlign w:val="bottom"/>
            <w:hideMark/>
          </w:tcPr>
          <w:p w14:paraId="2917422E" w14:textId="77777777" w:rsidR="00A8085D" w:rsidRPr="00C27D3C" w:rsidRDefault="00A8085D" w:rsidP="00A8085D">
            <w:pPr>
              <w:spacing w:after="0" w:line="240" w:lineRule="auto"/>
              <w:jc w:val="left"/>
              <w:rPr>
                <w:rFonts w:ascii="Arial" w:hAnsi="Arial" w:cs="Arial"/>
                <w:b/>
                <w:bCs/>
                <w:sz w:val="16"/>
                <w:szCs w:val="16"/>
              </w:rPr>
            </w:pPr>
            <w:r w:rsidRPr="00C27D3C">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tcPr>
          <w:p w14:paraId="7C52B254" w14:textId="7BE53CC5" w:rsidR="00A8085D" w:rsidRPr="004D1991" w:rsidRDefault="00A8085D" w:rsidP="00A8085D">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tcPr>
          <w:p w14:paraId="0B9035A2" w14:textId="68849FA5" w:rsidR="00A8085D" w:rsidRPr="004D1991" w:rsidRDefault="00A8085D" w:rsidP="00A8085D">
            <w:pPr>
              <w:spacing w:after="0" w:line="240" w:lineRule="auto"/>
              <w:jc w:val="right"/>
              <w:rPr>
                <w:rFonts w:ascii="Arial" w:hAnsi="Arial" w:cs="Arial"/>
                <w:sz w:val="16"/>
                <w:szCs w:val="16"/>
              </w:rPr>
            </w:pPr>
            <w:r>
              <w:rPr>
                <w:rFonts w:ascii="Arial" w:hAnsi="Arial" w:cs="Arial"/>
                <w:sz w:val="16"/>
                <w:szCs w:val="16"/>
              </w:rPr>
              <w:t> </w:t>
            </w:r>
          </w:p>
        </w:tc>
        <w:tc>
          <w:tcPr>
            <w:tcW w:w="860" w:type="dxa"/>
            <w:tcBorders>
              <w:top w:val="nil"/>
              <w:left w:val="nil"/>
              <w:bottom w:val="nil"/>
              <w:right w:val="nil"/>
            </w:tcBorders>
            <w:shd w:val="clear" w:color="auto" w:fill="auto"/>
            <w:noWrap/>
            <w:vAlign w:val="bottom"/>
          </w:tcPr>
          <w:p w14:paraId="366637BB" w14:textId="70AEE98E" w:rsidR="00A8085D" w:rsidRPr="004D1991" w:rsidRDefault="00A8085D" w:rsidP="00A8085D">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tcPr>
          <w:p w14:paraId="0A74DD66" w14:textId="127D6C42" w:rsidR="00A8085D" w:rsidRPr="004D1991" w:rsidRDefault="00A8085D" w:rsidP="00A8085D">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14:paraId="405E4B13" w14:textId="087BDA96" w:rsidR="00A8085D" w:rsidRPr="004D1991" w:rsidRDefault="00A8085D" w:rsidP="00A8085D">
            <w:pPr>
              <w:spacing w:after="0" w:line="240" w:lineRule="auto"/>
              <w:jc w:val="right"/>
              <w:rPr>
                <w:rFonts w:ascii="Times New Roman" w:hAnsi="Times New Roman"/>
                <w:sz w:val="16"/>
                <w:szCs w:val="16"/>
              </w:rPr>
            </w:pPr>
          </w:p>
        </w:tc>
      </w:tr>
      <w:tr w:rsidR="00A8085D" w:rsidRPr="00C27D3C" w14:paraId="6B87EEE6" w14:textId="77777777" w:rsidTr="00B91F3E">
        <w:trPr>
          <w:trHeight w:val="204"/>
        </w:trPr>
        <w:tc>
          <w:tcPr>
            <w:tcW w:w="3119" w:type="dxa"/>
            <w:tcBorders>
              <w:top w:val="nil"/>
              <w:left w:val="nil"/>
              <w:bottom w:val="nil"/>
              <w:right w:val="nil"/>
            </w:tcBorders>
            <w:shd w:val="clear" w:color="auto" w:fill="auto"/>
            <w:noWrap/>
            <w:vAlign w:val="bottom"/>
            <w:hideMark/>
          </w:tcPr>
          <w:p w14:paraId="62012890" w14:textId="77777777" w:rsidR="00A8085D" w:rsidRPr="00C27D3C" w:rsidRDefault="00A8085D" w:rsidP="00A8085D">
            <w:pPr>
              <w:spacing w:after="0" w:line="240" w:lineRule="auto"/>
              <w:ind w:left="113"/>
              <w:jc w:val="left"/>
              <w:rPr>
                <w:rFonts w:ascii="Arial" w:hAnsi="Arial" w:cs="Arial"/>
                <w:sz w:val="16"/>
                <w:szCs w:val="16"/>
              </w:rPr>
            </w:pPr>
            <w:r w:rsidRPr="00C27D3C">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617E0656" w14:textId="28ADCB3B" w:rsidR="00A8085D" w:rsidRPr="00AF3F8B" w:rsidRDefault="00A8085D" w:rsidP="00A8085D">
            <w:pPr>
              <w:spacing w:after="0" w:line="240" w:lineRule="auto"/>
              <w:jc w:val="right"/>
              <w:rPr>
                <w:rFonts w:ascii="Arial" w:hAnsi="Arial" w:cs="Arial"/>
                <w:sz w:val="16"/>
                <w:szCs w:val="16"/>
              </w:rPr>
            </w:pPr>
            <w:r>
              <w:rPr>
                <w:rFonts w:ascii="Arial" w:hAnsi="Arial" w:cs="Arial"/>
                <w:sz w:val="16"/>
                <w:szCs w:val="16"/>
              </w:rPr>
              <w:t xml:space="preserve">33,029 </w:t>
            </w:r>
          </w:p>
        </w:tc>
        <w:tc>
          <w:tcPr>
            <w:tcW w:w="860" w:type="dxa"/>
            <w:tcBorders>
              <w:top w:val="nil"/>
              <w:left w:val="nil"/>
              <w:bottom w:val="nil"/>
              <w:right w:val="nil"/>
            </w:tcBorders>
            <w:shd w:val="clear" w:color="000000" w:fill="E6E6E6"/>
            <w:noWrap/>
            <w:vAlign w:val="bottom"/>
            <w:hideMark/>
          </w:tcPr>
          <w:p w14:paraId="3AC5EBE8" w14:textId="5D86AB21" w:rsidR="00A8085D" w:rsidRPr="00AF3F8B" w:rsidRDefault="00A8085D" w:rsidP="00A8085D">
            <w:pPr>
              <w:spacing w:after="0" w:line="240" w:lineRule="auto"/>
              <w:jc w:val="right"/>
              <w:rPr>
                <w:rFonts w:ascii="Arial" w:hAnsi="Arial" w:cs="Arial"/>
                <w:sz w:val="16"/>
                <w:szCs w:val="16"/>
              </w:rPr>
            </w:pPr>
            <w:r>
              <w:rPr>
                <w:rFonts w:ascii="Arial" w:hAnsi="Arial" w:cs="Arial"/>
                <w:sz w:val="16"/>
                <w:szCs w:val="16"/>
              </w:rPr>
              <w:t xml:space="preserve">10,182 </w:t>
            </w:r>
          </w:p>
        </w:tc>
        <w:tc>
          <w:tcPr>
            <w:tcW w:w="860" w:type="dxa"/>
            <w:tcBorders>
              <w:top w:val="nil"/>
              <w:left w:val="nil"/>
              <w:bottom w:val="nil"/>
              <w:right w:val="nil"/>
            </w:tcBorders>
            <w:shd w:val="clear" w:color="auto" w:fill="auto"/>
            <w:noWrap/>
            <w:vAlign w:val="bottom"/>
            <w:hideMark/>
          </w:tcPr>
          <w:p w14:paraId="55F7F4E1" w14:textId="04A0FA1D" w:rsidR="00A8085D" w:rsidRPr="00AF3F8B" w:rsidRDefault="00A8085D" w:rsidP="00A8085D">
            <w:pPr>
              <w:spacing w:after="0" w:line="240" w:lineRule="auto"/>
              <w:jc w:val="right"/>
              <w:rPr>
                <w:rFonts w:ascii="Arial" w:hAnsi="Arial" w:cs="Arial"/>
                <w:sz w:val="16"/>
                <w:szCs w:val="16"/>
              </w:rPr>
            </w:pPr>
            <w:r>
              <w:rPr>
                <w:rFonts w:ascii="Arial" w:hAnsi="Arial" w:cs="Arial"/>
                <w:sz w:val="16"/>
                <w:szCs w:val="16"/>
              </w:rPr>
              <w:t xml:space="preserve">9,992 </w:t>
            </w:r>
          </w:p>
        </w:tc>
        <w:tc>
          <w:tcPr>
            <w:tcW w:w="860" w:type="dxa"/>
            <w:tcBorders>
              <w:top w:val="nil"/>
              <w:left w:val="nil"/>
              <w:bottom w:val="nil"/>
              <w:right w:val="nil"/>
            </w:tcBorders>
            <w:shd w:val="clear" w:color="auto" w:fill="auto"/>
            <w:noWrap/>
            <w:vAlign w:val="bottom"/>
            <w:hideMark/>
          </w:tcPr>
          <w:p w14:paraId="247A2E29" w14:textId="79F6FF82" w:rsidR="00A8085D" w:rsidRPr="00AF3F8B" w:rsidRDefault="00A8085D" w:rsidP="00A8085D">
            <w:pPr>
              <w:spacing w:after="0" w:line="240" w:lineRule="auto"/>
              <w:jc w:val="right"/>
              <w:rPr>
                <w:rFonts w:ascii="Arial" w:hAnsi="Arial" w:cs="Arial"/>
                <w:sz w:val="16"/>
                <w:szCs w:val="16"/>
              </w:rPr>
            </w:pPr>
            <w:r>
              <w:rPr>
                <w:rFonts w:ascii="Arial" w:hAnsi="Arial" w:cs="Arial"/>
                <w:sz w:val="16"/>
                <w:szCs w:val="16"/>
              </w:rPr>
              <w:t xml:space="preserve">10,210 </w:t>
            </w:r>
          </w:p>
        </w:tc>
        <w:tc>
          <w:tcPr>
            <w:tcW w:w="860" w:type="dxa"/>
            <w:tcBorders>
              <w:top w:val="nil"/>
              <w:left w:val="nil"/>
              <w:bottom w:val="nil"/>
              <w:right w:val="nil"/>
            </w:tcBorders>
            <w:shd w:val="clear" w:color="auto" w:fill="auto"/>
            <w:noWrap/>
            <w:vAlign w:val="bottom"/>
            <w:hideMark/>
          </w:tcPr>
          <w:p w14:paraId="7E49AD3D" w14:textId="244F2B4D" w:rsidR="00A8085D" w:rsidRPr="00AF3F8B" w:rsidRDefault="00A8085D" w:rsidP="00A8085D">
            <w:pPr>
              <w:spacing w:after="0" w:line="240" w:lineRule="auto"/>
              <w:jc w:val="right"/>
              <w:rPr>
                <w:rFonts w:ascii="Arial" w:hAnsi="Arial" w:cs="Arial"/>
                <w:sz w:val="16"/>
                <w:szCs w:val="16"/>
              </w:rPr>
            </w:pPr>
            <w:r>
              <w:rPr>
                <w:rFonts w:ascii="Arial" w:hAnsi="Arial" w:cs="Arial"/>
                <w:sz w:val="16"/>
                <w:szCs w:val="16"/>
              </w:rPr>
              <w:t xml:space="preserve">10,172 </w:t>
            </w:r>
          </w:p>
        </w:tc>
      </w:tr>
      <w:tr w:rsidR="00A8085D" w:rsidRPr="00C27D3C" w14:paraId="5E860E17" w14:textId="77777777" w:rsidTr="00B91F3E">
        <w:trPr>
          <w:trHeight w:val="204"/>
        </w:trPr>
        <w:tc>
          <w:tcPr>
            <w:tcW w:w="3119" w:type="dxa"/>
            <w:tcBorders>
              <w:top w:val="nil"/>
              <w:left w:val="nil"/>
              <w:bottom w:val="single" w:sz="4" w:space="0" w:color="auto"/>
              <w:right w:val="nil"/>
            </w:tcBorders>
            <w:shd w:val="clear" w:color="auto" w:fill="auto"/>
            <w:vAlign w:val="bottom"/>
            <w:hideMark/>
          </w:tcPr>
          <w:p w14:paraId="58E4E391" w14:textId="77777777" w:rsidR="00A8085D" w:rsidRPr="00C27D3C" w:rsidRDefault="00A8085D" w:rsidP="00A8085D">
            <w:pPr>
              <w:spacing w:after="0" w:line="240" w:lineRule="auto"/>
              <w:jc w:val="left"/>
              <w:rPr>
                <w:rFonts w:ascii="Arial" w:hAnsi="Arial" w:cs="Arial"/>
                <w:b/>
                <w:bCs/>
                <w:sz w:val="16"/>
                <w:szCs w:val="16"/>
              </w:rPr>
            </w:pPr>
            <w:r w:rsidRPr="00C27D3C">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5FFB0ECF" w14:textId="19996EA5"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33,029 </w:t>
            </w:r>
          </w:p>
        </w:tc>
        <w:tc>
          <w:tcPr>
            <w:tcW w:w="860" w:type="dxa"/>
            <w:tcBorders>
              <w:top w:val="single" w:sz="4" w:space="0" w:color="auto"/>
              <w:left w:val="nil"/>
              <w:bottom w:val="single" w:sz="4" w:space="0" w:color="auto"/>
              <w:right w:val="nil"/>
            </w:tcBorders>
            <w:shd w:val="clear" w:color="000000" w:fill="E6E6E6"/>
            <w:noWrap/>
            <w:vAlign w:val="bottom"/>
            <w:hideMark/>
          </w:tcPr>
          <w:p w14:paraId="3D7412EF" w14:textId="7A0C14F5"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10,182 </w:t>
            </w:r>
          </w:p>
        </w:tc>
        <w:tc>
          <w:tcPr>
            <w:tcW w:w="860" w:type="dxa"/>
            <w:tcBorders>
              <w:top w:val="single" w:sz="4" w:space="0" w:color="auto"/>
              <w:left w:val="nil"/>
              <w:bottom w:val="single" w:sz="4" w:space="0" w:color="auto"/>
              <w:right w:val="nil"/>
            </w:tcBorders>
            <w:shd w:val="clear" w:color="auto" w:fill="auto"/>
            <w:noWrap/>
            <w:vAlign w:val="bottom"/>
            <w:hideMark/>
          </w:tcPr>
          <w:p w14:paraId="29073EB5" w14:textId="08FB01A8"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9,992 </w:t>
            </w:r>
          </w:p>
        </w:tc>
        <w:tc>
          <w:tcPr>
            <w:tcW w:w="860" w:type="dxa"/>
            <w:tcBorders>
              <w:top w:val="single" w:sz="4" w:space="0" w:color="auto"/>
              <w:left w:val="nil"/>
              <w:bottom w:val="single" w:sz="4" w:space="0" w:color="auto"/>
              <w:right w:val="nil"/>
            </w:tcBorders>
            <w:shd w:val="clear" w:color="auto" w:fill="auto"/>
            <w:noWrap/>
            <w:vAlign w:val="bottom"/>
            <w:hideMark/>
          </w:tcPr>
          <w:p w14:paraId="15FD5E1A" w14:textId="3147292B"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10,210 </w:t>
            </w:r>
          </w:p>
        </w:tc>
        <w:tc>
          <w:tcPr>
            <w:tcW w:w="860" w:type="dxa"/>
            <w:tcBorders>
              <w:top w:val="single" w:sz="4" w:space="0" w:color="auto"/>
              <w:left w:val="nil"/>
              <w:bottom w:val="single" w:sz="4" w:space="0" w:color="auto"/>
              <w:right w:val="nil"/>
            </w:tcBorders>
            <w:shd w:val="clear" w:color="auto" w:fill="auto"/>
            <w:noWrap/>
            <w:vAlign w:val="bottom"/>
            <w:hideMark/>
          </w:tcPr>
          <w:p w14:paraId="340FD5B3" w14:textId="1F5E50EE" w:rsidR="00A8085D" w:rsidRPr="00AF3F8B" w:rsidRDefault="00A8085D" w:rsidP="00A8085D">
            <w:pPr>
              <w:spacing w:after="0" w:line="240" w:lineRule="auto"/>
              <w:jc w:val="right"/>
              <w:rPr>
                <w:rFonts w:ascii="Arial" w:hAnsi="Arial" w:cs="Arial"/>
                <w:b/>
                <w:bCs/>
                <w:sz w:val="16"/>
                <w:szCs w:val="16"/>
              </w:rPr>
            </w:pPr>
            <w:r>
              <w:rPr>
                <w:rFonts w:ascii="Arial" w:hAnsi="Arial" w:cs="Arial"/>
                <w:b/>
                <w:bCs/>
                <w:sz w:val="16"/>
                <w:szCs w:val="16"/>
              </w:rPr>
              <w:t xml:space="preserve">10,172 </w:t>
            </w:r>
          </w:p>
        </w:tc>
      </w:tr>
    </w:tbl>
    <w:p w14:paraId="57D76EEE" w14:textId="77777777" w:rsidR="00B91F3E" w:rsidRPr="00132F9E" w:rsidRDefault="00B91F3E" w:rsidP="00B91F3E">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0732429C" w14:textId="2B924AD8" w:rsidR="00AF3F8B" w:rsidRPr="00AF3F8B" w:rsidRDefault="00AF3F8B" w:rsidP="00B91F3E">
      <w:pPr>
        <w:pStyle w:val="ExampleText0"/>
        <w:rPr>
          <w:rFonts w:ascii="Arial" w:hAnsi="Arial" w:cs="Arial"/>
          <w:i w:val="0"/>
          <w:color w:val="auto"/>
          <w:sz w:val="16"/>
          <w:szCs w:val="16"/>
        </w:rPr>
        <w:sectPr w:rsidR="00AF3F8B" w:rsidRPr="00AF3F8B" w:rsidSect="00F96D8A">
          <w:headerReference w:type="even" r:id="rId26"/>
          <w:headerReference w:type="default" r:id="rId27"/>
          <w:footerReference w:type="default" r:id="rId28"/>
          <w:headerReference w:type="first" r:id="rId29"/>
          <w:pgSz w:w="11906" w:h="16838" w:code="9"/>
          <w:pgMar w:top="2835" w:right="2125" w:bottom="2466" w:left="2098" w:header="1814" w:footer="1814" w:gutter="0"/>
          <w:cols w:space="708"/>
          <w:titlePg/>
          <w:docGrid w:linePitch="360"/>
        </w:sectPr>
      </w:pPr>
      <w:r w:rsidRPr="00AF3F8B">
        <w:rPr>
          <w:rFonts w:ascii="Arial" w:hAnsi="Arial" w:cs="Arial"/>
          <w:i w:val="0"/>
          <w:color w:val="auto"/>
          <w:sz w:val="16"/>
          <w:szCs w:val="16"/>
        </w:rPr>
        <w:t>(a) Amounts funded from prior year Departmental Capital Budgets (DCBs) and internal reserves.</w:t>
      </w:r>
    </w:p>
    <w:p w14:paraId="75BF7C1D" w14:textId="174B9AF2" w:rsidR="00B91F3E" w:rsidRDefault="00B91F3E" w:rsidP="00B91F3E">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0" w:type="auto"/>
        <w:tblLayout w:type="fixed"/>
        <w:tblLook w:val="04A0" w:firstRow="1" w:lastRow="0" w:firstColumn="1" w:lastColumn="0" w:noHBand="0" w:noVBand="1"/>
      </w:tblPr>
      <w:tblGrid>
        <w:gridCol w:w="3071"/>
        <w:gridCol w:w="898"/>
        <w:gridCol w:w="964"/>
        <w:gridCol w:w="981"/>
        <w:gridCol w:w="898"/>
        <w:gridCol w:w="898"/>
      </w:tblGrid>
      <w:tr w:rsidR="00B91F3E" w:rsidRPr="00EA068E" w14:paraId="7FF535AC" w14:textId="77777777" w:rsidTr="00F96D8A">
        <w:trPr>
          <w:trHeight w:val="204"/>
        </w:trPr>
        <w:tc>
          <w:tcPr>
            <w:tcW w:w="3071" w:type="dxa"/>
            <w:tcBorders>
              <w:top w:val="single" w:sz="4" w:space="0" w:color="auto"/>
              <w:left w:val="nil"/>
              <w:bottom w:val="nil"/>
              <w:right w:val="nil"/>
            </w:tcBorders>
            <w:shd w:val="clear" w:color="auto" w:fill="auto"/>
            <w:noWrap/>
            <w:vAlign w:val="bottom"/>
            <w:hideMark/>
          </w:tcPr>
          <w:p w14:paraId="4E096D47" w14:textId="77777777" w:rsidR="00B91F3E" w:rsidRPr="00EA068E" w:rsidRDefault="00B91F3E" w:rsidP="00F96D8A">
            <w:pPr>
              <w:spacing w:after="0" w:line="240" w:lineRule="auto"/>
              <w:jc w:val="left"/>
              <w:rPr>
                <w:rFonts w:ascii="Arial" w:hAnsi="Arial" w:cs="Arial"/>
                <w:sz w:val="16"/>
                <w:szCs w:val="16"/>
              </w:rPr>
            </w:pPr>
            <w:r w:rsidRPr="00EA068E">
              <w:rPr>
                <w:rFonts w:ascii="Arial" w:hAnsi="Arial" w:cs="Arial"/>
                <w:sz w:val="16"/>
                <w:szCs w:val="16"/>
              </w:rPr>
              <w:t> </w:t>
            </w:r>
          </w:p>
        </w:tc>
        <w:tc>
          <w:tcPr>
            <w:tcW w:w="4639" w:type="dxa"/>
            <w:gridSpan w:val="5"/>
            <w:tcBorders>
              <w:top w:val="single" w:sz="4" w:space="0" w:color="auto"/>
              <w:left w:val="nil"/>
              <w:bottom w:val="single" w:sz="4" w:space="0" w:color="auto"/>
              <w:right w:val="nil"/>
            </w:tcBorders>
            <w:shd w:val="clear" w:color="auto" w:fill="auto"/>
            <w:vAlign w:val="bottom"/>
          </w:tcPr>
          <w:p w14:paraId="5AB229AA" w14:textId="77777777" w:rsidR="00B91F3E" w:rsidRPr="004D1991" w:rsidRDefault="00B91F3E" w:rsidP="00F96D8A">
            <w:pPr>
              <w:spacing w:after="0" w:line="240" w:lineRule="auto"/>
              <w:jc w:val="center"/>
              <w:rPr>
                <w:rFonts w:ascii="Arial" w:hAnsi="Arial" w:cs="Arial"/>
                <w:b/>
                <w:sz w:val="16"/>
                <w:szCs w:val="16"/>
              </w:rPr>
            </w:pPr>
            <w:r w:rsidRPr="004D1991">
              <w:rPr>
                <w:rFonts w:ascii="Arial" w:hAnsi="Arial" w:cs="Arial"/>
                <w:b/>
                <w:sz w:val="16"/>
                <w:szCs w:val="16"/>
              </w:rPr>
              <w:t>Asset Category</w:t>
            </w:r>
          </w:p>
        </w:tc>
      </w:tr>
      <w:tr w:rsidR="00B91F3E" w:rsidRPr="00EA068E" w14:paraId="32A8CB3B" w14:textId="77777777" w:rsidTr="00F96D8A">
        <w:trPr>
          <w:trHeight w:val="204"/>
        </w:trPr>
        <w:tc>
          <w:tcPr>
            <w:tcW w:w="3071" w:type="dxa"/>
            <w:tcBorders>
              <w:left w:val="nil"/>
              <w:bottom w:val="nil"/>
              <w:right w:val="nil"/>
            </w:tcBorders>
            <w:shd w:val="clear" w:color="auto" w:fill="auto"/>
            <w:noWrap/>
            <w:vAlign w:val="bottom"/>
          </w:tcPr>
          <w:p w14:paraId="7D18FC4B" w14:textId="77777777" w:rsidR="00B91F3E" w:rsidRPr="00EA068E" w:rsidRDefault="00B91F3E" w:rsidP="00F96D8A">
            <w:pPr>
              <w:spacing w:after="0" w:line="240" w:lineRule="auto"/>
              <w:jc w:val="left"/>
              <w:rPr>
                <w:rFonts w:ascii="Arial" w:hAnsi="Arial" w:cs="Arial"/>
                <w:sz w:val="16"/>
                <w:szCs w:val="16"/>
              </w:rPr>
            </w:pPr>
          </w:p>
        </w:tc>
        <w:tc>
          <w:tcPr>
            <w:tcW w:w="898" w:type="dxa"/>
            <w:tcBorders>
              <w:top w:val="single" w:sz="4" w:space="0" w:color="auto"/>
              <w:left w:val="nil"/>
              <w:bottom w:val="single" w:sz="4" w:space="0" w:color="auto"/>
              <w:right w:val="nil"/>
            </w:tcBorders>
            <w:shd w:val="clear" w:color="auto" w:fill="auto"/>
            <w:vAlign w:val="bottom"/>
          </w:tcPr>
          <w:p w14:paraId="4293D058" w14:textId="77777777" w:rsidR="00B91F3E" w:rsidRPr="00EA068E" w:rsidRDefault="00B91F3E" w:rsidP="00F96D8A">
            <w:pPr>
              <w:spacing w:after="0" w:line="240" w:lineRule="auto"/>
              <w:jc w:val="right"/>
              <w:rPr>
                <w:rFonts w:ascii="Arial" w:hAnsi="Arial" w:cs="Arial"/>
                <w:sz w:val="16"/>
                <w:szCs w:val="16"/>
              </w:rPr>
            </w:pPr>
            <w:r w:rsidRPr="00EA068E">
              <w:rPr>
                <w:rFonts w:ascii="Arial" w:hAnsi="Arial" w:cs="Arial"/>
                <w:sz w:val="16"/>
                <w:szCs w:val="16"/>
              </w:rPr>
              <w:t>Buildings</w:t>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3BAC86A0" w14:textId="77777777" w:rsidR="00B91F3E" w:rsidRPr="00EA068E" w:rsidRDefault="00B91F3E" w:rsidP="00F96D8A">
            <w:pPr>
              <w:spacing w:after="0" w:line="240" w:lineRule="auto"/>
              <w:jc w:val="right"/>
              <w:rPr>
                <w:rFonts w:ascii="Arial" w:hAnsi="Arial" w:cs="Arial"/>
                <w:sz w:val="16"/>
                <w:szCs w:val="16"/>
              </w:rPr>
            </w:pPr>
            <w:r w:rsidRPr="00EA068E">
              <w:rPr>
                <w:rFonts w:ascii="Arial" w:hAnsi="Arial" w:cs="Arial"/>
                <w:sz w:val="16"/>
                <w:szCs w:val="16"/>
              </w:rPr>
              <w:t>Other</w:t>
            </w:r>
            <w:r w:rsidRPr="00EA068E">
              <w:rPr>
                <w:rFonts w:ascii="Arial" w:hAnsi="Arial" w:cs="Arial"/>
                <w:sz w:val="16"/>
                <w:szCs w:val="16"/>
              </w:rPr>
              <w:br/>
              <w:t>property,</w:t>
            </w:r>
            <w:r w:rsidRPr="00EA068E">
              <w:rPr>
                <w:rFonts w:ascii="Arial" w:hAnsi="Arial" w:cs="Arial"/>
                <w:sz w:val="16"/>
                <w:szCs w:val="16"/>
              </w:rPr>
              <w:br/>
              <w:t>plant and</w:t>
            </w:r>
            <w:r w:rsidRPr="00EA068E">
              <w:rPr>
                <w:rFonts w:ascii="Arial" w:hAnsi="Arial" w:cs="Arial"/>
                <w:sz w:val="16"/>
                <w:szCs w:val="16"/>
              </w:rPr>
              <w:br/>
              <w:t>equipment</w:t>
            </w:r>
            <w:r w:rsidRPr="00EA068E">
              <w:rPr>
                <w:rFonts w:ascii="Arial" w:hAnsi="Arial" w:cs="Arial"/>
                <w:sz w:val="16"/>
                <w:szCs w:val="16"/>
              </w:rPr>
              <w:br/>
            </w:r>
            <w:r w:rsidRPr="00EA068E">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64B58CFA" w14:textId="77777777" w:rsidR="00B91F3E" w:rsidRPr="00EA068E" w:rsidRDefault="00B91F3E" w:rsidP="00F96D8A">
            <w:pPr>
              <w:spacing w:after="0" w:line="240" w:lineRule="auto"/>
              <w:jc w:val="right"/>
              <w:rPr>
                <w:rFonts w:ascii="Arial" w:hAnsi="Arial" w:cs="Arial"/>
                <w:sz w:val="16"/>
                <w:szCs w:val="16"/>
              </w:rPr>
            </w:pPr>
            <w:r w:rsidRPr="00EA068E">
              <w:rPr>
                <w:rFonts w:ascii="Arial" w:hAnsi="Arial" w:cs="Arial"/>
                <w:sz w:val="16"/>
                <w:szCs w:val="16"/>
              </w:rPr>
              <w:t>Computer</w:t>
            </w:r>
            <w:r w:rsidRPr="00EA068E">
              <w:rPr>
                <w:rFonts w:ascii="Arial" w:hAnsi="Arial" w:cs="Arial"/>
                <w:sz w:val="16"/>
                <w:szCs w:val="16"/>
              </w:rPr>
              <w:br/>
              <w:t>software and</w:t>
            </w:r>
            <w:r w:rsidRPr="00EA068E">
              <w:rPr>
                <w:rFonts w:ascii="Arial" w:hAnsi="Arial" w:cs="Arial"/>
                <w:sz w:val="16"/>
                <w:szCs w:val="16"/>
              </w:rPr>
              <w:br/>
              <w:t>intangibles</w:t>
            </w:r>
            <w:r w:rsidRPr="00EA068E">
              <w:rPr>
                <w:rFonts w:ascii="Arial" w:hAnsi="Arial" w:cs="Arial"/>
                <w:sz w:val="16"/>
                <w:szCs w:val="16"/>
              </w:rPr>
              <w:br/>
            </w:r>
            <w:r w:rsidRPr="00EA068E">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bottom"/>
          </w:tcPr>
          <w:p w14:paraId="23EE3F65" w14:textId="77777777" w:rsidR="00B91F3E" w:rsidRPr="00EA068E" w:rsidRDefault="00B91F3E" w:rsidP="00F96D8A">
            <w:pPr>
              <w:spacing w:after="0" w:line="240" w:lineRule="auto"/>
              <w:jc w:val="right"/>
              <w:rPr>
                <w:rFonts w:ascii="Arial" w:hAnsi="Arial" w:cs="Arial"/>
                <w:sz w:val="16"/>
                <w:szCs w:val="16"/>
              </w:rPr>
            </w:pPr>
            <w:r w:rsidRPr="00EA068E">
              <w:rPr>
                <w:rFonts w:ascii="Arial" w:hAnsi="Arial" w:cs="Arial"/>
                <w:sz w:val="16"/>
                <w:szCs w:val="16"/>
              </w:rPr>
              <w:t>Heritage</w:t>
            </w:r>
            <w:r w:rsidRPr="00EA068E">
              <w:rPr>
                <w:rFonts w:ascii="Arial" w:hAnsi="Arial" w:cs="Arial"/>
                <w:sz w:val="16"/>
                <w:szCs w:val="16"/>
              </w:rPr>
              <w:br/>
              <w:t>and</w:t>
            </w:r>
            <w:r w:rsidRPr="00EA068E">
              <w:rPr>
                <w:rFonts w:ascii="Arial" w:hAnsi="Arial" w:cs="Arial"/>
                <w:sz w:val="16"/>
                <w:szCs w:val="16"/>
              </w:rPr>
              <w:br/>
              <w:t>cultural</w:t>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bottom"/>
          </w:tcPr>
          <w:p w14:paraId="0602C0BD" w14:textId="77777777" w:rsidR="00B91F3E" w:rsidRPr="00EA068E" w:rsidRDefault="00B91F3E" w:rsidP="00F96D8A">
            <w:pPr>
              <w:spacing w:after="0" w:line="240" w:lineRule="auto"/>
              <w:jc w:val="right"/>
              <w:rPr>
                <w:rFonts w:ascii="Arial" w:hAnsi="Arial" w:cs="Arial"/>
                <w:sz w:val="16"/>
                <w:szCs w:val="16"/>
              </w:rPr>
            </w:pPr>
            <w:r w:rsidRPr="00EA068E">
              <w:rPr>
                <w:rFonts w:ascii="Arial" w:hAnsi="Arial" w:cs="Arial"/>
                <w:sz w:val="16"/>
                <w:szCs w:val="16"/>
              </w:rPr>
              <w:t>Total</w:t>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r>
            <w:r w:rsidRPr="00EA068E">
              <w:rPr>
                <w:rFonts w:ascii="Arial" w:hAnsi="Arial" w:cs="Arial"/>
                <w:sz w:val="16"/>
                <w:szCs w:val="16"/>
              </w:rPr>
              <w:br/>
              <w:t>$'000</w:t>
            </w:r>
          </w:p>
        </w:tc>
      </w:tr>
      <w:tr w:rsidR="00B91F3E" w:rsidRPr="00EA068E" w14:paraId="354EF669" w14:textId="77777777" w:rsidTr="00F96D8A">
        <w:trPr>
          <w:trHeight w:val="204"/>
        </w:trPr>
        <w:tc>
          <w:tcPr>
            <w:tcW w:w="3071" w:type="dxa"/>
            <w:tcBorders>
              <w:top w:val="nil"/>
              <w:left w:val="nil"/>
              <w:bottom w:val="nil"/>
              <w:right w:val="nil"/>
            </w:tcBorders>
            <w:shd w:val="clear" w:color="auto" w:fill="auto"/>
            <w:vAlign w:val="bottom"/>
            <w:hideMark/>
          </w:tcPr>
          <w:p w14:paraId="10897599" w14:textId="7295A9B4" w:rsidR="00B91F3E" w:rsidRPr="00EA068E" w:rsidRDefault="007503C0" w:rsidP="00F96D8A">
            <w:pPr>
              <w:spacing w:after="0" w:line="240" w:lineRule="auto"/>
              <w:jc w:val="left"/>
              <w:rPr>
                <w:rFonts w:ascii="Arial" w:hAnsi="Arial" w:cs="Arial"/>
                <w:b/>
                <w:bCs/>
                <w:sz w:val="16"/>
                <w:szCs w:val="16"/>
              </w:rPr>
            </w:pPr>
            <w:r>
              <w:rPr>
                <w:rFonts w:ascii="Arial" w:hAnsi="Arial" w:cs="Arial"/>
                <w:b/>
                <w:bCs/>
                <w:sz w:val="16"/>
                <w:szCs w:val="16"/>
              </w:rPr>
              <w:t>As at 1 July 2022</w:t>
            </w:r>
          </w:p>
        </w:tc>
        <w:tc>
          <w:tcPr>
            <w:tcW w:w="898" w:type="dxa"/>
            <w:tcBorders>
              <w:top w:val="nil"/>
              <w:left w:val="nil"/>
              <w:bottom w:val="nil"/>
              <w:right w:val="nil"/>
            </w:tcBorders>
            <w:shd w:val="clear" w:color="auto" w:fill="auto"/>
            <w:noWrap/>
            <w:vAlign w:val="bottom"/>
            <w:hideMark/>
          </w:tcPr>
          <w:p w14:paraId="047115EC" w14:textId="77777777" w:rsidR="00B91F3E" w:rsidRPr="00EA068E" w:rsidRDefault="00B91F3E" w:rsidP="00F96D8A">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0162C013" w14:textId="77777777" w:rsidR="00B91F3E" w:rsidRPr="00EA068E" w:rsidRDefault="00B91F3E" w:rsidP="00F96D8A">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446F5B5D" w14:textId="77777777" w:rsidR="00B91F3E" w:rsidRPr="00EA068E" w:rsidRDefault="00B91F3E" w:rsidP="00F96D8A">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7F10DD0B" w14:textId="77777777" w:rsidR="00B91F3E" w:rsidRPr="00EA068E" w:rsidRDefault="00B91F3E" w:rsidP="00F96D8A">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44FCE7A1" w14:textId="77777777" w:rsidR="00B91F3E" w:rsidRPr="00EA068E" w:rsidRDefault="00B91F3E" w:rsidP="00F96D8A">
            <w:pPr>
              <w:spacing w:after="0" w:line="240" w:lineRule="auto"/>
              <w:jc w:val="right"/>
              <w:rPr>
                <w:rFonts w:ascii="Times New Roman" w:hAnsi="Times New Roman"/>
              </w:rPr>
            </w:pPr>
          </w:p>
        </w:tc>
      </w:tr>
      <w:tr w:rsidR="00ED508F" w:rsidRPr="00EA068E" w14:paraId="0A29AB82" w14:textId="77777777" w:rsidTr="00F96D8A">
        <w:trPr>
          <w:trHeight w:val="204"/>
        </w:trPr>
        <w:tc>
          <w:tcPr>
            <w:tcW w:w="3071" w:type="dxa"/>
            <w:tcBorders>
              <w:top w:val="nil"/>
              <w:left w:val="nil"/>
              <w:bottom w:val="nil"/>
              <w:right w:val="nil"/>
            </w:tcBorders>
            <w:shd w:val="clear" w:color="auto" w:fill="auto"/>
            <w:vAlign w:val="bottom"/>
            <w:hideMark/>
          </w:tcPr>
          <w:p w14:paraId="314FFBB4" w14:textId="77777777"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 xml:space="preserve">Gross book value </w:t>
            </w:r>
          </w:p>
        </w:tc>
        <w:tc>
          <w:tcPr>
            <w:tcW w:w="898" w:type="dxa"/>
            <w:tcBorders>
              <w:top w:val="nil"/>
              <w:left w:val="nil"/>
              <w:bottom w:val="nil"/>
              <w:right w:val="nil"/>
            </w:tcBorders>
            <w:shd w:val="clear" w:color="auto" w:fill="auto"/>
            <w:noWrap/>
            <w:vAlign w:val="bottom"/>
            <w:hideMark/>
          </w:tcPr>
          <w:p w14:paraId="6477EEE5" w14:textId="377CB01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34,414 </w:t>
            </w:r>
          </w:p>
        </w:tc>
        <w:tc>
          <w:tcPr>
            <w:tcW w:w="964" w:type="dxa"/>
            <w:tcBorders>
              <w:top w:val="nil"/>
              <w:left w:val="nil"/>
              <w:bottom w:val="nil"/>
              <w:right w:val="nil"/>
            </w:tcBorders>
            <w:shd w:val="clear" w:color="auto" w:fill="auto"/>
            <w:noWrap/>
            <w:vAlign w:val="bottom"/>
            <w:hideMark/>
          </w:tcPr>
          <w:p w14:paraId="6814C478" w14:textId="5C20CC65"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28,631 </w:t>
            </w:r>
          </w:p>
        </w:tc>
        <w:tc>
          <w:tcPr>
            <w:tcW w:w="981" w:type="dxa"/>
            <w:tcBorders>
              <w:top w:val="nil"/>
              <w:left w:val="nil"/>
              <w:bottom w:val="nil"/>
              <w:right w:val="nil"/>
            </w:tcBorders>
            <w:shd w:val="clear" w:color="auto" w:fill="auto"/>
            <w:noWrap/>
            <w:vAlign w:val="bottom"/>
            <w:hideMark/>
          </w:tcPr>
          <w:p w14:paraId="7FC22467" w14:textId="5FFDFDD0"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114,540 </w:t>
            </w:r>
          </w:p>
        </w:tc>
        <w:tc>
          <w:tcPr>
            <w:tcW w:w="898" w:type="dxa"/>
            <w:tcBorders>
              <w:top w:val="nil"/>
              <w:left w:val="nil"/>
              <w:bottom w:val="nil"/>
              <w:right w:val="nil"/>
            </w:tcBorders>
            <w:shd w:val="clear" w:color="auto" w:fill="auto"/>
            <w:noWrap/>
            <w:vAlign w:val="bottom"/>
            <w:hideMark/>
          </w:tcPr>
          <w:p w14:paraId="55FB8A70" w14:textId="2A4B9D3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36,701 </w:t>
            </w:r>
          </w:p>
        </w:tc>
        <w:tc>
          <w:tcPr>
            <w:tcW w:w="898" w:type="dxa"/>
            <w:tcBorders>
              <w:top w:val="nil"/>
              <w:left w:val="nil"/>
              <w:bottom w:val="nil"/>
              <w:right w:val="nil"/>
            </w:tcBorders>
            <w:shd w:val="clear" w:color="auto" w:fill="auto"/>
            <w:noWrap/>
            <w:vAlign w:val="bottom"/>
            <w:hideMark/>
          </w:tcPr>
          <w:p w14:paraId="2DFAD0D1" w14:textId="4CEC042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214,286 </w:t>
            </w:r>
          </w:p>
        </w:tc>
      </w:tr>
      <w:tr w:rsidR="00ED508F" w:rsidRPr="00EA068E" w14:paraId="36047C2C" w14:textId="77777777" w:rsidTr="00F96D8A">
        <w:trPr>
          <w:trHeight w:val="204"/>
        </w:trPr>
        <w:tc>
          <w:tcPr>
            <w:tcW w:w="3071" w:type="dxa"/>
            <w:tcBorders>
              <w:top w:val="nil"/>
              <w:left w:val="nil"/>
              <w:bottom w:val="nil"/>
              <w:right w:val="nil"/>
            </w:tcBorders>
            <w:shd w:val="clear" w:color="auto" w:fill="auto"/>
            <w:noWrap/>
            <w:vAlign w:val="bottom"/>
            <w:hideMark/>
          </w:tcPr>
          <w:p w14:paraId="7BA55BEF" w14:textId="77777777"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Gross book value - ROU assets</w:t>
            </w:r>
          </w:p>
        </w:tc>
        <w:tc>
          <w:tcPr>
            <w:tcW w:w="898" w:type="dxa"/>
            <w:tcBorders>
              <w:top w:val="nil"/>
              <w:left w:val="nil"/>
              <w:bottom w:val="nil"/>
              <w:right w:val="nil"/>
            </w:tcBorders>
            <w:shd w:val="clear" w:color="auto" w:fill="auto"/>
            <w:noWrap/>
            <w:vAlign w:val="bottom"/>
            <w:hideMark/>
          </w:tcPr>
          <w:p w14:paraId="11C4EB7E" w14:textId="6A5893A5"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155,895 </w:t>
            </w:r>
          </w:p>
        </w:tc>
        <w:tc>
          <w:tcPr>
            <w:tcW w:w="964" w:type="dxa"/>
            <w:tcBorders>
              <w:top w:val="nil"/>
              <w:left w:val="nil"/>
              <w:bottom w:val="nil"/>
              <w:right w:val="nil"/>
            </w:tcBorders>
            <w:shd w:val="clear" w:color="auto" w:fill="auto"/>
            <w:noWrap/>
            <w:vAlign w:val="bottom"/>
            <w:hideMark/>
          </w:tcPr>
          <w:p w14:paraId="4A8B0A6D" w14:textId="222A9D7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170 </w:t>
            </w:r>
          </w:p>
        </w:tc>
        <w:tc>
          <w:tcPr>
            <w:tcW w:w="981" w:type="dxa"/>
            <w:tcBorders>
              <w:top w:val="nil"/>
              <w:left w:val="nil"/>
              <w:bottom w:val="nil"/>
              <w:right w:val="nil"/>
            </w:tcBorders>
            <w:shd w:val="clear" w:color="auto" w:fill="auto"/>
            <w:noWrap/>
            <w:vAlign w:val="bottom"/>
            <w:hideMark/>
          </w:tcPr>
          <w:p w14:paraId="531BE6A4" w14:textId="7F8AA40C"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706C02C2" w14:textId="7CD604C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7AB2BCDE" w14:textId="3F652A55"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156,065 </w:t>
            </w:r>
          </w:p>
        </w:tc>
      </w:tr>
      <w:tr w:rsidR="00ED508F" w:rsidRPr="00EA068E" w14:paraId="1631A6AC" w14:textId="77777777" w:rsidTr="00F96D8A">
        <w:trPr>
          <w:trHeight w:val="204"/>
        </w:trPr>
        <w:tc>
          <w:tcPr>
            <w:tcW w:w="3071" w:type="dxa"/>
            <w:tcBorders>
              <w:top w:val="nil"/>
              <w:left w:val="nil"/>
              <w:bottom w:val="nil"/>
              <w:right w:val="nil"/>
            </w:tcBorders>
            <w:shd w:val="clear" w:color="auto" w:fill="auto"/>
            <w:vAlign w:val="bottom"/>
            <w:hideMark/>
          </w:tcPr>
          <w:p w14:paraId="651C70A2" w14:textId="77777777"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Accumulated depreciation / amortisation and impairment</w:t>
            </w:r>
          </w:p>
        </w:tc>
        <w:tc>
          <w:tcPr>
            <w:tcW w:w="898" w:type="dxa"/>
            <w:tcBorders>
              <w:top w:val="nil"/>
              <w:left w:val="nil"/>
              <w:bottom w:val="nil"/>
              <w:right w:val="nil"/>
            </w:tcBorders>
            <w:shd w:val="clear" w:color="auto" w:fill="auto"/>
            <w:noWrap/>
            <w:vAlign w:val="bottom"/>
            <w:hideMark/>
          </w:tcPr>
          <w:p w14:paraId="0F19F017" w14:textId="0A928EC1"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(13,248)</w:t>
            </w:r>
          </w:p>
        </w:tc>
        <w:tc>
          <w:tcPr>
            <w:tcW w:w="964" w:type="dxa"/>
            <w:tcBorders>
              <w:top w:val="nil"/>
              <w:left w:val="nil"/>
              <w:bottom w:val="nil"/>
              <w:right w:val="nil"/>
            </w:tcBorders>
            <w:shd w:val="clear" w:color="auto" w:fill="auto"/>
            <w:noWrap/>
            <w:vAlign w:val="bottom"/>
            <w:hideMark/>
          </w:tcPr>
          <w:p w14:paraId="711C51C8" w14:textId="198A0A9B"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(14,881)</w:t>
            </w:r>
          </w:p>
        </w:tc>
        <w:tc>
          <w:tcPr>
            <w:tcW w:w="981" w:type="dxa"/>
            <w:tcBorders>
              <w:top w:val="nil"/>
              <w:left w:val="nil"/>
              <w:bottom w:val="nil"/>
              <w:right w:val="nil"/>
            </w:tcBorders>
            <w:shd w:val="clear" w:color="auto" w:fill="auto"/>
            <w:noWrap/>
            <w:vAlign w:val="bottom"/>
            <w:hideMark/>
          </w:tcPr>
          <w:p w14:paraId="667A6508" w14:textId="3C79DD8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(49,262)</w:t>
            </w:r>
          </w:p>
        </w:tc>
        <w:tc>
          <w:tcPr>
            <w:tcW w:w="898" w:type="dxa"/>
            <w:tcBorders>
              <w:top w:val="nil"/>
              <w:left w:val="nil"/>
              <w:bottom w:val="nil"/>
              <w:right w:val="nil"/>
            </w:tcBorders>
            <w:shd w:val="clear" w:color="auto" w:fill="auto"/>
            <w:noWrap/>
            <w:vAlign w:val="bottom"/>
            <w:hideMark/>
          </w:tcPr>
          <w:p w14:paraId="0082DC05" w14:textId="48F97E57"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(736)</w:t>
            </w:r>
          </w:p>
        </w:tc>
        <w:tc>
          <w:tcPr>
            <w:tcW w:w="898" w:type="dxa"/>
            <w:tcBorders>
              <w:top w:val="nil"/>
              <w:left w:val="nil"/>
              <w:bottom w:val="nil"/>
              <w:right w:val="nil"/>
            </w:tcBorders>
            <w:shd w:val="clear" w:color="auto" w:fill="auto"/>
            <w:noWrap/>
            <w:vAlign w:val="bottom"/>
            <w:hideMark/>
          </w:tcPr>
          <w:p w14:paraId="373F65D0" w14:textId="4E4EC77C"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(78,127)</w:t>
            </w:r>
          </w:p>
        </w:tc>
      </w:tr>
      <w:tr w:rsidR="00ED508F" w:rsidRPr="00EA068E" w14:paraId="0EE89E4A" w14:textId="77777777" w:rsidTr="00F96D8A">
        <w:trPr>
          <w:trHeight w:val="204"/>
        </w:trPr>
        <w:tc>
          <w:tcPr>
            <w:tcW w:w="3071" w:type="dxa"/>
            <w:tcBorders>
              <w:top w:val="nil"/>
              <w:left w:val="nil"/>
              <w:bottom w:val="nil"/>
              <w:right w:val="nil"/>
            </w:tcBorders>
            <w:shd w:val="clear" w:color="auto" w:fill="auto"/>
            <w:vAlign w:val="bottom"/>
            <w:hideMark/>
          </w:tcPr>
          <w:p w14:paraId="09D3C5B7" w14:textId="77777777"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Accumulated depreciation/</w:t>
            </w:r>
            <w:r>
              <w:rPr>
                <w:rFonts w:ascii="Arial" w:hAnsi="Arial" w:cs="Arial"/>
                <w:sz w:val="16"/>
                <w:szCs w:val="16"/>
              </w:rPr>
              <w:t xml:space="preserve"> amorti</w:t>
            </w:r>
            <w:r w:rsidRPr="00EA068E">
              <w:rPr>
                <w:rFonts w:ascii="Arial" w:hAnsi="Arial" w:cs="Arial"/>
                <w:sz w:val="16"/>
                <w:szCs w:val="16"/>
              </w:rPr>
              <w:t>sation and impairment - ROU assets</w:t>
            </w:r>
          </w:p>
        </w:tc>
        <w:tc>
          <w:tcPr>
            <w:tcW w:w="898" w:type="dxa"/>
            <w:tcBorders>
              <w:top w:val="nil"/>
              <w:left w:val="nil"/>
              <w:bottom w:val="nil"/>
              <w:right w:val="nil"/>
            </w:tcBorders>
            <w:shd w:val="clear" w:color="auto" w:fill="auto"/>
            <w:noWrap/>
            <w:vAlign w:val="bottom"/>
            <w:hideMark/>
          </w:tcPr>
          <w:p w14:paraId="1C54BDEC" w14:textId="41144436"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(63,878)</w:t>
            </w:r>
          </w:p>
        </w:tc>
        <w:tc>
          <w:tcPr>
            <w:tcW w:w="964" w:type="dxa"/>
            <w:tcBorders>
              <w:top w:val="nil"/>
              <w:left w:val="nil"/>
              <w:bottom w:val="nil"/>
              <w:right w:val="nil"/>
            </w:tcBorders>
            <w:shd w:val="clear" w:color="auto" w:fill="auto"/>
            <w:noWrap/>
            <w:vAlign w:val="bottom"/>
            <w:hideMark/>
          </w:tcPr>
          <w:p w14:paraId="7A06C24D" w14:textId="56A08211"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(88)</w:t>
            </w:r>
          </w:p>
        </w:tc>
        <w:tc>
          <w:tcPr>
            <w:tcW w:w="981" w:type="dxa"/>
            <w:tcBorders>
              <w:top w:val="nil"/>
              <w:left w:val="nil"/>
              <w:bottom w:val="nil"/>
              <w:right w:val="nil"/>
            </w:tcBorders>
            <w:shd w:val="clear" w:color="auto" w:fill="auto"/>
            <w:noWrap/>
            <w:vAlign w:val="bottom"/>
            <w:hideMark/>
          </w:tcPr>
          <w:p w14:paraId="7058ED52" w14:textId="3ACC6AFF"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1E954B9E" w14:textId="3B1DCBE2"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6082A45E" w14:textId="45F34B9D"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(63,966)</w:t>
            </w:r>
          </w:p>
        </w:tc>
      </w:tr>
      <w:tr w:rsidR="00ED508F" w:rsidRPr="00EA068E" w14:paraId="1E48FFF4" w14:textId="77777777" w:rsidTr="00F96D8A">
        <w:trPr>
          <w:trHeight w:val="204"/>
        </w:trPr>
        <w:tc>
          <w:tcPr>
            <w:tcW w:w="3071" w:type="dxa"/>
            <w:tcBorders>
              <w:top w:val="nil"/>
              <w:left w:val="nil"/>
              <w:bottom w:val="nil"/>
              <w:right w:val="nil"/>
            </w:tcBorders>
            <w:shd w:val="clear" w:color="auto" w:fill="auto"/>
            <w:vAlign w:val="bottom"/>
            <w:hideMark/>
          </w:tcPr>
          <w:p w14:paraId="0D0D4531" w14:textId="77777777" w:rsidR="00ED508F" w:rsidRPr="00EA068E" w:rsidRDefault="00ED508F" w:rsidP="00ED508F">
            <w:pPr>
              <w:spacing w:after="0" w:line="240" w:lineRule="auto"/>
              <w:jc w:val="left"/>
              <w:rPr>
                <w:rFonts w:ascii="Arial" w:hAnsi="Arial" w:cs="Arial"/>
                <w:b/>
                <w:bCs/>
                <w:sz w:val="16"/>
                <w:szCs w:val="16"/>
              </w:rPr>
            </w:pPr>
            <w:r w:rsidRPr="00EA068E">
              <w:rPr>
                <w:rFonts w:ascii="Arial" w:hAnsi="Arial" w:cs="Arial"/>
                <w:b/>
                <w:bCs/>
                <w:sz w:val="16"/>
                <w:szCs w:val="16"/>
              </w:rPr>
              <w:t>Opening net book balance</w:t>
            </w:r>
          </w:p>
        </w:tc>
        <w:tc>
          <w:tcPr>
            <w:tcW w:w="898" w:type="dxa"/>
            <w:tcBorders>
              <w:top w:val="single" w:sz="4" w:space="0" w:color="auto"/>
              <w:left w:val="nil"/>
              <w:bottom w:val="single" w:sz="4" w:space="0" w:color="auto"/>
              <w:right w:val="nil"/>
            </w:tcBorders>
            <w:shd w:val="clear" w:color="auto" w:fill="auto"/>
            <w:noWrap/>
            <w:vAlign w:val="bottom"/>
            <w:hideMark/>
          </w:tcPr>
          <w:p w14:paraId="51242724" w14:textId="5E60421F"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113,183 </w:t>
            </w:r>
          </w:p>
        </w:tc>
        <w:tc>
          <w:tcPr>
            <w:tcW w:w="964" w:type="dxa"/>
            <w:tcBorders>
              <w:top w:val="single" w:sz="4" w:space="0" w:color="auto"/>
              <w:left w:val="nil"/>
              <w:bottom w:val="single" w:sz="4" w:space="0" w:color="auto"/>
              <w:right w:val="nil"/>
            </w:tcBorders>
            <w:shd w:val="clear" w:color="auto" w:fill="auto"/>
            <w:noWrap/>
            <w:vAlign w:val="bottom"/>
            <w:hideMark/>
          </w:tcPr>
          <w:p w14:paraId="72FE6EB6" w14:textId="718DEC60"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13,832 </w:t>
            </w:r>
          </w:p>
        </w:tc>
        <w:tc>
          <w:tcPr>
            <w:tcW w:w="981" w:type="dxa"/>
            <w:tcBorders>
              <w:top w:val="single" w:sz="4" w:space="0" w:color="auto"/>
              <w:left w:val="nil"/>
              <w:bottom w:val="single" w:sz="4" w:space="0" w:color="auto"/>
              <w:right w:val="nil"/>
            </w:tcBorders>
            <w:shd w:val="clear" w:color="auto" w:fill="auto"/>
            <w:noWrap/>
            <w:vAlign w:val="bottom"/>
            <w:hideMark/>
          </w:tcPr>
          <w:p w14:paraId="25EA25C5" w14:textId="03CA48C8"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65,278 </w:t>
            </w:r>
          </w:p>
        </w:tc>
        <w:tc>
          <w:tcPr>
            <w:tcW w:w="898" w:type="dxa"/>
            <w:tcBorders>
              <w:top w:val="single" w:sz="4" w:space="0" w:color="auto"/>
              <w:left w:val="nil"/>
              <w:bottom w:val="single" w:sz="4" w:space="0" w:color="auto"/>
              <w:right w:val="nil"/>
            </w:tcBorders>
            <w:shd w:val="clear" w:color="auto" w:fill="auto"/>
            <w:noWrap/>
            <w:vAlign w:val="bottom"/>
            <w:hideMark/>
          </w:tcPr>
          <w:p w14:paraId="22B7AE8A" w14:textId="5814EE06"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35,965 </w:t>
            </w:r>
          </w:p>
        </w:tc>
        <w:tc>
          <w:tcPr>
            <w:tcW w:w="898" w:type="dxa"/>
            <w:tcBorders>
              <w:top w:val="single" w:sz="4" w:space="0" w:color="auto"/>
              <w:left w:val="nil"/>
              <w:bottom w:val="single" w:sz="4" w:space="0" w:color="auto"/>
              <w:right w:val="nil"/>
            </w:tcBorders>
            <w:shd w:val="clear" w:color="auto" w:fill="auto"/>
            <w:noWrap/>
            <w:vAlign w:val="bottom"/>
            <w:hideMark/>
          </w:tcPr>
          <w:p w14:paraId="7BAFB1E8" w14:textId="27A00745"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228,258 </w:t>
            </w:r>
          </w:p>
        </w:tc>
      </w:tr>
      <w:tr w:rsidR="00ED508F" w:rsidRPr="00EA068E" w14:paraId="5B1490BA" w14:textId="77777777" w:rsidTr="00F96D8A">
        <w:trPr>
          <w:trHeight w:val="204"/>
        </w:trPr>
        <w:tc>
          <w:tcPr>
            <w:tcW w:w="3071" w:type="dxa"/>
            <w:tcBorders>
              <w:top w:val="nil"/>
              <w:left w:val="nil"/>
              <w:bottom w:val="nil"/>
              <w:right w:val="nil"/>
            </w:tcBorders>
            <w:shd w:val="clear" w:color="auto" w:fill="auto"/>
            <w:vAlign w:val="bottom"/>
            <w:hideMark/>
          </w:tcPr>
          <w:p w14:paraId="718FF20E" w14:textId="77777777" w:rsidR="00ED508F" w:rsidRPr="00EA068E" w:rsidRDefault="00ED508F" w:rsidP="00ED508F">
            <w:pPr>
              <w:spacing w:after="0" w:line="240" w:lineRule="auto"/>
              <w:jc w:val="left"/>
              <w:rPr>
                <w:rFonts w:ascii="Arial" w:hAnsi="Arial" w:cs="Arial"/>
                <w:b/>
                <w:bCs/>
                <w:sz w:val="16"/>
                <w:szCs w:val="16"/>
              </w:rPr>
            </w:pPr>
            <w:r w:rsidRPr="00EA068E">
              <w:rPr>
                <w:rFonts w:ascii="Arial" w:hAnsi="Arial" w:cs="Arial"/>
                <w:b/>
                <w:bCs/>
                <w:sz w:val="16"/>
                <w:szCs w:val="16"/>
              </w:rPr>
              <w:t>Capital asset additions</w:t>
            </w:r>
          </w:p>
        </w:tc>
        <w:tc>
          <w:tcPr>
            <w:tcW w:w="898" w:type="dxa"/>
            <w:tcBorders>
              <w:top w:val="nil"/>
              <w:left w:val="nil"/>
              <w:bottom w:val="nil"/>
              <w:right w:val="nil"/>
            </w:tcBorders>
            <w:shd w:val="clear" w:color="auto" w:fill="auto"/>
            <w:noWrap/>
            <w:vAlign w:val="bottom"/>
            <w:hideMark/>
          </w:tcPr>
          <w:p w14:paraId="3A45E8B0" w14:textId="77777777" w:rsidR="00ED508F" w:rsidRPr="00ED508F" w:rsidRDefault="00ED508F" w:rsidP="00ED508F">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26FC8D78" w14:textId="77777777" w:rsidR="00ED508F" w:rsidRPr="00ED508F" w:rsidRDefault="00ED508F" w:rsidP="00ED508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1CBECCA" w14:textId="77777777" w:rsidR="00ED508F" w:rsidRPr="00ED508F" w:rsidRDefault="00ED508F" w:rsidP="00ED508F">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4747E410" w14:textId="77777777" w:rsidR="00ED508F" w:rsidRPr="00ED508F" w:rsidRDefault="00ED508F" w:rsidP="00ED508F">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2C051C1F" w14:textId="77777777" w:rsidR="00ED508F" w:rsidRPr="00ED508F" w:rsidRDefault="00ED508F" w:rsidP="00ED508F">
            <w:pPr>
              <w:spacing w:after="0" w:line="240" w:lineRule="auto"/>
              <w:jc w:val="right"/>
              <w:rPr>
                <w:rFonts w:ascii="Times New Roman" w:hAnsi="Times New Roman"/>
                <w:sz w:val="16"/>
                <w:szCs w:val="16"/>
              </w:rPr>
            </w:pPr>
          </w:p>
        </w:tc>
      </w:tr>
      <w:tr w:rsidR="00ED508F" w:rsidRPr="00EA068E" w14:paraId="2327E180" w14:textId="77777777" w:rsidTr="00F96D8A">
        <w:trPr>
          <w:trHeight w:val="204"/>
        </w:trPr>
        <w:tc>
          <w:tcPr>
            <w:tcW w:w="3071" w:type="dxa"/>
            <w:tcBorders>
              <w:top w:val="nil"/>
              <w:left w:val="nil"/>
              <w:bottom w:val="nil"/>
              <w:right w:val="nil"/>
            </w:tcBorders>
            <w:shd w:val="clear" w:color="auto" w:fill="auto"/>
            <w:vAlign w:val="bottom"/>
            <w:hideMark/>
          </w:tcPr>
          <w:p w14:paraId="3F0103A4" w14:textId="77777777" w:rsidR="00ED508F" w:rsidRPr="00EA068E" w:rsidRDefault="00ED508F" w:rsidP="00ED508F">
            <w:pPr>
              <w:spacing w:after="0" w:line="240" w:lineRule="auto"/>
              <w:ind w:left="113"/>
              <w:jc w:val="left"/>
              <w:rPr>
                <w:rFonts w:ascii="Arial" w:hAnsi="Arial" w:cs="Arial"/>
                <w:b/>
                <w:bCs/>
                <w:sz w:val="16"/>
                <w:szCs w:val="16"/>
              </w:rPr>
            </w:pPr>
            <w:r w:rsidRPr="00EA068E">
              <w:rPr>
                <w:rFonts w:ascii="Arial" w:hAnsi="Arial" w:cs="Arial"/>
                <w:b/>
                <w:bCs/>
                <w:sz w:val="16"/>
                <w:szCs w:val="16"/>
              </w:rPr>
              <w:t>Estimated expenditure on new or replacement assets</w:t>
            </w:r>
          </w:p>
        </w:tc>
        <w:tc>
          <w:tcPr>
            <w:tcW w:w="898" w:type="dxa"/>
            <w:tcBorders>
              <w:top w:val="nil"/>
              <w:left w:val="nil"/>
              <w:bottom w:val="nil"/>
              <w:right w:val="nil"/>
            </w:tcBorders>
            <w:shd w:val="clear" w:color="auto" w:fill="auto"/>
            <w:noWrap/>
            <w:vAlign w:val="bottom"/>
            <w:hideMark/>
          </w:tcPr>
          <w:p w14:paraId="24F57CC7" w14:textId="77777777" w:rsidR="00ED508F" w:rsidRPr="00ED508F" w:rsidRDefault="00ED508F" w:rsidP="00ED508F">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8C09BBB" w14:textId="77777777" w:rsidR="00ED508F" w:rsidRPr="00ED508F" w:rsidRDefault="00ED508F" w:rsidP="00ED508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1023530B" w14:textId="77777777" w:rsidR="00ED508F" w:rsidRPr="00ED508F" w:rsidRDefault="00ED508F" w:rsidP="00ED508F">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36357515" w14:textId="77777777" w:rsidR="00ED508F" w:rsidRPr="00ED508F" w:rsidRDefault="00ED508F" w:rsidP="00ED508F">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3BD98749" w14:textId="77777777" w:rsidR="00ED508F" w:rsidRPr="00ED508F" w:rsidRDefault="00ED508F" w:rsidP="00ED508F">
            <w:pPr>
              <w:spacing w:after="0" w:line="240" w:lineRule="auto"/>
              <w:jc w:val="right"/>
              <w:rPr>
                <w:rFonts w:ascii="Times New Roman" w:hAnsi="Times New Roman"/>
                <w:sz w:val="16"/>
                <w:szCs w:val="16"/>
              </w:rPr>
            </w:pPr>
          </w:p>
        </w:tc>
      </w:tr>
      <w:tr w:rsidR="00ED508F" w:rsidRPr="00EA068E" w14:paraId="70F77F7E" w14:textId="77777777" w:rsidTr="00F96D8A">
        <w:trPr>
          <w:trHeight w:val="204"/>
        </w:trPr>
        <w:tc>
          <w:tcPr>
            <w:tcW w:w="3071" w:type="dxa"/>
            <w:tcBorders>
              <w:top w:val="nil"/>
              <w:left w:val="nil"/>
              <w:bottom w:val="nil"/>
              <w:right w:val="nil"/>
            </w:tcBorders>
            <w:shd w:val="clear" w:color="auto" w:fill="auto"/>
            <w:vAlign w:val="bottom"/>
            <w:hideMark/>
          </w:tcPr>
          <w:p w14:paraId="4C02A724" w14:textId="39FEDD7C" w:rsidR="00ED508F" w:rsidRPr="00EA068E" w:rsidRDefault="00ED508F" w:rsidP="00ED508F">
            <w:pPr>
              <w:spacing w:after="0" w:line="240" w:lineRule="auto"/>
              <w:ind w:left="227"/>
              <w:jc w:val="left"/>
              <w:rPr>
                <w:rFonts w:ascii="Arial" w:hAnsi="Arial" w:cs="Arial"/>
                <w:bCs/>
                <w:sz w:val="16"/>
                <w:szCs w:val="16"/>
              </w:rPr>
            </w:pPr>
            <w:r w:rsidRPr="00EA068E">
              <w:rPr>
                <w:rFonts w:ascii="Arial" w:hAnsi="Arial" w:cs="Arial"/>
                <w:bCs/>
                <w:sz w:val="16"/>
                <w:szCs w:val="16"/>
              </w:rPr>
              <w:t xml:space="preserve">By purchase </w:t>
            </w:r>
            <w:r>
              <w:rPr>
                <w:rFonts w:ascii="Arial" w:hAnsi="Arial" w:cs="Arial"/>
                <w:bCs/>
                <w:sz w:val="16"/>
                <w:szCs w:val="16"/>
              </w:rPr>
              <w:t>–</w:t>
            </w:r>
            <w:r w:rsidRPr="00EA068E">
              <w:rPr>
                <w:rFonts w:ascii="Arial" w:hAnsi="Arial" w:cs="Arial"/>
                <w:bCs/>
                <w:sz w:val="16"/>
                <w:szCs w:val="16"/>
              </w:rPr>
              <w:t xml:space="preserve"> appropriation ordinary annual services </w:t>
            </w:r>
            <w:r w:rsidRPr="00EA068E">
              <w:rPr>
                <w:rFonts w:ascii="Arial" w:hAnsi="Arial" w:cs="Arial"/>
                <w:bCs/>
                <w:sz w:val="16"/>
                <w:szCs w:val="16"/>
                <w:vertAlign w:val="superscript"/>
              </w:rPr>
              <w:t>(a)</w:t>
            </w:r>
          </w:p>
        </w:tc>
        <w:tc>
          <w:tcPr>
            <w:tcW w:w="898" w:type="dxa"/>
            <w:tcBorders>
              <w:top w:val="nil"/>
              <w:left w:val="nil"/>
              <w:bottom w:val="nil"/>
              <w:right w:val="nil"/>
            </w:tcBorders>
            <w:shd w:val="clear" w:color="auto" w:fill="auto"/>
            <w:noWrap/>
            <w:vAlign w:val="bottom"/>
            <w:hideMark/>
          </w:tcPr>
          <w:p w14:paraId="1CD30066" w14:textId="5B144CE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501 </w:t>
            </w:r>
          </w:p>
        </w:tc>
        <w:tc>
          <w:tcPr>
            <w:tcW w:w="964" w:type="dxa"/>
            <w:tcBorders>
              <w:top w:val="nil"/>
              <w:left w:val="nil"/>
              <w:bottom w:val="nil"/>
              <w:right w:val="nil"/>
            </w:tcBorders>
            <w:shd w:val="clear" w:color="auto" w:fill="auto"/>
            <w:noWrap/>
            <w:vAlign w:val="bottom"/>
            <w:hideMark/>
          </w:tcPr>
          <w:p w14:paraId="65C3073E" w14:textId="4C68587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374 </w:t>
            </w:r>
          </w:p>
        </w:tc>
        <w:tc>
          <w:tcPr>
            <w:tcW w:w="981" w:type="dxa"/>
            <w:tcBorders>
              <w:top w:val="nil"/>
              <w:left w:val="nil"/>
              <w:bottom w:val="nil"/>
              <w:right w:val="nil"/>
            </w:tcBorders>
            <w:shd w:val="clear" w:color="auto" w:fill="auto"/>
            <w:noWrap/>
            <w:vAlign w:val="bottom"/>
            <w:hideMark/>
          </w:tcPr>
          <w:p w14:paraId="05F9CC97" w14:textId="435088B2"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9,307 </w:t>
            </w:r>
          </w:p>
        </w:tc>
        <w:tc>
          <w:tcPr>
            <w:tcW w:w="898" w:type="dxa"/>
            <w:tcBorders>
              <w:top w:val="nil"/>
              <w:left w:val="nil"/>
              <w:bottom w:val="nil"/>
              <w:right w:val="nil"/>
            </w:tcBorders>
            <w:shd w:val="clear" w:color="auto" w:fill="auto"/>
            <w:noWrap/>
            <w:vAlign w:val="bottom"/>
            <w:hideMark/>
          </w:tcPr>
          <w:p w14:paraId="5B2A6205" w14:textId="1D8F763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03FF3742" w14:textId="246D060F"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10,182 </w:t>
            </w:r>
          </w:p>
        </w:tc>
      </w:tr>
      <w:tr w:rsidR="00ED508F" w:rsidRPr="00EA068E" w14:paraId="6C595A48" w14:textId="77777777" w:rsidTr="00F96D8A">
        <w:trPr>
          <w:trHeight w:val="204"/>
        </w:trPr>
        <w:tc>
          <w:tcPr>
            <w:tcW w:w="3071" w:type="dxa"/>
            <w:tcBorders>
              <w:top w:val="nil"/>
              <w:left w:val="nil"/>
              <w:bottom w:val="nil"/>
              <w:right w:val="nil"/>
            </w:tcBorders>
            <w:shd w:val="clear" w:color="auto" w:fill="auto"/>
            <w:vAlign w:val="bottom"/>
            <w:hideMark/>
          </w:tcPr>
          <w:p w14:paraId="61E2FE88" w14:textId="5FFC7CDC" w:rsidR="00ED508F" w:rsidRPr="00EA068E" w:rsidRDefault="00ED508F" w:rsidP="00ED508F">
            <w:pPr>
              <w:spacing w:after="0" w:line="240" w:lineRule="auto"/>
              <w:ind w:left="227"/>
              <w:jc w:val="left"/>
              <w:rPr>
                <w:rFonts w:ascii="Arial" w:hAnsi="Arial" w:cs="Arial"/>
                <w:bCs/>
                <w:sz w:val="16"/>
                <w:szCs w:val="16"/>
              </w:rPr>
            </w:pPr>
            <w:r w:rsidRPr="00EA068E">
              <w:rPr>
                <w:rFonts w:ascii="Arial" w:hAnsi="Arial" w:cs="Arial"/>
                <w:bCs/>
                <w:sz w:val="16"/>
                <w:szCs w:val="16"/>
              </w:rPr>
              <w:t xml:space="preserve">By purchase </w:t>
            </w:r>
            <w:r>
              <w:rPr>
                <w:rFonts w:ascii="Arial" w:hAnsi="Arial" w:cs="Arial"/>
                <w:bCs/>
                <w:sz w:val="16"/>
                <w:szCs w:val="16"/>
              </w:rPr>
              <w:t>–</w:t>
            </w:r>
            <w:r w:rsidRPr="00EA068E">
              <w:rPr>
                <w:rFonts w:ascii="Arial" w:hAnsi="Arial" w:cs="Arial"/>
                <w:bCs/>
                <w:sz w:val="16"/>
                <w:szCs w:val="16"/>
              </w:rPr>
              <w:t xml:space="preserve"> appropriation ordinary annual services </w:t>
            </w:r>
            <w:r>
              <w:rPr>
                <w:rFonts w:ascii="Arial" w:hAnsi="Arial" w:cs="Arial"/>
                <w:bCs/>
                <w:sz w:val="16"/>
                <w:szCs w:val="16"/>
              </w:rPr>
              <w:t>–</w:t>
            </w:r>
            <w:r w:rsidRPr="00EA068E">
              <w:rPr>
                <w:rFonts w:ascii="Arial" w:hAnsi="Arial" w:cs="Arial"/>
                <w:bCs/>
                <w:sz w:val="16"/>
                <w:szCs w:val="16"/>
              </w:rPr>
              <w:t xml:space="preserve"> ROU assets</w:t>
            </w:r>
          </w:p>
        </w:tc>
        <w:tc>
          <w:tcPr>
            <w:tcW w:w="898" w:type="dxa"/>
            <w:tcBorders>
              <w:top w:val="nil"/>
              <w:left w:val="nil"/>
              <w:bottom w:val="nil"/>
              <w:right w:val="nil"/>
            </w:tcBorders>
            <w:shd w:val="clear" w:color="auto" w:fill="auto"/>
            <w:noWrap/>
            <w:vAlign w:val="bottom"/>
            <w:hideMark/>
          </w:tcPr>
          <w:p w14:paraId="5C4B87B0" w14:textId="39584CD9"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1,204 </w:t>
            </w:r>
          </w:p>
        </w:tc>
        <w:tc>
          <w:tcPr>
            <w:tcW w:w="964" w:type="dxa"/>
            <w:tcBorders>
              <w:top w:val="nil"/>
              <w:left w:val="nil"/>
              <w:bottom w:val="nil"/>
              <w:right w:val="nil"/>
            </w:tcBorders>
            <w:shd w:val="clear" w:color="auto" w:fill="auto"/>
            <w:noWrap/>
            <w:vAlign w:val="bottom"/>
            <w:hideMark/>
          </w:tcPr>
          <w:p w14:paraId="58A1546F" w14:textId="1E95A639"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16 </w:t>
            </w:r>
          </w:p>
        </w:tc>
        <w:tc>
          <w:tcPr>
            <w:tcW w:w="981" w:type="dxa"/>
            <w:tcBorders>
              <w:top w:val="nil"/>
              <w:left w:val="nil"/>
              <w:bottom w:val="nil"/>
              <w:right w:val="nil"/>
            </w:tcBorders>
            <w:shd w:val="clear" w:color="auto" w:fill="auto"/>
            <w:noWrap/>
            <w:vAlign w:val="bottom"/>
            <w:hideMark/>
          </w:tcPr>
          <w:p w14:paraId="40311CF0" w14:textId="73C484F5"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372FEB45" w14:textId="517E7F7C"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446185DD" w14:textId="44D0F74C"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1,220 </w:t>
            </w:r>
          </w:p>
        </w:tc>
      </w:tr>
      <w:tr w:rsidR="00ED508F" w:rsidRPr="00EA068E" w14:paraId="56866938" w14:textId="77777777" w:rsidTr="00F96D8A">
        <w:trPr>
          <w:trHeight w:val="204"/>
        </w:trPr>
        <w:tc>
          <w:tcPr>
            <w:tcW w:w="3071" w:type="dxa"/>
            <w:tcBorders>
              <w:top w:val="nil"/>
              <w:left w:val="nil"/>
              <w:bottom w:val="nil"/>
              <w:right w:val="nil"/>
            </w:tcBorders>
            <w:shd w:val="clear" w:color="auto" w:fill="auto"/>
            <w:vAlign w:val="bottom"/>
            <w:hideMark/>
          </w:tcPr>
          <w:p w14:paraId="3AE964AF" w14:textId="77777777" w:rsidR="00ED508F" w:rsidRPr="00EA068E" w:rsidRDefault="00ED508F" w:rsidP="00ED508F">
            <w:pPr>
              <w:spacing w:after="0" w:line="240" w:lineRule="auto"/>
              <w:ind w:left="113"/>
              <w:jc w:val="left"/>
              <w:rPr>
                <w:rFonts w:ascii="Arial" w:hAnsi="Arial" w:cs="Arial"/>
                <w:b/>
                <w:bCs/>
                <w:sz w:val="16"/>
                <w:szCs w:val="16"/>
              </w:rPr>
            </w:pPr>
            <w:r w:rsidRPr="00EA068E">
              <w:rPr>
                <w:rFonts w:ascii="Arial" w:hAnsi="Arial" w:cs="Arial"/>
                <w:b/>
                <w:bCs/>
                <w:sz w:val="16"/>
                <w:szCs w:val="16"/>
              </w:rPr>
              <w:t>Total additions</w:t>
            </w:r>
          </w:p>
        </w:tc>
        <w:tc>
          <w:tcPr>
            <w:tcW w:w="898" w:type="dxa"/>
            <w:tcBorders>
              <w:top w:val="single" w:sz="4" w:space="0" w:color="auto"/>
              <w:left w:val="nil"/>
              <w:bottom w:val="nil"/>
              <w:right w:val="nil"/>
            </w:tcBorders>
            <w:shd w:val="clear" w:color="auto" w:fill="auto"/>
            <w:noWrap/>
            <w:vAlign w:val="bottom"/>
            <w:hideMark/>
          </w:tcPr>
          <w:p w14:paraId="26C8500A" w14:textId="20F481A5"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1,705 </w:t>
            </w:r>
          </w:p>
        </w:tc>
        <w:tc>
          <w:tcPr>
            <w:tcW w:w="964" w:type="dxa"/>
            <w:tcBorders>
              <w:top w:val="single" w:sz="4" w:space="0" w:color="auto"/>
              <w:left w:val="nil"/>
              <w:bottom w:val="nil"/>
              <w:right w:val="nil"/>
            </w:tcBorders>
            <w:shd w:val="clear" w:color="auto" w:fill="auto"/>
            <w:noWrap/>
            <w:vAlign w:val="bottom"/>
            <w:hideMark/>
          </w:tcPr>
          <w:p w14:paraId="6DB34787" w14:textId="2A6FA1A5"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390 </w:t>
            </w:r>
          </w:p>
        </w:tc>
        <w:tc>
          <w:tcPr>
            <w:tcW w:w="981" w:type="dxa"/>
            <w:tcBorders>
              <w:top w:val="single" w:sz="4" w:space="0" w:color="auto"/>
              <w:left w:val="nil"/>
              <w:bottom w:val="nil"/>
              <w:right w:val="nil"/>
            </w:tcBorders>
            <w:shd w:val="clear" w:color="auto" w:fill="auto"/>
            <w:noWrap/>
            <w:vAlign w:val="bottom"/>
            <w:hideMark/>
          </w:tcPr>
          <w:p w14:paraId="11CBF337" w14:textId="641A71DD"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9,307 </w:t>
            </w:r>
          </w:p>
        </w:tc>
        <w:tc>
          <w:tcPr>
            <w:tcW w:w="898" w:type="dxa"/>
            <w:tcBorders>
              <w:top w:val="single" w:sz="4" w:space="0" w:color="auto"/>
              <w:left w:val="nil"/>
              <w:bottom w:val="nil"/>
              <w:right w:val="nil"/>
            </w:tcBorders>
            <w:shd w:val="clear" w:color="auto" w:fill="auto"/>
            <w:noWrap/>
            <w:vAlign w:val="bottom"/>
            <w:hideMark/>
          </w:tcPr>
          <w:p w14:paraId="583E517B" w14:textId="3DDDCA9A"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 </w:t>
            </w:r>
          </w:p>
        </w:tc>
        <w:tc>
          <w:tcPr>
            <w:tcW w:w="898" w:type="dxa"/>
            <w:tcBorders>
              <w:top w:val="single" w:sz="4" w:space="0" w:color="auto"/>
              <w:left w:val="nil"/>
              <w:bottom w:val="nil"/>
              <w:right w:val="nil"/>
            </w:tcBorders>
            <w:shd w:val="clear" w:color="auto" w:fill="auto"/>
            <w:noWrap/>
            <w:vAlign w:val="bottom"/>
            <w:hideMark/>
          </w:tcPr>
          <w:p w14:paraId="69C8C6FB" w14:textId="559FCD30"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11,402 </w:t>
            </w:r>
          </w:p>
        </w:tc>
      </w:tr>
      <w:tr w:rsidR="00ED508F" w:rsidRPr="00EA068E" w14:paraId="5734DBD5" w14:textId="77777777" w:rsidTr="00F96D8A">
        <w:trPr>
          <w:trHeight w:val="204"/>
        </w:trPr>
        <w:tc>
          <w:tcPr>
            <w:tcW w:w="3071" w:type="dxa"/>
            <w:tcBorders>
              <w:top w:val="nil"/>
              <w:left w:val="nil"/>
              <w:bottom w:val="nil"/>
              <w:right w:val="nil"/>
            </w:tcBorders>
            <w:shd w:val="clear" w:color="auto" w:fill="auto"/>
            <w:vAlign w:val="bottom"/>
            <w:hideMark/>
          </w:tcPr>
          <w:p w14:paraId="7D7F619B" w14:textId="77777777" w:rsidR="00ED508F" w:rsidRPr="00EA068E" w:rsidRDefault="00ED508F" w:rsidP="00ED508F">
            <w:pPr>
              <w:spacing w:after="0" w:line="240" w:lineRule="auto"/>
              <w:ind w:left="113"/>
              <w:jc w:val="left"/>
              <w:rPr>
                <w:rFonts w:ascii="Arial" w:hAnsi="Arial" w:cs="Arial"/>
                <w:b/>
                <w:bCs/>
                <w:sz w:val="16"/>
                <w:szCs w:val="16"/>
              </w:rPr>
            </w:pPr>
            <w:r w:rsidRPr="00EA068E">
              <w:rPr>
                <w:rFonts w:ascii="Arial" w:hAnsi="Arial" w:cs="Arial"/>
                <w:b/>
                <w:bCs/>
                <w:sz w:val="16"/>
                <w:szCs w:val="16"/>
              </w:rPr>
              <w:t>Other movements</w:t>
            </w:r>
          </w:p>
        </w:tc>
        <w:tc>
          <w:tcPr>
            <w:tcW w:w="898" w:type="dxa"/>
            <w:tcBorders>
              <w:top w:val="single" w:sz="4" w:space="0" w:color="auto"/>
              <w:left w:val="nil"/>
              <w:bottom w:val="nil"/>
              <w:right w:val="nil"/>
            </w:tcBorders>
            <w:shd w:val="clear" w:color="auto" w:fill="auto"/>
            <w:noWrap/>
            <w:vAlign w:val="bottom"/>
            <w:hideMark/>
          </w:tcPr>
          <w:p w14:paraId="1AD07677" w14:textId="6E8F8FAA"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bottom"/>
            <w:hideMark/>
          </w:tcPr>
          <w:p w14:paraId="4A5D7026" w14:textId="14876146"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w:t>
            </w:r>
          </w:p>
        </w:tc>
        <w:tc>
          <w:tcPr>
            <w:tcW w:w="981" w:type="dxa"/>
            <w:tcBorders>
              <w:top w:val="single" w:sz="4" w:space="0" w:color="auto"/>
              <w:left w:val="nil"/>
              <w:bottom w:val="nil"/>
              <w:right w:val="nil"/>
            </w:tcBorders>
            <w:shd w:val="clear" w:color="auto" w:fill="auto"/>
            <w:noWrap/>
            <w:vAlign w:val="bottom"/>
            <w:hideMark/>
          </w:tcPr>
          <w:p w14:paraId="7DA42F21" w14:textId="28AB7F4A"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w:t>
            </w:r>
          </w:p>
        </w:tc>
        <w:tc>
          <w:tcPr>
            <w:tcW w:w="898" w:type="dxa"/>
            <w:tcBorders>
              <w:top w:val="single" w:sz="4" w:space="0" w:color="auto"/>
              <w:left w:val="nil"/>
              <w:bottom w:val="nil"/>
              <w:right w:val="nil"/>
            </w:tcBorders>
            <w:shd w:val="clear" w:color="auto" w:fill="auto"/>
            <w:noWrap/>
            <w:vAlign w:val="bottom"/>
            <w:hideMark/>
          </w:tcPr>
          <w:p w14:paraId="1EB0F037" w14:textId="563F10F3"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w:t>
            </w:r>
          </w:p>
        </w:tc>
        <w:tc>
          <w:tcPr>
            <w:tcW w:w="898" w:type="dxa"/>
            <w:tcBorders>
              <w:top w:val="single" w:sz="4" w:space="0" w:color="auto"/>
              <w:left w:val="nil"/>
              <w:bottom w:val="nil"/>
              <w:right w:val="nil"/>
            </w:tcBorders>
            <w:shd w:val="clear" w:color="auto" w:fill="auto"/>
            <w:noWrap/>
            <w:vAlign w:val="bottom"/>
            <w:hideMark/>
          </w:tcPr>
          <w:p w14:paraId="04FC1EC3" w14:textId="4C7A16AA"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w:t>
            </w:r>
          </w:p>
        </w:tc>
      </w:tr>
      <w:tr w:rsidR="00ED508F" w:rsidRPr="00EA068E" w14:paraId="6AE432B7" w14:textId="77777777" w:rsidTr="00F96D8A">
        <w:trPr>
          <w:trHeight w:val="204"/>
        </w:trPr>
        <w:tc>
          <w:tcPr>
            <w:tcW w:w="3071" w:type="dxa"/>
            <w:tcBorders>
              <w:top w:val="nil"/>
              <w:left w:val="nil"/>
              <w:bottom w:val="nil"/>
              <w:right w:val="nil"/>
            </w:tcBorders>
            <w:shd w:val="clear" w:color="auto" w:fill="auto"/>
            <w:vAlign w:val="bottom"/>
            <w:hideMark/>
          </w:tcPr>
          <w:p w14:paraId="21E24EAD" w14:textId="77777777" w:rsidR="00ED508F" w:rsidRPr="00EA068E" w:rsidRDefault="00ED508F" w:rsidP="00ED508F">
            <w:pPr>
              <w:spacing w:after="0" w:line="240" w:lineRule="auto"/>
              <w:ind w:left="227"/>
              <w:jc w:val="left"/>
              <w:rPr>
                <w:rFonts w:ascii="Arial" w:hAnsi="Arial" w:cs="Arial"/>
                <w:sz w:val="16"/>
                <w:szCs w:val="16"/>
              </w:rPr>
            </w:pPr>
            <w:r w:rsidRPr="00EA068E">
              <w:rPr>
                <w:rFonts w:ascii="Arial" w:hAnsi="Arial" w:cs="Arial"/>
                <w:sz w:val="16"/>
                <w:szCs w:val="16"/>
              </w:rPr>
              <w:t>Depreciation/amortisation expense</w:t>
            </w:r>
          </w:p>
        </w:tc>
        <w:tc>
          <w:tcPr>
            <w:tcW w:w="898" w:type="dxa"/>
            <w:tcBorders>
              <w:top w:val="nil"/>
              <w:left w:val="nil"/>
              <w:bottom w:val="nil"/>
              <w:right w:val="nil"/>
            </w:tcBorders>
            <w:shd w:val="clear" w:color="auto" w:fill="auto"/>
            <w:noWrap/>
            <w:vAlign w:val="bottom"/>
            <w:hideMark/>
          </w:tcPr>
          <w:p w14:paraId="01F10397" w14:textId="40448EB6"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(3,690)</w:t>
            </w:r>
          </w:p>
        </w:tc>
        <w:tc>
          <w:tcPr>
            <w:tcW w:w="964" w:type="dxa"/>
            <w:tcBorders>
              <w:top w:val="nil"/>
              <w:left w:val="nil"/>
              <w:bottom w:val="nil"/>
              <w:right w:val="nil"/>
            </w:tcBorders>
            <w:shd w:val="clear" w:color="auto" w:fill="auto"/>
            <w:noWrap/>
            <w:vAlign w:val="bottom"/>
            <w:hideMark/>
          </w:tcPr>
          <w:p w14:paraId="162368F0" w14:textId="72337EBC"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(4,873)</w:t>
            </w:r>
          </w:p>
        </w:tc>
        <w:tc>
          <w:tcPr>
            <w:tcW w:w="981" w:type="dxa"/>
            <w:tcBorders>
              <w:top w:val="nil"/>
              <w:left w:val="nil"/>
              <w:bottom w:val="nil"/>
              <w:right w:val="nil"/>
            </w:tcBorders>
            <w:shd w:val="clear" w:color="auto" w:fill="auto"/>
            <w:noWrap/>
            <w:vAlign w:val="bottom"/>
            <w:hideMark/>
          </w:tcPr>
          <w:p w14:paraId="677D71B0" w14:textId="46DFE0EF"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(8,090)</w:t>
            </w:r>
          </w:p>
        </w:tc>
        <w:tc>
          <w:tcPr>
            <w:tcW w:w="898" w:type="dxa"/>
            <w:tcBorders>
              <w:top w:val="nil"/>
              <w:left w:val="nil"/>
              <w:bottom w:val="nil"/>
              <w:right w:val="nil"/>
            </w:tcBorders>
            <w:shd w:val="clear" w:color="auto" w:fill="auto"/>
            <w:noWrap/>
            <w:vAlign w:val="bottom"/>
            <w:hideMark/>
          </w:tcPr>
          <w:p w14:paraId="527F6E1D" w14:textId="45B7F097"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(142)</w:t>
            </w:r>
          </w:p>
        </w:tc>
        <w:tc>
          <w:tcPr>
            <w:tcW w:w="898" w:type="dxa"/>
            <w:tcBorders>
              <w:top w:val="nil"/>
              <w:left w:val="nil"/>
              <w:bottom w:val="nil"/>
              <w:right w:val="nil"/>
            </w:tcBorders>
            <w:shd w:val="clear" w:color="auto" w:fill="auto"/>
            <w:noWrap/>
            <w:vAlign w:val="bottom"/>
            <w:hideMark/>
          </w:tcPr>
          <w:p w14:paraId="7DB02E11" w14:textId="54F31E2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(16,795)</w:t>
            </w:r>
          </w:p>
        </w:tc>
      </w:tr>
      <w:tr w:rsidR="00ED508F" w:rsidRPr="00EA068E" w14:paraId="3F6924A6" w14:textId="77777777" w:rsidTr="00F96D8A">
        <w:trPr>
          <w:trHeight w:val="204"/>
        </w:trPr>
        <w:tc>
          <w:tcPr>
            <w:tcW w:w="3071" w:type="dxa"/>
            <w:tcBorders>
              <w:top w:val="nil"/>
              <w:left w:val="nil"/>
              <w:bottom w:val="nil"/>
              <w:right w:val="nil"/>
            </w:tcBorders>
            <w:shd w:val="clear" w:color="auto" w:fill="auto"/>
            <w:vAlign w:val="bottom"/>
            <w:hideMark/>
          </w:tcPr>
          <w:p w14:paraId="4F7A9017" w14:textId="77777777" w:rsidR="00ED508F" w:rsidRPr="00EA068E" w:rsidRDefault="00ED508F" w:rsidP="00ED508F">
            <w:pPr>
              <w:spacing w:after="0" w:line="240" w:lineRule="auto"/>
              <w:ind w:left="227"/>
              <w:jc w:val="left"/>
              <w:rPr>
                <w:rFonts w:ascii="Arial" w:hAnsi="Arial" w:cs="Arial"/>
                <w:sz w:val="16"/>
                <w:szCs w:val="16"/>
              </w:rPr>
            </w:pPr>
            <w:r w:rsidRPr="00EA068E">
              <w:rPr>
                <w:rFonts w:ascii="Arial" w:hAnsi="Arial" w:cs="Arial"/>
                <w:sz w:val="16"/>
                <w:szCs w:val="16"/>
              </w:rPr>
              <w:t>Depreciation/amortisation on ROU assets</w:t>
            </w:r>
          </w:p>
        </w:tc>
        <w:tc>
          <w:tcPr>
            <w:tcW w:w="898" w:type="dxa"/>
            <w:tcBorders>
              <w:top w:val="nil"/>
              <w:left w:val="nil"/>
              <w:bottom w:val="nil"/>
              <w:right w:val="nil"/>
            </w:tcBorders>
            <w:shd w:val="clear" w:color="auto" w:fill="auto"/>
            <w:noWrap/>
            <w:vAlign w:val="bottom"/>
            <w:hideMark/>
          </w:tcPr>
          <w:p w14:paraId="2BF694B4" w14:textId="333BF486"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(20,153)</w:t>
            </w:r>
          </w:p>
        </w:tc>
        <w:tc>
          <w:tcPr>
            <w:tcW w:w="964" w:type="dxa"/>
            <w:tcBorders>
              <w:top w:val="nil"/>
              <w:left w:val="nil"/>
              <w:bottom w:val="nil"/>
              <w:right w:val="nil"/>
            </w:tcBorders>
            <w:shd w:val="clear" w:color="auto" w:fill="auto"/>
            <w:noWrap/>
            <w:vAlign w:val="bottom"/>
            <w:hideMark/>
          </w:tcPr>
          <w:p w14:paraId="2DB388C5" w14:textId="630C2534"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(15)</w:t>
            </w:r>
          </w:p>
        </w:tc>
        <w:tc>
          <w:tcPr>
            <w:tcW w:w="981" w:type="dxa"/>
            <w:tcBorders>
              <w:top w:val="nil"/>
              <w:left w:val="nil"/>
              <w:bottom w:val="nil"/>
              <w:right w:val="nil"/>
            </w:tcBorders>
            <w:shd w:val="clear" w:color="auto" w:fill="auto"/>
            <w:noWrap/>
            <w:vAlign w:val="bottom"/>
            <w:hideMark/>
          </w:tcPr>
          <w:p w14:paraId="5B92BD10" w14:textId="58EE97B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276C044D" w14:textId="7F4AF1AB"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75EDD09E" w14:textId="48973B9F"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(20,168)</w:t>
            </w:r>
          </w:p>
        </w:tc>
      </w:tr>
      <w:tr w:rsidR="00ED508F" w:rsidRPr="00EA068E" w14:paraId="515A51F4" w14:textId="77777777" w:rsidTr="00F96D8A">
        <w:trPr>
          <w:trHeight w:val="204"/>
        </w:trPr>
        <w:tc>
          <w:tcPr>
            <w:tcW w:w="3071" w:type="dxa"/>
            <w:tcBorders>
              <w:top w:val="nil"/>
              <w:left w:val="nil"/>
              <w:bottom w:val="nil"/>
              <w:right w:val="nil"/>
            </w:tcBorders>
            <w:shd w:val="clear" w:color="auto" w:fill="auto"/>
            <w:vAlign w:val="bottom"/>
            <w:hideMark/>
          </w:tcPr>
          <w:p w14:paraId="3FAFD9D5" w14:textId="77777777" w:rsidR="00ED508F" w:rsidRPr="00EA068E" w:rsidRDefault="00ED508F" w:rsidP="00ED508F">
            <w:pPr>
              <w:spacing w:after="0" w:line="240" w:lineRule="auto"/>
              <w:ind w:left="113"/>
              <w:jc w:val="left"/>
              <w:rPr>
                <w:rFonts w:ascii="Arial" w:hAnsi="Arial" w:cs="Arial"/>
                <w:b/>
                <w:bCs/>
                <w:sz w:val="16"/>
                <w:szCs w:val="16"/>
              </w:rPr>
            </w:pPr>
            <w:r w:rsidRPr="00EA068E">
              <w:rPr>
                <w:rFonts w:ascii="Arial" w:hAnsi="Arial" w:cs="Arial"/>
                <w:b/>
                <w:bCs/>
                <w:sz w:val="16"/>
                <w:szCs w:val="16"/>
              </w:rPr>
              <w:t>Total other movements</w:t>
            </w:r>
          </w:p>
        </w:tc>
        <w:tc>
          <w:tcPr>
            <w:tcW w:w="898" w:type="dxa"/>
            <w:tcBorders>
              <w:top w:val="single" w:sz="4" w:space="0" w:color="auto"/>
              <w:left w:val="nil"/>
              <w:bottom w:val="single" w:sz="4" w:space="0" w:color="auto"/>
              <w:right w:val="nil"/>
            </w:tcBorders>
            <w:shd w:val="clear" w:color="auto" w:fill="auto"/>
            <w:noWrap/>
            <w:vAlign w:val="bottom"/>
            <w:hideMark/>
          </w:tcPr>
          <w:p w14:paraId="58449EF0" w14:textId="12D018DD"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(23,843)</w:t>
            </w:r>
          </w:p>
        </w:tc>
        <w:tc>
          <w:tcPr>
            <w:tcW w:w="964" w:type="dxa"/>
            <w:tcBorders>
              <w:top w:val="single" w:sz="4" w:space="0" w:color="auto"/>
              <w:left w:val="nil"/>
              <w:bottom w:val="single" w:sz="4" w:space="0" w:color="auto"/>
              <w:right w:val="nil"/>
            </w:tcBorders>
            <w:shd w:val="clear" w:color="auto" w:fill="auto"/>
            <w:noWrap/>
            <w:vAlign w:val="bottom"/>
            <w:hideMark/>
          </w:tcPr>
          <w:p w14:paraId="5B923FDE" w14:textId="16FB4EFF"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(4,888)</w:t>
            </w:r>
          </w:p>
        </w:tc>
        <w:tc>
          <w:tcPr>
            <w:tcW w:w="981" w:type="dxa"/>
            <w:tcBorders>
              <w:top w:val="single" w:sz="4" w:space="0" w:color="auto"/>
              <w:left w:val="nil"/>
              <w:bottom w:val="single" w:sz="4" w:space="0" w:color="auto"/>
              <w:right w:val="nil"/>
            </w:tcBorders>
            <w:shd w:val="clear" w:color="auto" w:fill="auto"/>
            <w:noWrap/>
            <w:vAlign w:val="bottom"/>
            <w:hideMark/>
          </w:tcPr>
          <w:p w14:paraId="14A909F5" w14:textId="54688538"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(8,090)</w:t>
            </w:r>
          </w:p>
        </w:tc>
        <w:tc>
          <w:tcPr>
            <w:tcW w:w="898" w:type="dxa"/>
            <w:tcBorders>
              <w:top w:val="single" w:sz="4" w:space="0" w:color="auto"/>
              <w:left w:val="nil"/>
              <w:bottom w:val="single" w:sz="4" w:space="0" w:color="auto"/>
              <w:right w:val="nil"/>
            </w:tcBorders>
            <w:shd w:val="clear" w:color="auto" w:fill="auto"/>
            <w:noWrap/>
            <w:vAlign w:val="bottom"/>
            <w:hideMark/>
          </w:tcPr>
          <w:p w14:paraId="33EFBB78" w14:textId="45C7BE28"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(142)</w:t>
            </w:r>
          </w:p>
        </w:tc>
        <w:tc>
          <w:tcPr>
            <w:tcW w:w="898" w:type="dxa"/>
            <w:tcBorders>
              <w:top w:val="single" w:sz="4" w:space="0" w:color="auto"/>
              <w:left w:val="nil"/>
              <w:bottom w:val="single" w:sz="4" w:space="0" w:color="auto"/>
              <w:right w:val="nil"/>
            </w:tcBorders>
            <w:shd w:val="clear" w:color="auto" w:fill="auto"/>
            <w:noWrap/>
            <w:vAlign w:val="bottom"/>
            <w:hideMark/>
          </w:tcPr>
          <w:p w14:paraId="0EF7BEAB" w14:textId="424B5B18"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(36,963)</w:t>
            </w:r>
          </w:p>
        </w:tc>
      </w:tr>
      <w:tr w:rsidR="00ED508F" w:rsidRPr="00EA068E" w14:paraId="4D40D7E0" w14:textId="77777777" w:rsidTr="00F96D8A">
        <w:trPr>
          <w:trHeight w:val="204"/>
        </w:trPr>
        <w:tc>
          <w:tcPr>
            <w:tcW w:w="3071" w:type="dxa"/>
            <w:tcBorders>
              <w:top w:val="nil"/>
              <w:left w:val="nil"/>
              <w:bottom w:val="nil"/>
              <w:right w:val="nil"/>
            </w:tcBorders>
            <w:shd w:val="clear" w:color="auto" w:fill="auto"/>
            <w:vAlign w:val="bottom"/>
            <w:hideMark/>
          </w:tcPr>
          <w:p w14:paraId="1106E173" w14:textId="6F53D4AF" w:rsidR="00ED508F" w:rsidRPr="00EA068E" w:rsidRDefault="00ED508F" w:rsidP="00ED508F">
            <w:pPr>
              <w:spacing w:after="0" w:line="240" w:lineRule="auto"/>
              <w:jc w:val="left"/>
              <w:rPr>
                <w:rFonts w:ascii="Arial" w:hAnsi="Arial" w:cs="Arial"/>
                <w:b/>
                <w:bCs/>
                <w:sz w:val="16"/>
                <w:szCs w:val="16"/>
              </w:rPr>
            </w:pPr>
            <w:r>
              <w:rPr>
                <w:rFonts w:ascii="Arial" w:hAnsi="Arial" w:cs="Arial"/>
                <w:b/>
                <w:bCs/>
                <w:sz w:val="16"/>
                <w:szCs w:val="16"/>
              </w:rPr>
              <w:t>As at 30 June 2023</w:t>
            </w:r>
          </w:p>
        </w:tc>
        <w:tc>
          <w:tcPr>
            <w:tcW w:w="898" w:type="dxa"/>
            <w:tcBorders>
              <w:top w:val="nil"/>
              <w:left w:val="nil"/>
              <w:bottom w:val="nil"/>
              <w:right w:val="nil"/>
            </w:tcBorders>
            <w:shd w:val="clear" w:color="auto" w:fill="auto"/>
            <w:noWrap/>
            <w:vAlign w:val="bottom"/>
            <w:hideMark/>
          </w:tcPr>
          <w:p w14:paraId="5003AA28" w14:textId="77777777" w:rsidR="00ED508F" w:rsidRPr="00ED508F" w:rsidRDefault="00ED508F" w:rsidP="00ED508F">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37A38EE8" w14:textId="77777777" w:rsidR="00ED508F" w:rsidRPr="00ED508F" w:rsidRDefault="00ED508F" w:rsidP="00ED508F">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18AE33F9" w14:textId="77777777" w:rsidR="00ED508F" w:rsidRPr="00ED508F" w:rsidRDefault="00ED508F" w:rsidP="00ED508F">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6E0C9B31" w14:textId="77777777" w:rsidR="00ED508F" w:rsidRPr="00ED508F" w:rsidRDefault="00ED508F" w:rsidP="00ED508F">
            <w:pPr>
              <w:spacing w:after="0" w:line="240" w:lineRule="auto"/>
              <w:jc w:val="right"/>
              <w:rPr>
                <w:rFonts w:ascii="Times New Roman" w:hAnsi="Times New Roman"/>
                <w:sz w:val="16"/>
                <w:szCs w:val="16"/>
              </w:rPr>
            </w:pPr>
          </w:p>
        </w:tc>
        <w:tc>
          <w:tcPr>
            <w:tcW w:w="898" w:type="dxa"/>
            <w:tcBorders>
              <w:top w:val="nil"/>
              <w:left w:val="nil"/>
              <w:bottom w:val="nil"/>
              <w:right w:val="nil"/>
            </w:tcBorders>
            <w:shd w:val="clear" w:color="auto" w:fill="auto"/>
            <w:noWrap/>
            <w:vAlign w:val="bottom"/>
            <w:hideMark/>
          </w:tcPr>
          <w:p w14:paraId="74AA886E" w14:textId="77777777" w:rsidR="00ED508F" w:rsidRPr="00ED508F" w:rsidRDefault="00ED508F" w:rsidP="00ED508F">
            <w:pPr>
              <w:spacing w:after="0" w:line="240" w:lineRule="auto"/>
              <w:jc w:val="right"/>
              <w:rPr>
                <w:rFonts w:ascii="Times New Roman" w:hAnsi="Times New Roman"/>
                <w:sz w:val="16"/>
                <w:szCs w:val="16"/>
              </w:rPr>
            </w:pPr>
          </w:p>
        </w:tc>
      </w:tr>
      <w:tr w:rsidR="00ED508F" w:rsidRPr="00EA068E" w14:paraId="6AB5D3C4" w14:textId="77777777" w:rsidTr="00F96D8A">
        <w:trPr>
          <w:trHeight w:val="204"/>
        </w:trPr>
        <w:tc>
          <w:tcPr>
            <w:tcW w:w="3071" w:type="dxa"/>
            <w:tcBorders>
              <w:top w:val="nil"/>
              <w:left w:val="nil"/>
              <w:bottom w:val="nil"/>
              <w:right w:val="nil"/>
            </w:tcBorders>
            <w:shd w:val="clear" w:color="auto" w:fill="auto"/>
            <w:vAlign w:val="bottom"/>
            <w:hideMark/>
          </w:tcPr>
          <w:p w14:paraId="4BA68637" w14:textId="77777777"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Gross book value</w:t>
            </w:r>
          </w:p>
        </w:tc>
        <w:tc>
          <w:tcPr>
            <w:tcW w:w="898" w:type="dxa"/>
            <w:tcBorders>
              <w:top w:val="nil"/>
              <w:left w:val="nil"/>
              <w:bottom w:val="nil"/>
              <w:right w:val="nil"/>
            </w:tcBorders>
            <w:shd w:val="clear" w:color="auto" w:fill="auto"/>
            <w:noWrap/>
            <w:vAlign w:val="bottom"/>
            <w:hideMark/>
          </w:tcPr>
          <w:p w14:paraId="4E77BDA7" w14:textId="763B92C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34,915 </w:t>
            </w:r>
          </w:p>
        </w:tc>
        <w:tc>
          <w:tcPr>
            <w:tcW w:w="964" w:type="dxa"/>
            <w:tcBorders>
              <w:top w:val="nil"/>
              <w:left w:val="nil"/>
              <w:bottom w:val="nil"/>
              <w:right w:val="nil"/>
            </w:tcBorders>
            <w:shd w:val="clear" w:color="auto" w:fill="auto"/>
            <w:noWrap/>
            <w:vAlign w:val="bottom"/>
            <w:hideMark/>
          </w:tcPr>
          <w:p w14:paraId="62B3890E" w14:textId="22A64AE1"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29,005 </w:t>
            </w:r>
          </w:p>
        </w:tc>
        <w:tc>
          <w:tcPr>
            <w:tcW w:w="981" w:type="dxa"/>
            <w:tcBorders>
              <w:top w:val="nil"/>
              <w:left w:val="nil"/>
              <w:bottom w:val="nil"/>
              <w:right w:val="nil"/>
            </w:tcBorders>
            <w:shd w:val="clear" w:color="auto" w:fill="auto"/>
            <w:noWrap/>
            <w:vAlign w:val="bottom"/>
            <w:hideMark/>
          </w:tcPr>
          <w:p w14:paraId="1C9DD2AD" w14:textId="12D7312D"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123,847 </w:t>
            </w:r>
          </w:p>
        </w:tc>
        <w:tc>
          <w:tcPr>
            <w:tcW w:w="898" w:type="dxa"/>
            <w:tcBorders>
              <w:top w:val="nil"/>
              <w:left w:val="nil"/>
              <w:bottom w:val="nil"/>
              <w:right w:val="nil"/>
            </w:tcBorders>
            <w:shd w:val="clear" w:color="auto" w:fill="auto"/>
            <w:noWrap/>
            <w:vAlign w:val="bottom"/>
            <w:hideMark/>
          </w:tcPr>
          <w:p w14:paraId="6DA80299" w14:textId="0C981CAA"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36,701 </w:t>
            </w:r>
          </w:p>
        </w:tc>
        <w:tc>
          <w:tcPr>
            <w:tcW w:w="898" w:type="dxa"/>
            <w:tcBorders>
              <w:top w:val="nil"/>
              <w:left w:val="nil"/>
              <w:bottom w:val="nil"/>
              <w:right w:val="nil"/>
            </w:tcBorders>
            <w:shd w:val="clear" w:color="auto" w:fill="auto"/>
            <w:noWrap/>
            <w:vAlign w:val="bottom"/>
            <w:hideMark/>
          </w:tcPr>
          <w:p w14:paraId="617899EC" w14:textId="382EF3C9"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224,468 </w:t>
            </w:r>
          </w:p>
        </w:tc>
      </w:tr>
      <w:tr w:rsidR="00ED508F" w:rsidRPr="00EA068E" w14:paraId="2F5C2B15" w14:textId="77777777" w:rsidTr="00F96D8A">
        <w:trPr>
          <w:trHeight w:val="204"/>
        </w:trPr>
        <w:tc>
          <w:tcPr>
            <w:tcW w:w="3071" w:type="dxa"/>
            <w:tcBorders>
              <w:top w:val="nil"/>
              <w:left w:val="nil"/>
              <w:bottom w:val="nil"/>
              <w:right w:val="nil"/>
            </w:tcBorders>
            <w:shd w:val="clear" w:color="auto" w:fill="auto"/>
            <w:vAlign w:val="bottom"/>
            <w:hideMark/>
          </w:tcPr>
          <w:p w14:paraId="5C89E8A8" w14:textId="5E9E7832"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 xml:space="preserve">Gross book value </w:t>
            </w:r>
            <w:r>
              <w:rPr>
                <w:rFonts w:ascii="Arial" w:hAnsi="Arial" w:cs="Arial"/>
                <w:sz w:val="16"/>
                <w:szCs w:val="16"/>
              </w:rPr>
              <w:t>–</w:t>
            </w:r>
            <w:r w:rsidRPr="00EA068E">
              <w:rPr>
                <w:rFonts w:ascii="Arial" w:hAnsi="Arial" w:cs="Arial"/>
                <w:sz w:val="16"/>
                <w:szCs w:val="16"/>
              </w:rPr>
              <w:t xml:space="preserve"> ROU assets</w:t>
            </w:r>
          </w:p>
        </w:tc>
        <w:tc>
          <w:tcPr>
            <w:tcW w:w="898" w:type="dxa"/>
            <w:tcBorders>
              <w:top w:val="nil"/>
              <w:left w:val="nil"/>
              <w:bottom w:val="nil"/>
              <w:right w:val="nil"/>
            </w:tcBorders>
            <w:shd w:val="clear" w:color="auto" w:fill="auto"/>
            <w:noWrap/>
            <w:vAlign w:val="bottom"/>
            <w:hideMark/>
          </w:tcPr>
          <w:p w14:paraId="31AF68CC" w14:textId="6E9E43ED"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157,099 </w:t>
            </w:r>
          </w:p>
        </w:tc>
        <w:tc>
          <w:tcPr>
            <w:tcW w:w="964" w:type="dxa"/>
            <w:tcBorders>
              <w:top w:val="nil"/>
              <w:left w:val="nil"/>
              <w:bottom w:val="nil"/>
              <w:right w:val="nil"/>
            </w:tcBorders>
            <w:shd w:val="clear" w:color="auto" w:fill="auto"/>
            <w:noWrap/>
            <w:vAlign w:val="bottom"/>
            <w:hideMark/>
          </w:tcPr>
          <w:p w14:paraId="315425F0" w14:textId="5CD9386D"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186 </w:t>
            </w:r>
          </w:p>
        </w:tc>
        <w:tc>
          <w:tcPr>
            <w:tcW w:w="981" w:type="dxa"/>
            <w:tcBorders>
              <w:top w:val="nil"/>
              <w:left w:val="nil"/>
              <w:bottom w:val="nil"/>
              <w:right w:val="nil"/>
            </w:tcBorders>
            <w:shd w:val="clear" w:color="auto" w:fill="auto"/>
            <w:noWrap/>
            <w:vAlign w:val="bottom"/>
            <w:hideMark/>
          </w:tcPr>
          <w:p w14:paraId="04403B23" w14:textId="59C9E080"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2F29641D" w14:textId="62F2AA9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61F2816D" w14:textId="54E61407"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157,285 </w:t>
            </w:r>
          </w:p>
        </w:tc>
      </w:tr>
      <w:tr w:rsidR="00ED508F" w:rsidRPr="00EA068E" w14:paraId="222D8AAA" w14:textId="77777777" w:rsidTr="00F96D8A">
        <w:trPr>
          <w:trHeight w:val="204"/>
        </w:trPr>
        <w:tc>
          <w:tcPr>
            <w:tcW w:w="3071" w:type="dxa"/>
            <w:tcBorders>
              <w:top w:val="nil"/>
              <w:left w:val="nil"/>
              <w:bottom w:val="nil"/>
              <w:right w:val="nil"/>
            </w:tcBorders>
            <w:shd w:val="clear" w:color="auto" w:fill="auto"/>
            <w:vAlign w:val="bottom"/>
            <w:hideMark/>
          </w:tcPr>
          <w:p w14:paraId="7DEDA176" w14:textId="77777777"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Accumulated depreciation / amortisation and impairment</w:t>
            </w:r>
          </w:p>
        </w:tc>
        <w:tc>
          <w:tcPr>
            <w:tcW w:w="898" w:type="dxa"/>
            <w:tcBorders>
              <w:top w:val="nil"/>
              <w:left w:val="nil"/>
              <w:bottom w:val="nil"/>
              <w:right w:val="nil"/>
            </w:tcBorders>
            <w:shd w:val="clear" w:color="auto" w:fill="auto"/>
            <w:noWrap/>
            <w:vAlign w:val="bottom"/>
            <w:hideMark/>
          </w:tcPr>
          <w:p w14:paraId="20582E18" w14:textId="71485CAD"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(16,938)</w:t>
            </w:r>
          </w:p>
        </w:tc>
        <w:tc>
          <w:tcPr>
            <w:tcW w:w="964" w:type="dxa"/>
            <w:tcBorders>
              <w:top w:val="nil"/>
              <w:left w:val="nil"/>
              <w:bottom w:val="nil"/>
              <w:right w:val="nil"/>
            </w:tcBorders>
            <w:shd w:val="clear" w:color="auto" w:fill="auto"/>
            <w:noWrap/>
            <w:vAlign w:val="bottom"/>
            <w:hideMark/>
          </w:tcPr>
          <w:p w14:paraId="71ED1CDE" w14:textId="3E4B99DB"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(19,754)</w:t>
            </w:r>
          </w:p>
        </w:tc>
        <w:tc>
          <w:tcPr>
            <w:tcW w:w="981" w:type="dxa"/>
            <w:tcBorders>
              <w:top w:val="nil"/>
              <w:left w:val="nil"/>
              <w:bottom w:val="nil"/>
              <w:right w:val="nil"/>
            </w:tcBorders>
            <w:shd w:val="clear" w:color="auto" w:fill="auto"/>
            <w:noWrap/>
            <w:vAlign w:val="bottom"/>
            <w:hideMark/>
          </w:tcPr>
          <w:p w14:paraId="30795BCC" w14:textId="221D8B99"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(57,352)</w:t>
            </w:r>
          </w:p>
        </w:tc>
        <w:tc>
          <w:tcPr>
            <w:tcW w:w="898" w:type="dxa"/>
            <w:tcBorders>
              <w:top w:val="nil"/>
              <w:left w:val="nil"/>
              <w:bottom w:val="nil"/>
              <w:right w:val="nil"/>
            </w:tcBorders>
            <w:shd w:val="clear" w:color="auto" w:fill="auto"/>
            <w:noWrap/>
            <w:vAlign w:val="bottom"/>
            <w:hideMark/>
          </w:tcPr>
          <w:p w14:paraId="3AC3715C" w14:textId="12F0807F"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(878)</w:t>
            </w:r>
          </w:p>
        </w:tc>
        <w:tc>
          <w:tcPr>
            <w:tcW w:w="898" w:type="dxa"/>
            <w:tcBorders>
              <w:top w:val="nil"/>
              <w:left w:val="nil"/>
              <w:bottom w:val="nil"/>
              <w:right w:val="nil"/>
            </w:tcBorders>
            <w:shd w:val="clear" w:color="auto" w:fill="auto"/>
            <w:noWrap/>
            <w:vAlign w:val="bottom"/>
            <w:hideMark/>
          </w:tcPr>
          <w:p w14:paraId="76E09E80" w14:textId="1C31602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(94,922)</w:t>
            </w:r>
          </w:p>
        </w:tc>
      </w:tr>
      <w:tr w:rsidR="00ED508F" w:rsidRPr="00EA068E" w14:paraId="177128A2" w14:textId="77777777" w:rsidTr="00F96D8A">
        <w:trPr>
          <w:trHeight w:val="204"/>
        </w:trPr>
        <w:tc>
          <w:tcPr>
            <w:tcW w:w="3071" w:type="dxa"/>
            <w:tcBorders>
              <w:top w:val="nil"/>
              <w:left w:val="nil"/>
              <w:bottom w:val="nil"/>
              <w:right w:val="nil"/>
            </w:tcBorders>
            <w:shd w:val="clear" w:color="auto" w:fill="auto"/>
            <w:vAlign w:val="bottom"/>
            <w:hideMark/>
          </w:tcPr>
          <w:p w14:paraId="482D6078" w14:textId="24C97F3E" w:rsidR="00ED508F" w:rsidRPr="00EA068E" w:rsidRDefault="00ED508F" w:rsidP="00ED508F">
            <w:pPr>
              <w:spacing w:after="0" w:line="240" w:lineRule="auto"/>
              <w:ind w:left="113"/>
              <w:jc w:val="left"/>
              <w:rPr>
                <w:rFonts w:ascii="Arial" w:hAnsi="Arial" w:cs="Arial"/>
                <w:sz w:val="16"/>
                <w:szCs w:val="16"/>
              </w:rPr>
            </w:pPr>
            <w:r w:rsidRPr="00EA068E">
              <w:rPr>
                <w:rFonts w:ascii="Arial" w:hAnsi="Arial" w:cs="Arial"/>
                <w:sz w:val="16"/>
                <w:szCs w:val="16"/>
              </w:rPr>
              <w:t>Accumulated depreciation/</w:t>
            </w:r>
            <w:r>
              <w:rPr>
                <w:rFonts w:ascii="Arial" w:hAnsi="Arial" w:cs="Arial"/>
                <w:sz w:val="16"/>
                <w:szCs w:val="16"/>
              </w:rPr>
              <w:t xml:space="preserve"> </w:t>
            </w:r>
            <w:r w:rsidRPr="00EA068E">
              <w:rPr>
                <w:rFonts w:ascii="Arial" w:hAnsi="Arial" w:cs="Arial"/>
                <w:sz w:val="16"/>
                <w:szCs w:val="16"/>
              </w:rPr>
              <w:t xml:space="preserve">amortisation and impairment </w:t>
            </w:r>
            <w:r>
              <w:rPr>
                <w:rFonts w:ascii="Arial" w:hAnsi="Arial" w:cs="Arial"/>
                <w:sz w:val="16"/>
                <w:szCs w:val="16"/>
              </w:rPr>
              <w:t>–</w:t>
            </w:r>
            <w:r w:rsidRPr="00EA068E">
              <w:rPr>
                <w:rFonts w:ascii="Arial" w:hAnsi="Arial" w:cs="Arial"/>
                <w:sz w:val="16"/>
                <w:szCs w:val="16"/>
              </w:rPr>
              <w:t xml:space="preserve"> ROU assets</w:t>
            </w:r>
          </w:p>
        </w:tc>
        <w:tc>
          <w:tcPr>
            <w:tcW w:w="898" w:type="dxa"/>
            <w:tcBorders>
              <w:top w:val="nil"/>
              <w:left w:val="nil"/>
              <w:bottom w:val="nil"/>
              <w:right w:val="nil"/>
            </w:tcBorders>
            <w:shd w:val="clear" w:color="auto" w:fill="auto"/>
            <w:noWrap/>
            <w:vAlign w:val="bottom"/>
            <w:hideMark/>
          </w:tcPr>
          <w:p w14:paraId="0FDAA4BA" w14:textId="51D5EBB6"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(84,031)</w:t>
            </w:r>
          </w:p>
        </w:tc>
        <w:tc>
          <w:tcPr>
            <w:tcW w:w="964" w:type="dxa"/>
            <w:tcBorders>
              <w:top w:val="nil"/>
              <w:left w:val="nil"/>
              <w:bottom w:val="nil"/>
              <w:right w:val="nil"/>
            </w:tcBorders>
            <w:shd w:val="clear" w:color="auto" w:fill="auto"/>
            <w:noWrap/>
            <w:vAlign w:val="bottom"/>
            <w:hideMark/>
          </w:tcPr>
          <w:p w14:paraId="51EE31D6" w14:textId="74F26AB8"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(103)</w:t>
            </w:r>
          </w:p>
        </w:tc>
        <w:tc>
          <w:tcPr>
            <w:tcW w:w="981" w:type="dxa"/>
            <w:tcBorders>
              <w:top w:val="nil"/>
              <w:left w:val="nil"/>
              <w:bottom w:val="nil"/>
              <w:right w:val="nil"/>
            </w:tcBorders>
            <w:shd w:val="clear" w:color="auto" w:fill="auto"/>
            <w:noWrap/>
            <w:vAlign w:val="bottom"/>
            <w:hideMark/>
          </w:tcPr>
          <w:p w14:paraId="39FAB669" w14:textId="5FED36D4"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6234A18D" w14:textId="57A67BB3"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14:paraId="18267C09" w14:textId="600ED27E" w:rsidR="00ED508F" w:rsidRPr="00ED508F" w:rsidRDefault="00ED508F" w:rsidP="00ED508F">
            <w:pPr>
              <w:spacing w:after="0" w:line="240" w:lineRule="auto"/>
              <w:jc w:val="right"/>
              <w:rPr>
                <w:rFonts w:ascii="Arial" w:hAnsi="Arial" w:cs="Arial"/>
                <w:sz w:val="16"/>
                <w:szCs w:val="16"/>
              </w:rPr>
            </w:pPr>
            <w:r w:rsidRPr="00ED508F">
              <w:rPr>
                <w:rFonts w:ascii="Arial" w:hAnsi="Arial" w:cs="Arial"/>
                <w:sz w:val="16"/>
                <w:szCs w:val="16"/>
              </w:rPr>
              <w:t>(84,134)</w:t>
            </w:r>
          </w:p>
        </w:tc>
      </w:tr>
      <w:tr w:rsidR="00ED508F" w:rsidRPr="00EA068E" w14:paraId="52F63124" w14:textId="77777777" w:rsidTr="00A035A3">
        <w:trPr>
          <w:trHeight w:val="204"/>
        </w:trPr>
        <w:tc>
          <w:tcPr>
            <w:tcW w:w="3071" w:type="dxa"/>
            <w:tcBorders>
              <w:top w:val="nil"/>
              <w:left w:val="nil"/>
              <w:bottom w:val="single" w:sz="4" w:space="0" w:color="auto"/>
              <w:right w:val="nil"/>
            </w:tcBorders>
            <w:shd w:val="clear" w:color="auto" w:fill="auto"/>
            <w:noWrap/>
            <w:vAlign w:val="bottom"/>
            <w:hideMark/>
          </w:tcPr>
          <w:p w14:paraId="6B308DA4" w14:textId="77777777" w:rsidR="00ED508F" w:rsidRPr="00EA068E" w:rsidRDefault="00ED508F" w:rsidP="00ED508F">
            <w:pPr>
              <w:spacing w:after="0" w:line="240" w:lineRule="auto"/>
              <w:jc w:val="left"/>
              <w:rPr>
                <w:rFonts w:ascii="Arial" w:hAnsi="Arial" w:cs="Arial"/>
                <w:b/>
                <w:bCs/>
                <w:sz w:val="16"/>
                <w:szCs w:val="16"/>
              </w:rPr>
            </w:pPr>
            <w:r w:rsidRPr="00EA068E">
              <w:rPr>
                <w:rFonts w:ascii="Arial" w:hAnsi="Arial" w:cs="Arial"/>
                <w:b/>
                <w:bCs/>
                <w:sz w:val="16"/>
                <w:szCs w:val="16"/>
              </w:rPr>
              <w:t>Closing net book balance</w:t>
            </w:r>
          </w:p>
        </w:tc>
        <w:tc>
          <w:tcPr>
            <w:tcW w:w="898" w:type="dxa"/>
            <w:tcBorders>
              <w:top w:val="single" w:sz="4" w:space="0" w:color="auto"/>
              <w:left w:val="nil"/>
              <w:bottom w:val="single" w:sz="4" w:space="0" w:color="auto"/>
              <w:right w:val="nil"/>
            </w:tcBorders>
            <w:shd w:val="clear" w:color="auto" w:fill="auto"/>
            <w:noWrap/>
            <w:vAlign w:val="bottom"/>
            <w:hideMark/>
          </w:tcPr>
          <w:p w14:paraId="40B6AEA9" w14:textId="3A8996A0"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91,045 </w:t>
            </w:r>
          </w:p>
        </w:tc>
        <w:tc>
          <w:tcPr>
            <w:tcW w:w="964" w:type="dxa"/>
            <w:tcBorders>
              <w:top w:val="single" w:sz="4" w:space="0" w:color="auto"/>
              <w:left w:val="nil"/>
              <w:bottom w:val="single" w:sz="4" w:space="0" w:color="auto"/>
              <w:right w:val="nil"/>
            </w:tcBorders>
            <w:shd w:val="clear" w:color="auto" w:fill="auto"/>
            <w:noWrap/>
            <w:vAlign w:val="bottom"/>
            <w:hideMark/>
          </w:tcPr>
          <w:p w14:paraId="3B575A65" w14:textId="601CBFC2"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9,334 </w:t>
            </w:r>
          </w:p>
        </w:tc>
        <w:tc>
          <w:tcPr>
            <w:tcW w:w="981" w:type="dxa"/>
            <w:tcBorders>
              <w:top w:val="single" w:sz="4" w:space="0" w:color="auto"/>
              <w:left w:val="nil"/>
              <w:bottom w:val="single" w:sz="4" w:space="0" w:color="auto"/>
              <w:right w:val="nil"/>
            </w:tcBorders>
            <w:shd w:val="clear" w:color="auto" w:fill="auto"/>
            <w:noWrap/>
            <w:vAlign w:val="bottom"/>
            <w:hideMark/>
          </w:tcPr>
          <w:p w14:paraId="213395BB" w14:textId="6515AF65"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66,495 </w:t>
            </w:r>
          </w:p>
        </w:tc>
        <w:tc>
          <w:tcPr>
            <w:tcW w:w="898" w:type="dxa"/>
            <w:tcBorders>
              <w:top w:val="single" w:sz="4" w:space="0" w:color="auto"/>
              <w:left w:val="nil"/>
              <w:bottom w:val="single" w:sz="4" w:space="0" w:color="auto"/>
              <w:right w:val="nil"/>
            </w:tcBorders>
            <w:shd w:val="clear" w:color="auto" w:fill="auto"/>
            <w:noWrap/>
            <w:vAlign w:val="bottom"/>
            <w:hideMark/>
          </w:tcPr>
          <w:p w14:paraId="5303F3E2" w14:textId="0FA1E6EA"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35,823 </w:t>
            </w:r>
          </w:p>
        </w:tc>
        <w:tc>
          <w:tcPr>
            <w:tcW w:w="898" w:type="dxa"/>
            <w:tcBorders>
              <w:top w:val="single" w:sz="4" w:space="0" w:color="auto"/>
              <w:left w:val="nil"/>
              <w:bottom w:val="single" w:sz="4" w:space="0" w:color="auto"/>
              <w:right w:val="nil"/>
            </w:tcBorders>
            <w:shd w:val="clear" w:color="auto" w:fill="auto"/>
            <w:noWrap/>
            <w:vAlign w:val="bottom"/>
            <w:hideMark/>
          </w:tcPr>
          <w:p w14:paraId="59B013D8" w14:textId="7A0FCA1F" w:rsidR="00ED508F" w:rsidRPr="00ED508F" w:rsidRDefault="00ED508F" w:rsidP="00ED508F">
            <w:pPr>
              <w:spacing w:after="0" w:line="240" w:lineRule="auto"/>
              <w:jc w:val="right"/>
              <w:rPr>
                <w:rFonts w:ascii="Arial" w:hAnsi="Arial" w:cs="Arial"/>
                <w:b/>
                <w:bCs/>
                <w:sz w:val="16"/>
                <w:szCs w:val="16"/>
              </w:rPr>
            </w:pPr>
            <w:r w:rsidRPr="00ED508F">
              <w:rPr>
                <w:rFonts w:ascii="Arial" w:hAnsi="Arial" w:cs="Arial"/>
                <w:b/>
                <w:bCs/>
                <w:sz w:val="16"/>
                <w:szCs w:val="16"/>
              </w:rPr>
              <w:t xml:space="preserve">202,697 </w:t>
            </w:r>
          </w:p>
        </w:tc>
      </w:tr>
    </w:tbl>
    <w:p w14:paraId="49C80C97" w14:textId="77777777" w:rsidR="00B91F3E" w:rsidRPr="002E5D24" w:rsidRDefault="00B91F3E" w:rsidP="00B91F3E">
      <w:pPr>
        <w:pStyle w:val="ChartandTableFootnote"/>
        <w:spacing w:before="60"/>
      </w:pPr>
      <w:r w:rsidRPr="00132F9E">
        <w:t>Prepared on Australian Accounting Standards basis.</w:t>
      </w:r>
    </w:p>
    <w:p w14:paraId="1A97E6E2" w14:textId="77777777" w:rsidR="00B91F3E" w:rsidRPr="00431229" w:rsidRDefault="00B91F3E" w:rsidP="00A8085D">
      <w:pPr>
        <w:pStyle w:val="ChartandTableFootnoteAlpha"/>
        <w:numPr>
          <w:ilvl w:val="0"/>
          <w:numId w:val="60"/>
        </w:numPr>
        <w:jc w:val="left"/>
        <w:rPr>
          <w:rFonts w:cs="Arial"/>
          <w:szCs w:val="16"/>
        </w:rPr>
      </w:pPr>
      <w:r w:rsidRPr="00431229">
        <w:rPr>
          <w:rFonts w:cs="Arial"/>
          <w:szCs w:val="16"/>
        </w:rPr>
        <w:t>‘Appropriation ordinary annual services’ refers to funding provided through Appropriation Bill (No. 1) 2022</w:t>
      </w:r>
      <w:r w:rsidRPr="00431229">
        <w:rPr>
          <w:rFonts w:cs="Arial"/>
          <w:szCs w:val="16"/>
        </w:rPr>
        <w:noBreakHyphen/>
      </w:r>
      <w:r w:rsidRPr="00431229">
        <w:rPr>
          <w:rFonts w:cs="Arial"/>
          <w:szCs w:val="16"/>
          <w:lang w:val="en-US"/>
        </w:rPr>
        <w:t>2</w:t>
      </w:r>
      <w:r w:rsidRPr="00431229">
        <w:rPr>
          <w:rFonts w:cs="Arial"/>
          <w:szCs w:val="16"/>
        </w:rPr>
        <w:t>3 for depreciation/amortisation expenses, DCBs or other operational expenses.</w:t>
      </w:r>
    </w:p>
    <w:p w14:paraId="50812067" w14:textId="77777777" w:rsidR="00B91F3E" w:rsidRPr="00152B2B" w:rsidRDefault="00B91F3E" w:rsidP="00B91F3E">
      <w:pPr>
        <w:sectPr w:rsidR="00B91F3E" w:rsidRPr="00152B2B" w:rsidSect="00F96D8A">
          <w:headerReference w:type="even" r:id="rId30"/>
          <w:headerReference w:type="default" r:id="rId31"/>
          <w:footerReference w:type="even" r:id="rId32"/>
          <w:footerReference w:type="default" r:id="rId33"/>
          <w:footerReference w:type="first" r:id="rId34"/>
          <w:pgSz w:w="11906" w:h="16838" w:code="9"/>
          <w:pgMar w:top="2835" w:right="2098" w:bottom="2466" w:left="2098" w:header="1531" w:footer="1531" w:gutter="0"/>
          <w:cols w:space="708"/>
          <w:titlePg/>
          <w:docGrid w:linePitch="360"/>
        </w:sectPr>
      </w:pPr>
    </w:p>
    <w:p w14:paraId="04C4E105" w14:textId="77777777" w:rsidR="00B91F3E" w:rsidRDefault="00B91F3E" w:rsidP="00B91F3E">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0" w:type="auto"/>
        <w:tblLayout w:type="fixed"/>
        <w:tblLook w:val="04A0" w:firstRow="1" w:lastRow="0" w:firstColumn="1" w:lastColumn="0" w:noHBand="0" w:noVBand="1"/>
      </w:tblPr>
      <w:tblGrid>
        <w:gridCol w:w="2268"/>
        <w:gridCol w:w="1169"/>
        <w:gridCol w:w="1035"/>
        <w:gridCol w:w="1035"/>
        <w:gridCol w:w="1035"/>
        <w:gridCol w:w="1036"/>
      </w:tblGrid>
      <w:tr w:rsidR="00B91F3E" w:rsidRPr="001D4390" w14:paraId="74566047" w14:textId="77777777" w:rsidTr="00F96D8A">
        <w:trPr>
          <w:trHeight w:val="204"/>
        </w:trPr>
        <w:tc>
          <w:tcPr>
            <w:tcW w:w="2268" w:type="dxa"/>
            <w:tcBorders>
              <w:top w:val="single" w:sz="4" w:space="0" w:color="auto"/>
              <w:left w:val="nil"/>
              <w:bottom w:val="nil"/>
              <w:right w:val="nil"/>
            </w:tcBorders>
            <w:shd w:val="clear" w:color="auto" w:fill="auto"/>
            <w:noWrap/>
            <w:vAlign w:val="bottom"/>
          </w:tcPr>
          <w:p w14:paraId="0FF928E1" w14:textId="77777777" w:rsidR="00B91F3E" w:rsidRPr="001D4390" w:rsidRDefault="00B91F3E" w:rsidP="00F96D8A">
            <w:pPr>
              <w:spacing w:after="0" w:line="240" w:lineRule="auto"/>
              <w:jc w:val="left"/>
              <w:rPr>
                <w:rFonts w:ascii="Arial" w:hAnsi="Arial" w:cs="Arial"/>
                <w:b/>
                <w:bCs/>
                <w:color w:val="000000"/>
                <w:sz w:val="16"/>
                <w:szCs w:val="16"/>
              </w:rPr>
            </w:pPr>
          </w:p>
        </w:tc>
        <w:tc>
          <w:tcPr>
            <w:tcW w:w="1169" w:type="dxa"/>
            <w:tcBorders>
              <w:top w:val="single" w:sz="4" w:space="0" w:color="auto"/>
              <w:left w:val="nil"/>
              <w:bottom w:val="single" w:sz="4" w:space="0" w:color="auto"/>
              <w:right w:val="nil"/>
            </w:tcBorders>
            <w:shd w:val="clear" w:color="auto" w:fill="auto"/>
            <w:noWrap/>
            <w:vAlign w:val="bottom"/>
            <w:hideMark/>
          </w:tcPr>
          <w:p w14:paraId="64A1EBB8" w14:textId="77777777" w:rsidR="00B91F3E" w:rsidRPr="001D4390" w:rsidRDefault="00B91F3E" w:rsidP="00F96D8A">
            <w:pPr>
              <w:spacing w:after="0" w:line="240" w:lineRule="auto"/>
              <w:jc w:val="right"/>
              <w:rPr>
                <w:rFonts w:ascii="Arial" w:hAnsi="Arial" w:cs="Arial"/>
                <w:b/>
                <w:bCs/>
                <w:color w:val="000000"/>
                <w:sz w:val="16"/>
                <w:szCs w:val="16"/>
              </w:rPr>
            </w:pPr>
            <w:r w:rsidRPr="001D4390">
              <w:rPr>
                <w:rFonts w:ascii="Arial" w:hAnsi="Arial" w:cs="Arial"/>
                <w:sz w:val="16"/>
                <w:szCs w:val="16"/>
              </w:rPr>
              <w:t>2021-22</w:t>
            </w:r>
            <w:r w:rsidRPr="001D4390">
              <w:rPr>
                <w:rFonts w:ascii="Arial" w:hAnsi="Arial" w:cs="Arial"/>
                <w:sz w:val="16"/>
                <w:szCs w:val="16"/>
              </w:rPr>
              <w:br/>
              <w:t>Estimated actual</w:t>
            </w:r>
            <w:r w:rsidRPr="001D4390">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noWrap/>
            <w:vAlign w:val="bottom"/>
            <w:hideMark/>
          </w:tcPr>
          <w:p w14:paraId="32DCE396" w14:textId="77777777" w:rsidR="00B91F3E" w:rsidRPr="001D4390" w:rsidRDefault="00B91F3E" w:rsidP="00F96D8A">
            <w:pPr>
              <w:spacing w:after="0" w:line="240" w:lineRule="auto"/>
              <w:jc w:val="right"/>
              <w:rPr>
                <w:rFonts w:ascii="Arial" w:hAnsi="Arial" w:cs="Arial"/>
                <w:color w:val="000000"/>
                <w:sz w:val="16"/>
                <w:szCs w:val="16"/>
              </w:rPr>
            </w:pPr>
            <w:r w:rsidRPr="001D4390">
              <w:rPr>
                <w:rFonts w:ascii="Arial" w:hAnsi="Arial" w:cs="Arial"/>
                <w:sz w:val="16"/>
                <w:szCs w:val="16"/>
              </w:rPr>
              <w:t>2022-23</w:t>
            </w:r>
            <w:r w:rsidRPr="001D4390">
              <w:rPr>
                <w:rFonts w:ascii="Arial" w:hAnsi="Arial" w:cs="Arial"/>
                <w:sz w:val="16"/>
                <w:szCs w:val="16"/>
              </w:rPr>
              <w:br/>
              <w:t>Budget</w:t>
            </w:r>
            <w:r w:rsidRPr="001D4390">
              <w:rPr>
                <w:rFonts w:ascii="Arial" w:hAnsi="Arial" w:cs="Arial"/>
                <w:sz w:val="16"/>
                <w:szCs w:val="16"/>
              </w:rPr>
              <w:br/>
            </w:r>
            <w:r w:rsidRPr="001D4390">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noWrap/>
            <w:vAlign w:val="bottom"/>
            <w:hideMark/>
          </w:tcPr>
          <w:p w14:paraId="5F13C0FD" w14:textId="77777777" w:rsidR="00B91F3E" w:rsidRPr="001D4390" w:rsidRDefault="00B91F3E" w:rsidP="00F96D8A">
            <w:pPr>
              <w:spacing w:after="0" w:line="240" w:lineRule="auto"/>
              <w:jc w:val="right"/>
              <w:rPr>
                <w:rFonts w:ascii="Arial" w:hAnsi="Arial" w:cs="Arial"/>
                <w:color w:val="000000"/>
                <w:sz w:val="16"/>
                <w:szCs w:val="16"/>
              </w:rPr>
            </w:pPr>
            <w:r w:rsidRPr="001D4390">
              <w:rPr>
                <w:rFonts w:ascii="Arial" w:hAnsi="Arial" w:cs="Arial"/>
                <w:sz w:val="16"/>
                <w:szCs w:val="16"/>
              </w:rPr>
              <w:t>2023-24</w:t>
            </w:r>
            <w:r w:rsidRPr="001D4390">
              <w:rPr>
                <w:rFonts w:ascii="Arial" w:hAnsi="Arial" w:cs="Arial"/>
                <w:sz w:val="16"/>
                <w:szCs w:val="16"/>
              </w:rPr>
              <w:br/>
              <w:t>Forward estimate</w:t>
            </w:r>
            <w:r w:rsidRPr="001D4390">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noWrap/>
            <w:vAlign w:val="bottom"/>
            <w:hideMark/>
          </w:tcPr>
          <w:p w14:paraId="13DF9F67" w14:textId="77777777" w:rsidR="00B91F3E" w:rsidRPr="001D4390" w:rsidRDefault="00B91F3E" w:rsidP="00F96D8A">
            <w:pPr>
              <w:spacing w:after="0" w:line="240" w:lineRule="auto"/>
              <w:jc w:val="right"/>
              <w:rPr>
                <w:rFonts w:ascii="Times New Roman" w:hAnsi="Times New Roman"/>
              </w:rPr>
            </w:pPr>
            <w:r w:rsidRPr="001D4390">
              <w:rPr>
                <w:rFonts w:ascii="Arial" w:hAnsi="Arial" w:cs="Arial"/>
                <w:sz w:val="16"/>
                <w:szCs w:val="16"/>
              </w:rPr>
              <w:t>2024-25</w:t>
            </w:r>
            <w:r w:rsidRPr="001D4390">
              <w:rPr>
                <w:rFonts w:ascii="Arial" w:hAnsi="Arial" w:cs="Arial"/>
                <w:sz w:val="16"/>
                <w:szCs w:val="16"/>
              </w:rPr>
              <w:br/>
              <w:t>Forward estimate</w:t>
            </w:r>
            <w:r w:rsidRPr="001D4390">
              <w:rPr>
                <w:rFonts w:ascii="Arial" w:hAnsi="Arial" w:cs="Arial"/>
                <w:sz w:val="16"/>
                <w:szCs w:val="16"/>
              </w:rPr>
              <w:br/>
              <w:t>$'000</w:t>
            </w:r>
          </w:p>
        </w:tc>
        <w:tc>
          <w:tcPr>
            <w:tcW w:w="1036" w:type="dxa"/>
            <w:tcBorders>
              <w:top w:val="single" w:sz="4" w:space="0" w:color="auto"/>
              <w:left w:val="nil"/>
              <w:bottom w:val="single" w:sz="4" w:space="0" w:color="auto"/>
              <w:right w:val="nil"/>
            </w:tcBorders>
            <w:shd w:val="clear" w:color="auto" w:fill="auto"/>
            <w:noWrap/>
            <w:vAlign w:val="bottom"/>
            <w:hideMark/>
          </w:tcPr>
          <w:p w14:paraId="04F2DEB4" w14:textId="77777777" w:rsidR="00B91F3E" w:rsidRPr="001D4390" w:rsidRDefault="00B91F3E" w:rsidP="00F96D8A">
            <w:pPr>
              <w:spacing w:after="0" w:line="240" w:lineRule="auto"/>
              <w:jc w:val="right"/>
              <w:rPr>
                <w:rFonts w:ascii="Times New Roman" w:hAnsi="Times New Roman"/>
              </w:rPr>
            </w:pPr>
            <w:r w:rsidRPr="001D4390">
              <w:rPr>
                <w:rFonts w:ascii="Arial" w:hAnsi="Arial" w:cs="Arial"/>
                <w:sz w:val="16"/>
                <w:szCs w:val="16"/>
              </w:rPr>
              <w:t>2025-26</w:t>
            </w:r>
            <w:r w:rsidRPr="001D4390">
              <w:rPr>
                <w:rFonts w:ascii="Arial" w:hAnsi="Arial" w:cs="Arial"/>
                <w:sz w:val="16"/>
                <w:szCs w:val="16"/>
              </w:rPr>
              <w:br/>
              <w:t>Forward estimate</w:t>
            </w:r>
            <w:r w:rsidRPr="001D4390">
              <w:rPr>
                <w:rFonts w:ascii="Arial" w:hAnsi="Arial" w:cs="Arial"/>
                <w:sz w:val="16"/>
                <w:szCs w:val="16"/>
              </w:rPr>
              <w:br/>
              <w:t>$'000</w:t>
            </w:r>
          </w:p>
        </w:tc>
      </w:tr>
      <w:tr w:rsidR="00B91F3E" w:rsidRPr="001D4390" w14:paraId="49F3B339" w14:textId="77777777" w:rsidTr="00F96D8A">
        <w:trPr>
          <w:trHeight w:val="204"/>
        </w:trPr>
        <w:tc>
          <w:tcPr>
            <w:tcW w:w="2268" w:type="dxa"/>
            <w:tcBorders>
              <w:top w:val="nil"/>
              <w:left w:val="nil"/>
              <w:bottom w:val="nil"/>
              <w:right w:val="nil"/>
            </w:tcBorders>
            <w:shd w:val="clear" w:color="auto" w:fill="auto"/>
            <w:noWrap/>
            <w:vAlign w:val="bottom"/>
          </w:tcPr>
          <w:p w14:paraId="30B8692C" w14:textId="77777777" w:rsidR="00B91F3E" w:rsidRPr="001D4390" w:rsidRDefault="00B91F3E" w:rsidP="00F96D8A">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EXPENSES</w:t>
            </w:r>
          </w:p>
        </w:tc>
        <w:tc>
          <w:tcPr>
            <w:tcW w:w="1169" w:type="dxa"/>
            <w:tcBorders>
              <w:top w:val="single" w:sz="4" w:space="0" w:color="auto"/>
              <w:left w:val="nil"/>
              <w:bottom w:val="nil"/>
              <w:right w:val="nil"/>
            </w:tcBorders>
            <w:shd w:val="clear" w:color="auto" w:fill="auto"/>
            <w:noWrap/>
            <w:vAlign w:val="bottom"/>
          </w:tcPr>
          <w:p w14:paraId="2DA78DAF" w14:textId="77777777" w:rsidR="00B91F3E" w:rsidRPr="00722716" w:rsidRDefault="00B91F3E" w:rsidP="00F96D8A">
            <w:pPr>
              <w:spacing w:after="0" w:line="240" w:lineRule="auto"/>
              <w:jc w:val="right"/>
              <w:rPr>
                <w:rFonts w:ascii="Arial" w:hAnsi="Arial" w:cs="Arial"/>
                <w:b/>
                <w:bCs/>
                <w:color w:val="000000"/>
                <w:sz w:val="16"/>
                <w:szCs w:val="16"/>
              </w:rPr>
            </w:pPr>
          </w:p>
        </w:tc>
        <w:tc>
          <w:tcPr>
            <w:tcW w:w="1035" w:type="dxa"/>
            <w:tcBorders>
              <w:top w:val="single" w:sz="4" w:space="0" w:color="auto"/>
              <w:left w:val="nil"/>
              <w:bottom w:val="nil"/>
              <w:right w:val="nil"/>
            </w:tcBorders>
            <w:shd w:val="clear" w:color="000000" w:fill="E6E6E6"/>
            <w:noWrap/>
            <w:vAlign w:val="bottom"/>
          </w:tcPr>
          <w:p w14:paraId="0FF33E1B" w14:textId="77777777" w:rsidR="00B91F3E" w:rsidRPr="00722716" w:rsidRDefault="00B91F3E" w:rsidP="00F96D8A">
            <w:pPr>
              <w:spacing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tcPr>
          <w:p w14:paraId="01A248E3" w14:textId="77777777" w:rsidR="00B91F3E" w:rsidRPr="00722716" w:rsidRDefault="00B91F3E" w:rsidP="00F96D8A">
            <w:pPr>
              <w:spacing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tcPr>
          <w:p w14:paraId="49D2CCFC" w14:textId="77777777" w:rsidR="00B91F3E" w:rsidRPr="00722716" w:rsidRDefault="00B91F3E" w:rsidP="00F96D8A">
            <w:pPr>
              <w:spacing w:after="0" w:line="240" w:lineRule="auto"/>
              <w:jc w:val="right"/>
              <w:rPr>
                <w:rFonts w:ascii="Arial" w:hAnsi="Arial" w:cs="Arial"/>
                <w:sz w:val="16"/>
                <w:szCs w:val="16"/>
              </w:rPr>
            </w:pPr>
          </w:p>
        </w:tc>
        <w:tc>
          <w:tcPr>
            <w:tcW w:w="1036" w:type="dxa"/>
            <w:tcBorders>
              <w:top w:val="single" w:sz="4" w:space="0" w:color="auto"/>
              <w:left w:val="nil"/>
              <w:bottom w:val="nil"/>
              <w:right w:val="nil"/>
            </w:tcBorders>
            <w:shd w:val="clear" w:color="auto" w:fill="auto"/>
            <w:noWrap/>
            <w:vAlign w:val="bottom"/>
          </w:tcPr>
          <w:p w14:paraId="370EB2F2" w14:textId="77777777" w:rsidR="00B91F3E" w:rsidRPr="00722716" w:rsidRDefault="00B91F3E" w:rsidP="00F96D8A">
            <w:pPr>
              <w:spacing w:after="0" w:line="240" w:lineRule="auto"/>
              <w:jc w:val="right"/>
              <w:rPr>
                <w:rFonts w:ascii="Arial" w:hAnsi="Arial" w:cs="Arial"/>
                <w:sz w:val="16"/>
                <w:szCs w:val="16"/>
              </w:rPr>
            </w:pPr>
          </w:p>
        </w:tc>
      </w:tr>
      <w:tr w:rsidR="00DE2B0E" w:rsidRPr="001D4390" w14:paraId="184D0A4F" w14:textId="77777777" w:rsidTr="00F96D8A">
        <w:trPr>
          <w:trHeight w:val="204"/>
        </w:trPr>
        <w:tc>
          <w:tcPr>
            <w:tcW w:w="2268" w:type="dxa"/>
            <w:tcBorders>
              <w:top w:val="nil"/>
              <w:left w:val="nil"/>
              <w:bottom w:val="nil"/>
              <w:right w:val="nil"/>
            </w:tcBorders>
            <w:shd w:val="clear" w:color="auto" w:fill="auto"/>
            <w:noWrap/>
            <w:vAlign w:val="bottom"/>
            <w:hideMark/>
          </w:tcPr>
          <w:p w14:paraId="252F6C39"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Employee benefits</w:t>
            </w:r>
          </w:p>
        </w:tc>
        <w:tc>
          <w:tcPr>
            <w:tcW w:w="1169" w:type="dxa"/>
            <w:tcBorders>
              <w:top w:val="nil"/>
              <w:left w:val="nil"/>
              <w:bottom w:val="nil"/>
              <w:right w:val="nil"/>
            </w:tcBorders>
            <w:shd w:val="clear" w:color="auto" w:fill="auto"/>
            <w:noWrap/>
            <w:vAlign w:val="bottom"/>
            <w:hideMark/>
          </w:tcPr>
          <w:p w14:paraId="27578A5E" w14:textId="59DD0777"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16,623 </w:t>
            </w:r>
          </w:p>
        </w:tc>
        <w:tc>
          <w:tcPr>
            <w:tcW w:w="1035" w:type="dxa"/>
            <w:tcBorders>
              <w:top w:val="nil"/>
              <w:left w:val="nil"/>
              <w:bottom w:val="nil"/>
              <w:right w:val="nil"/>
            </w:tcBorders>
            <w:shd w:val="clear" w:color="000000" w:fill="E6E6E6"/>
            <w:noWrap/>
            <w:vAlign w:val="bottom"/>
            <w:hideMark/>
          </w:tcPr>
          <w:p w14:paraId="646412CF" w14:textId="7B4BBA8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16,948 </w:t>
            </w:r>
          </w:p>
        </w:tc>
        <w:tc>
          <w:tcPr>
            <w:tcW w:w="1035" w:type="dxa"/>
            <w:tcBorders>
              <w:top w:val="nil"/>
              <w:left w:val="nil"/>
              <w:bottom w:val="nil"/>
              <w:right w:val="nil"/>
            </w:tcBorders>
            <w:shd w:val="clear" w:color="auto" w:fill="auto"/>
            <w:noWrap/>
            <w:vAlign w:val="bottom"/>
            <w:hideMark/>
          </w:tcPr>
          <w:p w14:paraId="6E328728" w14:textId="6771796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17,273 </w:t>
            </w:r>
          </w:p>
        </w:tc>
        <w:tc>
          <w:tcPr>
            <w:tcW w:w="1035" w:type="dxa"/>
            <w:tcBorders>
              <w:top w:val="nil"/>
              <w:left w:val="nil"/>
              <w:bottom w:val="nil"/>
              <w:right w:val="nil"/>
            </w:tcBorders>
            <w:shd w:val="clear" w:color="auto" w:fill="auto"/>
            <w:noWrap/>
            <w:vAlign w:val="bottom"/>
            <w:hideMark/>
          </w:tcPr>
          <w:p w14:paraId="23780251" w14:textId="0499478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17,604 </w:t>
            </w:r>
          </w:p>
        </w:tc>
        <w:tc>
          <w:tcPr>
            <w:tcW w:w="1036" w:type="dxa"/>
            <w:tcBorders>
              <w:top w:val="nil"/>
              <w:left w:val="nil"/>
              <w:bottom w:val="nil"/>
              <w:right w:val="nil"/>
            </w:tcBorders>
            <w:shd w:val="clear" w:color="auto" w:fill="auto"/>
            <w:noWrap/>
            <w:vAlign w:val="bottom"/>
            <w:hideMark/>
          </w:tcPr>
          <w:p w14:paraId="4DFDAFC5" w14:textId="2D1FE3C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17,942 </w:t>
            </w:r>
          </w:p>
        </w:tc>
      </w:tr>
      <w:tr w:rsidR="00DE2B0E" w:rsidRPr="001D4390" w14:paraId="7B998246" w14:textId="77777777" w:rsidTr="00F96D8A">
        <w:trPr>
          <w:trHeight w:val="204"/>
        </w:trPr>
        <w:tc>
          <w:tcPr>
            <w:tcW w:w="2268" w:type="dxa"/>
            <w:tcBorders>
              <w:top w:val="nil"/>
              <w:left w:val="nil"/>
              <w:bottom w:val="nil"/>
              <w:right w:val="nil"/>
            </w:tcBorders>
            <w:shd w:val="clear" w:color="auto" w:fill="auto"/>
            <w:noWrap/>
            <w:vAlign w:val="bottom"/>
            <w:hideMark/>
          </w:tcPr>
          <w:p w14:paraId="5E914832"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Suppliers</w:t>
            </w:r>
          </w:p>
        </w:tc>
        <w:tc>
          <w:tcPr>
            <w:tcW w:w="1169" w:type="dxa"/>
            <w:tcBorders>
              <w:top w:val="nil"/>
              <w:left w:val="nil"/>
              <w:bottom w:val="nil"/>
              <w:right w:val="nil"/>
            </w:tcBorders>
            <w:shd w:val="clear" w:color="auto" w:fill="auto"/>
            <w:noWrap/>
            <w:vAlign w:val="bottom"/>
            <w:hideMark/>
          </w:tcPr>
          <w:p w14:paraId="068B9BA8" w14:textId="3F710D5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694,383 </w:t>
            </w:r>
          </w:p>
        </w:tc>
        <w:tc>
          <w:tcPr>
            <w:tcW w:w="1035" w:type="dxa"/>
            <w:tcBorders>
              <w:top w:val="nil"/>
              <w:left w:val="nil"/>
              <w:bottom w:val="nil"/>
              <w:right w:val="nil"/>
            </w:tcBorders>
            <w:shd w:val="clear" w:color="000000" w:fill="E6E6E6"/>
            <w:noWrap/>
            <w:vAlign w:val="bottom"/>
            <w:hideMark/>
          </w:tcPr>
          <w:p w14:paraId="34DF2851" w14:textId="5E0DCDA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653,859 </w:t>
            </w:r>
          </w:p>
        </w:tc>
        <w:tc>
          <w:tcPr>
            <w:tcW w:w="1035" w:type="dxa"/>
            <w:tcBorders>
              <w:top w:val="nil"/>
              <w:left w:val="nil"/>
              <w:bottom w:val="nil"/>
              <w:right w:val="nil"/>
            </w:tcBorders>
            <w:shd w:val="clear" w:color="auto" w:fill="auto"/>
            <w:noWrap/>
            <w:vAlign w:val="bottom"/>
            <w:hideMark/>
          </w:tcPr>
          <w:p w14:paraId="701A6C50" w14:textId="094215C7"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566,036 </w:t>
            </w:r>
          </w:p>
        </w:tc>
        <w:tc>
          <w:tcPr>
            <w:tcW w:w="1035" w:type="dxa"/>
            <w:tcBorders>
              <w:top w:val="nil"/>
              <w:left w:val="nil"/>
              <w:bottom w:val="nil"/>
              <w:right w:val="nil"/>
            </w:tcBorders>
            <w:shd w:val="clear" w:color="auto" w:fill="auto"/>
            <w:noWrap/>
            <w:vAlign w:val="bottom"/>
            <w:hideMark/>
          </w:tcPr>
          <w:p w14:paraId="40BA1E71" w14:textId="041CD577"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551,561 </w:t>
            </w:r>
          </w:p>
        </w:tc>
        <w:tc>
          <w:tcPr>
            <w:tcW w:w="1036" w:type="dxa"/>
            <w:tcBorders>
              <w:top w:val="nil"/>
              <w:left w:val="nil"/>
              <w:bottom w:val="nil"/>
              <w:right w:val="nil"/>
            </w:tcBorders>
            <w:shd w:val="clear" w:color="auto" w:fill="auto"/>
            <w:noWrap/>
            <w:vAlign w:val="bottom"/>
            <w:hideMark/>
          </w:tcPr>
          <w:p w14:paraId="3F2EA5C0" w14:textId="6BA71E2F"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551,351 </w:t>
            </w:r>
          </w:p>
        </w:tc>
      </w:tr>
      <w:tr w:rsidR="00DE2B0E" w:rsidRPr="001D4390" w14:paraId="235BE163" w14:textId="77777777" w:rsidTr="00F96D8A">
        <w:trPr>
          <w:trHeight w:val="204"/>
        </w:trPr>
        <w:tc>
          <w:tcPr>
            <w:tcW w:w="2268" w:type="dxa"/>
            <w:tcBorders>
              <w:top w:val="nil"/>
              <w:left w:val="nil"/>
              <w:bottom w:val="nil"/>
              <w:right w:val="nil"/>
            </w:tcBorders>
            <w:shd w:val="clear" w:color="auto" w:fill="auto"/>
            <w:noWrap/>
            <w:vAlign w:val="bottom"/>
            <w:hideMark/>
          </w:tcPr>
          <w:p w14:paraId="4B27BB3A"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Subsidies</w:t>
            </w:r>
          </w:p>
        </w:tc>
        <w:tc>
          <w:tcPr>
            <w:tcW w:w="1169" w:type="dxa"/>
            <w:tcBorders>
              <w:top w:val="nil"/>
              <w:left w:val="nil"/>
              <w:bottom w:val="nil"/>
              <w:right w:val="nil"/>
            </w:tcBorders>
            <w:shd w:val="clear" w:color="auto" w:fill="auto"/>
            <w:noWrap/>
            <w:vAlign w:val="bottom"/>
            <w:hideMark/>
          </w:tcPr>
          <w:p w14:paraId="4E468D64" w14:textId="311C680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1,804,175 </w:t>
            </w:r>
          </w:p>
        </w:tc>
        <w:tc>
          <w:tcPr>
            <w:tcW w:w="1035" w:type="dxa"/>
            <w:tcBorders>
              <w:top w:val="nil"/>
              <w:left w:val="nil"/>
              <w:bottom w:val="nil"/>
              <w:right w:val="nil"/>
            </w:tcBorders>
            <w:shd w:val="clear" w:color="000000" w:fill="E6E6E6"/>
            <w:noWrap/>
            <w:vAlign w:val="bottom"/>
            <w:hideMark/>
          </w:tcPr>
          <w:p w14:paraId="03AB0FB2" w14:textId="383AF913"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1,011,307 </w:t>
            </w:r>
          </w:p>
        </w:tc>
        <w:tc>
          <w:tcPr>
            <w:tcW w:w="1035" w:type="dxa"/>
            <w:tcBorders>
              <w:top w:val="nil"/>
              <w:left w:val="nil"/>
              <w:bottom w:val="nil"/>
              <w:right w:val="nil"/>
            </w:tcBorders>
            <w:shd w:val="clear" w:color="auto" w:fill="auto"/>
            <w:noWrap/>
            <w:vAlign w:val="bottom"/>
            <w:hideMark/>
          </w:tcPr>
          <w:p w14:paraId="5485D563" w14:textId="3CEF843D"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1,030,504 </w:t>
            </w:r>
          </w:p>
        </w:tc>
        <w:tc>
          <w:tcPr>
            <w:tcW w:w="1035" w:type="dxa"/>
            <w:tcBorders>
              <w:top w:val="nil"/>
              <w:left w:val="nil"/>
              <w:bottom w:val="nil"/>
              <w:right w:val="nil"/>
            </w:tcBorders>
            <w:shd w:val="clear" w:color="auto" w:fill="auto"/>
            <w:noWrap/>
            <w:vAlign w:val="bottom"/>
            <w:hideMark/>
          </w:tcPr>
          <w:p w14:paraId="2D5819DF" w14:textId="5B4CBDAF"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1,056,377 </w:t>
            </w:r>
          </w:p>
        </w:tc>
        <w:tc>
          <w:tcPr>
            <w:tcW w:w="1036" w:type="dxa"/>
            <w:tcBorders>
              <w:top w:val="nil"/>
              <w:left w:val="nil"/>
              <w:bottom w:val="nil"/>
              <w:right w:val="nil"/>
            </w:tcBorders>
            <w:shd w:val="clear" w:color="auto" w:fill="auto"/>
            <w:noWrap/>
            <w:vAlign w:val="bottom"/>
            <w:hideMark/>
          </w:tcPr>
          <w:p w14:paraId="27E550DC" w14:textId="204B9046"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1,111,553 </w:t>
            </w:r>
          </w:p>
        </w:tc>
      </w:tr>
      <w:tr w:rsidR="00DE2B0E" w:rsidRPr="001D4390" w14:paraId="1CE35292" w14:textId="77777777" w:rsidTr="00F96D8A">
        <w:trPr>
          <w:trHeight w:val="204"/>
        </w:trPr>
        <w:tc>
          <w:tcPr>
            <w:tcW w:w="2268" w:type="dxa"/>
            <w:tcBorders>
              <w:top w:val="nil"/>
              <w:left w:val="nil"/>
              <w:bottom w:val="nil"/>
              <w:right w:val="nil"/>
            </w:tcBorders>
            <w:shd w:val="clear" w:color="auto" w:fill="auto"/>
            <w:noWrap/>
            <w:vAlign w:val="bottom"/>
            <w:hideMark/>
          </w:tcPr>
          <w:p w14:paraId="16E26829"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Grants</w:t>
            </w:r>
          </w:p>
        </w:tc>
        <w:tc>
          <w:tcPr>
            <w:tcW w:w="1169" w:type="dxa"/>
            <w:tcBorders>
              <w:top w:val="nil"/>
              <w:left w:val="nil"/>
              <w:bottom w:val="nil"/>
              <w:right w:val="nil"/>
            </w:tcBorders>
            <w:shd w:val="clear" w:color="auto" w:fill="auto"/>
            <w:noWrap/>
            <w:vAlign w:val="bottom"/>
            <w:hideMark/>
          </w:tcPr>
          <w:p w14:paraId="06C2B488" w14:textId="7CD5429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7,625,605 </w:t>
            </w:r>
          </w:p>
        </w:tc>
        <w:tc>
          <w:tcPr>
            <w:tcW w:w="1035" w:type="dxa"/>
            <w:tcBorders>
              <w:top w:val="nil"/>
              <w:left w:val="nil"/>
              <w:bottom w:val="nil"/>
              <w:right w:val="nil"/>
            </w:tcBorders>
            <w:shd w:val="clear" w:color="000000" w:fill="E6E6E6"/>
            <w:noWrap/>
            <w:vAlign w:val="bottom"/>
            <w:hideMark/>
          </w:tcPr>
          <w:p w14:paraId="76946B64" w14:textId="0D0760C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4,855,268 </w:t>
            </w:r>
          </w:p>
        </w:tc>
        <w:tc>
          <w:tcPr>
            <w:tcW w:w="1035" w:type="dxa"/>
            <w:tcBorders>
              <w:top w:val="nil"/>
              <w:left w:val="nil"/>
              <w:bottom w:val="nil"/>
              <w:right w:val="nil"/>
            </w:tcBorders>
            <w:shd w:val="clear" w:color="auto" w:fill="auto"/>
            <w:noWrap/>
            <w:vAlign w:val="bottom"/>
            <w:hideMark/>
          </w:tcPr>
          <w:p w14:paraId="36E8DF0E" w14:textId="1EF2416D"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6,258,863 </w:t>
            </w:r>
          </w:p>
        </w:tc>
        <w:tc>
          <w:tcPr>
            <w:tcW w:w="1035" w:type="dxa"/>
            <w:tcBorders>
              <w:top w:val="nil"/>
              <w:left w:val="nil"/>
              <w:bottom w:val="nil"/>
              <w:right w:val="nil"/>
            </w:tcBorders>
            <w:shd w:val="clear" w:color="auto" w:fill="auto"/>
            <w:noWrap/>
            <w:vAlign w:val="bottom"/>
            <w:hideMark/>
          </w:tcPr>
          <w:p w14:paraId="1EC1DC27" w14:textId="6C881184"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5,979,961 </w:t>
            </w:r>
          </w:p>
        </w:tc>
        <w:tc>
          <w:tcPr>
            <w:tcW w:w="1036" w:type="dxa"/>
            <w:tcBorders>
              <w:top w:val="nil"/>
              <w:left w:val="nil"/>
              <w:bottom w:val="nil"/>
              <w:right w:val="nil"/>
            </w:tcBorders>
            <w:shd w:val="clear" w:color="auto" w:fill="auto"/>
            <w:noWrap/>
            <w:vAlign w:val="bottom"/>
            <w:hideMark/>
          </w:tcPr>
          <w:p w14:paraId="0E278343" w14:textId="2B72EF4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5,478,831 </w:t>
            </w:r>
          </w:p>
        </w:tc>
      </w:tr>
      <w:tr w:rsidR="00DE2B0E" w:rsidRPr="001D4390" w14:paraId="756C6951" w14:textId="77777777" w:rsidTr="00F96D8A">
        <w:trPr>
          <w:trHeight w:val="204"/>
        </w:trPr>
        <w:tc>
          <w:tcPr>
            <w:tcW w:w="2268" w:type="dxa"/>
            <w:tcBorders>
              <w:top w:val="nil"/>
              <w:left w:val="nil"/>
              <w:bottom w:val="nil"/>
              <w:right w:val="nil"/>
            </w:tcBorders>
            <w:shd w:val="clear" w:color="auto" w:fill="auto"/>
            <w:noWrap/>
            <w:vAlign w:val="bottom"/>
            <w:hideMark/>
          </w:tcPr>
          <w:p w14:paraId="57E36B7A"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 xml:space="preserve">Depreciation and amortisation </w:t>
            </w:r>
          </w:p>
        </w:tc>
        <w:tc>
          <w:tcPr>
            <w:tcW w:w="1169" w:type="dxa"/>
            <w:tcBorders>
              <w:top w:val="nil"/>
              <w:left w:val="nil"/>
              <w:bottom w:val="nil"/>
              <w:right w:val="nil"/>
            </w:tcBorders>
            <w:shd w:val="clear" w:color="auto" w:fill="auto"/>
            <w:noWrap/>
            <w:vAlign w:val="bottom"/>
            <w:hideMark/>
          </w:tcPr>
          <w:p w14:paraId="4A9F0940" w14:textId="3E33003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52,565 </w:t>
            </w:r>
          </w:p>
        </w:tc>
        <w:tc>
          <w:tcPr>
            <w:tcW w:w="1035" w:type="dxa"/>
            <w:tcBorders>
              <w:top w:val="nil"/>
              <w:left w:val="nil"/>
              <w:bottom w:val="nil"/>
              <w:right w:val="nil"/>
            </w:tcBorders>
            <w:shd w:val="clear" w:color="000000" w:fill="E6E6E6"/>
            <w:noWrap/>
            <w:vAlign w:val="bottom"/>
            <w:hideMark/>
          </w:tcPr>
          <w:p w14:paraId="5232C599" w14:textId="26F35FF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47,619 </w:t>
            </w:r>
          </w:p>
        </w:tc>
        <w:tc>
          <w:tcPr>
            <w:tcW w:w="1035" w:type="dxa"/>
            <w:tcBorders>
              <w:top w:val="nil"/>
              <w:left w:val="nil"/>
              <w:bottom w:val="nil"/>
              <w:right w:val="nil"/>
            </w:tcBorders>
            <w:shd w:val="clear" w:color="auto" w:fill="auto"/>
            <w:noWrap/>
            <w:vAlign w:val="bottom"/>
            <w:hideMark/>
          </w:tcPr>
          <w:p w14:paraId="00D36743" w14:textId="1E7BFBE3"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47,750 </w:t>
            </w:r>
          </w:p>
        </w:tc>
        <w:tc>
          <w:tcPr>
            <w:tcW w:w="1035" w:type="dxa"/>
            <w:tcBorders>
              <w:top w:val="nil"/>
              <w:left w:val="nil"/>
              <w:bottom w:val="nil"/>
              <w:right w:val="nil"/>
            </w:tcBorders>
            <w:shd w:val="clear" w:color="auto" w:fill="auto"/>
            <w:noWrap/>
            <w:vAlign w:val="bottom"/>
            <w:hideMark/>
          </w:tcPr>
          <w:p w14:paraId="492D1F4D" w14:textId="2933A39E"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c>
          <w:tcPr>
            <w:tcW w:w="1036" w:type="dxa"/>
            <w:tcBorders>
              <w:top w:val="nil"/>
              <w:left w:val="nil"/>
              <w:bottom w:val="nil"/>
              <w:right w:val="nil"/>
            </w:tcBorders>
            <w:shd w:val="clear" w:color="auto" w:fill="auto"/>
            <w:noWrap/>
            <w:vAlign w:val="bottom"/>
            <w:hideMark/>
          </w:tcPr>
          <w:p w14:paraId="63169C05" w14:textId="77A90E74"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r>
      <w:tr w:rsidR="00DE2B0E" w:rsidRPr="001D4390" w14:paraId="4342C966" w14:textId="77777777" w:rsidTr="00F96D8A">
        <w:trPr>
          <w:trHeight w:val="204"/>
        </w:trPr>
        <w:tc>
          <w:tcPr>
            <w:tcW w:w="2268" w:type="dxa"/>
            <w:tcBorders>
              <w:top w:val="nil"/>
              <w:left w:val="nil"/>
              <w:bottom w:val="nil"/>
              <w:right w:val="nil"/>
            </w:tcBorders>
            <w:shd w:val="clear" w:color="auto" w:fill="auto"/>
            <w:vAlign w:val="bottom"/>
            <w:hideMark/>
          </w:tcPr>
          <w:p w14:paraId="5B115225"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Write-down and impairment of assets</w:t>
            </w:r>
          </w:p>
        </w:tc>
        <w:tc>
          <w:tcPr>
            <w:tcW w:w="1169" w:type="dxa"/>
            <w:tcBorders>
              <w:top w:val="nil"/>
              <w:left w:val="nil"/>
              <w:bottom w:val="nil"/>
              <w:right w:val="nil"/>
            </w:tcBorders>
            <w:shd w:val="clear" w:color="auto" w:fill="auto"/>
            <w:noWrap/>
            <w:vAlign w:val="bottom"/>
            <w:hideMark/>
          </w:tcPr>
          <w:p w14:paraId="428929E3" w14:textId="29A27DA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6,606 </w:t>
            </w:r>
          </w:p>
        </w:tc>
        <w:tc>
          <w:tcPr>
            <w:tcW w:w="1035" w:type="dxa"/>
            <w:tcBorders>
              <w:top w:val="nil"/>
              <w:left w:val="nil"/>
              <w:bottom w:val="nil"/>
              <w:right w:val="nil"/>
            </w:tcBorders>
            <w:shd w:val="clear" w:color="000000" w:fill="E6E6E6"/>
            <w:noWrap/>
            <w:vAlign w:val="bottom"/>
            <w:hideMark/>
          </w:tcPr>
          <w:p w14:paraId="2318B824" w14:textId="182FA6D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34,870 </w:t>
            </w:r>
          </w:p>
        </w:tc>
        <w:tc>
          <w:tcPr>
            <w:tcW w:w="1035" w:type="dxa"/>
            <w:tcBorders>
              <w:top w:val="nil"/>
              <w:left w:val="nil"/>
              <w:bottom w:val="nil"/>
              <w:right w:val="nil"/>
            </w:tcBorders>
            <w:shd w:val="clear" w:color="auto" w:fill="auto"/>
            <w:noWrap/>
            <w:vAlign w:val="bottom"/>
            <w:hideMark/>
          </w:tcPr>
          <w:p w14:paraId="065D0C48" w14:textId="30FC2DD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62,733 </w:t>
            </w:r>
          </w:p>
        </w:tc>
        <w:tc>
          <w:tcPr>
            <w:tcW w:w="1035" w:type="dxa"/>
            <w:tcBorders>
              <w:top w:val="nil"/>
              <w:left w:val="nil"/>
              <w:bottom w:val="nil"/>
              <w:right w:val="nil"/>
            </w:tcBorders>
            <w:shd w:val="clear" w:color="auto" w:fill="auto"/>
            <w:noWrap/>
            <w:vAlign w:val="bottom"/>
            <w:hideMark/>
          </w:tcPr>
          <w:p w14:paraId="3AACD968" w14:textId="72FB0C06"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50,629 </w:t>
            </w:r>
          </w:p>
        </w:tc>
        <w:tc>
          <w:tcPr>
            <w:tcW w:w="1036" w:type="dxa"/>
            <w:tcBorders>
              <w:top w:val="nil"/>
              <w:left w:val="nil"/>
              <w:bottom w:val="nil"/>
              <w:right w:val="nil"/>
            </w:tcBorders>
            <w:shd w:val="clear" w:color="auto" w:fill="auto"/>
            <w:noWrap/>
            <w:vAlign w:val="bottom"/>
            <w:hideMark/>
          </w:tcPr>
          <w:p w14:paraId="141D4DEA" w14:textId="11BA818F"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24,518 </w:t>
            </w:r>
          </w:p>
        </w:tc>
      </w:tr>
      <w:tr w:rsidR="00DE2B0E" w:rsidRPr="001D4390" w14:paraId="2F9F635A" w14:textId="77777777" w:rsidTr="00F96D8A">
        <w:trPr>
          <w:trHeight w:val="204"/>
        </w:trPr>
        <w:tc>
          <w:tcPr>
            <w:tcW w:w="2268" w:type="dxa"/>
            <w:tcBorders>
              <w:top w:val="nil"/>
              <w:left w:val="nil"/>
              <w:bottom w:val="nil"/>
              <w:right w:val="nil"/>
            </w:tcBorders>
            <w:shd w:val="clear" w:color="auto" w:fill="auto"/>
            <w:noWrap/>
            <w:vAlign w:val="bottom"/>
            <w:hideMark/>
          </w:tcPr>
          <w:p w14:paraId="74351B27"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Payments to corporate entities</w:t>
            </w:r>
          </w:p>
        </w:tc>
        <w:tc>
          <w:tcPr>
            <w:tcW w:w="1169" w:type="dxa"/>
            <w:tcBorders>
              <w:top w:val="nil"/>
              <w:left w:val="nil"/>
              <w:bottom w:val="nil"/>
              <w:right w:val="nil"/>
            </w:tcBorders>
            <w:shd w:val="clear" w:color="auto" w:fill="auto"/>
            <w:noWrap/>
            <w:vAlign w:val="bottom"/>
            <w:hideMark/>
          </w:tcPr>
          <w:p w14:paraId="345FA3DA" w14:textId="64F577A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2,116,638 </w:t>
            </w:r>
          </w:p>
        </w:tc>
        <w:tc>
          <w:tcPr>
            <w:tcW w:w="1035" w:type="dxa"/>
            <w:tcBorders>
              <w:top w:val="nil"/>
              <w:left w:val="nil"/>
              <w:bottom w:val="nil"/>
              <w:right w:val="nil"/>
            </w:tcBorders>
            <w:shd w:val="clear" w:color="000000" w:fill="E6E6E6"/>
            <w:noWrap/>
            <w:vAlign w:val="bottom"/>
            <w:hideMark/>
          </w:tcPr>
          <w:p w14:paraId="541D9F43" w14:textId="7ABEAD96"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2,115,617 </w:t>
            </w:r>
          </w:p>
        </w:tc>
        <w:tc>
          <w:tcPr>
            <w:tcW w:w="1035" w:type="dxa"/>
            <w:tcBorders>
              <w:top w:val="nil"/>
              <w:left w:val="nil"/>
              <w:bottom w:val="nil"/>
              <w:right w:val="nil"/>
            </w:tcBorders>
            <w:shd w:val="clear" w:color="auto" w:fill="auto"/>
            <w:noWrap/>
            <w:vAlign w:val="bottom"/>
            <w:hideMark/>
          </w:tcPr>
          <w:p w14:paraId="0F73A89B" w14:textId="75533170"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2,066,422 </w:t>
            </w:r>
          </w:p>
        </w:tc>
        <w:tc>
          <w:tcPr>
            <w:tcW w:w="1035" w:type="dxa"/>
            <w:tcBorders>
              <w:top w:val="nil"/>
              <w:left w:val="nil"/>
              <w:bottom w:val="nil"/>
              <w:right w:val="nil"/>
            </w:tcBorders>
            <w:shd w:val="clear" w:color="auto" w:fill="auto"/>
            <w:noWrap/>
            <w:vAlign w:val="bottom"/>
            <w:hideMark/>
          </w:tcPr>
          <w:p w14:paraId="6317FEEC" w14:textId="77775F12"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2,055,614 </w:t>
            </w:r>
          </w:p>
        </w:tc>
        <w:tc>
          <w:tcPr>
            <w:tcW w:w="1036" w:type="dxa"/>
            <w:tcBorders>
              <w:top w:val="nil"/>
              <w:left w:val="nil"/>
              <w:bottom w:val="nil"/>
              <w:right w:val="nil"/>
            </w:tcBorders>
            <w:shd w:val="clear" w:color="auto" w:fill="auto"/>
            <w:noWrap/>
            <w:vAlign w:val="bottom"/>
            <w:hideMark/>
          </w:tcPr>
          <w:p w14:paraId="2A9BA1EA" w14:textId="124275E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2,072,267 </w:t>
            </w:r>
          </w:p>
        </w:tc>
      </w:tr>
      <w:tr w:rsidR="00DE2B0E" w:rsidRPr="001D4390" w14:paraId="08E321D3" w14:textId="77777777" w:rsidTr="00F96D8A">
        <w:trPr>
          <w:trHeight w:val="204"/>
        </w:trPr>
        <w:tc>
          <w:tcPr>
            <w:tcW w:w="2268" w:type="dxa"/>
            <w:tcBorders>
              <w:top w:val="nil"/>
              <w:left w:val="nil"/>
              <w:bottom w:val="nil"/>
              <w:right w:val="nil"/>
            </w:tcBorders>
            <w:shd w:val="clear" w:color="auto" w:fill="auto"/>
            <w:noWrap/>
            <w:vAlign w:val="bottom"/>
            <w:hideMark/>
          </w:tcPr>
          <w:p w14:paraId="10B34944"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Other expenses</w:t>
            </w:r>
          </w:p>
        </w:tc>
        <w:tc>
          <w:tcPr>
            <w:tcW w:w="1169" w:type="dxa"/>
            <w:tcBorders>
              <w:top w:val="nil"/>
              <w:left w:val="nil"/>
              <w:bottom w:val="nil"/>
              <w:right w:val="nil"/>
            </w:tcBorders>
            <w:shd w:val="clear" w:color="auto" w:fill="auto"/>
            <w:noWrap/>
            <w:vAlign w:val="bottom"/>
            <w:hideMark/>
          </w:tcPr>
          <w:p w14:paraId="490E79D0" w14:textId="46DAF84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369,282 </w:t>
            </w:r>
          </w:p>
        </w:tc>
        <w:tc>
          <w:tcPr>
            <w:tcW w:w="1035" w:type="dxa"/>
            <w:tcBorders>
              <w:top w:val="nil"/>
              <w:left w:val="nil"/>
              <w:bottom w:val="nil"/>
              <w:right w:val="nil"/>
            </w:tcBorders>
            <w:shd w:val="clear" w:color="000000" w:fill="E6E6E6"/>
            <w:noWrap/>
            <w:vAlign w:val="bottom"/>
            <w:hideMark/>
          </w:tcPr>
          <w:p w14:paraId="4B63FEAC" w14:textId="5895984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497,066 </w:t>
            </w:r>
          </w:p>
        </w:tc>
        <w:tc>
          <w:tcPr>
            <w:tcW w:w="1035" w:type="dxa"/>
            <w:tcBorders>
              <w:top w:val="nil"/>
              <w:left w:val="nil"/>
              <w:bottom w:val="nil"/>
              <w:right w:val="nil"/>
            </w:tcBorders>
            <w:shd w:val="clear" w:color="auto" w:fill="auto"/>
            <w:noWrap/>
            <w:vAlign w:val="bottom"/>
            <w:hideMark/>
          </w:tcPr>
          <w:p w14:paraId="562DEBB8" w14:textId="6EC6DB10"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413,175 </w:t>
            </w:r>
          </w:p>
        </w:tc>
        <w:tc>
          <w:tcPr>
            <w:tcW w:w="1035" w:type="dxa"/>
            <w:tcBorders>
              <w:top w:val="nil"/>
              <w:left w:val="nil"/>
              <w:bottom w:val="nil"/>
              <w:right w:val="nil"/>
            </w:tcBorders>
            <w:shd w:val="clear" w:color="auto" w:fill="auto"/>
            <w:noWrap/>
            <w:vAlign w:val="bottom"/>
            <w:hideMark/>
          </w:tcPr>
          <w:p w14:paraId="3AB8C683" w14:textId="67E528D6"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306,796 </w:t>
            </w:r>
          </w:p>
        </w:tc>
        <w:tc>
          <w:tcPr>
            <w:tcW w:w="1036" w:type="dxa"/>
            <w:tcBorders>
              <w:top w:val="nil"/>
              <w:left w:val="nil"/>
              <w:bottom w:val="nil"/>
              <w:right w:val="nil"/>
            </w:tcBorders>
            <w:shd w:val="clear" w:color="auto" w:fill="auto"/>
            <w:noWrap/>
            <w:vAlign w:val="bottom"/>
            <w:hideMark/>
          </w:tcPr>
          <w:p w14:paraId="5DA4732B" w14:textId="40F5B3D7"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278,550 </w:t>
            </w:r>
          </w:p>
        </w:tc>
      </w:tr>
      <w:tr w:rsidR="00DE2B0E" w:rsidRPr="001D4390" w14:paraId="63D09452" w14:textId="77777777" w:rsidTr="00F96D8A">
        <w:trPr>
          <w:trHeight w:val="204"/>
        </w:trPr>
        <w:tc>
          <w:tcPr>
            <w:tcW w:w="2268" w:type="dxa"/>
            <w:tcBorders>
              <w:top w:val="nil"/>
              <w:left w:val="nil"/>
              <w:bottom w:val="nil"/>
              <w:right w:val="nil"/>
            </w:tcBorders>
            <w:shd w:val="clear" w:color="auto" w:fill="auto"/>
            <w:vAlign w:val="bottom"/>
            <w:hideMark/>
          </w:tcPr>
          <w:p w14:paraId="0C955008"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Total expenses</w:t>
            </w:r>
          </w:p>
        </w:tc>
        <w:tc>
          <w:tcPr>
            <w:tcW w:w="1169" w:type="dxa"/>
            <w:tcBorders>
              <w:top w:val="single" w:sz="4" w:space="0" w:color="auto"/>
              <w:left w:val="nil"/>
              <w:bottom w:val="single" w:sz="4" w:space="0" w:color="auto"/>
              <w:right w:val="nil"/>
            </w:tcBorders>
            <w:shd w:val="clear" w:color="auto" w:fill="auto"/>
            <w:noWrap/>
            <w:vAlign w:val="bottom"/>
            <w:hideMark/>
          </w:tcPr>
          <w:p w14:paraId="572BF51B" w14:textId="1F9F5CA6"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12,685,877 </w:t>
            </w:r>
          </w:p>
        </w:tc>
        <w:tc>
          <w:tcPr>
            <w:tcW w:w="1035" w:type="dxa"/>
            <w:tcBorders>
              <w:top w:val="single" w:sz="4" w:space="0" w:color="auto"/>
              <w:left w:val="nil"/>
              <w:bottom w:val="single" w:sz="4" w:space="0" w:color="auto"/>
              <w:right w:val="nil"/>
            </w:tcBorders>
            <w:shd w:val="clear" w:color="000000" w:fill="E6E6E6"/>
            <w:noWrap/>
            <w:vAlign w:val="bottom"/>
            <w:hideMark/>
          </w:tcPr>
          <w:p w14:paraId="4C670179" w14:textId="2A32D2E4"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9,232,554 </w:t>
            </w:r>
          </w:p>
        </w:tc>
        <w:tc>
          <w:tcPr>
            <w:tcW w:w="1035" w:type="dxa"/>
            <w:tcBorders>
              <w:top w:val="single" w:sz="4" w:space="0" w:color="auto"/>
              <w:left w:val="nil"/>
              <w:bottom w:val="single" w:sz="4" w:space="0" w:color="auto"/>
              <w:right w:val="nil"/>
            </w:tcBorders>
            <w:shd w:val="clear" w:color="auto" w:fill="auto"/>
            <w:noWrap/>
            <w:vAlign w:val="bottom"/>
            <w:hideMark/>
          </w:tcPr>
          <w:p w14:paraId="26B051AE" w14:textId="488201CA"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10,462,756 </w:t>
            </w:r>
          </w:p>
        </w:tc>
        <w:tc>
          <w:tcPr>
            <w:tcW w:w="1035" w:type="dxa"/>
            <w:tcBorders>
              <w:top w:val="single" w:sz="4" w:space="0" w:color="auto"/>
              <w:left w:val="nil"/>
              <w:bottom w:val="single" w:sz="4" w:space="0" w:color="auto"/>
              <w:right w:val="nil"/>
            </w:tcBorders>
            <w:shd w:val="clear" w:color="auto" w:fill="auto"/>
            <w:noWrap/>
            <w:vAlign w:val="bottom"/>
            <w:hideMark/>
          </w:tcPr>
          <w:p w14:paraId="553A4811" w14:textId="05C2440F"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10,065,715 </w:t>
            </w:r>
          </w:p>
        </w:tc>
        <w:tc>
          <w:tcPr>
            <w:tcW w:w="1036" w:type="dxa"/>
            <w:tcBorders>
              <w:top w:val="single" w:sz="4" w:space="0" w:color="auto"/>
              <w:left w:val="nil"/>
              <w:bottom w:val="single" w:sz="4" w:space="0" w:color="auto"/>
              <w:right w:val="nil"/>
            </w:tcBorders>
            <w:shd w:val="clear" w:color="auto" w:fill="auto"/>
            <w:noWrap/>
            <w:vAlign w:val="bottom"/>
            <w:hideMark/>
          </w:tcPr>
          <w:p w14:paraId="37EB956F" w14:textId="55232552"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9,582,185 </w:t>
            </w:r>
          </w:p>
        </w:tc>
      </w:tr>
      <w:tr w:rsidR="00DE2B0E" w:rsidRPr="001D4390" w14:paraId="26EBF355" w14:textId="77777777" w:rsidTr="00F96D8A">
        <w:trPr>
          <w:trHeight w:val="204"/>
        </w:trPr>
        <w:tc>
          <w:tcPr>
            <w:tcW w:w="2268" w:type="dxa"/>
            <w:tcBorders>
              <w:top w:val="nil"/>
              <w:left w:val="nil"/>
              <w:bottom w:val="nil"/>
              <w:right w:val="nil"/>
            </w:tcBorders>
            <w:shd w:val="clear" w:color="auto" w:fill="auto"/>
            <w:noWrap/>
            <w:vAlign w:val="bottom"/>
            <w:hideMark/>
          </w:tcPr>
          <w:p w14:paraId="53D6F530"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LESS:</w:t>
            </w:r>
          </w:p>
        </w:tc>
        <w:tc>
          <w:tcPr>
            <w:tcW w:w="1169" w:type="dxa"/>
            <w:tcBorders>
              <w:top w:val="nil"/>
              <w:left w:val="nil"/>
              <w:bottom w:val="nil"/>
              <w:right w:val="nil"/>
            </w:tcBorders>
            <w:shd w:val="clear" w:color="auto" w:fill="auto"/>
            <w:noWrap/>
            <w:vAlign w:val="bottom"/>
            <w:hideMark/>
          </w:tcPr>
          <w:p w14:paraId="788925C0" w14:textId="77777777" w:rsidR="00DE2B0E" w:rsidRPr="00BD1951" w:rsidRDefault="00DE2B0E" w:rsidP="00DE2B0E">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07A257F" w14:textId="405B9F4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28FD3E99" w14:textId="77777777" w:rsidR="00DE2B0E" w:rsidRPr="00BD1951" w:rsidRDefault="00DE2B0E" w:rsidP="00DE2B0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65735AC" w14:textId="77777777" w:rsidR="00DE2B0E" w:rsidRPr="00BD1951" w:rsidRDefault="00DE2B0E" w:rsidP="00DE2B0E">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2AB2C2E7" w14:textId="77777777" w:rsidR="00DE2B0E" w:rsidRPr="00BD1951" w:rsidRDefault="00DE2B0E" w:rsidP="00DE2B0E">
            <w:pPr>
              <w:spacing w:after="0" w:line="240" w:lineRule="auto"/>
              <w:jc w:val="right"/>
              <w:rPr>
                <w:rFonts w:ascii="Arial" w:hAnsi="Arial" w:cs="Arial"/>
                <w:sz w:val="16"/>
                <w:szCs w:val="16"/>
              </w:rPr>
            </w:pPr>
          </w:p>
        </w:tc>
      </w:tr>
      <w:tr w:rsidR="00DE2B0E" w:rsidRPr="001D4390" w14:paraId="762F0FB4" w14:textId="77777777" w:rsidTr="00F96D8A">
        <w:trPr>
          <w:trHeight w:val="204"/>
        </w:trPr>
        <w:tc>
          <w:tcPr>
            <w:tcW w:w="2268" w:type="dxa"/>
            <w:tcBorders>
              <w:top w:val="nil"/>
              <w:left w:val="nil"/>
              <w:bottom w:val="nil"/>
              <w:right w:val="nil"/>
            </w:tcBorders>
            <w:shd w:val="clear" w:color="auto" w:fill="auto"/>
            <w:noWrap/>
            <w:vAlign w:val="bottom"/>
            <w:hideMark/>
          </w:tcPr>
          <w:p w14:paraId="44E2CE6F"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OWN-SOURCE INCOME</w:t>
            </w:r>
          </w:p>
        </w:tc>
        <w:tc>
          <w:tcPr>
            <w:tcW w:w="1169" w:type="dxa"/>
            <w:tcBorders>
              <w:top w:val="nil"/>
              <w:left w:val="nil"/>
              <w:bottom w:val="nil"/>
              <w:right w:val="nil"/>
            </w:tcBorders>
            <w:shd w:val="clear" w:color="auto" w:fill="auto"/>
            <w:noWrap/>
            <w:vAlign w:val="bottom"/>
            <w:hideMark/>
          </w:tcPr>
          <w:p w14:paraId="4C1647E6" w14:textId="77777777" w:rsidR="00DE2B0E" w:rsidRPr="00BD1951" w:rsidRDefault="00DE2B0E" w:rsidP="00DE2B0E">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DD118A7" w14:textId="15F9E3C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29AB66D5" w14:textId="77777777" w:rsidR="00DE2B0E" w:rsidRPr="00BD1951" w:rsidRDefault="00DE2B0E" w:rsidP="00DE2B0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F94BAA5" w14:textId="77777777" w:rsidR="00DE2B0E" w:rsidRPr="00BD1951" w:rsidRDefault="00DE2B0E" w:rsidP="00DE2B0E">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77C9076E" w14:textId="77777777" w:rsidR="00DE2B0E" w:rsidRPr="00BD1951" w:rsidRDefault="00DE2B0E" w:rsidP="00DE2B0E">
            <w:pPr>
              <w:spacing w:after="0" w:line="240" w:lineRule="auto"/>
              <w:jc w:val="right"/>
              <w:rPr>
                <w:rFonts w:ascii="Arial" w:hAnsi="Arial" w:cs="Arial"/>
                <w:sz w:val="16"/>
                <w:szCs w:val="16"/>
              </w:rPr>
            </w:pPr>
          </w:p>
        </w:tc>
      </w:tr>
      <w:tr w:rsidR="00DE2B0E" w:rsidRPr="001D4390" w14:paraId="0E77BE26" w14:textId="77777777" w:rsidTr="00F96D8A">
        <w:trPr>
          <w:trHeight w:val="204"/>
        </w:trPr>
        <w:tc>
          <w:tcPr>
            <w:tcW w:w="2268" w:type="dxa"/>
            <w:tcBorders>
              <w:top w:val="nil"/>
              <w:left w:val="nil"/>
              <w:bottom w:val="nil"/>
              <w:right w:val="nil"/>
            </w:tcBorders>
            <w:shd w:val="clear" w:color="auto" w:fill="auto"/>
            <w:noWrap/>
            <w:vAlign w:val="bottom"/>
            <w:hideMark/>
          </w:tcPr>
          <w:p w14:paraId="067A5944" w14:textId="77777777" w:rsidR="00DE2B0E" w:rsidRPr="001D4390" w:rsidRDefault="00DE2B0E" w:rsidP="00DE2B0E">
            <w:pPr>
              <w:spacing w:after="0" w:line="240" w:lineRule="auto"/>
              <w:ind w:left="113"/>
              <w:jc w:val="left"/>
              <w:rPr>
                <w:rFonts w:ascii="Arial" w:hAnsi="Arial" w:cs="Arial"/>
                <w:b/>
                <w:bCs/>
                <w:color w:val="000000"/>
                <w:sz w:val="16"/>
                <w:szCs w:val="16"/>
              </w:rPr>
            </w:pPr>
            <w:r w:rsidRPr="001D4390">
              <w:rPr>
                <w:rFonts w:ascii="Arial" w:hAnsi="Arial" w:cs="Arial"/>
                <w:b/>
                <w:bCs/>
                <w:color w:val="000000"/>
                <w:sz w:val="16"/>
                <w:szCs w:val="16"/>
              </w:rPr>
              <w:t>Own-source revenue</w:t>
            </w:r>
          </w:p>
        </w:tc>
        <w:tc>
          <w:tcPr>
            <w:tcW w:w="1169" w:type="dxa"/>
            <w:tcBorders>
              <w:top w:val="nil"/>
              <w:left w:val="nil"/>
              <w:bottom w:val="nil"/>
              <w:right w:val="nil"/>
            </w:tcBorders>
            <w:shd w:val="clear" w:color="auto" w:fill="auto"/>
            <w:noWrap/>
            <w:vAlign w:val="bottom"/>
            <w:hideMark/>
          </w:tcPr>
          <w:p w14:paraId="1EBF3655" w14:textId="77777777" w:rsidR="00DE2B0E" w:rsidRPr="00BD1951" w:rsidRDefault="00DE2B0E" w:rsidP="00DE2B0E">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894304D" w14:textId="2EA4D8C2"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580DB025" w14:textId="77777777" w:rsidR="00DE2B0E" w:rsidRPr="00BD1951" w:rsidRDefault="00DE2B0E" w:rsidP="00DE2B0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02B61CC" w14:textId="77777777" w:rsidR="00DE2B0E" w:rsidRPr="00BD1951" w:rsidRDefault="00DE2B0E" w:rsidP="00DE2B0E">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3B53873B" w14:textId="77777777" w:rsidR="00DE2B0E" w:rsidRPr="00BD1951" w:rsidRDefault="00DE2B0E" w:rsidP="00DE2B0E">
            <w:pPr>
              <w:spacing w:after="0" w:line="240" w:lineRule="auto"/>
              <w:jc w:val="right"/>
              <w:rPr>
                <w:rFonts w:ascii="Arial" w:hAnsi="Arial" w:cs="Arial"/>
                <w:sz w:val="16"/>
                <w:szCs w:val="16"/>
              </w:rPr>
            </w:pPr>
          </w:p>
        </w:tc>
      </w:tr>
      <w:tr w:rsidR="00DE2B0E" w:rsidRPr="001D4390" w14:paraId="2A66FC19" w14:textId="77777777" w:rsidTr="00F96D8A">
        <w:trPr>
          <w:trHeight w:val="204"/>
        </w:trPr>
        <w:tc>
          <w:tcPr>
            <w:tcW w:w="2268" w:type="dxa"/>
            <w:tcBorders>
              <w:top w:val="nil"/>
              <w:left w:val="nil"/>
              <w:bottom w:val="nil"/>
              <w:right w:val="nil"/>
            </w:tcBorders>
            <w:shd w:val="clear" w:color="auto" w:fill="auto"/>
            <w:noWrap/>
            <w:vAlign w:val="bottom"/>
            <w:hideMark/>
          </w:tcPr>
          <w:p w14:paraId="22C677DF" w14:textId="77777777" w:rsidR="00DE2B0E" w:rsidRPr="001D4390" w:rsidRDefault="00DE2B0E" w:rsidP="00DE2B0E">
            <w:pPr>
              <w:spacing w:after="0" w:line="240" w:lineRule="auto"/>
              <w:ind w:left="227"/>
              <w:jc w:val="left"/>
              <w:rPr>
                <w:rFonts w:ascii="Arial" w:hAnsi="Arial" w:cs="Arial"/>
                <w:b/>
                <w:bCs/>
                <w:color w:val="000000"/>
                <w:sz w:val="16"/>
                <w:szCs w:val="16"/>
              </w:rPr>
            </w:pPr>
            <w:r w:rsidRPr="001D4390">
              <w:rPr>
                <w:rFonts w:ascii="Arial" w:hAnsi="Arial" w:cs="Arial"/>
                <w:b/>
                <w:bCs/>
                <w:color w:val="000000"/>
                <w:sz w:val="16"/>
                <w:szCs w:val="16"/>
              </w:rPr>
              <w:t>Taxation revenue</w:t>
            </w:r>
          </w:p>
        </w:tc>
        <w:tc>
          <w:tcPr>
            <w:tcW w:w="1169" w:type="dxa"/>
            <w:tcBorders>
              <w:top w:val="nil"/>
              <w:left w:val="nil"/>
              <w:bottom w:val="nil"/>
              <w:right w:val="nil"/>
            </w:tcBorders>
            <w:shd w:val="clear" w:color="auto" w:fill="auto"/>
            <w:noWrap/>
            <w:vAlign w:val="bottom"/>
            <w:hideMark/>
          </w:tcPr>
          <w:p w14:paraId="32F1651A" w14:textId="77777777" w:rsidR="00DE2B0E" w:rsidRPr="00BD1951" w:rsidRDefault="00DE2B0E" w:rsidP="00DE2B0E">
            <w:pPr>
              <w:spacing w:after="0" w:line="240" w:lineRule="auto"/>
              <w:ind w:firstLineChars="200" w:firstLine="32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1C06E09" w14:textId="051C678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7E4A3611" w14:textId="77777777" w:rsidR="00DE2B0E" w:rsidRPr="00BD1951" w:rsidRDefault="00DE2B0E" w:rsidP="00DE2B0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0093279" w14:textId="77777777" w:rsidR="00DE2B0E" w:rsidRPr="00BD1951" w:rsidRDefault="00DE2B0E" w:rsidP="00DE2B0E">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7BE20F04" w14:textId="77777777" w:rsidR="00DE2B0E" w:rsidRPr="00BD1951" w:rsidRDefault="00DE2B0E" w:rsidP="00DE2B0E">
            <w:pPr>
              <w:spacing w:after="0" w:line="240" w:lineRule="auto"/>
              <w:jc w:val="right"/>
              <w:rPr>
                <w:rFonts w:ascii="Arial" w:hAnsi="Arial" w:cs="Arial"/>
                <w:sz w:val="16"/>
                <w:szCs w:val="16"/>
              </w:rPr>
            </w:pPr>
          </w:p>
        </w:tc>
      </w:tr>
      <w:tr w:rsidR="00DE2B0E" w:rsidRPr="001D4390" w14:paraId="07ADE39B" w14:textId="77777777" w:rsidTr="00F96D8A">
        <w:trPr>
          <w:trHeight w:val="204"/>
        </w:trPr>
        <w:tc>
          <w:tcPr>
            <w:tcW w:w="2268" w:type="dxa"/>
            <w:tcBorders>
              <w:top w:val="nil"/>
              <w:left w:val="nil"/>
              <w:bottom w:val="nil"/>
              <w:right w:val="nil"/>
            </w:tcBorders>
            <w:shd w:val="clear" w:color="auto" w:fill="auto"/>
            <w:noWrap/>
            <w:vAlign w:val="bottom"/>
            <w:hideMark/>
          </w:tcPr>
          <w:p w14:paraId="4BE22512" w14:textId="77777777" w:rsidR="00DE2B0E" w:rsidRPr="001D4390" w:rsidRDefault="00DE2B0E" w:rsidP="00DE2B0E">
            <w:pPr>
              <w:spacing w:after="0" w:line="240" w:lineRule="auto"/>
              <w:ind w:left="340"/>
              <w:jc w:val="left"/>
              <w:rPr>
                <w:rFonts w:ascii="Arial" w:hAnsi="Arial" w:cs="Arial"/>
                <w:color w:val="000000"/>
                <w:sz w:val="16"/>
                <w:szCs w:val="16"/>
              </w:rPr>
            </w:pPr>
            <w:r w:rsidRPr="001D4390">
              <w:rPr>
                <w:rFonts w:ascii="Arial" w:hAnsi="Arial" w:cs="Arial"/>
                <w:color w:val="000000"/>
                <w:sz w:val="16"/>
                <w:szCs w:val="16"/>
              </w:rPr>
              <w:t>Other taxes</w:t>
            </w:r>
          </w:p>
        </w:tc>
        <w:tc>
          <w:tcPr>
            <w:tcW w:w="1169" w:type="dxa"/>
            <w:tcBorders>
              <w:top w:val="nil"/>
              <w:left w:val="nil"/>
              <w:bottom w:val="nil"/>
              <w:right w:val="nil"/>
            </w:tcBorders>
            <w:shd w:val="clear" w:color="auto" w:fill="auto"/>
            <w:noWrap/>
            <w:vAlign w:val="bottom"/>
            <w:hideMark/>
          </w:tcPr>
          <w:p w14:paraId="3DB50326" w14:textId="4271E6C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42,091 </w:t>
            </w:r>
          </w:p>
        </w:tc>
        <w:tc>
          <w:tcPr>
            <w:tcW w:w="1035" w:type="dxa"/>
            <w:tcBorders>
              <w:top w:val="nil"/>
              <w:left w:val="nil"/>
              <w:bottom w:val="nil"/>
              <w:right w:val="nil"/>
            </w:tcBorders>
            <w:shd w:val="clear" w:color="000000" w:fill="E6E6E6"/>
            <w:noWrap/>
            <w:vAlign w:val="bottom"/>
            <w:hideMark/>
          </w:tcPr>
          <w:p w14:paraId="644699F3" w14:textId="2082F8B2"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43,787 </w:t>
            </w:r>
          </w:p>
        </w:tc>
        <w:tc>
          <w:tcPr>
            <w:tcW w:w="1035" w:type="dxa"/>
            <w:tcBorders>
              <w:top w:val="nil"/>
              <w:left w:val="nil"/>
              <w:bottom w:val="nil"/>
              <w:right w:val="nil"/>
            </w:tcBorders>
            <w:shd w:val="clear" w:color="auto" w:fill="auto"/>
            <w:noWrap/>
            <w:vAlign w:val="bottom"/>
            <w:hideMark/>
          </w:tcPr>
          <w:p w14:paraId="038CF49E" w14:textId="13ABEACD"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43,068 </w:t>
            </w:r>
          </w:p>
        </w:tc>
        <w:tc>
          <w:tcPr>
            <w:tcW w:w="1035" w:type="dxa"/>
            <w:tcBorders>
              <w:top w:val="nil"/>
              <w:left w:val="nil"/>
              <w:bottom w:val="nil"/>
              <w:right w:val="nil"/>
            </w:tcBorders>
            <w:shd w:val="clear" w:color="auto" w:fill="auto"/>
            <w:noWrap/>
            <w:vAlign w:val="bottom"/>
            <w:hideMark/>
          </w:tcPr>
          <w:p w14:paraId="5191161B" w14:textId="604DCCA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45,006 </w:t>
            </w:r>
          </w:p>
        </w:tc>
        <w:tc>
          <w:tcPr>
            <w:tcW w:w="1036" w:type="dxa"/>
            <w:tcBorders>
              <w:top w:val="nil"/>
              <w:left w:val="nil"/>
              <w:bottom w:val="nil"/>
              <w:right w:val="nil"/>
            </w:tcBorders>
            <w:shd w:val="clear" w:color="auto" w:fill="auto"/>
            <w:noWrap/>
            <w:vAlign w:val="bottom"/>
            <w:hideMark/>
          </w:tcPr>
          <w:p w14:paraId="4609F94D" w14:textId="75394652"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45,006 </w:t>
            </w:r>
          </w:p>
        </w:tc>
      </w:tr>
      <w:tr w:rsidR="00DE2B0E" w:rsidRPr="001D4390" w14:paraId="11EC6B66" w14:textId="77777777" w:rsidTr="00F96D8A">
        <w:trPr>
          <w:trHeight w:val="204"/>
        </w:trPr>
        <w:tc>
          <w:tcPr>
            <w:tcW w:w="2268" w:type="dxa"/>
            <w:tcBorders>
              <w:top w:val="nil"/>
              <w:left w:val="nil"/>
              <w:bottom w:val="nil"/>
              <w:right w:val="nil"/>
            </w:tcBorders>
            <w:shd w:val="clear" w:color="auto" w:fill="auto"/>
            <w:noWrap/>
            <w:vAlign w:val="bottom"/>
            <w:hideMark/>
          </w:tcPr>
          <w:p w14:paraId="3501629D" w14:textId="77777777" w:rsidR="00DE2B0E" w:rsidRPr="00DE2B0E" w:rsidRDefault="00DE2B0E" w:rsidP="00DE2B0E">
            <w:pPr>
              <w:spacing w:after="0" w:line="240" w:lineRule="auto"/>
              <w:ind w:left="227"/>
              <w:jc w:val="left"/>
              <w:rPr>
                <w:rFonts w:ascii="Arial" w:hAnsi="Arial" w:cs="Arial"/>
                <w:b/>
                <w:bCs/>
                <w:i/>
                <w:color w:val="000000"/>
                <w:sz w:val="16"/>
                <w:szCs w:val="16"/>
              </w:rPr>
            </w:pPr>
            <w:r w:rsidRPr="00DE2B0E">
              <w:rPr>
                <w:rFonts w:ascii="Arial" w:hAnsi="Arial" w:cs="Arial"/>
                <w:b/>
                <w:bCs/>
                <w:i/>
                <w:color w:val="000000"/>
                <w:sz w:val="16"/>
                <w:szCs w:val="16"/>
              </w:rPr>
              <w:t>Total taxation revenue</w:t>
            </w:r>
          </w:p>
        </w:tc>
        <w:tc>
          <w:tcPr>
            <w:tcW w:w="1169" w:type="dxa"/>
            <w:tcBorders>
              <w:top w:val="single" w:sz="4" w:space="0" w:color="auto"/>
              <w:left w:val="nil"/>
              <w:bottom w:val="single" w:sz="4" w:space="0" w:color="auto"/>
              <w:right w:val="nil"/>
            </w:tcBorders>
            <w:shd w:val="clear" w:color="auto" w:fill="auto"/>
            <w:noWrap/>
            <w:vAlign w:val="bottom"/>
            <w:hideMark/>
          </w:tcPr>
          <w:p w14:paraId="1130E872" w14:textId="3F79ED0F"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42,091 </w:t>
            </w:r>
          </w:p>
        </w:tc>
        <w:tc>
          <w:tcPr>
            <w:tcW w:w="1035" w:type="dxa"/>
            <w:tcBorders>
              <w:top w:val="single" w:sz="4" w:space="0" w:color="auto"/>
              <w:left w:val="nil"/>
              <w:bottom w:val="single" w:sz="4" w:space="0" w:color="auto"/>
              <w:right w:val="nil"/>
            </w:tcBorders>
            <w:shd w:val="clear" w:color="000000" w:fill="E6E6E6"/>
            <w:noWrap/>
            <w:vAlign w:val="bottom"/>
            <w:hideMark/>
          </w:tcPr>
          <w:p w14:paraId="1C5214DD" w14:textId="580FD44F"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43,787 </w:t>
            </w:r>
          </w:p>
        </w:tc>
        <w:tc>
          <w:tcPr>
            <w:tcW w:w="1035" w:type="dxa"/>
            <w:tcBorders>
              <w:top w:val="single" w:sz="4" w:space="0" w:color="auto"/>
              <w:left w:val="nil"/>
              <w:bottom w:val="single" w:sz="4" w:space="0" w:color="auto"/>
              <w:right w:val="nil"/>
            </w:tcBorders>
            <w:shd w:val="clear" w:color="auto" w:fill="auto"/>
            <w:noWrap/>
            <w:vAlign w:val="bottom"/>
            <w:hideMark/>
          </w:tcPr>
          <w:p w14:paraId="13F725A6" w14:textId="1D504220"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43,068 </w:t>
            </w:r>
          </w:p>
        </w:tc>
        <w:tc>
          <w:tcPr>
            <w:tcW w:w="1035" w:type="dxa"/>
            <w:tcBorders>
              <w:top w:val="single" w:sz="4" w:space="0" w:color="auto"/>
              <w:left w:val="nil"/>
              <w:bottom w:val="single" w:sz="4" w:space="0" w:color="auto"/>
              <w:right w:val="nil"/>
            </w:tcBorders>
            <w:shd w:val="clear" w:color="auto" w:fill="auto"/>
            <w:noWrap/>
            <w:vAlign w:val="bottom"/>
            <w:hideMark/>
          </w:tcPr>
          <w:p w14:paraId="0B6C1019" w14:textId="0F6D84CE"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45,006 </w:t>
            </w:r>
          </w:p>
        </w:tc>
        <w:tc>
          <w:tcPr>
            <w:tcW w:w="1036" w:type="dxa"/>
            <w:tcBorders>
              <w:top w:val="single" w:sz="4" w:space="0" w:color="auto"/>
              <w:left w:val="nil"/>
              <w:bottom w:val="single" w:sz="4" w:space="0" w:color="auto"/>
              <w:right w:val="nil"/>
            </w:tcBorders>
            <w:shd w:val="clear" w:color="auto" w:fill="auto"/>
            <w:noWrap/>
            <w:vAlign w:val="bottom"/>
            <w:hideMark/>
          </w:tcPr>
          <w:p w14:paraId="4BB24ACD" w14:textId="66F226BF"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45,006 </w:t>
            </w:r>
          </w:p>
        </w:tc>
      </w:tr>
      <w:tr w:rsidR="00DE2B0E" w:rsidRPr="001D4390" w14:paraId="60187A46" w14:textId="77777777" w:rsidTr="00F96D8A">
        <w:trPr>
          <w:trHeight w:val="204"/>
        </w:trPr>
        <w:tc>
          <w:tcPr>
            <w:tcW w:w="2268" w:type="dxa"/>
            <w:tcBorders>
              <w:top w:val="nil"/>
              <w:left w:val="nil"/>
              <w:bottom w:val="nil"/>
              <w:right w:val="nil"/>
            </w:tcBorders>
            <w:shd w:val="clear" w:color="auto" w:fill="auto"/>
            <w:noWrap/>
            <w:vAlign w:val="bottom"/>
            <w:hideMark/>
          </w:tcPr>
          <w:p w14:paraId="35E0E220" w14:textId="77777777" w:rsidR="00DE2B0E" w:rsidRPr="001D4390" w:rsidRDefault="00DE2B0E" w:rsidP="00DE2B0E">
            <w:pPr>
              <w:spacing w:after="0" w:line="240" w:lineRule="auto"/>
              <w:ind w:left="227"/>
              <w:jc w:val="left"/>
              <w:rPr>
                <w:rFonts w:ascii="Arial" w:hAnsi="Arial" w:cs="Arial"/>
                <w:b/>
                <w:bCs/>
                <w:color w:val="000000"/>
                <w:sz w:val="16"/>
                <w:szCs w:val="16"/>
              </w:rPr>
            </w:pPr>
            <w:r w:rsidRPr="001D4390">
              <w:rPr>
                <w:rFonts w:ascii="Arial" w:hAnsi="Arial" w:cs="Arial"/>
                <w:b/>
                <w:bCs/>
                <w:color w:val="000000"/>
                <w:sz w:val="16"/>
                <w:szCs w:val="16"/>
              </w:rPr>
              <w:t>Non-taxation revenue</w:t>
            </w:r>
          </w:p>
        </w:tc>
        <w:tc>
          <w:tcPr>
            <w:tcW w:w="1169" w:type="dxa"/>
            <w:tcBorders>
              <w:top w:val="nil"/>
              <w:left w:val="nil"/>
              <w:bottom w:val="nil"/>
              <w:right w:val="nil"/>
            </w:tcBorders>
            <w:shd w:val="clear" w:color="auto" w:fill="auto"/>
            <w:noWrap/>
            <w:vAlign w:val="bottom"/>
            <w:hideMark/>
          </w:tcPr>
          <w:p w14:paraId="0F4FB6B3" w14:textId="77777777" w:rsidR="00DE2B0E" w:rsidRPr="00BD1951" w:rsidRDefault="00DE2B0E" w:rsidP="00DE2B0E">
            <w:pPr>
              <w:spacing w:after="0" w:line="240" w:lineRule="auto"/>
              <w:ind w:firstLineChars="200" w:firstLine="32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020B90A" w14:textId="72C56319"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0267571B" w14:textId="77777777" w:rsidR="00DE2B0E" w:rsidRPr="00BD1951" w:rsidRDefault="00DE2B0E" w:rsidP="00DE2B0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51854934" w14:textId="77777777" w:rsidR="00DE2B0E" w:rsidRPr="00BD1951" w:rsidRDefault="00DE2B0E" w:rsidP="00DE2B0E">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0156200E" w14:textId="77777777" w:rsidR="00DE2B0E" w:rsidRPr="00BD1951" w:rsidRDefault="00DE2B0E" w:rsidP="00DE2B0E">
            <w:pPr>
              <w:spacing w:after="0" w:line="240" w:lineRule="auto"/>
              <w:jc w:val="right"/>
              <w:rPr>
                <w:rFonts w:ascii="Arial" w:hAnsi="Arial" w:cs="Arial"/>
                <w:sz w:val="16"/>
                <w:szCs w:val="16"/>
              </w:rPr>
            </w:pPr>
          </w:p>
        </w:tc>
      </w:tr>
      <w:tr w:rsidR="00DE2B0E" w:rsidRPr="001D4390" w14:paraId="0AC41ED6" w14:textId="77777777" w:rsidTr="00F96D8A">
        <w:trPr>
          <w:trHeight w:val="204"/>
        </w:trPr>
        <w:tc>
          <w:tcPr>
            <w:tcW w:w="2268" w:type="dxa"/>
            <w:tcBorders>
              <w:top w:val="nil"/>
              <w:left w:val="nil"/>
              <w:bottom w:val="nil"/>
              <w:right w:val="nil"/>
            </w:tcBorders>
            <w:shd w:val="clear" w:color="000000" w:fill="FFFFFF"/>
            <w:vAlign w:val="bottom"/>
            <w:hideMark/>
          </w:tcPr>
          <w:p w14:paraId="2617AA52" w14:textId="77777777" w:rsidR="00DE2B0E" w:rsidRPr="001D4390" w:rsidRDefault="00DE2B0E" w:rsidP="00DE2B0E">
            <w:pPr>
              <w:spacing w:after="0" w:line="240" w:lineRule="auto"/>
              <w:ind w:left="340"/>
              <w:jc w:val="left"/>
              <w:rPr>
                <w:rFonts w:ascii="Arial" w:hAnsi="Arial" w:cs="Arial"/>
                <w:color w:val="000000"/>
                <w:sz w:val="16"/>
                <w:szCs w:val="16"/>
              </w:rPr>
            </w:pPr>
            <w:r w:rsidRPr="001D4390">
              <w:rPr>
                <w:rFonts w:ascii="Arial" w:hAnsi="Arial" w:cs="Arial"/>
                <w:color w:val="000000"/>
                <w:sz w:val="16"/>
                <w:szCs w:val="16"/>
              </w:rPr>
              <w:t>Revenue from contracts with customers</w:t>
            </w:r>
          </w:p>
        </w:tc>
        <w:tc>
          <w:tcPr>
            <w:tcW w:w="1169" w:type="dxa"/>
            <w:tcBorders>
              <w:top w:val="nil"/>
              <w:left w:val="nil"/>
              <w:bottom w:val="nil"/>
              <w:right w:val="nil"/>
            </w:tcBorders>
            <w:shd w:val="clear" w:color="auto" w:fill="auto"/>
            <w:noWrap/>
            <w:vAlign w:val="bottom"/>
            <w:hideMark/>
          </w:tcPr>
          <w:p w14:paraId="74EDD764" w14:textId="1CE72AE4"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17,814 </w:t>
            </w:r>
          </w:p>
        </w:tc>
        <w:tc>
          <w:tcPr>
            <w:tcW w:w="1035" w:type="dxa"/>
            <w:tcBorders>
              <w:top w:val="nil"/>
              <w:left w:val="nil"/>
              <w:bottom w:val="nil"/>
              <w:right w:val="nil"/>
            </w:tcBorders>
            <w:shd w:val="clear" w:color="000000" w:fill="E6E6E6"/>
            <w:noWrap/>
            <w:vAlign w:val="bottom"/>
            <w:hideMark/>
          </w:tcPr>
          <w:p w14:paraId="636CFBBB" w14:textId="25919419"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17,891 </w:t>
            </w:r>
          </w:p>
        </w:tc>
        <w:tc>
          <w:tcPr>
            <w:tcW w:w="1035" w:type="dxa"/>
            <w:tcBorders>
              <w:top w:val="nil"/>
              <w:left w:val="nil"/>
              <w:bottom w:val="nil"/>
              <w:right w:val="nil"/>
            </w:tcBorders>
            <w:shd w:val="clear" w:color="auto" w:fill="auto"/>
            <w:noWrap/>
            <w:vAlign w:val="bottom"/>
            <w:hideMark/>
          </w:tcPr>
          <w:p w14:paraId="67021E0E" w14:textId="4B83E4F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17,818 </w:t>
            </w:r>
          </w:p>
        </w:tc>
        <w:tc>
          <w:tcPr>
            <w:tcW w:w="1035" w:type="dxa"/>
            <w:tcBorders>
              <w:top w:val="nil"/>
              <w:left w:val="nil"/>
              <w:bottom w:val="nil"/>
              <w:right w:val="nil"/>
            </w:tcBorders>
            <w:shd w:val="clear" w:color="auto" w:fill="auto"/>
            <w:noWrap/>
            <w:vAlign w:val="bottom"/>
            <w:hideMark/>
          </w:tcPr>
          <w:p w14:paraId="5747F938" w14:textId="39D33D3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17,793 </w:t>
            </w:r>
          </w:p>
        </w:tc>
        <w:tc>
          <w:tcPr>
            <w:tcW w:w="1036" w:type="dxa"/>
            <w:tcBorders>
              <w:top w:val="nil"/>
              <w:left w:val="nil"/>
              <w:bottom w:val="nil"/>
              <w:right w:val="nil"/>
            </w:tcBorders>
            <w:shd w:val="clear" w:color="auto" w:fill="auto"/>
            <w:noWrap/>
            <w:vAlign w:val="bottom"/>
            <w:hideMark/>
          </w:tcPr>
          <w:p w14:paraId="7F30B607" w14:textId="6256F469"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15,156 </w:t>
            </w:r>
          </w:p>
        </w:tc>
      </w:tr>
      <w:tr w:rsidR="00DE2B0E" w:rsidRPr="001D4390" w14:paraId="1CFC3974" w14:textId="77777777" w:rsidTr="00F96D8A">
        <w:trPr>
          <w:trHeight w:val="204"/>
        </w:trPr>
        <w:tc>
          <w:tcPr>
            <w:tcW w:w="2268" w:type="dxa"/>
            <w:tcBorders>
              <w:top w:val="nil"/>
              <w:left w:val="nil"/>
              <w:bottom w:val="nil"/>
              <w:right w:val="nil"/>
            </w:tcBorders>
            <w:shd w:val="clear" w:color="auto" w:fill="auto"/>
            <w:noWrap/>
            <w:vAlign w:val="bottom"/>
            <w:hideMark/>
          </w:tcPr>
          <w:p w14:paraId="20DFA7A0" w14:textId="481F932D" w:rsidR="00DE2B0E" w:rsidRPr="001D4390" w:rsidRDefault="000B1D82" w:rsidP="00DE2B0E">
            <w:pPr>
              <w:spacing w:after="0" w:line="240" w:lineRule="auto"/>
              <w:ind w:left="340"/>
              <w:jc w:val="left"/>
              <w:rPr>
                <w:rFonts w:ascii="Arial" w:hAnsi="Arial" w:cs="Arial"/>
                <w:color w:val="000000"/>
                <w:sz w:val="16"/>
                <w:szCs w:val="16"/>
              </w:rPr>
            </w:pPr>
            <w:r>
              <w:rPr>
                <w:rFonts w:ascii="Arial" w:hAnsi="Arial" w:cs="Arial"/>
                <w:color w:val="000000"/>
                <w:sz w:val="16"/>
                <w:szCs w:val="16"/>
              </w:rPr>
              <w:t>F</w:t>
            </w:r>
            <w:r w:rsidR="00DE2B0E" w:rsidRPr="001D4390">
              <w:rPr>
                <w:rFonts w:ascii="Arial" w:hAnsi="Arial" w:cs="Arial"/>
                <w:color w:val="000000"/>
                <w:sz w:val="16"/>
                <w:szCs w:val="16"/>
              </w:rPr>
              <w:t>ees</w:t>
            </w:r>
            <w:r>
              <w:rPr>
                <w:rFonts w:ascii="Arial" w:hAnsi="Arial" w:cs="Arial"/>
                <w:color w:val="000000"/>
                <w:sz w:val="16"/>
                <w:szCs w:val="16"/>
              </w:rPr>
              <w:t xml:space="preserve"> and fines</w:t>
            </w:r>
          </w:p>
        </w:tc>
        <w:tc>
          <w:tcPr>
            <w:tcW w:w="1169" w:type="dxa"/>
            <w:tcBorders>
              <w:top w:val="nil"/>
              <w:left w:val="nil"/>
              <w:bottom w:val="nil"/>
              <w:right w:val="nil"/>
            </w:tcBorders>
            <w:shd w:val="clear" w:color="auto" w:fill="auto"/>
            <w:noWrap/>
            <w:vAlign w:val="bottom"/>
            <w:hideMark/>
          </w:tcPr>
          <w:p w14:paraId="3F2E5B39" w14:textId="2A63A47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154,377 </w:t>
            </w:r>
          </w:p>
        </w:tc>
        <w:tc>
          <w:tcPr>
            <w:tcW w:w="1035" w:type="dxa"/>
            <w:tcBorders>
              <w:top w:val="nil"/>
              <w:left w:val="nil"/>
              <w:bottom w:val="nil"/>
              <w:right w:val="nil"/>
            </w:tcBorders>
            <w:shd w:val="clear" w:color="000000" w:fill="E6E6E6"/>
            <w:noWrap/>
            <w:vAlign w:val="bottom"/>
            <w:hideMark/>
          </w:tcPr>
          <w:p w14:paraId="706E7917" w14:textId="29D1B8B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169,228 </w:t>
            </w:r>
          </w:p>
        </w:tc>
        <w:tc>
          <w:tcPr>
            <w:tcW w:w="1035" w:type="dxa"/>
            <w:tcBorders>
              <w:top w:val="nil"/>
              <w:left w:val="nil"/>
              <w:bottom w:val="nil"/>
              <w:right w:val="nil"/>
            </w:tcBorders>
            <w:shd w:val="clear" w:color="auto" w:fill="auto"/>
            <w:noWrap/>
            <w:vAlign w:val="bottom"/>
            <w:hideMark/>
          </w:tcPr>
          <w:p w14:paraId="592849F6" w14:textId="7BA203F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174,170 </w:t>
            </w:r>
          </w:p>
        </w:tc>
        <w:tc>
          <w:tcPr>
            <w:tcW w:w="1035" w:type="dxa"/>
            <w:tcBorders>
              <w:top w:val="nil"/>
              <w:left w:val="nil"/>
              <w:bottom w:val="nil"/>
              <w:right w:val="nil"/>
            </w:tcBorders>
            <w:shd w:val="clear" w:color="auto" w:fill="auto"/>
            <w:noWrap/>
            <w:vAlign w:val="bottom"/>
            <w:hideMark/>
          </w:tcPr>
          <w:p w14:paraId="79AA3DB4" w14:textId="6807B070"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175,950 </w:t>
            </w:r>
          </w:p>
        </w:tc>
        <w:tc>
          <w:tcPr>
            <w:tcW w:w="1036" w:type="dxa"/>
            <w:tcBorders>
              <w:top w:val="nil"/>
              <w:left w:val="nil"/>
              <w:bottom w:val="nil"/>
              <w:right w:val="nil"/>
            </w:tcBorders>
            <w:shd w:val="clear" w:color="auto" w:fill="auto"/>
            <w:noWrap/>
            <w:vAlign w:val="bottom"/>
            <w:hideMark/>
          </w:tcPr>
          <w:p w14:paraId="130E0C58" w14:textId="09CF89D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150,338 </w:t>
            </w:r>
          </w:p>
        </w:tc>
      </w:tr>
      <w:tr w:rsidR="00DE2B0E" w:rsidRPr="001D4390" w14:paraId="184F85E9" w14:textId="77777777" w:rsidTr="00F96D8A">
        <w:trPr>
          <w:trHeight w:val="204"/>
        </w:trPr>
        <w:tc>
          <w:tcPr>
            <w:tcW w:w="2268" w:type="dxa"/>
            <w:tcBorders>
              <w:top w:val="nil"/>
              <w:left w:val="nil"/>
              <w:bottom w:val="nil"/>
              <w:right w:val="nil"/>
            </w:tcBorders>
            <w:shd w:val="clear" w:color="auto" w:fill="auto"/>
            <w:noWrap/>
            <w:vAlign w:val="bottom"/>
            <w:hideMark/>
          </w:tcPr>
          <w:p w14:paraId="1334D46F" w14:textId="77777777" w:rsidR="00DE2B0E" w:rsidRPr="001D4390" w:rsidRDefault="00DE2B0E" w:rsidP="00DE2B0E">
            <w:pPr>
              <w:spacing w:after="0" w:line="240" w:lineRule="auto"/>
              <w:ind w:left="340"/>
              <w:jc w:val="left"/>
              <w:rPr>
                <w:rFonts w:ascii="Arial" w:hAnsi="Arial" w:cs="Arial"/>
                <w:color w:val="000000"/>
                <w:sz w:val="16"/>
                <w:szCs w:val="16"/>
              </w:rPr>
            </w:pPr>
            <w:r w:rsidRPr="001D4390">
              <w:rPr>
                <w:rFonts w:ascii="Arial" w:hAnsi="Arial" w:cs="Arial"/>
                <w:color w:val="000000"/>
                <w:sz w:val="16"/>
                <w:szCs w:val="16"/>
              </w:rPr>
              <w:t>Interest</w:t>
            </w:r>
          </w:p>
        </w:tc>
        <w:tc>
          <w:tcPr>
            <w:tcW w:w="1169" w:type="dxa"/>
            <w:tcBorders>
              <w:top w:val="nil"/>
              <w:left w:val="nil"/>
              <w:bottom w:val="nil"/>
              <w:right w:val="nil"/>
            </w:tcBorders>
            <w:shd w:val="clear" w:color="auto" w:fill="auto"/>
            <w:noWrap/>
            <w:vAlign w:val="bottom"/>
            <w:hideMark/>
          </w:tcPr>
          <w:p w14:paraId="6CC67020" w14:textId="4C874699"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470,945 </w:t>
            </w:r>
          </w:p>
        </w:tc>
        <w:tc>
          <w:tcPr>
            <w:tcW w:w="1035" w:type="dxa"/>
            <w:tcBorders>
              <w:top w:val="nil"/>
              <w:left w:val="nil"/>
              <w:bottom w:val="nil"/>
              <w:right w:val="nil"/>
            </w:tcBorders>
            <w:shd w:val="clear" w:color="000000" w:fill="E6E6E6"/>
            <w:noWrap/>
            <w:vAlign w:val="bottom"/>
            <w:hideMark/>
          </w:tcPr>
          <w:p w14:paraId="13C8789C" w14:textId="74485063"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470,537 </w:t>
            </w:r>
          </w:p>
        </w:tc>
        <w:tc>
          <w:tcPr>
            <w:tcW w:w="1035" w:type="dxa"/>
            <w:tcBorders>
              <w:top w:val="nil"/>
              <w:left w:val="nil"/>
              <w:bottom w:val="nil"/>
              <w:right w:val="nil"/>
            </w:tcBorders>
            <w:shd w:val="clear" w:color="auto" w:fill="auto"/>
            <w:noWrap/>
            <w:vAlign w:val="bottom"/>
            <w:hideMark/>
          </w:tcPr>
          <w:p w14:paraId="0CC7AB40" w14:textId="75ED4FD0"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578,698 </w:t>
            </w:r>
          </w:p>
        </w:tc>
        <w:tc>
          <w:tcPr>
            <w:tcW w:w="1035" w:type="dxa"/>
            <w:tcBorders>
              <w:top w:val="nil"/>
              <w:left w:val="nil"/>
              <w:bottom w:val="nil"/>
              <w:right w:val="nil"/>
            </w:tcBorders>
            <w:shd w:val="clear" w:color="auto" w:fill="auto"/>
            <w:noWrap/>
            <w:vAlign w:val="bottom"/>
            <w:hideMark/>
          </w:tcPr>
          <w:p w14:paraId="63018107" w14:textId="438E7EE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376,289 </w:t>
            </w:r>
          </w:p>
        </w:tc>
        <w:tc>
          <w:tcPr>
            <w:tcW w:w="1036" w:type="dxa"/>
            <w:tcBorders>
              <w:top w:val="nil"/>
              <w:left w:val="nil"/>
              <w:bottom w:val="nil"/>
              <w:right w:val="nil"/>
            </w:tcBorders>
            <w:shd w:val="clear" w:color="auto" w:fill="auto"/>
            <w:noWrap/>
            <w:vAlign w:val="bottom"/>
            <w:hideMark/>
          </w:tcPr>
          <w:p w14:paraId="4BBFCE05" w14:textId="57AB6CD7"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312,115 </w:t>
            </w:r>
          </w:p>
        </w:tc>
      </w:tr>
      <w:tr w:rsidR="00DE2B0E" w:rsidRPr="001D4390" w14:paraId="2D18CC5A" w14:textId="77777777" w:rsidTr="00F96D8A">
        <w:trPr>
          <w:trHeight w:val="204"/>
        </w:trPr>
        <w:tc>
          <w:tcPr>
            <w:tcW w:w="2268" w:type="dxa"/>
            <w:tcBorders>
              <w:top w:val="nil"/>
              <w:left w:val="nil"/>
              <w:bottom w:val="nil"/>
              <w:right w:val="nil"/>
            </w:tcBorders>
            <w:shd w:val="clear" w:color="auto" w:fill="auto"/>
            <w:noWrap/>
            <w:vAlign w:val="bottom"/>
            <w:hideMark/>
          </w:tcPr>
          <w:p w14:paraId="3DD10B4B" w14:textId="77777777" w:rsidR="00DE2B0E" w:rsidRPr="001D4390" w:rsidRDefault="00DE2B0E" w:rsidP="00DE2B0E">
            <w:pPr>
              <w:spacing w:after="0" w:line="240" w:lineRule="auto"/>
              <w:ind w:left="340"/>
              <w:jc w:val="left"/>
              <w:rPr>
                <w:rFonts w:ascii="Arial" w:hAnsi="Arial" w:cs="Arial"/>
                <w:color w:val="000000"/>
                <w:sz w:val="16"/>
                <w:szCs w:val="16"/>
              </w:rPr>
            </w:pPr>
            <w:r w:rsidRPr="001D4390">
              <w:rPr>
                <w:rFonts w:ascii="Arial" w:hAnsi="Arial" w:cs="Arial"/>
                <w:color w:val="000000"/>
                <w:sz w:val="16"/>
                <w:szCs w:val="16"/>
              </w:rPr>
              <w:t>Dividends</w:t>
            </w:r>
          </w:p>
        </w:tc>
        <w:tc>
          <w:tcPr>
            <w:tcW w:w="1169" w:type="dxa"/>
            <w:tcBorders>
              <w:top w:val="nil"/>
              <w:left w:val="nil"/>
              <w:bottom w:val="nil"/>
              <w:right w:val="nil"/>
            </w:tcBorders>
            <w:shd w:val="clear" w:color="auto" w:fill="auto"/>
            <w:noWrap/>
            <w:vAlign w:val="bottom"/>
            <w:hideMark/>
          </w:tcPr>
          <w:p w14:paraId="17AB194F" w14:textId="24DCDDE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106,900 </w:t>
            </w:r>
          </w:p>
        </w:tc>
        <w:tc>
          <w:tcPr>
            <w:tcW w:w="1035" w:type="dxa"/>
            <w:tcBorders>
              <w:top w:val="nil"/>
              <w:left w:val="nil"/>
              <w:bottom w:val="nil"/>
              <w:right w:val="nil"/>
            </w:tcBorders>
            <w:shd w:val="clear" w:color="000000" w:fill="E6E6E6"/>
            <w:noWrap/>
            <w:vAlign w:val="bottom"/>
            <w:hideMark/>
          </w:tcPr>
          <w:p w14:paraId="19F6B61B" w14:textId="6B653B7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36,500 </w:t>
            </w:r>
          </w:p>
        </w:tc>
        <w:tc>
          <w:tcPr>
            <w:tcW w:w="1035" w:type="dxa"/>
            <w:tcBorders>
              <w:top w:val="nil"/>
              <w:left w:val="nil"/>
              <w:bottom w:val="nil"/>
              <w:right w:val="nil"/>
            </w:tcBorders>
            <w:shd w:val="clear" w:color="auto" w:fill="auto"/>
            <w:noWrap/>
            <w:vAlign w:val="bottom"/>
            <w:hideMark/>
          </w:tcPr>
          <w:p w14:paraId="28B4EB73" w14:textId="32C48CF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35,300 </w:t>
            </w:r>
          </w:p>
        </w:tc>
        <w:tc>
          <w:tcPr>
            <w:tcW w:w="1035" w:type="dxa"/>
            <w:tcBorders>
              <w:top w:val="nil"/>
              <w:left w:val="nil"/>
              <w:bottom w:val="nil"/>
              <w:right w:val="nil"/>
            </w:tcBorders>
            <w:shd w:val="clear" w:color="auto" w:fill="auto"/>
            <w:noWrap/>
            <w:vAlign w:val="bottom"/>
            <w:hideMark/>
          </w:tcPr>
          <w:p w14:paraId="3FB952C0" w14:textId="5D016356"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58,100 </w:t>
            </w:r>
          </w:p>
        </w:tc>
        <w:tc>
          <w:tcPr>
            <w:tcW w:w="1036" w:type="dxa"/>
            <w:tcBorders>
              <w:top w:val="nil"/>
              <w:left w:val="nil"/>
              <w:bottom w:val="nil"/>
              <w:right w:val="nil"/>
            </w:tcBorders>
            <w:shd w:val="clear" w:color="auto" w:fill="auto"/>
            <w:noWrap/>
            <w:vAlign w:val="bottom"/>
            <w:hideMark/>
          </w:tcPr>
          <w:p w14:paraId="43A85D87" w14:textId="31431D2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55,400 </w:t>
            </w:r>
          </w:p>
        </w:tc>
      </w:tr>
      <w:tr w:rsidR="00DE2B0E" w:rsidRPr="001D4390" w14:paraId="401F0EF0" w14:textId="77777777" w:rsidTr="00F96D8A">
        <w:trPr>
          <w:trHeight w:val="204"/>
        </w:trPr>
        <w:tc>
          <w:tcPr>
            <w:tcW w:w="2268" w:type="dxa"/>
            <w:tcBorders>
              <w:top w:val="nil"/>
              <w:left w:val="nil"/>
              <w:bottom w:val="nil"/>
              <w:right w:val="nil"/>
            </w:tcBorders>
            <w:shd w:val="clear" w:color="auto" w:fill="auto"/>
            <w:noWrap/>
            <w:vAlign w:val="bottom"/>
            <w:hideMark/>
          </w:tcPr>
          <w:p w14:paraId="2B64570A" w14:textId="77777777" w:rsidR="00DE2B0E" w:rsidRPr="001D4390" w:rsidRDefault="00DE2B0E" w:rsidP="00DE2B0E">
            <w:pPr>
              <w:spacing w:after="0" w:line="240" w:lineRule="auto"/>
              <w:ind w:left="340"/>
              <w:jc w:val="left"/>
              <w:rPr>
                <w:rFonts w:ascii="Arial" w:hAnsi="Arial" w:cs="Arial"/>
                <w:color w:val="000000"/>
                <w:sz w:val="16"/>
                <w:szCs w:val="16"/>
              </w:rPr>
            </w:pPr>
            <w:r w:rsidRPr="001D4390">
              <w:rPr>
                <w:rFonts w:ascii="Arial" w:hAnsi="Arial" w:cs="Arial"/>
                <w:color w:val="000000"/>
                <w:sz w:val="16"/>
                <w:szCs w:val="16"/>
              </w:rPr>
              <w:t>Rental income</w:t>
            </w:r>
          </w:p>
        </w:tc>
        <w:tc>
          <w:tcPr>
            <w:tcW w:w="1169" w:type="dxa"/>
            <w:tcBorders>
              <w:top w:val="nil"/>
              <w:left w:val="nil"/>
              <w:bottom w:val="nil"/>
              <w:right w:val="nil"/>
            </w:tcBorders>
            <w:shd w:val="clear" w:color="auto" w:fill="auto"/>
            <w:noWrap/>
            <w:vAlign w:val="bottom"/>
            <w:hideMark/>
          </w:tcPr>
          <w:p w14:paraId="436BD2E7" w14:textId="2B212742"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4,148 </w:t>
            </w:r>
          </w:p>
        </w:tc>
        <w:tc>
          <w:tcPr>
            <w:tcW w:w="1035" w:type="dxa"/>
            <w:tcBorders>
              <w:top w:val="nil"/>
              <w:left w:val="nil"/>
              <w:bottom w:val="nil"/>
              <w:right w:val="nil"/>
            </w:tcBorders>
            <w:shd w:val="clear" w:color="000000" w:fill="E6E6E6"/>
            <w:noWrap/>
            <w:vAlign w:val="bottom"/>
            <w:hideMark/>
          </w:tcPr>
          <w:p w14:paraId="1A86D192" w14:textId="3DF9DD8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4,382 </w:t>
            </w:r>
          </w:p>
        </w:tc>
        <w:tc>
          <w:tcPr>
            <w:tcW w:w="1035" w:type="dxa"/>
            <w:tcBorders>
              <w:top w:val="nil"/>
              <w:left w:val="nil"/>
              <w:bottom w:val="nil"/>
              <w:right w:val="nil"/>
            </w:tcBorders>
            <w:shd w:val="clear" w:color="auto" w:fill="auto"/>
            <w:noWrap/>
            <w:vAlign w:val="bottom"/>
            <w:hideMark/>
          </w:tcPr>
          <w:p w14:paraId="412285DC" w14:textId="54DE216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4,525 </w:t>
            </w:r>
          </w:p>
        </w:tc>
        <w:tc>
          <w:tcPr>
            <w:tcW w:w="1035" w:type="dxa"/>
            <w:tcBorders>
              <w:top w:val="nil"/>
              <w:left w:val="nil"/>
              <w:bottom w:val="nil"/>
              <w:right w:val="nil"/>
            </w:tcBorders>
            <w:shd w:val="clear" w:color="auto" w:fill="auto"/>
            <w:noWrap/>
            <w:vAlign w:val="bottom"/>
            <w:hideMark/>
          </w:tcPr>
          <w:p w14:paraId="64762F1F" w14:textId="7899189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4,657 </w:t>
            </w:r>
          </w:p>
        </w:tc>
        <w:tc>
          <w:tcPr>
            <w:tcW w:w="1036" w:type="dxa"/>
            <w:tcBorders>
              <w:top w:val="nil"/>
              <w:left w:val="nil"/>
              <w:bottom w:val="nil"/>
              <w:right w:val="nil"/>
            </w:tcBorders>
            <w:shd w:val="clear" w:color="auto" w:fill="auto"/>
            <w:noWrap/>
            <w:vAlign w:val="bottom"/>
            <w:hideMark/>
          </w:tcPr>
          <w:p w14:paraId="24FAAF2D" w14:textId="7300094E"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4,657 </w:t>
            </w:r>
          </w:p>
        </w:tc>
      </w:tr>
      <w:tr w:rsidR="00DE2B0E" w:rsidRPr="001D4390" w14:paraId="5B877879" w14:textId="77777777" w:rsidTr="00F96D8A">
        <w:trPr>
          <w:trHeight w:val="204"/>
        </w:trPr>
        <w:tc>
          <w:tcPr>
            <w:tcW w:w="2268" w:type="dxa"/>
            <w:tcBorders>
              <w:top w:val="nil"/>
              <w:left w:val="nil"/>
              <w:bottom w:val="nil"/>
              <w:right w:val="nil"/>
            </w:tcBorders>
            <w:shd w:val="clear" w:color="auto" w:fill="auto"/>
            <w:noWrap/>
            <w:vAlign w:val="bottom"/>
            <w:hideMark/>
          </w:tcPr>
          <w:p w14:paraId="028CF2DF" w14:textId="77777777" w:rsidR="00DE2B0E" w:rsidRPr="001D4390" w:rsidRDefault="00DE2B0E" w:rsidP="00DE2B0E">
            <w:pPr>
              <w:spacing w:after="0" w:line="240" w:lineRule="auto"/>
              <w:ind w:left="340"/>
              <w:jc w:val="left"/>
              <w:rPr>
                <w:rFonts w:ascii="Arial" w:hAnsi="Arial" w:cs="Arial"/>
                <w:color w:val="000000"/>
                <w:sz w:val="16"/>
                <w:szCs w:val="16"/>
              </w:rPr>
            </w:pPr>
            <w:r w:rsidRPr="001D4390">
              <w:rPr>
                <w:rFonts w:ascii="Arial" w:hAnsi="Arial" w:cs="Arial"/>
                <w:color w:val="000000"/>
                <w:sz w:val="16"/>
                <w:szCs w:val="16"/>
              </w:rPr>
              <w:t>Other revenue</w:t>
            </w:r>
          </w:p>
        </w:tc>
        <w:tc>
          <w:tcPr>
            <w:tcW w:w="1169" w:type="dxa"/>
            <w:tcBorders>
              <w:top w:val="nil"/>
              <w:left w:val="nil"/>
              <w:bottom w:val="nil"/>
              <w:right w:val="nil"/>
            </w:tcBorders>
            <w:shd w:val="clear" w:color="auto" w:fill="auto"/>
            <w:noWrap/>
            <w:vAlign w:val="bottom"/>
            <w:hideMark/>
          </w:tcPr>
          <w:p w14:paraId="744DF4C7" w14:textId="24223543"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8,716 </w:t>
            </w:r>
          </w:p>
        </w:tc>
        <w:tc>
          <w:tcPr>
            <w:tcW w:w="1035" w:type="dxa"/>
            <w:tcBorders>
              <w:top w:val="nil"/>
              <w:left w:val="nil"/>
              <w:bottom w:val="nil"/>
              <w:right w:val="nil"/>
            </w:tcBorders>
            <w:shd w:val="clear" w:color="000000" w:fill="E6E6E6"/>
            <w:noWrap/>
            <w:vAlign w:val="bottom"/>
            <w:hideMark/>
          </w:tcPr>
          <w:p w14:paraId="6DB47718" w14:textId="7EB87B3D"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21,995 </w:t>
            </w:r>
          </w:p>
        </w:tc>
        <w:tc>
          <w:tcPr>
            <w:tcW w:w="1035" w:type="dxa"/>
            <w:tcBorders>
              <w:top w:val="nil"/>
              <w:left w:val="nil"/>
              <w:bottom w:val="nil"/>
              <w:right w:val="nil"/>
            </w:tcBorders>
            <w:shd w:val="clear" w:color="auto" w:fill="auto"/>
            <w:noWrap/>
            <w:vAlign w:val="bottom"/>
            <w:hideMark/>
          </w:tcPr>
          <w:p w14:paraId="3F49CDC7" w14:textId="32844431"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12,575 </w:t>
            </w:r>
          </w:p>
        </w:tc>
        <w:tc>
          <w:tcPr>
            <w:tcW w:w="1035" w:type="dxa"/>
            <w:tcBorders>
              <w:top w:val="nil"/>
              <w:left w:val="nil"/>
              <w:bottom w:val="nil"/>
              <w:right w:val="nil"/>
            </w:tcBorders>
            <w:shd w:val="clear" w:color="auto" w:fill="auto"/>
            <w:noWrap/>
            <w:vAlign w:val="bottom"/>
            <w:hideMark/>
          </w:tcPr>
          <w:p w14:paraId="0D682117" w14:textId="799B5B1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6,339 </w:t>
            </w:r>
          </w:p>
        </w:tc>
        <w:tc>
          <w:tcPr>
            <w:tcW w:w="1036" w:type="dxa"/>
            <w:tcBorders>
              <w:top w:val="nil"/>
              <w:left w:val="nil"/>
              <w:bottom w:val="nil"/>
              <w:right w:val="nil"/>
            </w:tcBorders>
            <w:shd w:val="clear" w:color="auto" w:fill="auto"/>
            <w:noWrap/>
            <w:vAlign w:val="bottom"/>
            <w:hideMark/>
          </w:tcPr>
          <w:p w14:paraId="6ECA2201" w14:textId="07E88E05"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1,200 </w:t>
            </w:r>
          </w:p>
        </w:tc>
      </w:tr>
      <w:tr w:rsidR="00DE2B0E" w:rsidRPr="001D4390" w14:paraId="0F4043B4" w14:textId="77777777" w:rsidTr="00F96D8A">
        <w:trPr>
          <w:trHeight w:val="204"/>
        </w:trPr>
        <w:tc>
          <w:tcPr>
            <w:tcW w:w="2268" w:type="dxa"/>
            <w:tcBorders>
              <w:top w:val="nil"/>
              <w:left w:val="nil"/>
              <w:bottom w:val="nil"/>
              <w:right w:val="nil"/>
            </w:tcBorders>
            <w:shd w:val="clear" w:color="auto" w:fill="auto"/>
            <w:noWrap/>
            <w:vAlign w:val="bottom"/>
            <w:hideMark/>
          </w:tcPr>
          <w:p w14:paraId="77259A63" w14:textId="77777777" w:rsidR="00DE2B0E" w:rsidRPr="00DE2B0E" w:rsidRDefault="00DE2B0E" w:rsidP="00DE2B0E">
            <w:pPr>
              <w:spacing w:after="0" w:line="240" w:lineRule="auto"/>
              <w:ind w:left="227"/>
              <w:jc w:val="left"/>
              <w:rPr>
                <w:rFonts w:ascii="Arial" w:hAnsi="Arial" w:cs="Arial"/>
                <w:b/>
                <w:bCs/>
                <w:i/>
                <w:iCs/>
                <w:color w:val="000000"/>
                <w:sz w:val="16"/>
                <w:szCs w:val="16"/>
              </w:rPr>
            </w:pPr>
            <w:r w:rsidRPr="00DE2B0E">
              <w:rPr>
                <w:rFonts w:ascii="Arial" w:hAnsi="Arial" w:cs="Arial"/>
                <w:b/>
                <w:bCs/>
                <w:i/>
                <w:color w:val="000000"/>
                <w:sz w:val="16"/>
                <w:szCs w:val="16"/>
              </w:rPr>
              <w:t>Total non-taxation</w:t>
            </w:r>
            <w:r w:rsidRPr="00DE2B0E">
              <w:rPr>
                <w:rFonts w:ascii="Arial" w:hAnsi="Arial" w:cs="Arial"/>
                <w:b/>
                <w:bCs/>
                <w:i/>
                <w:iCs/>
                <w:color w:val="000000"/>
                <w:sz w:val="16"/>
                <w:szCs w:val="16"/>
              </w:rPr>
              <w:t xml:space="preserve"> </w:t>
            </w:r>
            <w:r w:rsidRPr="00DE2B0E">
              <w:rPr>
                <w:rFonts w:ascii="Arial" w:hAnsi="Arial" w:cs="Arial"/>
                <w:b/>
                <w:bCs/>
                <w:i/>
                <w:color w:val="000000"/>
                <w:sz w:val="16"/>
                <w:szCs w:val="16"/>
              </w:rPr>
              <w:t>revenue</w:t>
            </w:r>
          </w:p>
        </w:tc>
        <w:tc>
          <w:tcPr>
            <w:tcW w:w="1169" w:type="dxa"/>
            <w:tcBorders>
              <w:top w:val="single" w:sz="4" w:space="0" w:color="auto"/>
              <w:left w:val="nil"/>
              <w:bottom w:val="single" w:sz="4" w:space="0" w:color="auto"/>
              <w:right w:val="nil"/>
            </w:tcBorders>
            <w:shd w:val="clear" w:color="auto" w:fill="auto"/>
            <w:noWrap/>
            <w:vAlign w:val="bottom"/>
            <w:hideMark/>
          </w:tcPr>
          <w:p w14:paraId="78A0BF66" w14:textId="454C817F"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762,900 </w:t>
            </w:r>
          </w:p>
        </w:tc>
        <w:tc>
          <w:tcPr>
            <w:tcW w:w="1035" w:type="dxa"/>
            <w:tcBorders>
              <w:top w:val="single" w:sz="4" w:space="0" w:color="auto"/>
              <w:left w:val="nil"/>
              <w:bottom w:val="single" w:sz="4" w:space="0" w:color="auto"/>
              <w:right w:val="nil"/>
            </w:tcBorders>
            <w:shd w:val="clear" w:color="000000" w:fill="E6E6E6"/>
            <w:noWrap/>
            <w:vAlign w:val="bottom"/>
            <w:hideMark/>
          </w:tcPr>
          <w:p w14:paraId="49DB9A93" w14:textId="5607FCA5"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720,533 </w:t>
            </w:r>
          </w:p>
        </w:tc>
        <w:tc>
          <w:tcPr>
            <w:tcW w:w="1035" w:type="dxa"/>
            <w:tcBorders>
              <w:top w:val="single" w:sz="4" w:space="0" w:color="auto"/>
              <w:left w:val="nil"/>
              <w:bottom w:val="single" w:sz="4" w:space="0" w:color="auto"/>
              <w:right w:val="nil"/>
            </w:tcBorders>
            <w:shd w:val="clear" w:color="auto" w:fill="auto"/>
            <w:noWrap/>
            <w:vAlign w:val="bottom"/>
            <w:hideMark/>
          </w:tcPr>
          <w:p w14:paraId="08C5D03F" w14:textId="01E58278"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823,086 </w:t>
            </w:r>
          </w:p>
        </w:tc>
        <w:tc>
          <w:tcPr>
            <w:tcW w:w="1035" w:type="dxa"/>
            <w:tcBorders>
              <w:top w:val="single" w:sz="4" w:space="0" w:color="auto"/>
              <w:left w:val="nil"/>
              <w:bottom w:val="single" w:sz="4" w:space="0" w:color="auto"/>
              <w:right w:val="nil"/>
            </w:tcBorders>
            <w:shd w:val="clear" w:color="auto" w:fill="auto"/>
            <w:noWrap/>
            <w:vAlign w:val="bottom"/>
            <w:hideMark/>
          </w:tcPr>
          <w:p w14:paraId="27D2C85F" w14:textId="6F286B8A"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639,128 </w:t>
            </w:r>
          </w:p>
        </w:tc>
        <w:tc>
          <w:tcPr>
            <w:tcW w:w="1036" w:type="dxa"/>
            <w:tcBorders>
              <w:top w:val="single" w:sz="4" w:space="0" w:color="auto"/>
              <w:left w:val="nil"/>
              <w:bottom w:val="single" w:sz="4" w:space="0" w:color="auto"/>
              <w:right w:val="nil"/>
            </w:tcBorders>
            <w:shd w:val="clear" w:color="auto" w:fill="auto"/>
            <w:noWrap/>
            <w:vAlign w:val="bottom"/>
            <w:hideMark/>
          </w:tcPr>
          <w:p w14:paraId="5C5DA2ED" w14:textId="6624ADBF" w:rsidR="00DE2B0E" w:rsidRPr="00BD1951" w:rsidRDefault="00DE2B0E" w:rsidP="00DE2B0E">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 xml:space="preserve">538,866 </w:t>
            </w:r>
          </w:p>
        </w:tc>
      </w:tr>
      <w:tr w:rsidR="00DE2B0E" w:rsidRPr="001D4390" w14:paraId="5C17C0E4" w14:textId="77777777" w:rsidTr="00F96D8A">
        <w:trPr>
          <w:trHeight w:val="204"/>
        </w:trPr>
        <w:tc>
          <w:tcPr>
            <w:tcW w:w="2268" w:type="dxa"/>
            <w:tcBorders>
              <w:top w:val="nil"/>
              <w:left w:val="nil"/>
              <w:bottom w:val="nil"/>
              <w:right w:val="nil"/>
            </w:tcBorders>
            <w:shd w:val="clear" w:color="auto" w:fill="auto"/>
            <w:vAlign w:val="bottom"/>
            <w:hideMark/>
          </w:tcPr>
          <w:p w14:paraId="2F720F8E"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Total own-source revenue</w:t>
            </w:r>
          </w:p>
        </w:tc>
        <w:tc>
          <w:tcPr>
            <w:tcW w:w="1169" w:type="dxa"/>
            <w:tcBorders>
              <w:top w:val="nil"/>
              <w:left w:val="nil"/>
              <w:bottom w:val="single" w:sz="4" w:space="0" w:color="auto"/>
              <w:right w:val="nil"/>
            </w:tcBorders>
            <w:shd w:val="clear" w:color="auto" w:fill="auto"/>
            <w:noWrap/>
            <w:vAlign w:val="bottom"/>
            <w:hideMark/>
          </w:tcPr>
          <w:p w14:paraId="45CB9925" w14:textId="7E7E2040"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804,991 </w:t>
            </w:r>
          </w:p>
        </w:tc>
        <w:tc>
          <w:tcPr>
            <w:tcW w:w="1035" w:type="dxa"/>
            <w:tcBorders>
              <w:top w:val="nil"/>
              <w:left w:val="nil"/>
              <w:bottom w:val="single" w:sz="4" w:space="0" w:color="auto"/>
              <w:right w:val="nil"/>
            </w:tcBorders>
            <w:shd w:val="clear" w:color="000000" w:fill="E6E6E6"/>
            <w:noWrap/>
            <w:vAlign w:val="bottom"/>
            <w:hideMark/>
          </w:tcPr>
          <w:p w14:paraId="2EBF0320" w14:textId="1B97EC90"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764,320 </w:t>
            </w:r>
          </w:p>
        </w:tc>
        <w:tc>
          <w:tcPr>
            <w:tcW w:w="1035" w:type="dxa"/>
            <w:tcBorders>
              <w:top w:val="nil"/>
              <w:left w:val="nil"/>
              <w:bottom w:val="single" w:sz="4" w:space="0" w:color="auto"/>
              <w:right w:val="nil"/>
            </w:tcBorders>
            <w:shd w:val="clear" w:color="auto" w:fill="auto"/>
            <w:noWrap/>
            <w:vAlign w:val="bottom"/>
            <w:hideMark/>
          </w:tcPr>
          <w:p w14:paraId="70E79E91" w14:textId="7608FE67"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866,154 </w:t>
            </w:r>
          </w:p>
        </w:tc>
        <w:tc>
          <w:tcPr>
            <w:tcW w:w="1035" w:type="dxa"/>
            <w:tcBorders>
              <w:top w:val="nil"/>
              <w:left w:val="nil"/>
              <w:bottom w:val="single" w:sz="4" w:space="0" w:color="auto"/>
              <w:right w:val="nil"/>
            </w:tcBorders>
            <w:shd w:val="clear" w:color="auto" w:fill="auto"/>
            <w:noWrap/>
            <w:vAlign w:val="bottom"/>
            <w:hideMark/>
          </w:tcPr>
          <w:p w14:paraId="00BB0682" w14:textId="7F7A073A"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684,134 </w:t>
            </w:r>
          </w:p>
        </w:tc>
        <w:tc>
          <w:tcPr>
            <w:tcW w:w="1036" w:type="dxa"/>
            <w:tcBorders>
              <w:top w:val="nil"/>
              <w:left w:val="nil"/>
              <w:bottom w:val="single" w:sz="4" w:space="0" w:color="auto"/>
              <w:right w:val="nil"/>
            </w:tcBorders>
            <w:shd w:val="clear" w:color="auto" w:fill="auto"/>
            <w:noWrap/>
            <w:vAlign w:val="bottom"/>
            <w:hideMark/>
          </w:tcPr>
          <w:p w14:paraId="21F55703" w14:textId="109542A0"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583,872 </w:t>
            </w:r>
          </w:p>
        </w:tc>
      </w:tr>
      <w:tr w:rsidR="00DE2B0E" w:rsidRPr="001D4390" w14:paraId="0BB61229" w14:textId="77777777" w:rsidTr="00F96D8A">
        <w:trPr>
          <w:trHeight w:val="204"/>
        </w:trPr>
        <w:tc>
          <w:tcPr>
            <w:tcW w:w="2268" w:type="dxa"/>
            <w:tcBorders>
              <w:top w:val="nil"/>
              <w:left w:val="nil"/>
              <w:bottom w:val="nil"/>
              <w:right w:val="nil"/>
            </w:tcBorders>
            <w:shd w:val="clear" w:color="auto" w:fill="auto"/>
            <w:noWrap/>
            <w:vAlign w:val="bottom"/>
            <w:hideMark/>
          </w:tcPr>
          <w:p w14:paraId="164FD604"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Gains</w:t>
            </w:r>
          </w:p>
        </w:tc>
        <w:tc>
          <w:tcPr>
            <w:tcW w:w="1169" w:type="dxa"/>
            <w:tcBorders>
              <w:top w:val="nil"/>
              <w:left w:val="nil"/>
              <w:bottom w:val="nil"/>
              <w:right w:val="nil"/>
            </w:tcBorders>
            <w:shd w:val="clear" w:color="auto" w:fill="auto"/>
            <w:noWrap/>
            <w:vAlign w:val="bottom"/>
            <w:hideMark/>
          </w:tcPr>
          <w:p w14:paraId="0FD217E5" w14:textId="77777777" w:rsidR="00DE2B0E" w:rsidRPr="00BD1951" w:rsidRDefault="00DE2B0E" w:rsidP="00DE2B0E">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9EB67C3" w14:textId="4929B9CF"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26F866D4" w14:textId="77777777" w:rsidR="00DE2B0E" w:rsidRPr="00BD1951" w:rsidRDefault="00DE2B0E" w:rsidP="00DE2B0E">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28D9554" w14:textId="77777777" w:rsidR="00DE2B0E" w:rsidRPr="00BD1951" w:rsidRDefault="00DE2B0E" w:rsidP="00DE2B0E">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2CA687D7" w14:textId="77777777" w:rsidR="00DE2B0E" w:rsidRPr="00BD1951" w:rsidRDefault="00DE2B0E" w:rsidP="00DE2B0E">
            <w:pPr>
              <w:spacing w:after="0" w:line="240" w:lineRule="auto"/>
              <w:jc w:val="right"/>
              <w:rPr>
                <w:rFonts w:ascii="Arial" w:hAnsi="Arial" w:cs="Arial"/>
                <w:sz w:val="16"/>
                <w:szCs w:val="16"/>
              </w:rPr>
            </w:pPr>
          </w:p>
        </w:tc>
      </w:tr>
      <w:tr w:rsidR="00DE2B0E" w:rsidRPr="001D4390" w14:paraId="04FE0D56" w14:textId="77777777" w:rsidTr="00F96D8A">
        <w:trPr>
          <w:trHeight w:val="204"/>
        </w:trPr>
        <w:tc>
          <w:tcPr>
            <w:tcW w:w="2268" w:type="dxa"/>
            <w:tcBorders>
              <w:top w:val="nil"/>
              <w:left w:val="nil"/>
              <w:bottom w:val="nil"/>
              <w:right w:val="nil"/>
            </w:tcBorders>
            <w:shd w:val="clear" w:color="auto" w:fill="auto"/>
            <w:noWrap/>
            <w:vAlign w:val="bottom"/>
            <w:hideMark/>
          </w:tcPr>
          <w:p w14:paraId="62E35435" w14:textId="77777777" w:rsidR="00DE2B0E" w:rsidRPr="001D4390" w:rsidRDefault="00DE2B0E" w:rsidP="00DE2B0E">
            <w:pPr>
              <w:spacing w:after="0" w:line="240" w:lineRule="auto"/>
              <w:ind w:left="113"/>
              <w:jc w:val="left"/>
              <w:rPr>
                <w:rFonts w:ascii="Arial" w:hAnsi="Arial" w:cs="Arial"/>
                <w:color w:val="000000"/>
                <w:sz w:val="16"/>
                <w:szCs w:val="16"/>
              </w:rPr>
            </w:pPr>
            <w:r w:rsidRPr="001D4390">
              <w:rPr>
                <w:rFonts w:ascii="Arial" w:hAnsi="Arial" w:cs="Arial"/>
                <w:color w:val="000000"/>
                <w:sz w:val="16"/>
                <w:szCs w:val="16"/>
              </w:rPr>
              <w:t>Sale of assets</w:t>
            </w:r>
          </w:p>
        </w:tc>
        <w:tc>
          <w:tcPr>
            <w:tcW w:w="1169" w:type="dxa"/>
            <w:tcBorders>
              <w:top w:val="nil"/>
              <w:left w:val="nil"/>
              <w:bottom w:val="nil"/>
              <w:right w:val="nil"/>
            </w:tcBorders>
            <w:shd w:val="clear" w:color="auto" w:fill="auto"/>
            <w:noWrap/>
            <w:vAlign w:val="bottom"/>
            <w:hideMark/>
          </w:tcPr>
          <w:p w14:paraId="462260A0" w14:textId="43025A3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27,610 </w:t>
            </w:r>
          </w:p>
        </w:tc>
        <w:tc>
          <w:tcPr>
            <w:tcW w:w="1035" w:type="dxa"/>
            <w:tcBorders>
              <w:top w:val="nil"/>
              <w:left w:val="nil"/>
              <w:bottom w:val="nil"/>
              <w:right w:val="nil"/>
            </w:tcBorders>
            <w:shd w:val="clear" w:color="000000" w:fill="E6E6E6"/>
            <w:noWrap/>
            <w:vAlign w:val="bottom"/>
            <w:hideMark/>
          </w:tcPr>
          <w:p w14:paraId="2FE1BF21" w14:textId="18B18818"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026E2923" w14:textId="48C5EBD1"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572CD684" w14:textId="215F3D27"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6" w:type="dxa"/>
            <w:tcBorders>
              <w:top w:val="nil"/>
              <w:left w:val="nil"/>
              <w:bottom w:val="nil"/>
              <w:right w:val="nil"/>
            </w:tcBorders>
            <w:shd w:val="clear" w:color="auto" w:fill="auto"/>
            <w:noWrap/>
            <w:vAlign w:val="bottom"/>
            <w:hideMark/>
          </w:tcPr>
          <w:p w14:paraId="6E2E65A3" w14:textId="3803733C"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DE2B0E" w:rsidRPr="001D4390" w14:paraId="2E69989D" w14:textId="77777777" w:rsidTr="00F96D8A">
        <w:trPr>
          <w:trHeight w:val="204"/>
        </w:trPr>
        <w:tc>
          <w:tcPr>
            <w:tcW w:w="2268" w:type="dxa"/>
            <w:tcBorders>
              <w:top w:val="nil"/>
              <w:left w:val="nil"/>
              <w:bottom w:val="nil"/>
              <w:right w:val="nil"/>
            </w:tcBorders>
            <w:shd w:val="clear" w:color="auto" w:fill="auto"/>
            <w:vAlign w:val="bottom"/>
            <w:hideMark/>
          </w:tcPr>
          <w:p w14:paraId="22AFE7FA"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Total gains</w:t>
            </w:r>
          </w:p>
        </w:tc>
        <w:tc>
          <w:tcPr>
            <w:tcW w:w="1169" w:type="dxa"/>
            <w:tcBorders>
              <w:top w:val="single" w:sz="4" w:space="0" w:color="auto"/>
              <w:left w:val="nil"/>
              <w:bottom w:val="single" w:sz="4" w:space="0" w:color="auto"/>
              <w:right w:val="nil"/>
            </w:tcBorders>
            <w:shd w:val="clear" w:color="auto" w:fill="auto"/>
            <w:noWrap/>
            <w:vAlign w:val="bottom"/>
            <w:hideMark/>
          </w:tcPr>
          <w:p w14:paraId="51632D1F" w14:textId="0394E526"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27,610 </w:t>
            </w:r>
          </w:p>
        </w:tc>
        <w:tc>
          <w:tcPr>
            <w:tcW w:w="1035" w:type="dxa"/>
            <w:tcBorders>
              <w:top w:val="single" w:sz="4" w:space="0" w:color="auto"/>
              <w:left w:val="nil"/>
              <w:bottom w:val="single" w:sz="4" w:space="0" w:color="auto"/>
              <w:right w:val="nil"/>
            </w:tcBorders>
            <w:shd w:val="clear" w:color="000000" w:fill="E6E6E6"/>
            <w:noWrap/>
            <w:vAlign w:val="bottom"/>
            <w:hideMark/>
          </w:tcPr>
          <w:p w14:paraId="64C6ED27" w14:textId="44E80C61"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auto"/>
              <w:left w:val="nil"/>
              <w:bottom w:val="single" w:sz="4" w:space="0" w:color="auto"/>
              <w:right w:val="nil"/>
            </w:tcBorders>
            <w:shd w:val="clear" w:color="auto" w:fill="auto"/>
            <w:noWrap/>
            <w:vAlign w:val="bottom"/>
            <w:hideMark/>
          </w:tcPr>
          <w:p w14:paraId="3E84EAC7" w14:textId="62B41718"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auto"/>
              <w:left w:val="nil"/>
              <w:bottom w:val="single" w:sz="4" w:space="0" w:color="auto"/>
              <w:right w:val="nil"/>
            </w:tcBorders>
            <w:shd w:val="clear" w:color="auto" w:fill="auto"/>
            <w:noWrap/>
            <w:vAlign w:val="bottom"/>
            <w:hideMark/>
          </w:tcPr>
          <w:p w14:paraId="0C2FA691" w14:textId="034B205E"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14:paraId="1B15CD17" w14:textId="5BD03F99"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DE2B0E" w:rsidRPr="001D4390" w14:paraId="7208DF68" w14:textId="77777777" w:rsidTr="00F96D8A">
        <w:trPr>
          <w:trHeight w:val="204"/>
        </w:trPr>
        <w:tc>
          <w:tcPr>
            <w:tcW w:w="2268" w:type="dxa"/>
            <w:tcBorders>
              <w:top w:val="nil"/>
              <w:left w:val="nil"/>
              <w:bottom w:val="nil"/>
              <w:right w:val="nil"/>
            </w:tcBorders>
            <w:shd w:val="clear" w:color="auto" w:fill="auto"/>
            <w:vAlign w:val="bottom"/>
            <w:hideMark/>
          </w:tcPr>
          <w:p w14:paraId="24108DC9"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Total own-sourced income</w:t>
            </w:r>
          </w:p>
        </w:tc>
        <w:tc>
          <w:tcPr>
            <w:tcW w:w="1169" w:type="dxa"/>
            <w:tcBorders>
              <w:top w:val="nil"/>
              <w:left w:val="nil"/>
              <w:bottom w:val="single" w:sz="4" w:space="0" w:color="auto"/>
              <w:right w:val="nil"/>
            </w:tcBorders>
            <w:shd w:val="clear" w:color="auto" w:fill="auto"/>
            <w:noWrap/>
            <w:vAlign w:val="bottom"/>
            <w:hideMark/>
          </w:tcPr>
          <w:p w14:paraId="2A1C2E30" w14:textId="1E656EFE"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832,601 </w:t>
            </w:r>
          </w:p>
        </w:tc>
        <w:tc>
          <w:tcPr>
            <w:tcW w:w="1035" w:type="dxa"/>
            <w:tcBorders>
              <w:top w:val="nil"/>
              <w:left w:val="nil"/>
              <w:bottom w:val="single" w:sz="4" w:space="0" w:color="auto"/>
              <w:right w:val="nil"/>
            </w:tcBorders>
            <w:shd w:val="clear" w:color="000000" w:fill="E6E6E6"/>
            <w:noWrap/>
            <w:vAlign w:val="bottom"/>
            <w:hideMark/>
          </w:tcPr>
          <w:p w14:paraId="1624BCEF" w14:textId="59F52EEF"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764,320 </w:t>
            </w:r>
          </w:p>
        </w:tc>
        <w:tc>
          <w:tcPr>
            <w:tcW w:w="1035" w:type="dxa"/>
            <w:tcBorders>
              <w:top w:val="nil"/>
              <w:left w:val="nil"/>
              <w:bottom w:val="single" w:sz="4" w:space="0" w:color="auto"/>
              <w:right w:val="nil"/>
            </w:tcBorders>
            <w:shd w:val="clear" w:color="auto" w:fill="auto"/>
            <w:noWrap/>
            <w:vAlign w:val="bottom"/>
            <w:hideMark/>
          </w:tcPr>
          <w:p w14:paraId="1A70D9F8" w14:textId="2E614A95"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866,154 </w:t>
            </w:r>
          </w:p>
        </w:tc>
        <w:tc>
          <w:tcPr>
            <w:tcW w:w="1035" w:type="dxa"/>
            <w:tcBorders>
              <w:top w:val="nil"/>
              <w:left w:val="nil"/>
              <w:bottom w:val="single" w:sz="4" w:space="0" w:color="auto"/>
              <w:right w:val="nil"/>
            </w:tcBorders>
            <w:shd w:val="clear" w:color="auto" w:fill="auto"/>
            <w:noWrap/>
            <w:vAlign w:val="bottom"/>
            <w:hideMark/>
          </w:tcPr>
          <w:p w14:paraId="7666BAF5" w14:textId="21F7826D"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684,134 </w:t>
            </w:r>
          </w:p>
        </w:tc>
        <w:tc>
          <w:tcPr>
            <w:tcW w:w="1036" w:type="dxa"/>
            <w:tcBorders>
              <w:top w:val="nil"/>
              <w:left w:val="nil"/>
              <w:bottom w:val="single" w:sz="4" w:space="0" w:color="auto"/>
              <w:right w:val="nil"/>
            </w:tcBorders>
            <w:shd w:val="clear" w:color="auto" w:fill="auto"/>
            <w:noWrap/>
            <w:vAlign w:val="bottom"/>
            <w:hideMark/>
          </w:tcPr>
          <w:p w14:paraId="5E1F4E3A" w14:textId="2A12ACA0"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583,872 </w:t>
            </w:r>
          </w:p>
        </w:tc>
      </w:tr>
      <w:tr w:rsidR="00DE2B0E" w:rsidRPr="001D4390" w14:paraId="6B258ADE" w14:textId="77777777" w:rsidTr="00F96D8A">
        <w:trPr>
          <w:trHeight w:val="204"/>
        </w:trPr>
        <w:tc>
          <w:tcPr>
            <w:tcW w:w="2268" w:type="dxa"/>
            <w:tcBorders>
              <w:top w:val="nil"/>
              <w:left w:val="nil"/>
              <w:bottom w:val="nil"/>
              <w:right w:val="nil"/>
            </w:tcBorders>
            <w:shd w:val="clear" w:color="auto" w:fill="auto"/>
            <w:vAlign w:val="bottom"/>
            <w:hideMark/>
          </w:tcPr>
          <w:p w14:paraId="596F9EE7"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Net (cost of)/contribution by services</w:t>
            </w:r>
          </w:p>
        </w:tc>
        <w:tc>
          <w:tcPr>
            <w:tcW w:w="1169" w:type="dxa"/>
            <w:tcBorders>
              <w:top w:val="nil"/>
              <w:left w:val="nil"/>
              <w:bottom w:val="single" w:sz="4" w:space="0" w:color="auto"/>
              <w:right w:val="nil"/>
            </w:tcBorders>
            <w:shd w:val="clear" w:color="auto" w:fill="auto"/>
            <w:noWrap/>
            <w:vAlign w:val="bottom"/>
            <w:hideMark/>
          </w:tcPr>
          <w:p w14:paraId="2A2FE327" w14:textId="122823D3"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(11,853,276)</w:t>
            </w:r>
          </w:p>
        </w:tc>
        <w:tc>
          <w:tcPr>
            <w:tcW w:w="1035" w:type="dxa"/>
            <w:tcBorders>
              <w:top w:val="nil"/>
              <w:left w:val="nil"/>
              <w:bottom w:val="single" w:sz="4" w:space="0" w:color="auto"/>
              <w:right w:val="nil"/>
            </w:tcBorders>
            <w:shd w:val="clear" w:color="000000" w:fill="E6E6E6"/>
            <w:noWrap/>
            <w:vAlign w:val="bottom"/>
            <w:hideMark/>
          </w:tcPr>
          <w:p w14:paraId="0A2A23D7" w14:textId="0D535871"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(8,468,234)</w:t>
            </w:r>
          </w:p>
        </w:tc>
        <w:tc>
          <w:tcPr>
            <w:tcW w:w="1035" w:type="dxa"/>
            <w:tcBorders>
              <w:top w:val="nil"/>
              <w:left w:val="nil"/>
              <w:bottom w:val="single" w:sz="4" w:space="0" w:color="auto"/>
              <w:right w:val="nil"/>
            </w:tcBorders>
            <w:shd w:val="clear" w:color="auto" w:fill="auto"/>
            <w:noWrap/>
            <w:vAlign w:val="bottom"/>
            <w:hideMark/>
          </w:tcPr>
          <w:p w14:paraId="0DADAC53" w14:textId="01E2F883"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(9,596,602)</w:t>
            </w:r>
          </w:p>
        </w:tc>
        <w:tc>
          <w:tcPr>
            <w:tcW w:w="1035" w:type="dxa"/>
            <w:tcBorders>
              <w:top w:val="nil"/>
              <w:left w:val="nil"/>
              <w:bottom w:val="single" w:sz="4" w:space="0" w:color="auto"/>
              <w:right w:val="nil"/>
            </w:tcBorders>
            <w:shd w:val="clear" w:color="auto" w:fill="auto"/>
            <w:noWrap/>
            <w:vAlign w:val="bottom"/>
            <w:hideMark/>
          </w:tcPr>
          <w:p w14:paraId="5AB8AEFD" w14:textId="55C1C1F9"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(9,381,581)</w:t>
            </w:r>
          </w:p>
        </w:tc>
        <w:tc>
          <w:tcPr>
            <w:tcW w:w="1036" w:type="dxa"/>
            <w:tcBorders>
              <w:top w:val="nil"/>
              <w:left w:val="nil"/>
              <w:bottom w:val="single" w:sz="4" w:space="0" w:color="auto"/>
              <w:right w:val="nil"/>
            </w:tcBorders>
            <w:shd w:val="clear" w:color="auto" w:fill="auto"/>
            <w:noWrap/>
            <w:vAlign w:val="bottom"/>
            <w:hideMark/>
          </w:tcPr>
          <w:p w14:paraId="7A1DFAA5" w14:textId="4D2E0BA9"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(8,998,313)</w:t>
            </w:r>
          </w:p>
        </w:tc>
      </w:tr>
      <w:tr w:rsidR="00DE2B0E" w:rsidRPr="001D4390" w14:paraId="7C495EF6" w14:textId="77777777" w:rsidTr="00F96D8A">
        <w:trPr>
          <w:trHeight w:val="204"/>
        </w:trPr>
        <w:tc>
          <w:tcPr>
            <w:tcW w:w="2268" w:type="dxa"/>
            <w:tcBorders>
              <w:top w:val="nil"/>
              <w:left w:val="nil"/>
              <w:bottom w:val="nil"/>
              <w:right w:val="nil"/>
            </w:tcBorders>
            <w:shd w:val="clear" w:color="auto" w:fill="auto"/>
            <w:vAlign w:val="bottom"/>
            <w:hideMark/>
          </w:tcPr>
          <w:p w14:paraId="1A4D5B77" w14:textId="77777777" w:rsidR="00DE2B0E" w:rsidRPr="001D4390" w:rsidRDefault="00DE2B0E" w:rsidP="00DE2B0E">
            <w:pPr>
              <w:spacing w:after="0" w:line="240" w:lineRule="auto"/>
              <w:jc w:val="left"/>
              <w:rPr>
                <w:rFonts w:ascii="Arial" w:hAnsi="Arial" w:cs="Arial"/>
                <w:b/>
                <w:bCs/>
                <w:color w:val="000000"/>
                <w:sz w:val="16"/>
                <w:szCs w:val="16"/>
              </w:rPr>
            </w:pPr>
            <w:r w:rsidRPr="001D4390">
              <w:rPr>
                <w:rFonts w:ascii="Arial" w:hAnsi="Arial" w:cs="Arial"/>
                <w:b/>
                <w:bCs/>
                <w:color w:val="000000"/>
                <w:sz w:val="16"/>
                <w:szCs w:val="16"/>
              </w:rPr>
              <w:t>Surplus/(deficit)</w:t>
            </w:r>
          </w:p>
        </w:tc>
        <w:tc>
          <w:tcPr>
            <w:tcW w:w="1169" w:type="dxa"/>
            <w:tcBorders>
              <w:top w:val="nil"/>
              <w:left w:val="nil"/>
              <w:bottom w:val="single" w:sz="4" w:space="0" w:color="auto"/>
              <w:right w:val="nil"/>
            </w:tcBorders>
            <w:shd w:val="clear" w:color="auto" w:fill="auto"/>
            <w:noWrap/>
            <w:vAlign w:val="bottom"/>
            <w:hideMark/>
          </w:tcPr>
          <w:p w14:paraId="24BA9E9A" w14:textId="71716E3D"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(11,853,276)</w:t>
            </w:r>
          </w:p>
        </w:tc>
        <w:tc>
          <w:tcPr>
            <w:tcW w:w="1035" w:type="dxa"/>
            <w:tcBorders>
              <w:top w:val="nil"/>
              <w:left w:val="nil"/>
              <w:bottom w:val="single" w:sz="4" w:space="0" w:color="auto"/>
              <w:right w:val="nil"/>
            </w:tcBorders>
            <w:shd w:val="clear" w:color="000000" w:fill="E6E6E6"/>
            <w:noWrap/>
            <w:vAlign w:val="bottom"/>
            <w:hideMark/>
          </w:tcPr>
          <w:p w14:paraId="26634088" w14:textId="1C19C6AD"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(8,468,234)</w:t>
            </w:r>
          </w:p>
        </w:tc>
        <w:tc>
          <w:tcPr>
            <w:tcW w:w="1035" w:type="dxa"/>
            <w:tcBorders>
              <w:top w:val="nil"/>
              <w:left w:val="nil"/>
              <w:bottom w:val="single" w:sz="4" w:space="0" w:color="auto"/>
              <w:right w:val="nil"/>
            </w:tcBorders>
            <w:shd w:val="clear" w:color="auto" w:fill="auto"/>
            <w:noWrap/>
            <w:vAlign w:val="bottom"/>
            <w:hideMark/>
          </w:tcPr>
          <w:p w14:paraId="48AF58EE" w14:textId="05B0734D"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(9,596,602)</w:t>
            </w:r>
          </w:p>
        </w:tc>
        <w:tc>
          <w:tcPr>
            <w:tcW w:w="1035" w:type="dxa"/>
            <w:tcBorders>
              <w:top w:val="nil"/>
              <w:left w:val="nil"/>
              <w:bottom w:val="single" w:sz="4" w:space="0" w:color="auto"/>
              <w:right w:val="nil"/>
            </w:tcBorders>
            <w:shd w:val="clear" w:color="auto" w:fill="auto"/>
            <w:noWrap/>
            <w:vAlign w:val="bottom"/>
            <w:hideMark/>
          </w:tcPr>
          <w:p w14:paraId="09F36CCB" w14:textId="16BBD252"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(9,381,581)</w:t>
            </w:r>
          </w:p>
        </w:tc>
        <w:tc>
          <w:tcPr>
            <w:tcW w:w="1036" w:type="dxa"/>
            <w:tcBorders>
              <w:top w:val="nil"/>
              <w:left w:val="nil"/>
              <w:bottom w:val="single" w:sz="4" w:space="0" w:color="auto"/>
              <w:right w:val="nil"/>
            </w:tcBorders>
            <w:shd w:val="clear" w:color="auto" w:fill="auto"/>
            <w:noWrap/>
            <w:vAlign w:val="bottom"/>
            <w:hideMark/>
          </w:tcPr>
          <w:p w14:paraId="5AA1626A" w14:textId="5CA4D192"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(8,998,313)</w:t>
            </w:r>
          </w:p>
        </w:tc>
      </w:tr>
      <w:tr w:rsidR="00BD1951" w:rsidRPr="001D4390" w14:paraId="7E54F011" w14:textId="77777777" w:rsidTr="00F96D8A">
        <w:trPr>
          <w:trHeight w:val="204"/>
        </w:trPr>
        <w:tc>
          <w:tcPr>
            <w:tcW w:w="3437" w:type="dxa"/>
            <w:gridSpan w:val="2"/>
            <w:tcBorders>
              <w:top w:val="nil"/>
              <w:left w:val="nil"/>
              <w:bottom w:val="nil"/>
              <w:right w:val="nil"/>
            </w:tcBorders>
            <w:shd w:val="clear" w:color="auto" w:fill="auto"/>
            <w:noWrap/>
            <w:vAlign w:val="bottom"/>
            <w:hideMark/>
          </w:tcPr>
          <w:p w14:paraId="25CCF722" w14:textId="77777777" w:rsidR="00BD1951" w:rsidRPr="00BD1951" w:rsidRDefault="00BD1951" w:rsidP="00BD1951">
            <w:pPr>
              <w:spacing w:after="0" w:line="240" w:lineRule="auto"/>
              <w:rPr>
                <w:rFonts w:ascii="Arial" w:hAnsi="Arial" w:cs="Arial"/>
                <w:b/>
                <w:bCs/>
                <w:color w:val="000000"/>
                <w:sz w:val="16"/>
                <w:szCs w:val="16"/>
              </w:rPr>
            </w:pPr>
            <w:r w:rsidRPr="00BD1951">
              <w:rPr>
                <w:rFonts w:ascii="Arial" w:hAnsi="Arial" w:cs="Arial"/>
                <w:b/>
                <w:bCs/>
                <w:color w:val="000000"/>
                <w:sz w:val="16"/>
                <w:szCs w:val="16"/>
              </w:rPr>
              <w:t>OTHER COMPREHENSIVE INCOME</w:t>
            </w:r>
          </w:p>
        </w:tc>
        <w:tc>
          <w:tcPr>
            <w:tcW w:w="1035" w:type="dxa"/>
            <w:tcBorders>
              <w:top w:val="nil"/>
              <w:left w:val="nil"/>
              <w:bottom w:val="nil"/>
              <w:right w:val="nil"/>
            </w:tcBorders>
            <w:shd w:val="clear" w:color="000000" w:fill="E6E6E6"/>
            <w:noWrap/>
            <w:vAlign w:val="bottom"/>
            <w:hideMark/>
          </w:tcPr>
          <w:p w14:paraId="43319F41" w14:textId="77777777" w:rsidR="00BD1951" w:rsidRPr="00BD1951" w:rsidRDefault="00BD1951" w:rsidP="00BD1951">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61B75A87" w14:textId="6B97B314" w:rsidR="00BD1951" w:rsidRPr="00BD1951" w:rsidRDefault="00BD1951" w:rsidP="00BD1951">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5218C5AF" w14:textId="77777777" w:rsidR="00BD1951" w:rsidRPr="00BD1951" w:rsidRDefault="00BD1951" w:rsidP="00BD1951">
            <w:pPr>
              <w:spacing w:after="0" w:line="240" w:lineRule="auto"/>
              <w:jc w:val="right"/>
              <w:rPr>
                <w:rFonts w:ascii="Arial" w:hAnsi="Arial" w:cs="Arial"/>
                <w:sz w:val="16"/>
                <w:szCs w:val="16"/>
              </w:rPr>
            </w:pPr>
          </w:p>
        </w:tc>
        <w:tc>
          <w:tcPr>
            <w:tcW w:w="1036" w:type="dxa"/>
            <w:tcBorders>
              <w:top w:val="nil"/>
              <w:left w:val="nil"/>
              <w:bottom w:val="nil"/>
              <w:right w:val="nil"/>
            </w:tcBorders>
            <w:shd w:val="clear" w:color="auto" w:fill="auto"/>
            <w:noWrap/>
            <w:vAlign w:val="bottom"/>
            <w:hideMark/>
          </w:tcPr>
          <w:p w14:paraId="1B649FD8" w14:textId="77777777" w:rsidR="00BD1951" w:rsidRPr="00BD1951" w:rsidRDefault="00BD1951" w:rsidP="00BD1951">
            <w:pPr>
              <w:spacing w:after="0" w:line="240" w:lineRule="auto"/>
              <w:jc w:val="right"/>
              <w:rPr>
                <w:rFonts w:ascii="Arial" w:hAnsi="Arial" w:cs="Arial"/>
                <w:sz w:val="16"/>
                <w:szCs w:val="16"/>
              </w:rPr>
            </w:pPr>
          </w:p>
        </w:tc>
      </w:tr>
      <w:tr w:rsidR="00DE2B0E" w:rsidRPr="001D4390" w14:paraId="43C6D96C" w14:textId="77777777" w:rsidTr="00F96D8A">
        <w:trPr>
          <w:trHeight w:val="204"/>
        </w:trPr>
        <w:tc>
          <w:tcPr>
            <w:tcW w:w="2268" w:type="dxa"/>
            <w:tcBorders>
              <w:top w:val="nil"/>
              <w:left w:val="nil"/>
              <w:bottom w:val="nil"/>
              <w:right w:val="nil"/>
            </w:tcBorders>
            <w:shd w:val="clear" w:color="auto" w:fill="auto"/>
            <w:vAlign w:val="bottom"/>
            <w:hideMark/>
          </w:tcPr>
          <w:p w14:paraId="1B8AAAC6" w14:textId="77777777" w:rsidR="00DE2B0E" w:rsidRPr="001D4390" w:rsidRDefault="00DE2B0E" w:rsidP="00DE2B0E">
            <w:pPr>
              <w:spacing w:after="0" w:line="240" w:lineRule="auto"/>
              <w:ind w:left="227"/>
              <w:jc w:val="left"/>
              <w:rPr>
                <w:rFonts w:ascii="Arial" w:hAnsi="Arial" w:cs="Arial"/>
                <w:sz w:val="16"/>
                <w:szCs w:val="16"/>
              </w:rPr>
            </w:pPr>
            <w:r w:rsidRPr="001D4390">
              <w:rPr>
                <w:rFonts w:ascii="Arial" w:hAnsi="Arial" w:cs="Arial"/>
                <w:color w:val="000000"/>
                <w:sz w:val="16"/>
                <w:szCs w:val="16"/>
              </w:rPr>
              <w:t>Changes in asset revaluation surplus</w:t>
            </w:r>
          </w:p>
        </w:tc>
        <w:tc>
          <w:tcPr>
            <w:tcW w:w="1169" w:type="dxa"/>
            <w:tcBorders>
              <w:top w:val="nil"/>
              <w:left w:val="nil"/>
              <w:bottom w:val="nil"/>
              <w:right w:val="nil"/>
            </w:tcBorders>
            <w:shd w:val="clear" w:color="auto" w:fill="auto"/>
            <w:noWrap/>
            <w:vAlign w:val="bottom"/>
            <w:hideMark/>
          </w:tcPr>
          <w:p w14:paraId="31C6254E" w14:textId="7B467FAB"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2,731,465 </w:t>
            </w:r>
          </w:p>
        </w:tc>
        <w:tc>
          <w:tcPr>
            <w:tcW w:w="1035" w:type="dxa"/>
            <w:tcBorders>
              <w:top w:val="nil"/>
              <w:left w:val="nil"/>
              <w:bottom w:val="nil"/>
              <w:right w:val="nil"/>
            </w:tcBorders>
            <w:shd w:val="clear" w:color="000000" w:fill="E6E6E6"/>
            <w:noWrap/>
            <w:vAlign w:val="bottom"/>
            <w:hideMark/>
          </w:tcPr>
          <w:p w14:paraId="1991DDBB" w14:textId="4885B55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0BF411D9" w14:textId="0DF06182"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2D5D6D2D" w14:textId="041714CD"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36" w:type="dxa"/>
            <w:tcBorders>
              <w:top w:val="nil"/>
              <w:left w:val="nil"/>
              <w:bottom w:val="nil"/>
              <w:right w:val="nil"/>
            </w:tcBorders>
            <w:shd w:val="clear" w:color="auto" w:fill="auto"/>
            <w:noWrap/>
            <w:vAlign w:val="bottom"/>
            <w:hideMark/>
          </w:tcPr>
          <w:p w14:paraId="74322BCA" w14:textId="172EF54A" w:rsidR="00DE2B0E" w:rsidRPr="00BD1951"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DE2B0E" w:rsidRPr="001D4390" w14:paraId="60D5127A" w14:textId="77777777" w:rsidTr="00F96D8A">
        <w:trPr>
          <w:trHeight w:val="204"/>
        </w:trPr>
        <w:tc>
          <w:tcPr>
            <w:tcW w:w="2268" w:type="dxa"/>
            <w:tcBorders>
              <w:top w:val="nil"/>
              <w:left w:val="nil"/>
              <w:bottom w:val="nil"/>
              <w:right w:val="nil"/>
            </w:tcBorders>
            <w:shd w:val="clear" w:color="auto" w:fill="auto"/>
            <w:noWrap/>
            <w:vAlign w:val="bottom"/>
            <w:hideMark/>
          </w:tcPr>
          <w:p w14:paraId="3E8FD395" w14:textId="77777777" w:rsidR="00DE2B0E" w:rsidRPr="001D4390" w:rsidRDefault="00DE2B0E" w:rsidP="00DE2B0E">
            <w:pPr>
              <w:spacing w:after="0" w:line="240" w:lineRule="auto"/>
              <w:ind w:left="113"/>
              <w:jc w:val="left"/>
              <w:rPr>
                <w:rFonts w:ascii="Arial" w:hAnsi="Arial" w:cs="Arial"/>
                <w:b/>
                <w:bCs/>
                <w:color w:val="000000"/>
                <w:sz w:val="16"/>
                <w:szCs w:val="16"/>
              </w:rPr>
            </w:pPr>
            <w:r w:rsidRPr="001D4390">
              <w:rPr>
                <w:rFonts w:ascii="Arial" w:hAnsi="Arial" w:cs="Arial"/>
                <w:b/>
                <w:bCs/>
                <w:color w:val="000000"/>
                <w:sz w:val="16"/>
                <w:szCs w:val="16"/>
              </w:rPr>
              <w:t>Total other comprehensive income</w:t>
            </w:r>
          </w:p>
        </w:tc>
        <w:tc>
          <w:tcPr>
            <w:tcW w:w="1169" w:type="dxa"/>
            <w:tcBorders>
              <w:top w:val="single" w:sz="4" w:space="0" w:color="000000"/>
              <w:left w:val="nil"/>
              <w:bottom w:val="single" w:sz="4" w:space="0" w:color="000000"/>
              <w:right w:val="nil"/>
            </w:tcBorders>
            <w:shd w:val="clear" w:color="auto" w:fill="auto"/>
            <w:noWrap/>
            <w:vAlign w:val="bottom"/>
            <w:hideMark/>
          </w:tcPr>
          <w:p w14:paraId="2EB4E2AE" w14:textId="25ED296A"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2,731,465 </w:t>
            </w:r>
          </w:p>
        </w:tc>
        <w:tc>
          <w:tcPr>
            <w:tcW w:w="1035" w:type="dxa"/>
            <w:tcBorders>
              <w:top w:val="single" w:sz="4" w:space="0" w:color="000000"/>
              <w:left w:val="nil"/>
              <w:bottom w:val="single" w:sz="4" w:space="0" w:color="000000"/>
              <w:right w:val="nil"/>
            </w:tcBorders>
            <w:shd w:val="clear" w:color="000000" w:fill="E6E6E6"/>
            <w:noWrap/>
            <w:vAlign w:val="bottom"/>
            <w:hideMark/>
          </w:tcPr>
          <w:p w14:paraId="6C690819" w14:textId="28F05E6D"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000000"/>
              <w:left w:val="nil"/>
              <w:bottom w:val="single" w:sz="4" w:space="0" w:color="000000"/>
              <w:right w:val="nil"/>
            </w:tcBorders>
            <w:shd w:val="clear" w:color="auto" w:fill="auto"/>
            <w:noWrap/>
            <w:vAlign w:val="bottom"/>
            <w:hideMark/>
          </w:tcPr>
          <w:p w14:paraId="14688D96" w14:textId="03FFD050"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5" w:type="dxa"/>
            <w:tcBorders>
              <w:top w:val="single" w:sz="4" w:space="0" w:color="000000"/>
              <w:left w:val="nil"/>
              <w:bottom w:val="single" w:sz="4" w:space="0" w:color="000000"/>
              <w:right w:val="nil"/>
            </w:tcBorders>
            <w:shd w:val="clear" w:color="auto" w:fill="auto"/>
            <w:noWrap/>
            <w:vAlign w:val="bottom"/>
            <w:hideMark/>
          </w:tcPr>
          <w:p w14:paraId="0A0C798E" w14:textId="4FE2A5F0"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36" w:type="dxa"/>
            <w:tcBorders>
              <w:top w:val="single" w:sz="4" w:space="0" w:color="000000"/>
              <w:left w:val="nil"/>
              <w:bottom w:val="single" w:sz="4" w:space="0" w:color="000000"/>
              <w:right w:val="nil"/>
            </w:tcBorders>
            <w:shd w:val="clear" w:color="auto" w:fill="auto"/>
            <w:noWrap/>
            <w:vAlign w:val="bottom"/>
            <w:hideMark/>
          </w:tcPr>
          <w:p w14:paraId="1B9FE9B2" w14:textId="6579F6D9"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DE2B0E" w:rsidRPr="001D4390" w14:paraId="0EE5F1C0" w14:textId="77777777" w:rsidTr="00F96D8A">
        <w:trPr>
          <w:trHeight w:val="204"/>
        </w:trPr>
        <w:tc>
          <w:tcPr>
            <w:tcW w:w="2268" w:type="dxa"/>
            <w:tcBorders>
              <w:top w:val="nil"/>
              <w:left w:val="nil"/>
              <w:bottom w:val="single" w:sz="4" w:space="0" w:color="auto"/>
              <w:right w:val="nil"/>
            </w:tcBorders>
            <w:shd w:val="clear" w:color="auto" w:fill="auto"/>
            <w:vAlign w:val="bottom"/>
            <w:hideMark/>
          </w:tcPr>
          <w:p w14:paraId="6932B0BA" w14:textId="77777777" w:rsidR="00DE2B0E" w:rsidRPr="001D4390" w:rsidRDefault="00DE2B0E" w:rsidP="00DE2B0E">
            <w:pPr>
              <w:spacing w:after="0" w:line="240" w:lineRule="auto"/>
              <w:jc w:val="left"/>
              <w:rPr>
                <w:rFonts w:ascii="Arial" w:hAnsi="Arial" w:cs="Arial"/>
                <w:b/>
                <w:bCs/>
                <w:sz w:val="16"/>
                <w:szCs w:val="16"/>
              </w:rPr>
            </w:pPr>
            <w:r w:rsidRPr="001D4390">
              <w:rPr>
                <w:rFonts w:ascii="Arial" w:hAnsi="Arial" w:cs="Arial"/>
                <w:b/>
                <w:bCs/>
                <w:sz w:val="16"/>
                <w:szCs w:val="16"/>
              </w:rPr>
              <w:t>Total comprehensive income/(loss)</w:t>
            </w:r>
          </w:p>
        </w:tc>
        <w:tc>
          <w:tcPr>
            <w:tcW w:w="1169" w:type="dxa"/>
            <w:tcBorders>
              <w:top w:val="nil"/>
              <w:left w:val="nil"/>
              <w:bottom w:val="single" w:sz="4" w:space="0" w:color="000000"/>
              <w:right w:val="nil"/>
            </w:tcBorders>
            <w:shd w:val="clear" w:color="auto" w:fill="auto"/>
            <w:noWrap/>
            <w:vAlign w:val="bottom"/>
            <w:hideMark/>
          </w:tcPr>
          <w:p w14:paraId="58B2CAAD" w14:textId="7988520C"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(9,121,811)</w:t>
            </w:r>
          </w:p>
        </w:tc>
        <w:tc>
          <w:tcPr>
            <w:tcW w:w="1035" w:type="dxa"/>
            <w:tcBorders>
              <w:top w:val="nil"/>
              <w:left w:val="nil"/>
              <w:bottom w:val="single" w:sz="4" w:space="0" w:color="000000"/>
              <w:right w:val="nil"/>
            </w:tcBorders>
            <w:shd w:val="clear" w:color="000000" w:fill="E6E6E6"/>
            <w:noWrap/>
            <w:vAlign w:val="bottom"/>
            <w:hideMark/>
          </w:tcPr>
          <w:p w14:paraId="5E163965" w14:textId="6012276C"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(8,468,234)</w:t>
            </w:r>
          </w:p>
        </w:tc>
        <w:tc>
          <w:tcPr>
            <w:tcW w:w="1035" w:type="dxa"/>
            <w:tcBorders>
              <w:top w:val="nil"/>
              <w:left w:val="nil"/>
              <w:bottom w:val="single" w:sz="4" w:space="0" w:color="000000"/>
              <w:right w:val="nil"/>
            </w:tcBorders>
            <w:shd w:val="clear" w:color="auto" w:fill="auto"/>
            <w:noWrap/>
            <w:vAlign w:val="bottom"/>
            <w:hideMark/>
          </w:tcPr>
          <w:p w14:paraId="15A4BCC6" w14:textId="31C9D0E7"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(9,596,602)</w:t>
            </w:r>
          </w:p>
        </w:tc>
        <w:tc>
          <w:tcPr>
            <w:tcW w:w="1035" w:type="dxa"/>
            <w:tcBorders>
              <w:top w:val="nil"/>
              <w:left w:val="nil"/>
              <w:bottom w:val="single" w:sz="4" w:space="0" w:color="000000"/>
              <w:right w:val="nil"/>
            </w:tcBorders>
            <w:shd w:val="clear" w:color="auto" w:fill="auto"/>
            <w:noWrap/>
            <w:vAlign w:val="bottom"/>
            <w:hideMark/>
          </w:tcPr>
          <w:p w14:paraId="6BEAACAD" w14:textId="4CA37452"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(9,381,581)</w:t>
            </w:r>
          </w:p>
        </w:tc>
        <w:tc>
          <w:tcPr>
            <w:tcW w:w="1036" w:type="dxa"/>
            <w:tcBorders>
              <w:top w:val="nil"/>
              <w:left w:val="nil"/>
              <w:bottom w:val="single" w:sz="4" w:space="0" w:color="000000"/>
              <w:right w:val="nil"/>
            </w:tcBorders>
            <w:shd w:val="clear" w:color="auto" w:fill="auto"/>
            <w:noWrap/>
            <w:vAlign w:val="bottom"/>
            <w:hideMark/>
          </w:tcPr>
          <w:p w14:paraId="24EF6442" w14:textId="15166A48" w:rsidR="00DE2B0E" w:rsidRPr="00BD1951"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(8,998,313)</w:t>
            </w:r>
          </w:p>
        </w:tc>
      </w:tr>
    </w:tbl>
    <w:p w14:paraId="267807F3" w14:textId="77777777" w:rsidR="00B91F3E" w:rsidRPr="001D4390" w:rsidRDefault="00B91F3E" w:rsidP="00B91F3E">
      <w:pPr>
        <w:spacing w:before="60" w:after="0"/>
        <w:rPr>
          <w:rFonts w:ascii="Arial" w:hAnsi="Arial" w:cs="Arial"/>
          <w:sz w:val="16"/>
        </w:rPr>
      </w:pPr>
      <w:r w:rsidRPr="001D4390">
        <w:rPr>
          <w:rFonts w:ascii="Arial" w:hAnsi="Arial" w:cs="Arial"/>
          <w:sz w:val="16"/>
        </w:rPr>
        <w:t>Prepared on Australian Accounting Standards basis</w:t>
      </w:r>
    </w:p>
    <w:p w14:paraId="65D5CDC4" w14:textId="77777777" w:rsidR="00B91F3E" w:rsidRPr="00D30CBA" w:rsidRDefault="00B91F3E" w:rsidP="00B91F3E">
      <w:pPr>
        <w:pStyle w:val="TableHeadingcontinued"/>
      </w:pPr>
      <w:r>
        <w:br w:type="page"/>
      </w:r>
    </w:p>
    <w:p w14:paraId="5643C5E6" w14:textId="77777777" w:rsidR="00B91F3E" w:rsidRDefault="00B91F3E" w:rsidP="00B91F3E">
      <w:pPr>
        <w:pStyle w:val="TableHeading"/>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637" w:type="dxa"/>
        <w:tblLook w:val="04A0" w:firstRow="1" w:lastRow="0" w:firstColumn="1" w:lastColumn="0" w:noHBand="0" w:noVBand="1"/>
      </w:tblPr>
      <w:tblGrid>
        <w:gridCol w:w="2552"/>
        <w:gridCol w:w="1017"/>
        <w:gridCol w:w="1017"/>
        <w:gridCol w:w="1017"/>
        <w:gridCol w:w="1017"/>
        <w:gridCol w:w="1017"/>
      </w:tblGrid>
      <w:tr w:rsidR="00B91F3E" w:rsidRPr="007B6E09" w14:paraId="45C51CF4" w14:textId="77777777" w:rsidTr="00F96D8A">
        <w:trPr>
          <w:trHeight w:val="204"/>
        </w:trPr>
        <w:tc>
          <w:tcPr>
            <w:tcW w:w="2552" w:type="dxa"/>
            <w:tcBorders>
              <w:top w:val="single" w:sz="4" w:space="0" w:color="auto"/>
              <w:left w:val="nil"/>
              <w:bottom w:val="nil"/>
              <w:right w:val="nil"/>
            </w:tcBorders>
            <w:shd w:val="clear" w:color="auto" w:fill="auto"/>
            <w:noWrap/>
            <w:vAlign w:val="bottom"/>
            <w:hideMark/>
          </w:tcPr>
          <w:p w14:paraId="010BDF67" w14:textId="77777777" w:rsidR="00B91F3E" w:rsidRPr="007B6E09" w:rsidRDefault="00B91F3E" w:rsidP="00F96D8A">
            <w:pPr>
              <w:spacing w:after="0" w:line="240" w:lineRule="auto"/>
              <w:jc w:val="left"/>
              <w:rPr>
                <w:rFonts w:ascii="Arial" w:hAnsi="Arial" w:cs="Arial"/>
                <w:b/>
                <w:bCs/>
                <w:sz w:val="16"/>
                <w:szCs w:val="16"/>
              </w:rPr>
            </w:pPr>
            <w:r w:rsidRPr="007B6E09">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3F861389" w14:textId="77777777" w:rsidR="00B91F3E" w:rsidRPr="007B6E09" w:rsidRDefault="00B91F3E" w:rsidP="00F96D8A">
            <w:pPr>
              <w:spacing w:after="0" w:line="240" w:lineRule="auto"/>
              <w:jc w:val="right"/>
              <w:rPr>
                <w:rFonts w:ascii="Arial" w:hAnsi="Arial" w:cs="Arial"/>
                <w:sz w:val="16"/>
                <w:szCs w:val="16"/>
              </w:rPr>
            </w:pPr>
            <w:r w:rsidRPr="007B6E09">
              <w:rPr>
                <w:rFonts w:ascii="Arial" w:hAnsi="Arial" w:cs="Arial"/>
                <w:sz w:val="16"/>
                <w:szCs w:val="16"/>
              </w:rPr>
              <w:t>2021-22</w:t>
            </w:r>
            <w:r w:rsidRPr="007B6E09">
              <w:rPr>
                <w:rFonts w:ascii="Arial" w:hAnsi="Arial" w:cs="Arial"/>
                <w:sz w:val="16"/>
                <w:szCs w:val="16"/>
              </w:rPr>
              <w:br/>
              <w:t>Estimated actual</w:t>
            </w:r>
            <w:r w:rsidRPr="007B6E09">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000000" w:fill="E6E6E6"/>
            <w:vAlign w:val="bottom"/>
            <w:hideMark/>
          </w:tcPr>
          <w:p w14:paraId="15A8538D" w14:textId="77777777" w:rsidR="00B91F3E" w:rsidRPr="007B6E09" w:rsidRDefault="00B91F3E" w:rsidP="00F96D8A">
            <w:pPr>
              <w:spacing w:after="0" w:line="240" w:lineRule="auto"/>
              <w:jc w:val="right"/>
              <w:rPr>
                <w:rFonts w:ascii="Arial" w:hAnsi="Arial" w:cs="Arial"/>
                <w:sz w:val="16"/>
                <w:szCs w:val="16"/>
              </w:rPr>
            </w:pPr>
            <w:r w:rsidRPr="007B6E09">
              <w:rPr>
                <w:rFonts w:ascii="Arial" w:hAnsi="Arial" w:cs="Arial"/>
                <w:sz w:val="16"/>
                <w:szCs w:val="16"/>
              </w:rPr>
              <w:t>2022-23</w:t>
            </w:r>
            <w:r w:rsidRPr="007B6E09">
              <w:rPr>
                <w:rFonts w:ascii="Arial" w:hAnsi="Arial" w:cs="Arial"/>
                <w:sz w:val="16"/>
                <w:szCs w:val="16"/>
              </w:rPr>
              <w:br/>
              <w:t>Budget</w:t>
            </w:r>
            <w:r w:rsidRPr="007B6E09">
              <w:rPr>
                <w:rFonts w:ascii="Arial" w:hAnsi="Arial" w:cs="Arial"/>
                <w:sz w:val="16"/>
                <w:szCs w:val="16"/>
              </w:rPr>
              <w:br/>
            </w:r>
            <w:r w:rsidRPr="007B6E09">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759A12EC" w14:textId="77777777" w:rsidR="00B91F3E" w:rsidRPr="007B6E09" w:rsidRDefault="00B91F3E" w:rsidP="00F96D8A">
            <w:pPr>
              <w:spacing w:after="0" w:line="240" w:lineRule="auto"/>
              <w:jc w:val="right"/>
              <w:rPr>
                <w:rFonts w:ascii="Arial" w:hAnsi="Arial" w:cs="Arial"/>
                <w:sz w:val="16"/>
                <w:szCs w:val="16"/>
              </w:rPr>
            </w:pPr>
            <w:r w:rsidRPr="007B6E09">
              <w:rPr>
                <w:rFonts w:ascii="Arial" w:hAnsi="Arial" w:cs="Arial"/>
                <w:sz w:val="16"/>
                <w:szCs w:val="16"/>
              </w:rPr>
              <w:t>2023-24</w:t>
            </w:r>
            <w:r w:rsidRPr="007B6E09">
              <w:rPr>
                <w:rFonts w:ascii="Arial" w:hAnsi="Arial" w:cs="Arial"/>
                <w:sz w:val="16"/>
                <w:szCs w:val="16"/>
              </w:rPr>
              <w:br/>
              <w:t>Forward estimate</w:t>
            </w:r>
            <w:r w:rsidRPr="007B6E09">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32D4EB9C" w14:textId="77777777" w:rsidR="00B91F3E" w:rsidRPr="007B6E09" w:rsidRDefault="00B91F3E" w:rsidP="00F96D8A">
            <w:pPr>
              <w:spacing w:after="0" w:line="240" w:lineRule="auto"/>
              <w:jc w:val="right"/>
              <w:rPr>
                <w:rFonts w:ascii="Arial" w:hAnsi="Arial" w:cs="Arial"/>
                <w:sz w:val="16"/>
                <w:szCs w:val="16"/>
              </w:rPr>
            </w:pPr>
            <w:r w:rsidRPr="007B6E09">
              <w:rPr>
                <w:rFonts w:ascii="Arial" w:hAnsi="Arial" w:cs="Arial"/>
                <w:sz w:val="16"/>
                <w:szCs w:val="16"/>
              </w:rPr>
              <w:t>2024-25</w:t>
            </w:r>
            <w:r w:rsidRPr="007B6E09">
              <w:rPr>
                <w:rFonts w:ascii="Arial" w:hAnsi="Arial" w:cs="Arial"/>
                <w:sz w:val="16"/>
                <w:szCs w:val="16"/>
              </w:rPr>
              <w:br/>
              <w:t>Forward estimate</w:t>
            </w:r>
            <w:r w:rsidRPr="007B6E09">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2D5F8D86" w14:textId="77777777" w:rsidR="00B91F3E" w:rsidRPr="007B6E09" w:rsidRDefault="00B91F3E" w:rsidP="00F96D8A">
            <w:pPr>
              <w:spacing w:after="0" w:line="240" w:lineRule="auto"/>
              <w:jc w:val="right"/>
              <w:rPr>
                <w:rFonts w:ascii="Arial" w:hAnsi="Arial" w:cs="Arial"/>
                <w:sz w:val="16"/>
                <w:szCs w:val="16"/>
              </w:rPr>
            </w:pPr>
            <w:r w:rsidRPr="007B6E09">
              <w:rPr>
                <w:rFonts w:ascii="Arial" w:hAnsi="Arial" w:cs="Arial"/>
                <w:sz w:val="16"/>
                <w:szCs w:val="16"/>
              </w:rPr>
              <w:t>2025-26</w:t>
            </w:r>
            <w:r w:rsidRPr="007B6E09">
              <w:rPr>
                <w:rFonts w:ascii="Arial" w:hAnsi="Arial" w:cs="Arial"/>
                <w:sz w:val="16"/>
                <w:szCs w:val="16"/>
              </w:rPr>
              <w:br/>
              <w:t>Forward estimate</w:t>
            </w:r>
            <w:r w:rsidRPr="007B6E09">
              <w:rPr>
                <w:rFonts w:ascii="Arial" w:hAnsi="Arial" w:cs="Arial"/>
                <w:sz w:val="16"/>
                <w:szCs w:val="16"/>
              </w:rPr>
              <w:br/>
              <w:t>$'000</w:t>
            </w:r>
          </w:p>
        </w:tc>
      </w:tr>
      <w:tr w:rsidR="00B91F3E" w:rsidRPr="007B6E09" w14:paraId="222F181B" w14:textId="77777777" w:rsidTr="00F96D8A">
        <w:trPr>
          <w:trHeight w:val="204"/>
        </w:trPr>
        <w:tc>
          <w:tcPr>
            <w:tcW w:w="2552" w:type="dxa"/>
            <w:tcBorders>
              <w:top w:val="nil"/>
              <w:left w:val="nil"/>
              <w:bottom w:val="nil"/>
              <w:right w:val="nil"/>
            </w:tcBorders>
            <w:shd w:val="clear" w:color="auto" w:fill="auto"/>
            <w:noWrap/>
            <w:vAlign w:val="bottom"/>
            <w:hideMark/>
          </w:tcPr>
          <w:p w14:paraId="35F49D39" w14:textId="77777777" w:rsidR="00B91F3E" w:rsidRPr="007B6E09" w:rsidRDefault="00B91F3E" w:rsidP="00F96D8A">
            <w:pPr>
              <w:spacing w:after="0" w:line="240" w:lineRule="auto"/>
              <w:jc w:val="left"/>
              <w:rPr>
                <w:rFonts w:ascii="Arial" w:hAnsi="Arial" w:cs="Arial"/>
                <w:b/>
                <w:bCs/>
                <w:color w:val="000000"/>
                <w:sz w:val="16"/>
                <w:szCs w:val="16"/>
              </w:rPr>
            </w:pPr>
            <w:r w:rsidRPr="007B6E09">
              <w:rPr>
                <w:rFonts w:ascii="Arial" w:hAnsi="Arial" w:cs="Arial"/>
                <w:b/>
                <w:bCs/>
                <w:color w:val="000000"/>
                <w:sz w:val="16"/>
                <w:szCs w:val="16"/>
              </w:rPr>
              <w:t xml:space="preserve">ASSETS </w:t>
            </w:r>
          </w:p>
        </w:tc>
        <w:tc>
          <w:tcPr>
            <w:tcW w:w="1017" w:type="dxa"/>
            <w:tcBorders>
              <w:top w:val="nil"/>
              <w:left w:val="nil"/>
              <w:bottom w:val="nil"/>
              <w:right w:val="nil"/>
            </w:tcBorders>
            <w:shd w:val="clear" w:color="auto" w:fill="auto"/>
            <w:noWrap/>
            <w:vAlign w:val="bottom"/>
            <w:hideMark/>
          </w:tcPr>
          <w:p w14:paraId="044072B8" w14:textId="77777777" w:rsidR="00B91F3E" w:rsidRPr="00722716" w:rsidRDefault="00B91F3E" w:rsidP="00F96D8A">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377DBC9C" w14:textId="77777777" w:rsidR="00B91F3E" w:rsidRPr="00722716" w:rsidRDefault="00B91F3E" w:rsidP="00F96D8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DB97640" w14:textId="77777777" w:rsidR="00B91F3E" w:rsidRPr="00722716" w:rsidRDefault="00B91F3E" w:rsidP="00F96D8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EFA5D52" w14:textId="77777777" w:rsidR="00B91F3E" w:rsidRPr="00722716" w:rsidRDefault="00B91F3E" w:rsidP="00F96D8A">
            <w:pPr>
              <w:spacing w:after="0" w:line="240" w:lineRule="auto"/>
              <w:jc w:val="right"/>
              <w:rPr>
                <w:rFonts w:ascii="Times New Roman" w:hAnsi="Times New Roman"/>
                <w:sz w:val="16"/>
                <w:szCs w:val="16"/>
              </w:rPr>
            </w:pPr>
          </w:p>
        </w:tc>
        <w:tc>
          <w:tcPr>
            <w:tcW w:w="1017" w:type="dxa"/>
            <w:tcBorders>
              <w:top w:val="nil"/>
              <w:left w:val="nil"/>
              <w:bottom w:val="nil"/>
              <w:right w:val="nil"/>
            </w:tcBorders>
            <w:shd w:val="clear" w:color="auto" w:fill="auto"/>
            <w:noWrap/>
            <w:vAlign w:val="bottom"/>
            <w:hideMark/>
          </w:tcPr>
          <w:p w14:paraId="65DB1E87" w14:textId="77777777" w:rsidR="00B91F3E" w:rsidRPr="00722716" w:rsidRDefault="00B91F3E" w:rsidP="00F96D8A">
            <w:pPr>
              <w:spacing w:after="0" w:line="240" w:lineRule="auto"/>
              <w:jc w:val="right"/>
              <w:rPr>
                <w:rFonts w:ascii="Times New Roman" w:hAnsi="Times New Roman"/>
                <w:sz w:val="16"/>
                <w:szCs w:val="16"/>
              </w:rPr>
            </w:pPr>
          </w:p>
        </w:tc>
      </w:tr>
      <w:tr w:rsidR="00DE2B0E" w:rsidRPr="007B6E09" w14:paraId="2AB0905D" w14:textId="77777777" w:rsidTr="00AF04BD">
        <w:trPr>
          <w:trHeight w:val="204"/>
        </w:trPr>
        <w:tc>
          <w:tcPr>
            <w:tcW w:w="2552" w:type="dxa"/>
            <w:tcBorders>
              <w:top w:val="nil"/>
              <w:left w:val="nil"/>
              <w:bottom w:val="nil"/>
              <w:right w:val="nil"/>
            </w:tcBorders>
            <w:shd w:val="clear" w:color="auto" w:fill="auto"/>
            <w:noWrap/>
            <w:vAlign w:val="center"/>
            <w:hideMark/>
          </w:tcPr>
          <w:p w14:paraId="03BC8F57" w14:textId="47E10A11" w:rsidR="00DE2B0E" w:rsidRPr="007B6E09" w:rsidRDefault="00DE2B0E" w:rsidP="00DE2B0E">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bottom"/>
            <w:hideMark/>
          </w:tcPr>
          <w:p w14:paraId="73D3B3AD" w14:textId="77777777" w:rsidR="00DE2B0E" w:rsidRPr="00722716" w:rsidRDefault="00DE2B0E" w:rsidP="00DE2B0E">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1BA0E118" w14:textId="1F4C016C"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17" w:type="dxa"/>
            <w:tcBorders>
              <w:top w:val="nil"/>
              <w:left w:val="nil"/>
              <w:bottom w:val="nil"/>
              <w:right w:val="nil"/>
            </w:tcBorders>
            <w:shd w:val="clear" w:color="auto" w:fill="auto"/>
            <w:noWrap/>
            <w:vAlign w:val="bottom"/>
            <w:hideMark/>
          </w:tcPr>
          <w:p w14:paraId="05E82945" w14:textId="77777777" w:rsidR="00DE2B0E" w:rsidRPr="00722716" w:rsidRDefault="00DE2B0E" w:rsidP="00DE2B0E">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683DD7C" w14:textId="77777777" w:rsidR="00DE2B0E" w:rsidRPr="00722716" w:rsidRDefault="00DE2B0E" w:rsidP="00DE2B0E">
            <w:pPr>
              <w:spacing w:after="0" w:line="240" w:lineRule="auto"/>
              <w:jc w:val="right"/>
              <w:rPr>
                <w:rFonts w:ascii="Times New Roman" w:hAnsi="Times New Roman"/>
                <w:sz w:val="16"/>
                <w:szCs w:val="16"/>
              </w:rPr>
            </w:pPr>
          </w:p>
        </w:tc>
        <w:tc>
          <w:tcPr>
            <w:tcW w:w="1017" w:type="dxa"/>
            <w:tcBorders>
              <w:top w:val="nil"/>
              <w:left w:val="nil"/>
              <w:bottom w:val="nil"/>
              <w:right w:val="nil"/>
            </w:tcBorders>
            <w:shd w:val="clear" w:color="auto" w:fill="auto"/>
            <w:noWrap/>
            <w:vAlign w:val="bottom"/>
            <w:hideMark/>
          </w:tcPr>
          <w:p w14:paraId="7BD4B855" w14:textId="77777777" w:rsidR="00DE2B0E" w:rsidRPr="00722716" w:rsidRDefault="00DE2B0E" w:rsidP="00DE2B0E">
            <w:pPr>
              <w:spacing w:after="0" w:line="240" w:lineRule="auto"/>
              <w:jc w:val="right"/>
              <w:rPr>
                <w:rFonts w:ascii="Times New Roman" w:hAnsi="Times New Roman"/>
                <w:sz w:val="16"/>
                <w:szCs w:val="16"/>
              </w:rPr>
            </w:pPr>
          </w:p>
        </w:tc>
      </w:tr>
      <w:tr w:rsidR="00DE2B0E" w:rsidRPr="007B6E09" w14:paraId="471254F9" w14:textId="77777777" w:rsidTr="00AF04BD">
        <w:trPr>
          <w:trHeight w:val="204"/>
        </w:trPr>
        <w:tc>
          <w:tcPr>
            <w:tcW w:w="2552" w:type="dxa"/>
            <w:tcBorders>
              <w:top w:val="nil"/>
              <w:left w:val="nil"/>
              <w:bottom w:val="nil"/>
              <w:right w:val="nil"/>
            </w:tcBorders>
            <w:shd w:val="clear" w:color="auto" w:fill="auto"/>
            <w:noWrap/>
            <w:vAlign w:val="center"/>
            <w:hideMark/>
          </w:tcPr>
          <w:p w14:paraId="529F0073" w14:textId="313965A3" w:rsidR="00DE2B0E" w:rsidRPr="007B6E09" w:rsidRDefault="00DE2B0E" w:rsidP="00DE2B0E">
            <w:pPr>
              <w:spacing w:after="0" w:line="240" w:lineRule="auto"/>
              <w:ind w:left="227"/>
              <w:jc w:val="left"/>
              <w:rPr>
                <w:rFonts w:ascii="Arial" w:hAnsi="Arial" w:cs="Arial"/>
                <w:sz w:val="16"/>
                <w:szCs w:val="16"/>
              </w:rPr>
            </w:pPr>
            <w:r>
              <w:rPr>
                <w:rFonts w:ascii="Arial" w:hAnsi="Arial" w:cs="Arial"/>
                <w:sz w:val="16"/>
                <w:szCs w:val="16"/>
              </w:rPr>
              <w:t>Cash and cash equivalents</w:t>
            </w:r>
          </w:p>
        </w:tc>
        <w:tc>
          <w:tcPr>
            <w:tcW w:w="1017" w:type="dxa"/>
            <w:tcBorders>
              <w:top w:val="nil"/>
              <w:left w:val="nil"/>
              <w:bottom w:val="nil"/>
              <w:right w:val="nil"/>
            </w:tcBorders>
            <w:shd w:val="clear" w:color="auto" w:fill="auto"/>
            <w:noWrap/>
            <w:vAlign w:val="bottom"/>
            <w:hideMark/>
          </w:tcPr>
          <w:p w14:paraId="38E10C40" w14:textId="5FD66D7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017" w:type="dxa"/>
            <w:tcBorders>
              <w:top w:val="nil"/>
              <w:left w:val="nil"/>
              <w:bottom w:val="nil"/>
              <w:right w:val="nil"/>
            </w:tcBorders>
            <w:shd w:val="clear" w:color="000000" w:fill="E6E6E6"/>
            <w:noWrap/>
            <w:vAlign w:val="bottom"/>
            <w:hideMark/>
          </w:tcPr>
          <w:p w14:paraId="2C9FD03D" w14:textId="0BB51A0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017" w:type="dxa"/>
            <w:tcBorders>
              <w:top w:val="nil"/>
              <w:left w:val="nil"/>
              <w:bottom w:val="nil"/>
              <w:right w:val="nil"/>
            </w:tcBorders>
            <w:shd w:val="clear" w:color="auto" w:fill="auto"/>
            <w:noWrap/>
            <w:vAlign w:val="bottom"/>
            <w:hideMark/>
          </w:tcPr>
          <w:p w14:paraId="0A047799" w14:textId="67852D2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017" w:type="dxa"/>
            <w:tcBorders>
              <w:top w:val="nil"/>
              <w:left w:val="nil"/>
              <w:bottom w:val="nil"/>
              <w:right w:val="nil"/>
            </w:tcBorders>
            <w:shd w:val="clear" w:color="auto" w:fill="auto"/>
            <w:noWrap/>
            <w:vAlign w:val="bottom"/>
            <w:hideMark/>
          </w:tcPr>
          <w:p w14:paraId="686CEE57" w14:textId="760A0E37"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017" w:type="dxa"/>
            <w:tcBorders>
              <w:top w:val="nil"/>
              <w:left w:val="nil"/>
              <w:bottom w:val="nil"/>
              <w:right w:val="nil"/>
            </w:tcBorders>
            <w:shd w:val="clear" w:color="auto" w:fill="auto"/>
            <w:noWrap/>
            <w:vAlign w:val="bottom"/>
            <w:hideMark/>
          </w:tcPr>
          <w:p w14:paraId="36005D91" w14:textId="24A4E78C"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r>
      <w:tr w:rsidR="00DE2B0E" w:rsidRPr="007B6E09" w14:paraId="58EB347B" w14:textId="77777777" w:rsidTr="00AF04BD">
        <w:trPr>
          <w:trHeight w:val="204"/>
        </w:trPr>
        <w:tc>
          <w:tcPr>
            <w:tcW w:w="2552" w:type="dxa"/>
            <w:tcBorders>
              <w:top w:val="nil"/>
              <w:left w:val="nil"/>
              <w:bottom w:val="nil"/>
              <w:right w:val="nil"/>
            </w:tcBorders>
            <w:shd w:val="clear" w:color="auto" w:fill="auto"/>
            <w:noWrap/>
            <w:vAlign w:val="center"/>
            <w:hideMark/>
          </w:tcPr>
          <w:p w14:paraId="2552B15F" w14:textId="578997BC" w:rsidR="00DE2B0E" w:rsidRPr="007B6E09" w:rsidRDefault="00DE2B0E" w:rsidP="00DE2B0E">
            <w:pPr>
              <w:spacing w:after="0" w:line="240" w:lineRule="auto"/>
              <w:ind w:left="227"/>
              <w:jc w:val="left"/>
              <w:rPr>
                <w:rFonts w:ascii="Arial" w:hAnsi="Arial" w:cs="Arial"/>
                <w:sz w:val="16"/>
                <w:szCs w:val="16"/>
              </w:rPr>
            </w:pPr>
            <w:r>
              <w:rPr>
                <w:rFonts w:ascii="Arial" w:hAnsi="Arial" w:cs="Arial"/>
                <w:sz w:val="16"/>
                <w:szCs w:val="16"/>
              </w:rPr>
              <w:t>Receivables</w:t>
            </w:r>
          </w:p>
        </w:tc>
        <w:tc>
          <w:tcPr>
            <w:tcW w:w="1017" w:type="dxa"/>
            <w:tcBorders>
              <w:top w:val="nil"/>
              <w:left w:val="nil"/>
              <w:bottom w:val="nil"/>
              <w:right w:val="nil"/>
            </w:tcBorders>
            <w:shd w:val="clear" w:color="auto" w:fill="auto"/>
            <w:noWrap/>
            <w:vAlign w:val="bottom"/>
            <w:hideMark/>
          </w:tcPr>
          <w:p w14:paraId="706B45FA" w14:textId="0A25F8F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10,206,117 </w:t>
            </w:r>
          </w:p>
        </w:tc>
        <w:tc>
          <w:tcPr>
            <w:tcW w:w="1017" w:type="dxa"/>
            <w:tcBorders>
              <w:top w:val="nil"/>
              <w:left w:val="nil"/>
              <w:bottom w:val="nil"/>
              <w:right w:val="nil"/>
            </w:tcBorders>
            <w:shd w:val="clear" w:color="000000" w:fill="E6E6E6"/>
            <w:noWrap/>
            <w:vAlign w:val="bottom"/>
            <w:hideMark/>
          </w:tcPr>
          <w:p w14:paraId="5E687810" w14:textId="59CD7952"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10,947,474 </w:t>
            </w:r>
          </w:p>
        </w:tc>
        <w:tc>
          <w:tcPr>
            <w:tcW w:w="1017" w:type="dxa"/>
            <w:tcBorders>
              <w:top w:val="nil"/>
              <w:left w:val="nil"/>
              <w:bottom w:val="nil"/>
              <w:right w:val="nil"/>
            </w:tcBorders>
            <w:shd w:val="clear" w:color="auto" w:fill="auto"/>
            <w:noWrap/>
            <w:vAlign w:val="bottom"/>
            <w:hideMark/>
          </w:tcPr>
          <w:p w14:paraId="68D2DB8C" w14:textId="2AE5215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4,853,687 </w:t>
            </w:r>
          </w:p>
        </w:tc>
        <w:tc>
          <w:tcPr>
            <w:tcW w:w="1017" w:type="dxa"/>
            <w:tcBorders>
              <w:top w:val="nil"/>
              <w:left w:val="nil"/>
              <w:bottom w:val="nil"/>
              <w:right w:val="nil"/>
            </w:tcBorders>
            <w:shd w:val="clear" w:color="auto" w:fill="auto"/>
            <w:noWrap/>
            <w:vAlign w:val="bottom"/>
            <w:hideMark/>
          </w:tcPr>
          <w:p w14:paraId="7C3D6C9D" w14:textId="67E7CC8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5,975,942 </w:t>
            </w:r>
          </w:p>
        </w:tc>
        <w:tc>
          <w:tcPr>
            <w:tcW w:w="1017" w:type="dxa"/>
            <w:tcBorders>
              <w:top w:val="nil"/>
              <w:left w:val="nil"/>
              <w:bottom w:val="nil"/>
              <w:right w:val="nil"/>
            </w:tcBorders>
            <w:shd w:val="clear" w:color="auto" w:fill="auto"/>
            <w:noWrap/>
            <w:vAlign w:val="bottom"/>
            <w:hideMark/>
          </w:tcPr>
          <w:p w14:paraId="5B7CAC4F" w14:textId="51C4C3B1"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6,477,641 </w:t>
            </w:r>
          </w:p>
        </w:tc>
      </w:tr>
      <w:tr w:rsidR="00DE2B0E" w:rsidRPr="007B6E09" w14:paraId="2B770494" w14:textId="77777777" w:rsidTr="00AF04BD">
        <w:trPr>
          <w:trHeight w:val="204"/>
        </w:trPr>
        <w:tc>
          <w:tcPr>
            <w:tcW w:w="2552" w:type="dxa"/>
            <w:tcBorders>
              <w:top w:val="nil"/>
              <w:left w:val="nil"/>
              <w:bottom w:val="nil"/>
              <w:right w:val="nil"/>
            </w:tcBorders>
            <w:shd w:val="clear" w:color="auto" w:fill="auto"/>
            <w:noWrap/>
            <w:vAlign w:val="center"/>
            <w:hideMark/>
          </w:tcPr>
          <w:p w14:paraId="52492E18" w14:textId="47F9D062" w:rsidR="00DE2B0E" w:rsidRPr="007B6E09" w:rsidRDefault="00DE2B0E" w:rsidP="00DE2B0E">
            <w:pPr>
              <w:spacing w:after="0" w:line="240" w:lineRule="auto"/>
              <w:ind w:left="227"/>
              <w:jc w:val="left"/>
              <w:rPr>
                <w:rFonts w:ascii="Arial" w:hAnsi="Arial" w:cs="Arial"/>
                <w:color w:val="000000"/>
                <w:sz w:val="16"/>
                <w:szCs w:val="16"/>
              </w:rPr>
            </w:pPr>
            <w:r>
              <w:rPr>
                <w:rFonts w:ascii="Arial" w:hAnsi="Arial" w:cs="Arial"/>
                <w:color w:val="000000"/>
                <w:sz w:val="16"/>
                <w:szCs w:val="16"/>
              </w:rPr>
              <w:t>Other investments</w:t>
            </w:r>
          </w:p>
        </w:tc>
        <w:tc>
          <w:tcPr>
            <w:tcW w:w="1017" w:type="dxa"/>
            <w:tcBorders>
              <w:top w:val="nil"/>
              <w:left w:val="nil"/>
              <w:bottom w:val="nil"/>
              <w:right w:val="nil"/>
            </w:tcBorders>
            <w:shd w:val="clear" w:color="auto" w:fill="auto"/>
            <w:noWrap/>
            <w:vAlign w:val="bottom"/>
            <w:hideMark/>
          </w:tcPr>
          <w:p w14:paraId="5C7A3FA2" w14:textId="2DBB439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37,868,736 </w:t>
            </w:r>
          </w:p>
        </w:tc>
        <w:tc>
          <w:tcPr>
            <w:tcW w:w="1017" w:type="dxa"/>
            <w:tcBorders>
              <w:top w:val="nil"/>
              <w:left w:val="nil"/>
              <w:bottom w:val="nil"/>
              <w:right w:val="nil"/>
            </w:tcBorders>
            <w:shd w:val="clear" w:color="000000" w:fill="E6E6E6"/>
            <w:noWrap/>
            <w:vAlign w:val="bottom"/>
            <w:hideMark/>
          </w:tcPr>
          <w:p w14:paraId="58E81FCA" w14:textId="0898DF33"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43,120,375 </w:t>
            </w:r>
          </w:p>
        </w:tc>
        <w:tc>
          <w:tcPr>
            <w:tcW w:w="1017" w:type="dxa"/>
            <w:tcBorders>
              <w:top w:val="nil"/>
              <w:left w:val="nil"/>
              <w:bottom w:val="nil"/>
              <w:right w:val="nil"/>
            </w:tcBorders>
            <w:shd w:val="clear" w:color="auto" w:fill="auto"/>
            <w:noWrap/>
            <w:vAlign w:val="bottom"/>
            <w:hideMark/>
          </w:tcPr>
          <w:p w14:paraId="5C185E79" w14:textId="72E9158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47,614,893 </w:t>
            </w:r>
          </w:p>
        </w:tc>
        <w:tc>
          <w:tcPr>
            <w:tcW w:w="1017" w:type="dxa"/>
            <w:tcBorders>
              <w:top w:val="nil"/>
              <w:left w:val="nil"/>
              <w:bottom w:val="nil"/>
              <w:right w:val="nil"/>
            </w:tcBorders>
            <w:shd w:val="clear" w:color="auto" w:fill="auto"/>
            <w:noWrap/>
            <w:vAlign w:val="bottom"/>
            <w:hideMark/>
          </w:tcPr>
          <w:p w14:paraId="2DED3CD9" w14:textId="4C5073B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52,058,929 </w:t>
            </w:r>
          </w:p>
        </w:tc>
        <w:tc>
          <w:tcPr>
            <w:tcW w:w="1017" w:type="dxa"/>
            <w:tcBorders>
              <w:top w:val="nil"/>
              <w:left w:val="nil"/>
              <w:bottom w:val="nil"/>
              <w:right w:val="nil"/>
            </w:tcBorders>
            <w:shd w:val="clear" w:color="auto" w:fill="auto"/>
            <w:noWrap/>
            <w:vAlign w:val="bottom"/>
            <w:hideMark/>
          </w:tcPr>
          <w:p w14:paraId="01441219" w14:textId="20C2959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54,905,288 </w:t>
            </w:r>
          </w:p>
        </w:tc>
      </w:tr>
      <w:tr w:rsidR="00DE2B0E" w:rsidRPr="007B6E09" w14:paraId="62DE362D" w14:textId="77777777" w:rsidTr="00AF04BD">
        <w:trPr>
          <w:trHeight w:val="204"/>
        </w:trPr>
        <w:tc>
          <w:tcPr>
            <w:tcW w:w="2552" w:type="dxa"/>
            <w:tcBorders>
              <w:top w:val="nil"/>
              <w:left w:val="nil"/>
              <w:bottom w:val="nil"/>
              <w:right w:val="nil"/>
            </w:tcBorders>
            <w:shd w:val="clear" w:color="auto" w:fill="auto"/>
            <w:noWrap/>
            <w:vAlign w:val="center"/>
            <w:hideMark/>
          </w:tcPr>
          <w:p w14:paraId="0FF75DCA" w14:textId="326DF97C" w:rsidR="00DE2B0E" w:rsidRPr="007B6E09" w:rsidRDefault="00DE2B0E" w:rsidP="00DE2B0E">
            <w:pPr>
              <w:spacing w:after="0" w:line="240" w:lineRule="auto"/>
              <w:ind w:left="227"/>
              <w:jc w:val="left"/>
              <w:rPr>
                <w:rFonts w:ascii="Arial" w:hAnsi="Arial" w:cs="Arial"/>
                <w:color w:val="000000"/>
                <w:sz w:val="16"/>
                <w:szCs w:val="16"/>
              </w:rPr>
            </w:pPr>
            <w:r>
              <w:rPr>
                <w:rFonts w:ascii="Arial" w:hAnsi="Arial" w:cs="Arial"/>
                <w:color w:val="000000"/>
                <w:sz w:val="16"/>
                <w:szCs w:val="16"/>
              </w:rPr>
              <w:t>Other financial assets</w:t>
            </w:r>
          </w:p>
        </w:tc>
        <w:tc>
          <w:tcPr>
            <w:tcW w:w="1017" w:type="dxa"/>
            <w:tcBorders>
              <w:top w:val="nil"/>
              <w:left w:val="nil"/>
              <w:bottom w:val="nil"/>
              <w:right w:val="nil"/>
            </w:tcBorders>
            <w:shd w:val="clear" w:color="auto" w:fill="auto"/>
            <w:noWrap/>
            <w:vAlign w:val="bottom"/>
            <w:hideMark/>
          </w:tcPr>
          <w:p w14:paraId="1FD5B9F5" w14:textId="30EA43D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83,804 </w:t>
            </w:r>
          </w:p>
        </w:tc>
        <w:tc>
          <w:tcPr>
            <w:tcW w:w="1017" w:type="dxa"/>
            <w:tcBorders>
              <w:top w:val="nil"/>
              <w:left w:val="nil"/>
              <w:bottom w:val="nil"/>
              <w:right w:val="nil"/>
            </w:tcBorders>
            <w:shd w:val="clear" w:color="000000" w:fill="E6E6E6"/>
            <w:noWrap/>
            <w:vAlign w:val="bottom"/>
            <w:hideMark/>
          </w:tcPr>
          <w:p w14:paraId="654BA43C" w14:textId="6DF295A1"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83,804 </w:t>
            </w:r>
          </w:p>
        </w:tc>
        <w:tc>
          <w:tcPr>
            <w:tcW w:w="1017" w:type="dxa"/>
            <w:tcBorders>
              <w:top w:val="nil"/>
              <w:left w:val="nil"/>
              <w:bottom w:val="nil"/>
              <w:right w:val="nil"/>
            </w:tcBorders>
            <w:shd w:val="clear" w:color="auto" w:fill="auto"/>
            <w:noWrap/>
            <w:vAlign w:val="bottom"/>
            <w:hideMark/>
          </w:tcPr>
          <w:p w14:paraId="21E88B25" w14:textId="10FE7380"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83,804 </w:t>
            </w:r>
          </w:p>
        </w:tc>
        <w:tc>
          <w:tcPr>
            <w:tcW w:w="1017" w:type="dxa"/>
            <w:tcBorders>
              <w:top w:val="nil"/>
              <w:left w:val="nil"/>
              <w:bottom w:val="nil"/>
              <w:right w:val="nil"/>
            </w:tcBorders>
            <w:shd w:val="clear" w:color="auto" w:fill="auto"/>
            <w:noWrap/>
            <w:vAlign w:val="bottom"/>
            <w:hideMark/>
          </w:tcPr>
          <w:p w14:paraId="712ED777" w14:textId="302CF862"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83,804 </w:t>
            </w:r>
          </w:p>
        </w:tc>
        <w:tc>
          <w:tcPr>
            <w:tcW w:w="1017" w:type="dxa"/>
            <w:tcBorders>
              <w:top w:val="nil"/>
              <w:left w:val="nil"/>
              <w:bottom w:val="nil"/>
              <w:right w:val="nil"/>
            </w:tcBorders>
            <w:shd w:val="clear" w:color="auto" w:fill="auto"/>
            <w:noWrap/>
            <w:vAlign w:val="bottom"/>
            <w:hideMark/>
          </w:tcPr>
          <w:p w14:paraId="2D0CE5F2" w14:textId="1637BC1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83,804 </w:t>
            </w:r>
          </w:p>
        </w:tc>
      </w:tr>
      <w:tr w:rsidR="00DE2B0E" w:rsidRPr="00B37C70" w14:paraId="2268D1B6" w14:textId="77777777" w:rsidTr="00AF04BD">
        <w:trPr>
          <w:trHeight w:val="204"/>
        </w:trPr>
        <w:tc>
          <w:tcPr>
            <w:tcW w:w="2552" w:type="dxa"/>
            <w:tcBorders>
              <w:top w:val="nil"/>
              <w:left w:val="nil"/>
              <w:bottom w:val="nil"/>
              <w:right w:val="nil"/>
            </w:tcBorders>
            <w:shd w:val="clear" w:color="auto" w:fill="auto"/>
            <w:noWrap/>
            <w:vAlign w:val="center"/>
            <w:hideMark/>
          </w:tcPr>
          <w:p w14:paraId="01D13E35" w14:textId="5AAB0B28" w:rsidR="00DE2B0E" w:rsidRPr="00B37C70" w:rsidRDefault="00DE2B0E" w:rsidP="00DE2B0E">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noWrap/>
            <w:vAlign w:val="bottom"/>
            <w:hideMark/>
          </w:tcPr>
          <w:p w14:paraId="534C3345" w14:textId="6A9EDB79"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48,200,646 </w:t>
            </w:r>
          </w:p>
        </w:tc>
        <w:tc>
          <w:tcPr>
            <w:tcW w:w="1017" w:type="dxa"/>
            <w:tcBorders>
              <w:top w:val="single" w:sz="4" w:space="0" w:color="000000"/>
              <w:left w:val="nil"/>
              <w:bottom w:val="single" w:sz="4" w:space="0" w:color="000000"/>
              <w:right w:val="nil"/>
            </w:tcBorders>
            <w:shd w:val="clear" w:color="000000" w:fill="E6E6E6"/>
            <w:noWrap/>
            <w:vAlign w:val="bottom"/>
            <w:hideMark/>
          </w:tcPr>
          <w:p w14:paraId="2D57CADE" w14:textId="758CDDF2"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54,193,642 </w:t>
            </w:r>
          </w:p>
        </w:tc>
        <w:tc>
          <w:tcPr>
            <w:tcW w:w="1017" w:type="dxa"/>
            <w:tcBorders>
              <w:top w:val="single" w:sz="4" w:space="0" w:color="000000"/>
              <w:left w:val="nil"/>
              <w:bottom w:val="single" w:sz="4" w:space="0" w:color="000000"/>
              <w:right w:val="nil"/>
            </w:tcBorders>
            <w:shd w:val="clear" w:color="auto" w:fill="auto"/>
            <w:noWrap/>
            <w:vAlign w:val="bottom"/>
            <w:hideMark/>
          </w:tcPr>
          <w:p w14:paraId="1C0E673D" w14:textId="79478FDA"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52,594,373 </w:t>
            </w:r>
          </w:p>
        </w:tc>
        <w:tc>
          <w:tcPr>
            <w:tcW w:w="1017" w:type="dxa"/>
            <w:tcBorders>
              <w:top w:val="single" w:sz="4" w:space="0" w:color="000000"/>
              <w:left w:val="nil"/>
              <w:bottom w:val="single" w:sz="4" w:space="0" w:color="000000"/>
              <w:right w:val="nil"/>
            </w:tcBorders>
            <w:shd w:val="clear" w:color="auto" w:fill="auto"/>
            <w:noWrap/>
            <w:vAlign w:val="bottom"/>
            <w:hideMark/>
          </w:tcPr>
          <w:p w14:paraId="6F9B58AA" w14:textId="7CF7CD7E"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58,160,664 </w:t>
            </w:r>
          </w:p>
        </w:tc>
        <w:tc>
          <w:tcPr>
            <w:tcW w:w="1017" w:type="dxa"/>
            <w:tcBorders>
              <w:top w:val="single" w:sz="4" w:space="0" w:color="000000"/>
              <w:left w:val="nil"/>
              <w:bottom w:val="single" w:sz="4" w:space="0" w:color="000000"/>
              <w:right w:val="nil"/>
            </w:tcBorders>
            <w:shd w:val="clear" w:color="auto" w:fill="auto"/>
            <w:noWrap/>
            <w:vAlign w:val="bottom"/>
            <w:hideMark/>
          </w:tcPr>
          <w:p w14:paraId="35A552DE" w14:textId="31B4C192"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61,508,722 </w:t>
            </w:r>
          </w:p>
        </w:tc>
      </w:tr>
      <w:tr w:rsidR="00DE2B0E" w:rsidRPr="007B6E09" w14:paraId="2D2C7A0A" w14:textId="77777777" w:rsidTr="00AF04BD">
        <w:trPr>
          <w:trHeight w:val="204"/>
        </w:trPr>
        <w:tc>
          <w:tcPr>
            <w:tcW w:w="2552" w:type="dxa"/>
            <w:tcBorders>
              <w:top w:val="nil"/>
              <w:left w:val="nil"/>
              <w:bottom w:val="nil"/>
              <w:right w:val="nil"/>
            </w:tcBorders>
            <w:shd w:val="clear" w:color="auto" w:fill="auto"/>
            <w:noWrap/>
            <w:vAlign w:val="center"/>
            <w:hideMark/>
          </w:tcPr>
          <w:p w14:paraId="2A41FC66" w14:textId="1501D93C" w:rsidR="00DE2B0E" w:rsidRPr="007B6E09" w:rsidRDefault="00DE2B0E" w:rsidP="00DE2B0E">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noWrap/>
            <w:vAlign w:val="bottom"/>
            <w:hideMark/>
          </w:tcPr>
          <w:p w14:paraId="407CA142" w14:textId="77777777" w:rsidR="00DE2B0E" w:rsidRPr="00722716" w:rsidRDefault="00DE2B0E" w:rsidP="00DE2B0E">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08433067" w14:textId="02F79137"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17" w:type="dxa"/>
            <w:tcBorders>
              <w:top w:val="nil"/>
              <w:left w:val="nil"/>
              <w:bottom w:val="nil"/>
              <w:right w:val="nil"/>
            </w:tcBorders>
            <w:shd w:val="clear" w:color="auto" w:fill="auto"/>
            <w:noWrap/>
            <w:vAlign w:val="bottom"/>
            <w:hideMark/>
          </w:tcPr>
          <w:p w14:paraId="14A4A794" w14:textId="77777777" w:rsidR="00DE2B0E" w:rsidRPr="00722716" w:rsidRDefault="00DE2B0E" w:rsidP="00DE2B0E">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BBD892C" w14:textId="77777777" w:rsidR="00DE2B0E" w:rsidRPr="00722716" w:rsidRDefault="00DE2B0E" w:rsidP="00DE2B0E">
            <w:pPr>
              <w:spacing w:after="0" w:line="240" w:lineRule="auto"/>
              <w:jc w:val="right"/>
              <w:rPr>
                <w:rFonts w:ascii="Times New Roman" w:hAnsi="Times New Roman"/>
                <w:sz w:val="16"/>
                <w:szCs w:val="16"/>
              </w:rPr>
            </w:pPr>
          </w:p>
        </w:tc>
        <w:tc>
          <w:tcPr>
            <w:tcW w:w="1017" w:type="dxa"/>
            <w:tcBorders>
              <w:top w:val="nil"/>
              <w:left w:val="nil"/>
              <w:bottom w:val="nil"/>
              <w:right w:val="nil"/>
            </w:tcBorders>
            <w:shd w:val="clear" w:color="auto" w:fill="auto"/>
            <w:noWrap/>
            <w:vAlign w:val="bottom"/>
            <w:hideMark/>
          </w:tcPr>
          <w:p w14:paraId="01441D80" w14:textId="77777777" w:rsidR="00DE2B0E" w:rsidRPr="00722716" w:rsidRDefault="00DE2B0E" w:rsidP="00DE2B0E">
            <w:pPr>
              <w:spacing w:after="0" w:line="240" w:lineRule="auto"/>
              <w:jc w:val="right"/>
              <w:rPr>
                <w:rFonts w:ascii="Times New Roman" w:hAnsi="Times New Roman"/>
                <w:sz w:val="16"/>
                <w:szCs w:val="16"/>
              </w:rPr>
            </w:pPr>
          </w:p>
        </w:tc>
      </w:tr>
      <w:tr w:rsidR="00DE2B0E" w:rsidRPr="007B6E09" w14:paraId="64DE3410" w14:textId="77777777" w:rsidTr="00AF04BD">
        <w:trPr>
          <w:trHeight w:val="204"/>
        </w:trPr>
        <w:tc>
          <w:tcPr>
            <w:tcW w:w="2552" w:type="dxa"/>
            <w:tcBorders>
              <w:top w:val="nil"/>
              <w:left w:val="nil"/>
              <w:bottom w:val="nil"/>
              <w:right w:val="nil"/>
            </w:tcBorders>
            <w:shd w:val="clear" w:color="auto" w:fill="auto"/>
            <w:noWrap/>
            <w:vAlign w:val="center"/>
            <w:hideMark/>
          </w:tcPr>
          <w:p w14:paraId="1E529080" w14:textId="58B10BDF"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Land and buildings</w:t>
            </w:r>
          </w:p>
        </w:tc>
        <w:tc>
          <w:tcPr>
            <w:tcW w:w="1017" w:type="dxa"/>
            <w:tcBorders>
              <w:top w:val="nil"/>
              <w:left w:val="nil"/>
              <w:bottom w:val="nil"/>
              <w:right w:val="nil"/>
            </w:tcBorders>
            <w:shd w:val="clear" w:color="auto" w:fill="auto"/>
            <w:noWrap/>
            <w:vAlign w:val="bottom"/>
            <w:hideMark/>
          </w:tcPr>
          <w:p w14:paraId="607E4CB0" w14:textId="6A5C640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203,785 </w:t>
            </w:r>
          </w:p>
        </w:tc>
        <w:tc>
          <w:tcPr>
            <w:tcW w:w="1017" w:type="dxa"/>
            <w:tcBorders>
              <w:top w:val="nil"/>
              <w:left w:val="nil"/>
              <w:bottom w:val="nil"/>
              <w:right w:val="nil"/>
            </w:tcBorders>
            <w:shd w:val="clear" w:color="000000" w:fill="E6E6E6"/>
            <w:noWrap/>
            <w:vAlign w:val="bottom"/>
            <w:hideMark/>
          </w:tcPr>
          <w:p w14:paraId="6850D763" w14:textId="43CFC9E2"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200,589 </w:t>
            </w:r>
          </w:p>
        </w:tc>
        <w:tc>
          <w:tcPr>
            <w:tcW w:w="1017" w:type="dxa"/>
            <w:tcBorders>
              <w:top w:val="nil"/>
              <w:left w:val="nil"/>
              <w:bottom w:val="nil"/>
              <w:right w:val="nil"/>
            </w:tcBorders>
            <w:shd w:val="clear" w:color="auto" w:fill="auto"/>
            <w:noWrap/>
            <w:vAlign w:val="bottom"/>
            <w:hideMark/>
          </w:tcPr>
          <w:p w14:paraId="0063D23A" w14:textId="04FA50F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206,638 </w:t>
            </w:r>
          </w:p>
        </w:tc>
        <w:tc>
          <w:tcPr>
            <w:tcW w:w="1017" w:type="dxa"/>
            <w:tcBorders>
              <w:top w:val="nil"/>
              <w:left w:val="nil"/>
              <w:bottom w:val="nil"/>
              <w:right w:val="nil"/>
            </w:tcBorders>
            <w:shd w:val="clear" w:color="auto" w:fill="auto"/>
            <w:noWrap/>
            <w:vAlign w:val="bottom"/>
            <w:hideMark/>
          </w:tcPr>
          <w:p w14:paraId="1084A5B5" w14:textId="31DB923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197,544 </w:t>
            </w:r>
          </w:p>
        </w:tc>
        <w:tc>
          <w:tcPr>
            <w:tcW w:w="1017" w:type="dxa"/>
            <w:tcBorders>
              <w:top w:val="nil"/>
              <w:left w:val="nil"/>
              <w:bottom w:val="nil"/>
              <w:right w:val="nil"/>
            </w:tcBorders>
            <w:shd w:val="clear" w:color="auto" w:fill="auto"/>
            <w:noWrap/>
            <w:vAlign w:val="bottom"/>
            <w:hideMark/>
          </w:tcPr>
          <w:p w14:paraId="4BD5D1CB" w14:textId="69FDF3D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190,103 </w:t>
            </w:r>
          </w:p>
        </w:tc>
      </w:tr>
      <w:tr w:rsidR="00DE2B0E" w:rsidRPr="007B6E09" w14:paraId="0C0444EE" w14:textId="77777777" w:rsidTr="00AF04BD">
        <w:trPr>
          <w:trHeight w:val="204"/>
        </w:trPr>
        <w:tc>
          <w:tcPr>
            <w:tcW w:w="2552" w:type="dxa"/>
            <w:tcBorders>
              <w:top w:val="nil"/>
              <w:left w:val="nil"/>
              <w:bottom w:val="nil"/>
              <w:right w:val="nil"/>
            </w:tcBorders>
            <w:shd w:val="clear" w:color="auto" w:fill="auto"/>
            <w:noWrap/>
            <w:vAlign w:val="center"/>
            <w:hideMark/>
          </w:tcPr>
          <w:p w14:paraId="3B803BA1" w14:textId="27049119"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Property, plant and equipment</w:t>
            </w:r>
          </w:p>
        </w:tc>
        <w:tc>
          <w:tcPr>
            <w:tcW w:w="1017" w:type="dxa"/>
            <w:tcBorders>
              <w:top w:val="nil"/>
              <w:left w:val="nil"/>
              <w:bottom w:val="nil"/>
              <w:right w:val="nil"/>
            </w:tcBorders>
            <w:shd w:val="clear" w:color="auto" w:fill="auto"/>
            <w:noWrap/>
            <w:vAlign w:val="bottom"/>
            <w:hideMark/>
          </w:tcPr>
          <w:p w14:paraId="417C65F5" w14:textId="12067E7C"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450,953 </w:t>
            </w:r>
          </w:p>
        </w:tc>
        <w:tc>
          <w:tcPr>
            <w:tcW w:w="1017" w:type="dxa"/>
            <w:tcBorders>
              <w:top w:val="nil"/>
              <w:left w:val="nil"/>
              <w:bottom w:val="nil"/>
              <w:right w:val="nil"/>
            </w:tcBorders>
            <w:shd w:val="clear" w:color="000000" w:fill="E6E6E6"/>
            <w:noWrap/>
            <w:vAlign w:val="bottom"/>
            <w:hideMark/>
          </w:tcPr>
          <w:p w14:paraId="5C603301" w14:textId="117D57A0"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509,903 </w:t>
            </w:r>
          </w:p>
        </w:tc>
        <w:tc>
          <w:tcPr>
            <w:tcW w:w="1017" w:type="dxa"/>
            <w:tcBorders>
              <w:top w:val="nil"/>
              <w:left w:val="nil"/>
              <w:bottom w:val="nil"/>
              <w:right w:val="nil"/>
            </w:tcBorders>
            <w:shd w:val="clear" w:color="auto" w:fill="auto"/>
            <w:noWrap/>
            <w:vAlign w:val="bottom"/>
            <w:hideMark/>
          </w:tcPr>
          <w:p w14:paraId="7191A6BF" w14:textId="198C2DC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537,912 </w:t>
            </w:r>
          </w:p>
        </w:tc>
        <w:tc>
          <w:tcPr>
            <w:tcW w:w="1017" w:type="dxa"/>
            <w:tcBorders>
              <w:top w:val="nil"/>
              <w:left w:val="nil"/>
              <w:bottom w:val="nil"/>
              <w:right w:val="nil"/>
            </w:tcBorders>
            <w:shd w:val="clear" w:color="auto" w:fill="auto"/>
            <w:noWrap/>
            <w:vAlign w:val="bottom"/>
            <w:hideMark/>
          </w:tcPr>
          <w:p w14:paraId="7BB6D11D" w14:textId="141D087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539,959 </w:t>
            </w:r>
          </w:p>
        </w:tc>
        <w:tc>
          <w:tcPr>
            <w:tcW w:w="1017" w:type="dxa"/>
            <w:tcBorders>
              <w:top w:val="nil"/>
              <w:left w:val="nil"/>
              <w:bottom w:val="nil"/>
              <w:right w:val="nil"/>
            </w:tcBorders>
            <w:shd w:val="clear" w:color="auto" w:fill="auto"/>
            <w:noWrap/>
            <w:vAlign w:val="bottom"/>
            <w:hideMark/>
          </w:tcPr>
          <w:p w14:paraId="2F813CBF" w14:textId="57AB8E8F"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520,382 </w:t>
            </w:r>
          </w:p>
        </w:tc>
      </w:tr>
      <w:tr w:rsidR="00DE2B0E" w:rsidRPr="007B6E09" w14:paraId="62680D78" w14:textId="77777777" w:rsidTr="00AF04BD">
        <w:trPr>
          <w:trHeight w:val="204"/>
        </w:trPr>
        <w:tc>
          <w:tcPr>
            <w:tcW w:w="2552" w:type="dxa"/>
            <w:tcBorders>
              <w:top w:val="nil"/>
              <w:left w:val="nil"/>
              <w:bottom w:val="nil"/>
              <w:right w:val="nil"/>
            </w:tcBorders>
            <w:shd w:val="clear" w:color="auto" w:fill="auto"/>
            <w:noWrap/>
            <w:vAlign w:val="center"/>
            <w:hideMark/>
          </w:tcPr>
          <w:p w14:paraId="1AD51443" w14:textId="7DD0D31E"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Heritage and cultural assets</w:t>
            </w:r>
          </w:p>
        </w:tc>
        <w:tc>
          <w:tcPr>
            <w:tcW w:w="1017" w:type="dxa"/>
            <w:tcBorders>
              <w:top w:val="nil"/>
              <w:left w:val="nil"/>
              <w:bottom w:val="nil"/>
              <w:right w:val="nil"/>
            </w:tcBorders>
            <w:shd w:val="clear" w:color="auto" w:fill="auto"/>
            <w:noWrap/>
            <w:vAlign w:val="bottom"/>
            <w:hideMark/>
          </w:tcPr>
          <w:p w14:paraId="7B7711D9" w14:textId="6C7274A3"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172,345 </w:t>
            </w:r>
          </w:p>
        </w:tc>
        <w:tc>
          <w:tcPr>
            <w:tcW w:w="1017" w:type="dxa"/>
            <w:tcBorders>
              <w:top w:val="nil"/>
              <w:left w:val="nil"/>
              <w:bottom w:val="nil"/>
              <w:right w:val="nil"/>
            </w:tcBorders>
            <w:shd w:val="clear" w:color="000000" w:fill="E6E6E6"/>
            <w:noWrap/>
            <w:vAlign w:val="bottom"/>
            <w:hideMark/>
          </w:tcPr>
          <w:p w14:paraId="21F4A4ED" w14:textId="340ECE1B"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170,464 </w:t>
            </w:r>
          </w:p>
        </w:tc>
        <w:tc>
          <w:tcPr>
            <w:tcW w:w="1017" w:type="dxa"/>
            <w:tcBorders>
              <w:top w:val="nil"/>
              <w:left w:val="nil"/>
              <w:bottom w:val="nil"/>
              <w:right w:val="nil"/>
            </w:tcBorders>
            <w:shd w:val="clear" w:color="auto" w:fill="auto"/>
            <w:noWrap/>
            <w:vAlign w:val="bottom"/>
            <w:hideMark/>
          </w:tcPr>
          <w:p w14:paraId="4167CB93" w14:textId="6DB8521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168,582 </w:t>
            </w:r>
          </w:p>
        </w:tc>
        <w:tc>
          <w:tcPr>
            <w:tcW w:w="1017" w:type="dxa"/>
            <w:tcBorders>
              <w:top w:val="nil"/>
              <w:left w:val="nil"/>
              <w:bottom w:val="nil"/>
              <w:right w:val="nil"/>
            </w:tcBorders>
            <w:shd w:val="clear" w:color="auto" w:fill="auto"/>
            <w:noWrap/>
            <w:vAlign w:val="bottom"/>
            <w:hideMark/>
          </w:tcPr>
          <w:p w14:paraId="45F99813" w14:textId="706E88D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167,782 </w:t>
            </w:r>
          </w:p>
        </w:tc>
        <w:tc>
          <w:tcPr>
            <w:tcW w:w="1017" w:type="dxa"/>
            <w:tcBorders>
              <w:top w:val="nil"/>
              <w:left w:val="nil"/>
              <w:bottom w:val="nil"/>
              <w:right w:val="nil"/>
            </w:tcBorders>
            <w:shd w:val="clear" w:color="auto" w:fill="auto"/>
            <w:noWrap/>
            <w:vAlign w:val="bottom"/>
            <w:hideMark/>
          </w:tcPr>
          <w:p w14:paraId="134BEA4B" w14:textId="2AC7AF21"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165,345 </w:t>
            </w:r>
          </w:p>
        </w:tc>
      </w:tr>
      <w:tr w:rsidR="00DE2B0E" w:rsidRPr="007B6E09" w14:paraId="2ABA5322" w14:textId="77777777" w:rsidTr="00AF04BD">
        <w:trPr>
          <w:trHeight w:val="204"/>
        </w:trPr>
        <w:tc>
          <w:tcPr>
            <w:tcW w:w="2552" w:type="dxa"/>
            <w:tcBorders>
              <w:top w:val="nil"/>
              <w:left w:val="nil"/>
              <w:bottom w:val="nil"/>
              <w:right w:val="nil"/>
            </w:tcBorders>
            <w:shd w:val="clear" w:color="auto" w:fill="auto"/>
            <w:noWrap/>
            <w:vAlign w:val="center"/>
            <w:hideMark/>
          </w:tcPr>
          <w:p w14:paraId="4CD9A6B6" w14:textId="26ACF49D"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Intangibles</w:t>
            </w:r>
          </w:p>
        </w:tc>
        <w:tc>
          <w:tcPr>
            <w:tcW w:w="1017" w:type="dxa"/>
            <w:tcBorders>
              <w:top w:val="nil"/>
              <w:left w:val="nil"/>
              <w:bottom w:val="nil"/>
              <w:right w:val="nil"/>
            </w:tcBorders>
            <w:shd w:val="clear" w:color="auto" w:fill="auto"/>
            <w:noWrap/>
            <w:vAlign w:val="bottom"/>
            <w:hideMark/>
          </w:tcPr>
          <w:p w14:paraId="54DD6018" w14:textId="76C8C03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6,749 </w:t>
            </w:r>
          </w:p>
        </w:tc>
        <w:tc>
          <w:tcPr>
            <w:tcW w:w="1017" w:type="dxa"/>
            <w:tcBorders>
              <w:top w:val="nil"/>
              <w:left w:val="nil"/>
              <w:bottom w:val="nil"/>
              <w:right w:val="nil"/>
            </w:tcBorders>
            <w:shd w:val="clear" w:color="000000" w:fill="E6E6E6"/>
            <w:noWrap/>
            <w:vAlign w:val="bottom"/>
            <w:hideMark/>
          </w:tcPr>
          <w:p w14:paraId="4BBC599A" w14:textId="616715B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6,749 </w:t>
            </w:r>
          </w:p>
        </w:tc>
        <w:tc>
          <w:tcPr>
            <w:tcW w:w="1017" w:type="dxa"/>
            <w:tcBorders>
              <w:top w:val="nil"/>
              <w:left w:val="nil"/>
              <w:bottom w:val="nil"/>
              <w:right w:val="nil"/>
            </w:tcBorders>
            <w:shd w:val="clear" w:color="auto" w:fill="auto"/>
            <w:noWrap/>
            <w:vAlign w:val="bottom"/>
            <w:hideMark/>
          </w:tcPr>
          <w:p w14:paraId="13C63D78" w14:textId="46C23DC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6,749 </w:t>
            </w:r>
          </w:p>
        </w:tc>
        <w:tc>
          <w:tcPr>
            <w:tcW w:w="1017" w:type="dxa"/>
            <w:tcBorders>
              <w:top w:val="nil"/>
              <w:left w:val="nil"/>
              <w:bottom w:val="nil"/>
              <w:right w:val="nil"/>
            </w:tcBorders>
            <w:shd w:val="clear" w:color="auto" w:fill="auto"/>
            <w:noWrap/>
            <w:vAlign w:val="bottom"/>
            <w:hideMark/>
          </w:tcPr>
          <w:p w14:paraId="3730D3E0" w14:textId="6E5F6CF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6,749 </w:t>
            </w:r>
          </w:p>
        </w:tc>
        <w:tc>
          <w:tcPr>
            <w:tcW w:w="1017" w:type="dxa"/>
            <w:tcBorders>
              <w:top w:val="nil"/>
              <w:left w:val="nil"/>
              <w:bottom w:val="nil"/>
              <w:right w:val="nil"/>
            </w:tcBorders>
            <w:shd w:val="clear" w:color="auto" w:fill="auto"/>
            <w:noWrap/>
            <w:vAlign w:val="bottom"/>
            <w:hideMark/>
          </w:tcPr>
          <w:p w14:paraId="673D0373" w14:textId="26C680C2"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6,749 </w:t>
            </w:r>
          </w:p>
        </w:tc>
      </w:tr>
      <w:tr w:rsidR="00DE2B0E" w:rsidRPr="007B6E09" w14:paraId="0FBD14AE" w14:textId="77777777" w:rsidTr="00AF04BD">
        <w:trPr>
          <w:trHeight w:val="204"/>
        </w:trPr>
        <w:tc>
          <w:tcPr>
            <w:tcW w:w="2552" w:type="dxa"/>
            <w:tcBorders>
              <w:top w:val="nil"/>
              <w:left w:val="nil"/>
              <w:bottom w:val="nil"/>
              <w:right w:val="nil"/>
            </w:tcBorders>
            <w:shd w:val="clear" w:color="auto" w:fill="auto"/>
            <w:noWrap/>
            <w:vAlign w:val="center"/>
            <w:hideMark/>
          </w:tcPr>
          <w:p w14:paraId="4913F899" w14:textId="2D327994"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Inventories</w:t>
            </w:r>
          </w:p>
        </w:tc>
        <w:tc>
          <w:tcPr>
            <w:tcW w:w="1017" w:type="dxa"/>
            <w:tcBorders>
              <w:top w:val="nil"/>
              <w:left w:val="nil"/>
              <w:bottom w:val="nil"/>
              <w:right w:val="nil"/>
            </w:tcBorders>
            <w:shd w:val="clear" w:color="auto" w:fill="auto"/>
            <w:noWrap/>
            <w:vAlign w:val="bottom"/>
            <w:hideMark/>
          </w:tcPr>
          <w:p w14:paraId="1E34D6BB" w14:textId="2EA191B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2,732 </w:t>
            </w:r>
          </w:p>
        </w:tc>
        <w:tc>
          <w:tcPr>
            <w:tcW w:w="1017" w:type="dxa"/>
            <w:tcBorders>
              <w:top w:val="nil"/>
              <w:left w:val="nil"/>
              <w:bottom w:val="nil"/>
              <w:right w:val="nil"/>
            </w:tcBorders>
            <w:shd w:val="clear" w:color="000000" w:fill="E6E6E6"/>
            <w:noWrap/>
            <w:vAlign w:val="bottom"/>
            <w:hideMark/>
          </w:tcPr>
          <w:p w14:paraId="6C1E92E8" w14:textId="091FEA4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2,732 </w:t>
            </w:r>
          </w:p>
        </w:tc>
        <w:tc>
          <w:tcPr>
            <w:tcW w:w="1017" w:type="dxa"/>
            <w:tcBorders>
              <w:top w:val="nil"/>
              <w:left w:val="nil"/>
              <w:bottom w:val="nil"/>
              <w:right w:val="nil"/>
            </w:tcBorders>
            <w:shd w:val="clear" w:color="auto" w:fill="auto"/>
            <w:noWrap/>
            <w:vAlign w:val="bottom"/>
            <w:hideMark/>
          </w:tcPr>
          <w:p w14:paraId="6BF6B95A" w14:textId="3E79A21F"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2,732 </w:t>
            </w:r>
          </w:p>
        </w:tc>
        <w:tc>
          <w:tcPr>
            <w:tcW w:w="1017" w:type="dxa"/>
            <w:tcBorders>
              <w:top w:val="nil"/>
              <w:left w:val="nil"/>
              <w:bottom w:val="nil"/>
              <w:right w:val="nil"/>
            </w:tcBorders>
            <w:shd w:val="clear" w:color="auto" w:fill="auto"/>
            <w:noWrap/>
            <w:vAlign w:val="bottom"/>
            <w:hideMark/>
          </w:tcPr>
          <w:p w14:paraId="7331A143" w14:textId="3E4F4F6C"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2,732 </w:t>
            </w:r>
          </w:p>
        </w:tc>
        <w:tc>
          <w:tcPr>
            <w:tcW w:w="1017" w:type="dxa"/>
            <w:tcBorders>
              <w:top w:val="nil"/>
              <w:left w:val="nil"/>
              <w:bottom w:val="nil"/>
              <w:right w:val="nil"/>
            </w:tcBorders>
            <w:shd w:val="clear" w:color="auto" w:fill="auto"/>
            <w:noWrap/>
            <w:vAlign w:val="bottom"/>
            <w:hideMark/>
          </w:tcPr>
          <w:p w14:paraId="52047303" w14:textId="3058C1C1"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2,732 </w:t>
            </w:r>
          </w:p>
        </w:tc>
      </w:tr>
      <w:tr w:rsidR="00DE2B0E" w:rsidRPr="007B6E09" w14:paraId="0136032A" w14:textId="77777777" w:rsidTr="00AF04BD">
        <w:trPr>
          <w:trHeight w:val="204"/>
        </w:trPr>
        <w:tc>
          <w:tcPr>
            <w:tcW w:w="2552" w:type="dxa"/>
            <w:tcBorders>
              <w:top w:val="nil"/>
              <w:left w:val="nil"/>
              <w:bottom w:val="nil"/>
              <w:right w:val="nil"/>
            </w:tcBorders>
            <w:shd w:val="clear" w:color="auto" w:fill="auto"/>
            <w:noWrap/>
            <w:vAlign w:val="center"/>
            <w:hideMark/>
          </w:tcPr>
          <w:p w14:paraId="63CF21D6" w14:textId="2605309E"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Other non-financial assets</w:t>
            </w:r>
          </w:p>
        </w:tc>
        <w:tc>
          <w:tcPr>
            <w:tcW w:w="1017" w:type="dxa"/>
            <w:tcBorders>
              <w:top w:val="nil"/>
              <w:left w:val="nil"/>
              <w:bottom w:val="nil"/>
              <w:right w:val="nil"/>
            </w:tcBorders>
            <w:shd w:val="clear" w:color="auto" w:fill="auto"/>
            <w:noWrap/>
            <w:vAlign w:val="bottom"/>
            <w:hideMark/>
          </w:tcPr>
          <w:p w14:paraId="1C520BA6" w14:textId="61101A8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3,001 </w:t>
            </w:r>
          </w:p>
        </w:tc>
        <w:tc>
          <w:tcPr>
            <w:tcW w:w="1017" w:type="dxa"/>
            <w:tcBorders>
              <w:top w:val="nil"/>
              <w:left w:val="nil"/>
              <w:bottom w:val="nil"/>
              <w:right w:val="nil"/>
            </w:tcBorders>
            <w:shd w:val="clear" w:color="000000" w:fill="E6E6E6"/>
            <w:noWrap/>
            <w:vAlign w:val="bottom"/>
            <w:hideMark/>
          </w:tcPr>
          <w:p w14:paraId="1295B148" w14:textId="6403389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3,081 </w:t>
            </w:r>
          </w:p>
        </w:tc>
        <w:tc>
          <w:tcPr>
            <w:tcW w:w="1017" w:type="dxa"/>
            <w:tcBorders>
              <w:top w:val="nil"/>
              <w:left w:val="nil"/>
              <w:bottom w:val="nil"/>
              <w:right w:val="nil"/>
            </w:tcBorders>
            <w:shd w:val="clear" w:color="auto" w:fill="auto"/>
            <w:noWrap/>
            <w:vAlign w:val="bottom"/>
            <w:hideMark/>
          </w:tcPr>
          <w:p w14:paraId="13BEBFB2" w14:textId="61800A7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3,198 </w:t>
            </w:r>
          </w:p>
        </w:tc>
        <w:tc>
          <w:tcPr>
            <w:tcW w:w="1017" w:type="dxa"/>
            <w:tcBorders>
              <w:top w:val="nil"/>
              <w:left w:val="nil"/>
              <w:bottom w:val="nil"/>
              <w:right w:val="nil"/>
            </w:tcBorders>
            <w:shd w:val="clear" w:color="auto" w:fill="auto"/>
            <w:noWrap/>
            <w:vAlign w:val="bottom"/>
            <w:hideMark/>
          </w:tcPr>
          <w:p w14:paraId="17CCCD68" w14:textId="39569F2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3,165 </w:t>
            </w:r>
          </w:p>
        </w:tc>
        <w:tc>
          <w:tcPr>
            <w:tcW w:w="1017" w:type="dxa"/>
            <w:tcBorders>
              <w:top w:val="nil"/>
              <w:left w:val="nil"/>
              <w:bottom w:val="nil"/>
              <w:right w:val="nil"/>
            </w:tcBorders>
            <w:shd w:val="clear" w:color="auto" w:fill="auto"/>
            <w:noWrap/>
            <w:vAlign w:val="bottom"/>
            <w:hideMark/>
          </w:tcPr>
          <w:p w14:paraId="26F0DC09" w14:textId="74EB5DC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3,116 </w:t>
            </w:r>
          </w:p>
        </w:tc>
      </w:tr>
      <w:tr w:rsidR="00DE2B0E" w:rsidRPr="007B6E09" w14:paraId="0E3AB5A1" w14:textId="77777777" w:rsidTr="00AF04BD">
        <w:trPr>
          <w:trHeight w:val="204"/>
        </w:trPr>
        <w:tc>
          <w:tcPr>
            <w:tcW w:w="2552" w:type="dxa"/>
            <w:tcBorders>
              <w:top w:val="nil"/>
              <w:left w:val="nil"/>
              <w:bottom w:val="nil"/>
              <w:right w:val="nil"/>
            </w:tcBorders>
            <w:shd w:val="clear" w:color="auto" w:fill="auto"/>
            <w:noWrap/>
            <w:vAlign w:val="center"/>
            <w:hideMark/>
          </w:tcPr>
          <w:p w14:paraId="10241716" w14:textId="6B82B385" w:rsidR="00DE2B0E" w:rsidRPr="007B6E09" w:rsidRDefault="00DE2B0E" w:rsidP="00DE2B0E">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000000" w:fill="FFFFFF"/>
            <w:noWrap/>
            <w:vAlign w:val="bottom"/>
            <w:hideMark/>
          </w:tcPr>
          <w:p w14:paraId="53965CA4" w14:textId="4BCC7CAF"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839,565 </w:t>
            </w:r>
          </w:p>
        </w:tc>
        <w:tc>
          <w:tcPr>
            <w:tcW w:w="1017" w:type="dxa"/>
            <w:tcBorders>
              <w:top w:val="single" w:sz="4" w:space="0" w:color="000000"/>
              <w:left w:val="nil"/>
              <w:bottom w:val="single" w:sz="4" w:space="0" w:color="000000"/>
              <w:right w:val="nil"/>
            </w:tcBorders>
            <w:shd w:val="clear" w:color="000000" w:fill="E6E6E6"/>
            <w:noWrap/>
            <w:vAlign w:val="bottom"/>
            <w:hideMark/>
          </w:tcPr>
          <w:p w14:paraId="4A6CE704" w14:textId="459007CA"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893,518 </w:t>
            </w:r>
          </w:p>
        </w:tc>
        <w:tc>
          <w:tcPr>
            <w:tcW w:w="1017" w:type="dxa"/>
            <w:tcBorders>
              <w:top w:val="single" w:sz="4" w:space="0" w:color="000000"/>
              <w:left w:val="nil"/>
              <w:bottom w:val="single" w:sz="4" w:space="0" w:color="000000"/>
              <w:right w:val="nil"/>
            </w:tcBorders>
            <w:shd w:val="clear" w:color="auto" w:fill="auto"/>
            <w:noWrap/>
            <w:vAlign w:val="bottom"/>
            <w:hideMark/>
          </w:tcPr>
          <w:p w14:paraId="4EE7681B" w14:textId="0DCAD0AC"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925,811 </w:t>
            </w:r>
          </w:p>
        </w:tc>
        <w:tc>
          <w:tcPr>
            <w:tcW w:w="1017" w:type="dxa"/>
            <w:tcBorders>
              <w:top w:val="single" w:sz="4" w:space="0" w:color="000000"/>
              <w:left w:val="nil"/>
              <w:bottom w:val="single" w:sz="4" w:space="0" w:color="000000"/>
              <w:right w:val="nil"/>
            </w:tcBorders>
            <w:shd w:val="clear" w:color="auto" w:fill="auto"/>
            <w:noWrap/>
            <w:vAlign w:val="bottom"/>
            <w:hideMark/>
          </w:tcPr>
          <w:p w14:paraId="1E91C3FB" w14:textId="71644C34"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917,931 </w:t>
            </w:r>
          </w:p>
        </w:tc>
        <w:tc>
          <w:tcPr>
            <w:tcW w:w="1017" w:type="dxa"/>
            <w:tcBorders>
              <w:top w:val="single" w:sz="4" w:space="0" w:color="000000"/>
              <w:left w:val="nil"/>
              <w:bottom w:val="single" w:sz="4" w:space="0" w:color="000000"/>
              <w:right w:val="nil"/>
            </w:tcBorders>
            <w:shd w:val="clear" w:color="auto" w:fill="auto"/>
            <w:noWrap/>
            <w:vAlign w:val="bottom"/>
            <w:hideMark/>
          </w:tcPr>
          <w:p w14:paraId="59182470" w14:textId="4F0C1BEE"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888,427 </w:t>
            </w:r>
          </w:p>
        </w:tc>
      </w:tr>
      <w:tr w:rsidR="00DE2B0E" w:rsidRPr="007B6E09" w14:paraId="63017C4D" w14:textId="77777777" w:rsidTr="00AF04BD">
        <w:trPr>
          <w:trHeight w:val="204"/>
        </w:trPr>
        <w:tc>
          <w:tcPr>
            <w:tcW w:w="2552" w:type="dxa"/>
            <w:tcBorders>
              <w:top w:val="nil"/>
              <w:left w:val="nil"/>
              <w:bottom w:val="nil"/>
              <w:right w:val="nil"/>
            </w:tcBorders>
            <w:shd w:val="clear" w:color="auto" w:fill="auto"/>
            <w:vAlign w:val="center"/>
            <w:hideMark/>
          </w:tcPr>
          <w:p w14:paraId="4E5940CE" w14:textId="57DCBED2" w:rsidR="00DE2B0E" w:rsidRPr="007B6E09" w:rsidRDefault="00DE2B0E" w:rsidP="00DE2B0E">
            <w:pPr>
              <w:spacing w:after="0" w:line="240" w:lineRule="auto"/>
              <w:jc w:val="left"/>
              <w:rPr>
                <w:rFonts w:ascii="Arial" w:hAnsi="Arial" w:cs="Arial"/>
                <w:b/>
                <w:bCs/>
                <w:color w:val="000000"/>
                <w:sz w:val="16"/>
                <w:szCs w:val="16"/>
              </w:rPr>
            </w:pPr>
            <w:r>
              <w:rPr>
                <w:rFonts w:ascii="Arial" w:hAnsi="Arial" w:cs="Arial"/>
                <w:b/>
                <w:bCs/>
                <w:color w:val="000000"/>
                <w:sz w:val="16"/>
                <w:szCs w:val="16"/>
              </w:rPr>
              <w:t>Total assets administered on behalf of Government</w:t>
            </w:r>
          </w:p>
        </w:tc>
        <w:tc>
          <w:tcPr>
            <w:tcW w:w="1017" w:type="dxa"/>
            <w:tcBorders>
              <w:top w:val="single" w:sz="4" w:space="0" w:color="auto"/>
              <w:left w:val="nil"/>
              <w:bottom w:val="single" w:sz="4" w:space="0" w:color="auto"/>
              <w:right w:val="nil"/>
            </w:tcBorders>
            <w:shd w:val="clear" w:color="auto" w:fill="auto"/>
            <w:noWrap/>
            <w:vAlign w:val="bottom"/>
            <w:hideMark/>
          </w:tcPr>
          <w:p w14:paraId="5117F228" w14:textId="4644CC45"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49,040,211 </w:t>
            </w:r>
          </w:p>
        </w:tc>
        <w:tc>
          <w:tcPr>
            <w:tcW w:w="1017" w:type="dxa"/>
            <w:tcBorders>
              <w:top w:val="single" w:sz="4" w:space="0" w:color="auto"/>
              <w:left w:val="nil"/>
              <w:bottom w:val="single" w:sz="4" w:space="0" w:color="auto"/>
              <w:right w:val="nil"/>
            </w:tcBorders>
            <w:shd w:val="clear" w:color="000000" w:fill="E6E6E6"/>
            <w:noWrap/>
            <w:vAlign w:val="bottom"/>
            <w:hideMark/>
          </w:tcPr>
          <w:p w14:paraId="1EB1C1C6" w14:textId="0F8A0461"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55,087,160 </w:t>
            </w:r>
          </w:p>
        </w:tc>
        <w:tc>
          <w:tcPr>
            <w:tcW w:w="1017" w:type="dxa"/>
            <w:tcBorders>
              <w:top w:val="single" w:sz="4" w:space="0" w:color="auto"/>
              <w:left w:val="nil"/>
              <w:bottom w:val="single" w:sz="4" w:space="0" w:color="auto"/>
              <w:right w:val="nil"/>
            </w:tcBorders>
            <w:shd w:val="clear" w:color="auto" w:fill="auto"/>
            <w:noWrap/>
            <w:vAlign w:val="bottom"/>
            <w:hideMark/>
          </w:tcPr>
          <w:p w14:paraId="24638938" w14:textId="1199E16D"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53,520,184 </w:t>
            </w:r>
          </w:p>
        </w:tc>
        <w:tc>
          <w:tcPr>
            <w:tcW w:w="1017" w:type="dxa"/>
            <w:tcBorders>
              <w:top w:val="single" w:sz="4" w:space="0" w:color="auto"/>
              <w:left w:val="nil"/>
              <w:bottom w:val="single" w:sz="4" w:space="0" w:color="auto"/>
              <w:right w:val="nil"/>
            </w:tcBorders>
            <w:shd w:val="clear" w:color="auto" w:fill="auto"/>
            <w:noWrap/>
            <w:vAlign w:val="bottom"/>
            <w:hideMark/>
          </w:tcPr>
          <w:p w14:paraId="1993FD57" w14:textId="0FD7F8F7"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59,078,595 </w:t>
            </w:r>
          </w:p>
        </w:tc>
        <w:tc>
          <w:tcPr>
            <w:tcW w:w="1017" w:type="dxa"/>
            <w:tcBorders>
              <w:top w:val="single" w:sz="4" w:space="0" w:color="auto"/>
              <w:left w:val="nil"/>
              <w:bottom w:val="single" w:sz="4" w:space="0" w:color="auto"/>
              <w:right w:val="nil"/>
            </w:tcBorders>
            <w:shd w:val="clear" w:color="auto" w:fill="auto"/>
            <w:noWrap/>
            <w:vAlign w:val="bottom"/>
            <w:hideMark/>
          </w:tcPr>
          <w:p w14:paraId="5D6ABDD5" w14:textId="49C1015D"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62,397,149 </w:t>
            </w:r>
          </w:p>
        </w:tc>
      </w:tr>
      <w:tr w:rsidR="00DE2B0E" w:rsidRPr="007B6E09" w14:paraId="1D947D8C" w14:textId="77777777" w:rsidTr="00AF04BD">
        <w:trPr>
          <w:trHeight w:val="204"/>
        </w:trPr>
        <w:tc>
          <w:tcPr>
            <w:tcW w:w="2552" w:type="dxa"/>
            <w:tcBorders>
              <w:top w:val="nil"/>
              <w:left w:val="nil"/>
              <w:bottom w:val="nil"/>
              <w:right w:val="nil"/>
            </w:tcBorders>
            <w:shd w:val="clear" w:color="auto" w:fill="auto"/>
            <w:noWrap/>
            <w:vAlign w:val="center"/>
            <w:hideMark/>
          </w:tcPr>
          <w:p w14:paraId="4B0A93B4" w14:textId="12785FC0" w:rsidR="00DE2B0E" w:rsidRPr="007B6E09" w:rsidRDefault="00DE2B0E" w:rsidP="00DE2B0E">
            <w:pPr>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17" w:type="dxa"/>
            <w:tcBorders>
              <w:top w:val="nil"/>
              <w:left w:val="nil"/>
              <w:bottom w:val="nil"/>
              <w:right w:val="nil"/>
            </w:tcBorders>
            <w:shd w:val="clear" w:color="auto" w:fill="auto"/>
            <w:noWrap/>
            <w:vAlign w:val="bottom"/>
            <w:hideMark/>
          </w:tcPr>
          <w:p w14:paraId="6FD13249" w14:textId="77777777" w:rsidR="00DE2B0E" w:rsidRPr="00722716" w:rsidRDefault="00DE2B0E" w:rsidP="00DE2B0E">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478308D0" w14:textId="2EFDF98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17" w:type="dxa"/>
            <w:tcBorders>
              <w:top w:val="nil"/>
              <w:left w:val="nil"/>
              <w:bottom w:val="nil"/>
              <w:right w:val="nil"/>
            </w:tcBorders>
            <w:shd w:val="clear" w:color="auto" w:fill="auto"/>
            <w:noWrap/>
            <w:vAlign w:val="bottom"/>
            <w:hideMark/>
          </w:tcPr>
          <w:p w14:paraId="08F5FBCB" w14:textId="77777777" w:rsidR="00DE2B0E" w:rsidRPr="00722716" w:rsidRDefault="00DE2B0E" w:rsidP="00DE2B0E">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FC94142" w14:textId="77777777" w:rsidR="00DE2B0E" w:rsidRPr="00722716" w:rsidRDefault="00DE2B0E" w:rsidP="00DE2B0E">
            <w:pPr>
              <w:spacing w:after="0" w:line="240" w:lineRule="auto"/>
              <w:jc w:val="right"/>
              <w:rPr>
                <w:rFonts w:ascii="Times New Roman" w:hAnsi="Times New Roman"/>
                <w:sz w:val="16"/>
                <w:szCs w:val="16"/>
              </w:rPr>
            </w:pPr>
          </w:p>
        </w:tc>
        <w:tc>
          <w:tcPr>
            <w:tcW w:w="1017" w:type="dxa"/>
            <w:tcBorders>
              <w:top w:val="nil"/>
              <w:left w:val="nil"/>
              <w:bottom w:val="nil"/>
              <w:right w:val="nil"/>
            </w:tcBorders>
            <w:shd w:val="clear" w:color="auto" w:fill="auto"/>
            <w:noWrap/>
            <w:vAlign w:val="bottom"/>
            <w:hideMark/>
          </w:tcPr>
          <w:p w14:paraId="46D968C1" w14:textId="77777777" w:rsidR="00DE2B0E" w:rsidRPr="00722716" w:rsidRDefault="00DE2B0E" w:rsidP="00DE2B0E">
            <w:pPr>
              <w:spacing w:after="0" w:line="240" w:lineRule="auto"/>
              <w:jc w:val="right"/>
              <w:rPr>
                <w:rFonts w:ascii="Times New Roman" w:hAnsi="Times New Roman"/>
                <w:sz w:val="16"/>
                <w:szCs w:val="16"/>
              </w:rPr>
            </w:pPr>
          </w:p>
        </w:tc>
      </w:tr>
      <w:tr w:rsidR="00DE2B0E" w:rsidRPr="007B6E09" w14:paraId="76881021" w14:textId="77777777" w:rsidTr="00AF04BD">
        <w:trPr>
          <w:trHeight w:val="204"/>
        </w:trPr>
        <w:tc>
          <w:tcPr>
            <w:tcW w:w="2552" w:type="dxa"/>
            <w:tcBorders>
              <w:top w:val="nil"/>
              <w:left w:val="nil"/>
              <w:bottom w:val="nil"/>
              <w:right w:val="nil"/>
            </w:tcBorders>
            <w:shd w:val="clear" w:color="auto" w:fill="auto"/>
            <w:noWrap/>
            <w:vAlign w:val="center"/>
            <w:hideMark/>
          </w:tcPr>
          <w:p w14:paraId="64A117A2" w14:textId="0DD5845A" w:rsidR="00DE2B0E" w:rsidRPr="007B6E09" w:rsidRDefault="00DE2B0E" w:rsidP="00DE2B0E">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Payables</w:t>
            </w:r>
          </w:p>
        </w:tc>
        <w:tc>
          <w:tcPr>
            <w:tcW w:w="1017" w:type="dxa"/>
            <w:tcBorders>
              <w:top w:val="nil"/>
              <w:left w:val="nil"/>
              <w:bottom w:val="nil"/>
              <w:right w:val="nil"/>
            </w:tcBorders>
            <w:shd w:val="clear" w:color="auto" w:fill="auto"/>
            <w:noWrap/>
            <w:vAlign w:val="bottom"/>
            <w:hideMark/>
          </w:tcPr>
          <w:p w14:paraId="13148F66" w14:textId="77777777" w:rsidR="00DE2B0E" w:rsidRPr="00722716" w:rsidRDefault="00DE2B0E" w:rsidP="00DE2B0E">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16CE04F6" w14:textId="5343316F"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17" w:type="dxa"/>
            <w:tcBorders>
              <w:top w:val="nil"/>
              <w:left w:val="nil"/>
              <w:bottom w:val="nil"/>
              <w:right w:val="nil"/>
            </w:tcBorders>
            <w:shd w:val="clear" w:color="auto" w:fill="auto"/>
            <w:noWrap/>
            <w:vAlign w:val="bottom"/>
            <w:hideMark/>
          </w:tcPr>
          <w:p w14:paraId="78A12116" w14:textId="77777777" w:rsidR="00DE2B0E" w:rsidRPr="00722716" w:rsidRDefault="00DE2B0E" w:rsidP="00DE2B0E">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87F5362" w14:textId="77777777" w:rsidR="00DE2B0E" w:rsidRPr="00722716" w:rsidRDefault="00DE2B0E" w:rsidP="00DE2B0E">
            <w:pPr>
              <w:spacing w:after="0" w:line="240" w:lineRule="auto"/>
              <w:jc w:val="right"/>
              <w:rPr>
                <w:rFonts w:ascii="Times New Roman" w:hAnsi="Times New Roman"/>
                <w:sz w:val="16"/>
                <w:szCs w:val="16"/>
              </w:rPr>
            </w:pPr>
          </w:p>
        </w:tc>
        <w:tc>
          <w:tcPr>
            <w:tcW w:w="1017" w:type="dxa"/>
            <w:tcBorders>
              <w:top w:val="nil"/>
              <w:left w:val="nil"/>
              <w:bottom w:val="nil"/>
              <w:right w:val="nil"/>
            </w:tcBorders>
            <w:shd w:val="clear" w:color="auto" w:fill="auto"/>
            <w:noWrap/>
            <w:vAlign w:val="bottom"/>
            <w:hideMark/>
          </w:tcPr>
          <w:p w14:paraId="27AEC353" w14:textId="77777777" w:rsidR="00DE2B0E" w:rsidRPr="00722716" w:rsidRDefault="00DE2B0E" w:rsidP="00DE2B0E">
            <w:pPr>
              <w:spacing w:after="0" w:line="240" w:lineRule="auto"/>
              <w:jc w:val="right"/>
              <w:rPr>
                <w:rFonts w:ascii="Times New Roman" w:hAnsi="Times New Roman"/>
                <w:sz w:val="16"/>
                <w:szCs w:val="16"/>
              </w:rPr>
            </w:pPr>
          </w:p>
        </w:tc>
      </w:tr>
      <w:tr w:rsidR="00DE2B0E" w:rsidRPr="007B6E09" w14:paraId="11E88B74" w14:textId="77777777" w:rsidTr="00AF04BD">
        <w:trPr>
          <w:trHeight w:val="204"/>
        </w:trPr>
        <w:tc>
          <w:tcPr>
            <w:tcW w:w="2552" w:type="dxa"/>
            <w:tcBorders>
              <w:top w:val="nil"/>
              <w:left w:val="nil"/>
              <w:bottom w:val="nil"/>
              <w:right w:val="nil"/>
            </w:tcBorders>
            <w:shd w:val="clear" w:color="auto" w:fill="auto"/>
            <w:noWrap/>
            <w:vAlign w:val="center"/>
            <w:hideMark/>
          </w:tcPr>
          <w:p w14:paraId="5CDFBF0B" w14:textId="5EC3A611"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Suppliers</w:t>
            </w:r>
          </w:p>
        </w:tc>
        <w:tc>
          <w:tcPr>
            <w:tcW w:w="1017" w:type="dxa"/>
            <w:tcBorders>
              <w:top w:val="nil"/>
              <w:left w:val="nil"/>
              <w:bottom w:val="nil"/>
              <w:right w:val="nil"/>
            </w:tcBorders>
            <w:shd w:val="clear" w:color="auto" w:fill="auto"/>
            <w:noWrap/>
            <w:vAlign w:val="bottom"/>
            <w:hideMark/>
          </w:tcPr>
          <w:p w14:paraId="0EB0E8FC" w14:textId="6E6772EE"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362,671 </w:t>
            </w:r>
          </w:p>
        </w:tc>
        <w:tc>
          <w:tcPr>
            <w:tcW w:w="1017" w:type="dxa"/>
            <w:tcBorders>
              <w:top w:val="nil"/>
              <w:left w:val="nil"/>
              <w:bottom w:val="nil"/>
              <w:right w:val="nil"/>
            </w:tcBorders>
            <w:shd w:val="clear" w:color="000000" w:fill="E6E6E6"/>
            <w:noWrap/>
            <w:vAlign w:val="bottom"/>
            <w:hideMark/>
          </w:tcPr>
          <w:p w14:paraId="33E6B2CF" w14:textId="4EFA2BF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341,506 </w:t>
            </w:r>
          </w:p>
        </w:tc>
        <w:tc>
          <w:tcPr>
            <w:tcW w:w="1017" w:type="dxa"/>
            <w:tcBorders>
              <w:top w:val="nil"/>
              <w:left w:val="nil"/>
              <w:bottom w:val="nil"/>
              <w:right w:val="nil"/>
            </w:tcBorders>
            <w:shd w:val="clear" w:color="auto" w:fill="auto"/>
            <w:noWrap/>
            <w:vAlign w:val="bottom"/>
            <w:hideMark/>
          </w:tcPr>
          <w:p w14:paraId="34668FEF" w14:textId="1F96F03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295,636 </w:t>
            </w:r>
          </w:p>
        </w:tc>
        <w:tc>
          <w:tcPr>
            <w:tcW w:w="1017" w:type="dxa"/>
            <w:tcBorders>
              <w:top w:val="nil"/>
              <w:left w:val="nil"/>
              <w:bottom w:val="nil"/>
              <w:right w:val="nil"/>
            </w:tcBorders>
            <w:shd w:val="clear" w:color="auto" w:fill="auto"/>
            <w:noWrap/>
            <w:vAlign w:val="bottom"/>
            <w:hideMark/>
          </w:tcPr>
          <w:p w14:paraId="5DAC8A68" w14:textId="4DC72636"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288,076 </w:t>
            </w:r>
          </w:p>
        </w:tc>
        <w:tc>
          <w:tcPr>
            <w:tcW w:w="1017" w:type="dxa"/>
            <w:tcBorders>
              <w:top w:val="nil"/>
              <w:left w:val="nil"/>
              <w:bottom w:val="nil"/>
              <w:right w:val="nil"/>
            </w:tcBorders>
            <w:shd w:val="clear" w:color="auto" w:fill="auto"/>
            <w:noWrap/>
            <w:vAlign w:val="bottom"/>
            <w:hideMark/>
          </w:tcPr>
          <w:p w14:paraId="3F4695AB" w14:textId="7EBFCA9F"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287,966 </w:t>
            </w:r>
          </w:p>
        </w:tc>
      </w:tr>
      <w:tr w:rsidR="00DE2B0E" w:rsidRPr="007B6E09" w14:paraId="4929FA81" w14:textId="77777777" w:rsidTr="00AF04BD">
        <w:trPr>
          <w:trHeight w:val="204"/>
        </w:trPr>
        <w:tc>
          <w:tcPr>
            <w:tcW w:w="2552" w:type="dxa"/>
            <w:tcBorders>
              <w:top w:val="nil"/>
              <w:left w:val="nil"/>
              <w:bottom w:val="nil"/>
              <w:right w:val="nil"/>
            </w:tcBorders>
            <w:shd w:val="clear" w:color="auto" w:fill="auto"/>
            <w:noWrap/>
            <w:vAlign w:val="center"/>
            <w:hideMark/>
          </w:tcPr>
          <w:p w14:paraId="213A9BD0" w14:textId="428D8B9D"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Subsidies</w:t>
            </w:r>
          </w:p>
        </w:tc>
        <w:tc>
          <w:tcPr>
            <w:tcW w:w="1017" w:type="dxa"/>
            <w:tcBorders>
              <w:top w:val="nil"/>
              <w:left w:val="nil"/>
              <w:bottom w:val="nil"/>
              <w:right w:val="nil"/>
            </w:tcBorders>
            <w:shd w:val="clear" w:color="auto" w:fill="auto"/>
            <w:noWrap/>
            <w:vAlign w:val="bottom"/>
            <w:hideMark/>
          </w:tcPr>
          <w:p w14:paraId="607836A7" w14:textId="543DFC59"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80,306 </w:t>
            </w:r>
          </w:p>
        </w:tc>
        <w:tc>
          <w:tcPr>
            <w:tcW w:w="1017" w:type="dxa"/>
            <w:tcBorders>
              <w:top w:val="nil"/>
              <w:left w:val="nil"/>
              <w:bottom w:val="nil"/>
              <w:right w:val="nil"/>
            </w:tcBorders>
            <w:shd w:val="clear" w:color="000000" w:fill="E6E6E6"/>
            <w:noWrap/>
            <w:vAlign w:val="bottom"/>
            <w:hideMark/>
          </w:tcPr>
          <w:p w14:paraId="7ED5986E" w14:textId="42091A2F"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80,306 </w:t>
            </w:r>
          </w:p>
        </w:tc>
        <w:tc>
          <w:tcPr>
            <w:tcW w:w="1017" w:type="dxa"/>
            <w:tcBorders>
              <w:top w:val="nil"/>
              <w:left w:val="nil"/>
              <w:bottom w:val="nil"/>
              <w:right w:val="nil"/>
            </w:tcBorders>
            <w:shd w:val="clear" w:color="auto" w:fill="auto"/>
            <w:noWrap/>
            <w:vAlign w:val="bottom"/>
            <w:hideMark/>
          </w:tcPr>
          <w:p w14:paraId="6345A626" w14:textId="5B26515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80,306 </w:t>
            </w:r>
          </w:p>
        </w:tc>
        <w:tc>
          <w:tcPr>
            <w:tcW w:w="1017" w:type="dxa"/>
            <w:tcBorders>
              <w:top w:val="nil"/>
              <w:left w:val="nil"/>
              <w:bottom w:val="nil"/>
              <w:right w:val="nil"/>
            </w:tcBorders>
            <w:shd w:val="clear" w:color="auto" w:fill="auto"/>
            <w:noWrap/>
            <w:vAlign w:val="bottom"/>
            <w:hideMark/>
          </w:tcPr>
          <w:p w14:paraId="0203F91E" w14:textId="36B833E3"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80,306 </w:t>
            </w:r>
          </w:p>
        </w:tc>
        <w:tc>
          <w:tcPr>
            <w:tcW w:w="1017" w:type="dxa"/>
            <w:tcBorders>
              <w:top w:val="nil"/>
              <w:left w:val="nil"/>
              <w:bottom w:val="nil"/>
              <w:right w:val="nil"/>
            </w:tcBorders>
            <w:shd w:val="clear" w:color="auto" w:fill="auto"/>
            <w:noWrap/>
            <w:vAlign w:val="bottom"/>
            <w:hideMark/>
          </w:tcPr>
          <w:p w14:paraId="6D78AA4B" w14:textId="6DB6DCE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80,306 </w:t>
            </w:r>
          </w:p>
        </w:tc>
      </w:tr>
      <w:tr w:rsidR="00DE2B0E" w:rsidRPr="007B6E09" w14:paraId="34915934" w14:textId="77777777" w:rsidTr="00AF04BD">
        <w:trPr>
          <w:trHeight w:val="204"/>
        </w:trPr>
        <w:tc>
          <w:tcPr>
            <w:tcW w:w="2552" w:type="dxa"/>
            <w:tcBorders>
              <w:top w:val="nil"/>
              <w:left w:val="nil"/>
              <w:bottom w:val="nil"/>
              <w:right w:val="nil"/>
            </w:tcBorders>
            <w:shd w:val="clear" w:color="auto" w:fill="auto"/>
            <w:noWrap/>
            <w:vAlign w:val="center"/>
            <w:hideMark/>
          </w:tcPr>
          <w:p w14:paraId="6A7C0FFC" w14:textId="5A5FA480"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Grants</w:t>
            </w:r>
          </w:p>
        </w:tc>
        <w:tc>
          <w:tcPr>
            <w:tcW w:w="1017" w:type="dxa"/>
            <w:tcBorders>
              <w:top w:val="nil"/>
              <w:left w:val="nil"/>
              <w:bottom w:val="nil"/>
              <w:right w:val="nil"/>
            </w:tcBorders>
            <w:shd w:val="clear" w:color="auto" w:fill="auto"/>
            <w:noWrap/>
            <w:vAlign w:val="bottom"/>
            <w:hideMark/>
          </w:tcPr>
          <w:p w14:paraId="347E30AE" w14:textId="274BC26C"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93,840 </w:t>
            </w:r>
          </w:p>
        </w:tc>
        <w:tc>
          <w:tcPr>
            <w:tcW w:w="1017" w:type="dxa"/>
            <w:tcBorders>
              <w:top w:val="nil"/>
              <w:left w:val="nil"/>
              <w:bottom w:val="nil"/>
              <w:right w:val="nil"/>
            </w:tcBorders>
            <w:shd w:val="clear" w:color="000000" w:fill="E6E6E6"/>
            <w:noWrap/>
            <w:vAlign w:val="bottom"/>
            <w:hideMark/>
          </w:tcPr>
          <w:p w14:paraId="681E5FE5" w14:textId="470C8B16"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95,573 </w:t>
            </w:r>
          </w:p>
        </w:tc>
        <w:tc>
          <w:tcPr>
            <w:tcW w:w="1017" w:type="dxa"/>
            <w:tcBorders>
              <w:top w:val="nil"/>
              <w:left w:val="nil"/>
              <w:bottom w:val="nil"/>
              <w:right w:val="nil"/>
            </w:tcBorders>
            <w:shd w:val="clear" w:color="auto" w:fill="auto"/>
            <w:noWrap/>
            <w:vAlign w:val="bottom"/>
            <w:hideMark/>
          </w:tcPr>
          <w:p w14:paraId="7051C87A" w14:textId="18B511E3"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96,529 </w:t>
            </w:r>
          </w:p>
        </w:tc>
        <w:tc>
          <w:tcPr>
            <w:tcW w:w="1017" w:type="dxa"/>
            <w:tcBorders>
              <w:top w:val="nil"/>
              <w:left w:val="nil"/>
              <w:bottom w:val="nil"/>
              <w:right w:val="nil"/>
            </w:tcBorders>
            <w:shd w:val="clear" w:color="auto" w:fill="auto"/>
            <w:noWrap/>
            <w:vAlign w:val="bottom"/>
            <w:hideMark/>
          </w:tcPr>
          <w:p w14:paraId="0C84ECEE" w14:textId="2D9D5CA1"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94,159 </w:t>
            </w:r>
          </w:p>
        </w:tc>
        <w:tc>
          <w:tcPr>
            <w:tcW w:w="1017" w:type="dxa"/>
            <w:tcBorders>
              <w:top w:val="nil"/>
              <w:left w:val="nil"/>
              <w:bottom w:val="nil"/>
              <w:right w:val="nil"/>
            </w:tcBorders>
            <w:shd w:val="clear" w:color="auto" w:fill="auto"/>
            <w:noWrap/>
            <w:vAlign w:val="bottom"/>
            <w:hideMark/>
          </w:tcPr>
          <w:p w14:paraId="62821CA2" w14:textId="134ED686"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94,209 </w:t>
            </w:r>
          </w:p>
        </w:tc>
      </w:tr>
      <w:tr w:rsidR="00DE2B0E" w:rsidRPr="007B6E09" w14:paraId="2C8C354A" w14:textId="77777777" w:rsidTr="00AF04BD">
        <w:trPr>
          <w:trHeight w:val="204"/>
        </w:trPr>
        <w:tc>
          <w:tcPr>
            <w:tcW w:w="2552" w:type="dxa"/>
            <w:tcBorders>
              <w:top w:val="nil"/>
              <w:left w:val="nil"/>
              <w:bottom w:val="nil"/>
              <w:right w:val="nil"/>
            </w:tcBorders>
            <w:shd w:val="clear" w:color="auto" w:fill="auto"/>
            <w:noWrap/>
            <w:vAlign w:val="center"/>
            <w:hideMark/>
          </w:tcPr>
          <w:p w14:paraId="4717FE60" w14:textId="59A9888C"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Other payables</w:t>
            </w:r>
          </w:p>
        </w:tc>
        <w:tc>
          <w:tcPr>
            <w:tcW w:w="1017" w:type="dxa"/>
            <w:tcBorders>
              <w:top w:val="nil"/>
              <w:left w:val="nil"/>
              <w:bottom w:val="nil"/>
              <w:right w:val="nil"/>
            </w:tcBorders>
            <w:shd w:val="clear" w:color="auto" w:fill="auto"/>
            <w:noWrap/>
            <w:vAlign w:val="bottom"/>
            <w:hideMark/>
          </w:tcPr>
          <w:p w14:paraId="7E868495" w14:textId="06C60A2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526,645 </w:t>
            </w:r>
          </w:p>
        </w:tc>
        <w:tc>
          <w:tcPr>
            <w:tcW w:w="1017" w:type="dxa"/>
            <w:tcBorders>
              <w:top w:val="nil"/>
              <w:left w:val="nil"/>
              <w:bottom w:val="nil"/>
              <w:right w:val="nil"/>
            </w:tcBorders>
            <w:shd w:val="clear" w:color="000000" w:fill="E6E6E6"/>
            <w:noWrap/>
            <w:vAlign w:val="bottom"/>
            <w:hideMark/>
          </w:tcPr>
          <w:p w14:paraId="099954EC" w14:textId="3F809F8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611,832 </w:t>
            </w:r>
          </w:p>
        </w:tc>
        <w:tc>
          <w:tcPr>
            <w:tcW w:w="1017" w:type="dxa"/>
            <w:tcBorders>
              <w:top w:val="nil"/>
              <w:left w:val="nil"/>
              <w:bottom w:val="nil"/>
              <w:right w:val="nil"/>
            </w:tcBorders>
            <w:shd w:val="clear" w:color="auto" w:fill="auto"/>
            <w:noWrap/>
            <w:vAlign w:val="bottom"/>
            <w:hideMark/>
          </w:tcPr>
          <w:p w14:paraId="5A5BA0E6" w14:textId="47A93C9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295,901 </w:t>
            </w:r>
          </w:p>
        </w:tc>
        <w:tc>
          <w:tcPr>
            <w:tcW w:w="1017" w:type="dxa"/>
            <w:tcBorders>
              <w:top w:val="nil"/>
              <w:left w:val="nil"/>
              <w:bottom w:val="nil"/>
              <w:right w:val="nil"/>
            </w:tcBorders>
            <w:shd w:val="clear" w:color="auto" w:fill="auto"/>
            <w:noWrap/>
            <w:vAlign w:val="bottom"/>
            <w:hideMark/>
          </w:tcPr>
          <w:p w14:paraId="0838761E" w14:textId="2610509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23,423 </w:t>
            </w:r>
          </w:p>
        </w:tc>
        <w:tc>
          <w:tcPr>
            <w:tcW w:w="1017" w:type="dxa"/>
            <w:tcBorders>
              <w:top w:val="nil"/>
              <w:left w:val="nil"/>
              <w:bottom w:val="nil"/>
              <w:right w:val="nil"/>
            </w:tcBorders>
            <w:shd w:val="clear" w:color="auto" w:fill="auto"/>
            <w:noWrap/>
            <w:vAlign w:val="bottom"/>
            <w:hideMark/>
          </w:tcPr>
          <w:p w14:paraId="79181936" w14:textId="4A27CB90"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4,091 </w:t>
            </w:r>
          </w:p>
        </w:tc>
      </w:tr>
      <w:tr w:rsidR="00DE2B0E" w:rsidRPr="007B6E09" w14:paraId="702FFCF1" w14:textId="77777777" w:rsidTr="00AF04BD">
        <w:trPr>
          <w:trHeight w:val="204"/>
        </w:trPr>
        <w:tc>
          <w:tcPr>
            <w:tcW w:w="2552" w:type="dxa"/>
            <w:tcBorders>
              <w:top w:val="nil"/>
              <w:left w:val="nil"/>
              <w:bottom w:val="nil"/>
              <w:right w:val="nil"/>
            </w:tcBorders>
            <w:shd w:val="clear" w:color="auto" w:fill="auto"/>
            <w:noWrap/>
            <w:vAlign w:val="center"/>
            <w:hideMark/>
          </w:tcPr>
          <w:p w14:paraId="19E5175A" w14:textId="2342349E" w:rsidR="00DE2B0E" w:rsidRPr="007B6E09" w:rsidRDefault="00DE2B0E" w:rsidP="00DE2B0E">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noWrap/>
            <w:vAlign w:val="bottom"/>
            <w:hideMark/>
          </w:tcPr>
          <w:p w14:paraId="04BD8568" w14:textId="3A010BAB"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1,063,462 </w:t>
            </w:r>
          </w:p>
        </w:tc>
        <w:tc>
          <w:tcPr>
            <w:tcW w:w="1017" w:type="dxa"/>
            <w:tcBorders>
              <w:top w:val="single" w:sz="4" w:space="0" w:color="000000"/>
              <w:left w:val="nil"/>
              <w:bottom w:val="single" w:sz="4" w:space="0" w:color="000000"/>
              <w:right w:val="nil"/>
            </w:tcBorders>
            <w:shd w:val="clear" w:color="000000" w:fill="E6E6E6"/>
            <w:noWrap/>
            <w:vAlign w:val="bottom"/>
            <w:hideMark/>
          </w:tcPr>
          <w:p w14:paraId="75B3929D" w14:textId="306625D2"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1,129,217 </w:t>
            </w:r>
          </w:p>
        </w:tc>
        <w:tc>
          <w:tcPr>
            <w:tcW w:w="1017" w:type="dxa"/>
            <w:tcBorders>
              <w:top w:val="single" w:sz="4" w:space="0" w:color="000000"/>
              <w:left w:val="nil"/>
              <w:bottom w:val="single" w:sz="4" w:space="0" w:color="000000"/>
              <w:right w:val="nil"/>
            </w:tcBorders>
            <w:shd w:val="clear" w:color="auto" w:fill="auto"/>
            <w:noWrap/>
            <w:vAlign w:val="bottom"/>
            <w:hideMark/>
          </w:tcPr>
          <w:p w14:paraId="050C74D8" w14:textId="104C3826"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768,372 </w:t>
            </w:r>
          </w:p>
        </w:tc>
        <w:tc>
          <w:tcPr>
            <w:tcW w:w="1017" w:type="dxa"/>
            <w:tcBorders>
              <w:top w:val="single" w:sz="4" w:space="0" w:color="000000"/>
              <w:left w:val="nil"/>
              <w:bottom w:val="single" w:sz="4" w:space="0" w:color="000000"/>
              <w:right w:val="nil"/>
            </w:tcBorders>
            <w:shd w:val="clear" w:color="auto" w:fill="auto"/>
            <w:noWrap/>
            <w:vAlign w:val="bottom"/>
            <w:hideMark/>
          </w:tcPr>
          <w:p w14:paraId="49EB33D9" w14:textId="07B76505"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485,964 </w:t>
            </w:r>
          </w:p>
        </w:tc>
        <w:tc>
          <w:tcPr>
            <w:tcW w:w="1017" w:type="dxa"/>
            <w:tcBorders>
              <w:top w:val="single" w:sz="4" w:space="0" w:color="000000"/>
              <w:left w:val="nil"/>
              <w:bottom w:val="single" w:sz="4" w:space="0" w:color="000000"/>
              <w:right w:val="nil"/>
            </w:tcBorders>
            <w:shd w:val="clear" w:color="auto" w:fill="auto"/>
            <w:noWrap/>
            <w:vAlign w:val="bottom"/>
            <w:hideMark/>
          </w:tcPr>
          <w:p w14:paraId="5F30DA35" w14:textId="3B183FE3"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466,572 </w:t>
            </w:r>
          </w:p>
        </w:tc>
      </w:tr>
      <w:tr w:rsidR="00DE2B0E" w:rsidRPr="007B6E09" w14:paraId="317BD5E6" w14:textId="77777777" w:rsidTr="00AF04BD">
        <w:trPr>
          <w:trHeight w:val="204"/>
        </w:trPr>
        <w:tc>
          <w:tcPr>
            <w:tcW w:w="2552" w:type="dxa"/>
            <w:tcBorders>
              <w:top w:val="nil"/>
              <w:left w:val="nil"/>
              <w:bottom w:val="nil"/>
              <w:right w:val="nil"/>
            </w:tcBorders>
            <w:shd w:val="clear" w:color="auto" w:fill="auto"/>
            <w:noWrap/>
            <w:vAlign w:val="center"/>
            <w:hideMark/>
          </w:tcPr>
          <w:p w14:paraId="7C0793A5" w14:textId="3DEA5BA5" w:rsidR="00DE2B0E" w:rsidRPr="007B6E09" w:rsidRDefault="00DE2B0E" w:rsidP="00DE2B0E">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Provisions</w:t>
            </w:r>
          </w:p>
        </w:tc>
        <w:tc>
          <w:tcPr>
            <w:tcW w:w="1017" w:type="dxa"/>
            <w:tcBorders>
              <w:top w:val="nil"/>
              <w:left w:val="nil"/>
              <w:bottom w:val="nil"/>
              <w:right w:val="nil"/>
            </w:tcBorders>
            <w:shd w:val="clear" w:color="auto" w:fill="auto"/>
            <w:noWrap/>
            <w:vAlign w:val="bottom"/>
            <w:hideMark/>
          </w:tcPr>
          <w:p w14:paraId="49B828F0" w14:textId="77777777" w:rsidR="00DE2B0E" w:rsidRPr="00722716" w:rsidRDefault="00DE2B0E" w:rsidP="00DE2B0E">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39074CBD" w14:textId="62CAAA45"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017" w:type="dxa"/>
            <w:tcBorders>
              <w:top w:val="nil"/>
              <w:left w:val="nil"/>
              <w:bottom w:val="nil"/>
              <w:right w:val="nil"/>
            </w:tcBorders>
            <w:shd w:val="clear" w:color="auto" w:fill="auto"/>
            <w:noWrap/>
            <w:vAlign w:val="bottom"/>
            <w:hideMark/>
          </w:tcPr>
          <w:p w14:paraId="6817C86C" w14:textId="77777777" w:rsidR="00DE2B0E" w:rsidRPr="00722716" w:rsidRDefault="00DE2B0E" w:rsidP="00DE2B0E">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370C84C" w14:textId="77777777" w:rsidR="00DE2B0E" w:rsidRPr="00722716" w:rsidRDefault="00DE2B0E" w:rsidP="00DE2B0E">
            <w:pPr>
              <w:spacing w:after="0" w:line="240" w:lineRule="auto"/>
              <w:jc w:val="right"/>
              <w:rPr>
                <w:rFonts w:ascii="Times New Roman" w:hAnsi="Times New Roman"/>
                <w:sz w:val="16"/>
                <w:szCs w:val="16"/>
              </w:rPr>
            </w:pPr>
          </w:p>
        </w:tc>
        <w:tc>
          <w:tcPr>
            <w:tcW w:w="1017" w:type="dxa"/>
            <w:tcBorders>
              <w:top w:val="nil"/>
              <w:left w:val="nil"/>
              <w:bottom w:val="nil"/>
              <w:right w:val="nil"/>
            </w:tcBorders>
            <w:shd w:val="clear" w:color="auto" w:fill="auto"/>
            <w:noWrap/>
            <w:vAlign w:val="bottom"/>
            <w:hideMark/>
          </w:tcPr>
          <w:p w14:paraId="48C10F7C" w14:textId="77777777" w:rsidR="00DE2B0E" w:rsidRPr="00722716" w:rsidRDefault="00DE2B0E" w:rsidP="00DE2B0E">
            <w:pPr>
              <w:spacing w:after="0" w:line="240" w:lineRule="auto"/>
              <w:jc w:val="right"/>
              <w:rPr>
                <w:rFonts w:ascii="Times New Roman" w:hAnsi="Times New Roman"/>
                <w:sz w:val="16"/>
                <w:szCs w:val="16"/>
              </w:rPr>
            </w:pPr>
          </w:p>
        </w:tc>
      </w:tr>
      <w:tr w:rsidR="00DE2B0E" w:rsidRPr="007B6E09" w14:paraId="0D2385B4" w14:textId="77777777" w:rsidTr="00AF04BD">
        <w:trPr>
          <w:trHeight w:val="204"/>
        </w:trPr>
        <w:tc>
          <w:tcPr>
            <w:tcW w:w="2552" w:type="dxa"/>
            <w:tcBorders>
              <w:top w:val="nil"/>
              <w:left w:val="nil"/>
              <w:bottom w:val="nil"/>
              <w:right w:val="nil"/>
            </w:tcBorders>
            <w:shd w:val="clear" w:color="auto" w:fill="auto"/>
            <w:noWrap/>
            <w:vAlign w:val="center"/>
            <w:hideMark/>
          </w:tcPr>
          <w:p w14:paraId="76C9A7D3" w14:textId="6FD560F8"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Employee provisions</w:t>
            </w:r>
          </w:p>
        </w:tc>
        <w:tc>
          <w:tcPr>
            <w:tcW w:w="1017" w:type="dxa"/>
            <w:tcBorders>
              <w:top w:val="nil"/>
              <w:left w:val="nil"/>
              <w:bottom w:val="nil"/>
              <w:right w:val="nil"/>
            </w:tcBorders>
            <w:shd w:val="clear" w:color="auto" w:fill="auto"/>
            <w:noWrap/>
            <w:vAlign w:val="bottom"/>
            <w:hideMark/>
          </w:tcPr>
          <w:p w14:paraId="31385099" w14:textId="6315CCE0"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4,456 </w:t>
            </w:r>
          </w:p>
        </w:tc>
        <w:tc>
          <w:tcPr>
            <w:tcW w:w="1017" w:type="dxa"/>
            <w:tcBorders>
              <w:top w:val="nil"/>
              <w:left w:val="nil"/>
              <w:bottom w:val="nil"/>
              <w:right w:val="nil"/>
            </w:tcBorders>
            <w:shd w:val="clear" w:color="000000" w:fill="E6E6E6"/>
            <w:noWrap/>
            <w:vAlign w:val="bottom"/>
            <w:hideMark/>
          </w:tcPr>
          <w:p w14:paraId="5878DCAA" w14:textId="7BE27D38"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4,456 </w:t>
            </w:r>
          </w:p>
        </w:tc>
        <w:tc>
          <w:tcPr>
            <w:tcW w:w="1017" w:type="dxa"/>
            <w:tcBorders>
              <w:top w:val="nil"/>
              <w:left w:val="nil"/>
              <w:bottom w:val="nil"/>
              <w:right w:val="nil"/>
            </w:tcBorders>
            <w:shd w:val="clear" w:color="auto" w:fill="auto"/>
            <w:noWrap/>
            <w:vAlign w:val="bottom"/>
            <w:hideMark/>
          </w:tcPr>
          <w:p w14:paraId="2FB652DB" w14:textId="5CA5A7FD"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4,456 </w:t>
            </w:r>
          </w:p>
        </w:tc>
        <w:tc>
          <w:tcPr>
            <w:tcW w:w="1017" w:type="dxa"/>
            <w:tcBorders>
              <w:top w:val="nil"/>
              <w:left w:val="nil"/>
              <w:bottom w:val="nil"/>
              <w:right w:val="nil"/>
            </w:tcBorders>
            <w:shd w:val="clear" w:color="auto" w:fill="auto"/>
            <w:noWrap/>
            <w:vAlign w:val="bottom"/>
            <w:hideMark/>
          </w:tcPr>
          <w:p w14:paraId="00956105" w14:textId="2912AB7C"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4,456 </w:t>
            </w:r>
          </w:p>
        </w:tc>
        <w:tc>
          <w:tcPr>
            <w:tcW w:w="1017" w:type="dxa"/>
            <w:tcBorders>
              <w:top w:val="nil"/>
              <w:left w:val="nil"/>
              <w:bottom w:val="nil"/>
              <w:right w:val="nil"/>
            </w:tcBorders>
            <w:shd w:val="clear" w:color="auto" w:fill="auto"/>
            <w:noWrap/>
            <w:vAlign w:val="bottom"/>
            <w:hideMark/>
          </w:tcPr>
          <w:p w14:paraId="7DB7BEE6" w14:textId="3940186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4,456 </w:t>
            </w:r>
          </w:p>
        </w:tc>
      </w:tr>
      <w:tr w:rsidR="00DE2B0E" w:rsidRPr="007B6E09" w14:paraId="6EB64E1B" w14:textId="77777777" w:rsidTr="00AF04BD">
        <w:trPr>
          <w:trHeight w:val="204"/>
        </w:trPr>
        <w:tc>
          <w:tcPr>
            <w:tcW w:w="2552" w:type="dxa"/>
            <w:tcBorders>
              <w:top w:val="nil"/>
              <w:left w:val="nil"/>
              <w:bottom w:val="nil"/>
              <w:right w:val="nil"/>
            </w:tcBorders>
            <w:shd w:val="clear" w:color="auto" w:fill="auto"/>
            <w:noWrap/>
            <w:vAlign w:val="center"/>
            <w:hideMark/>
          </w:tcPr>
          <w:p w14:paraId="26CD0B0E" w14:textId="4477685A" w:rsidR="00DE2B0E" w:rsidRPr="00B37C70" w:rsidRDefault="00DE2B0E" w:rsidP="00DE2B0E">
            <w:pPr>
              <w:spacing w:after="0" w:line="240" w:lineRule="auto"/>
              <w:ind w:left="227"/>
              <w:jc w:val="left"/>
              <w:rPr>
                <w:rFonts w:ascii="Arial" w:hAnsi="Arial" w:cs="Arial"/>
                <w:sz w:val="16"/>
                <w:szCs w:val="16"/>
              </w:rPr>
            </w:pPr>
            <w:r>
              <w:rPr>
                <w:rFonts w:ascii="Arial" w:hAnsi="Arial" w:cs="Arial"/>
                <w:color w:val="000000"/>
                <w:sz w:val="16"/>
                <w:szCs w:val="16"/>
              </w:rPr>
              <w:t>Other provisions</w:t>
            </w:r>
          </w:p>
        </w:tc>
        <w:tc>
          <w:tcPr>
            <w:tcW w:w="1017" w:type="dxa"/>
            <w:tcBorders>
              <w:top w:val="nil"/>
              <w:left w:val="nil"/>
              <w:bottom w:val="nil"/>
              <w:right w:val="nil"/>
            </w:tcBorders>
            <w:shd w:val="clear" w:color="auto" w:fill="auto"/>
            <w:noWrap/>
            <w:vAlign w:val="bottom"/>
            <w:hideMark/>
          </w:tcPr>
          <w:p w14:paraId="232DE890" w14:textId="5D8684DF"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702,899 </w:t>
            </w:r>
          </w:p>
        </w:tc>
        <w:tc>
          <w:tcPr>
            <w:tcW w:w="1017" w:type="dxa"/>
            <w:tcBorders>
              <w:top w:val="nil"/>
              <w:left w:val="nil"/>
              <w:bottom w:val="nil"/>
              <w:right w:val="nil"/>
            </w:tcBorders>
            <w:shd w:val="clear" w:color="000000" w:fill="E6E6E6"/>
            <w:noWrap/>
            <w:vAlign w:val="bottom"/>
            <w:hideMark/>
          </w:tcPr>
          <w:p w14:paraId="333F92F0" w14:textId="1605B3C3"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740,213 </w:t>
            </w:r>
          </w:p>
        </w:tc>
        <w:tc>
          <w:tcPr>
            <w:tcW w:w="1017" w:type="dxa"/>
            <w:tcBorders>
              <w:top w:val="nil"/>
              <w:left w:val="nil"/>
              <w:bottom w:val="nil"/>
              <w:right w:val="nil"/>
            </w:tcBorders>
            <w:shd w:val="clear" w:color="auto" w:fill="auto"/>
            <w:noWrap/>
            <w:vAlign w:val="bottom"/>
            <w:hideMark/>
          </w:tcPr>
          <w:p w14:paraId="28F4C4A0" w14:textId="41CADBC4"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770,752 </w:t>
            </w:r>
          </w:p>
        </w:tc>
        <w:tc>
          <w:tcPr>
            <w:tcW w:w="1017" w:type="dxa"/>
            <w:tcBorders>
              <w:top w:val="nil"/>
              <w:left w:val="nil"/>
              <w:bottom w:val="nil"/>
              <w:right w:val="nil"/>
            </w:tcBorders>
            <w:shd w:val="clear" w:color="auto" w:fill="auto"/>
            <w:noWrap/>
            <w:vAlign w:val="bottom"/>
            <w:hideMark/>
          </w:tcPr>
          <w:p w14:paraId="5127F3E2" w14:textId="0F9396E1"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801,875 </w:t>
            </w:r>
          </w:p>
        </w:tc>
        <w:tc>
          <w:tcPr>
            <w:tcW w:w="1017" w:type="dxa"/>
            <w:tcBorders>
              <w:top w:val="nil"/>
              <w:left w:val="nil"/>
              <w:bottom w:val="nil"/>
              <w:right w:val="nil"/>
            </w:tcBorders>
            <w:shd w:val="clear" w:color="auto" w:fill="auto"/>
            <w:noWrap/>
            <w:vAlign w:val="bottom"/>
            <w:hideMark/>
          </w:tcPr>
          <w:p w14:paraId="04C40311" w14:textId="77A1099A" w:rsidR="00DE2B0E" w:rsidRPr="00722716" w:rsidRDefault="00DE2B0E" w:rsidP="00DE2B0E">
            <w:pPr>
              <w:spacing w:after="0" w:line="240" w:lineRule="auto"/>
              <w:jc w:val="right"/>
              <w:rPr>
                <w:rFonts w:ascii="Arial" w:hAnsi="Arial" w:cs="Arial"/>
                <w:color w:val="000000"/>
                <w:sz w:val="16"/>
                <w:szCs w:val="16"/>
              </w:rPr>
            </w:pPr>
            <w:r>
              <w:rPr>
                <w:rFonts w:ascii="Arial" w:hAnsi="Arial" w:cs="Arial"/>
                <w:color w:val="000000"/>
                <w:sz w:val="16"/>
                <w:szCs w:val="16"/>
              </w:rPr>
              <w:t xml:space="preserve">857,084 </w:t>
            </w:r>
          </w:p>
        </w:tc>
      </w:tr>
      <w:tr w:rsidR="00DE2B0E" w:rsidRPr="007B6E09" w14:paraId="5927D0DF" w14:textId="77777777" w:rsidTr="00AF04BD">
        <w:trPr>
          <w:trHeight w:val="204"/>
        </w:trPr>
        <w:tc>
          <w:tcPr>
            <w:tcW w:w="2552" w:type="dxa"/>
            <w:tcBorders>
              <w:top w:val="nil"/>
              <w:left w:val="nil"/>
              <w:bottom w:val="nil"/>
              <w:right w:val="nil"/>
            </w:tcBorders>
            <w:shd w:val="clear" w:color="auto" w:fill="auto"/>
            <w:noWrap/>
            <w:vAlign w:val="center"/>
            <w:hideMark/>
          </w:tcPr>
          <w:p w14:paraId="62DF6515" w14:textId="56BA00E6" w:rsidR="00DE2B0E" w:rsidRPr="00B37C70" w:rsidRDefault="00DE2B0E" w:rsidP="00DE2B0E">
            <w:pPr>
              <w:spacing w:after="0" w:line="240" w:lineRule="auto"/>
              <w:ind w:left="113"/>
              <w:jc w:val="left"/>
              <w:rPr>
                <w:rFonts w:ascii="Arial" w:hAnsi="Arial" w:cs="Arial"/>
                <w:b/>
                <w:bCs/>
                <w:i/>
                <w:color w:val="000000"/>
                <w:sz w:val="16"/>
                <w:szCs w:val="16"/>
              </w:rPr>
            </w:pPr>
            <w:r>
              <w:rPr>
                <w:rFonts w:ascii="Arial" w:hAnsi="Arial" w:cs="Arial"/>
                <w:b/>
                <w:bCs/>
                <w:i/>
                <w:iCs/>
                <w:color w:val="000000"/>
                <w:sz w:val="16"/>
                <w:szCs w:val="16"/>
              </w:rPr>
              <w:t>Total provisions</w:t>
            </w:r>
          </w:p>
        </w:tc>
        <w:tc>
          <w:tcPr>
            <w:tcW w:w="1017" w:type="dxa"/>
            <w:tcBorders>
              <w:top w:val="single" w:sz="4" w:space="0" w:color="000000"/>
              <w:left w:val="nil"/>
              <w:bottom w:val="single" w:sz="4" w:space="0" w:color="000000"/>
              <w:right w:val="nil"/>
            </w:tcBorders>
            <w:shd w:val="clear" w:color="auto" w:fill="auto"/>
            <w:noWrap/>
            <w:vAlign w:val="bottom"/>
            <w:hideMark/>
          </w:tcPr>
          <w:p w14:paraId="2F35B976" w14:textId="6F5033D7"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707,355 </w:t>
            </w:r>
          </w:p>
        </w:tc>
        <w:tc>
          <w:tcPr>
            <w:tcW w:w="1017" w:type="dxa"/>
            <w:tcBorders>
              <w:top w:val="single" w:sz="4" w:space="0" w:color="000000"/>
              <w:left w:val="nil"/>
              <w:bottom w:val="single" w:sz="4" w:space="0" w:color="000000"/>
              <w:right w:val="nil"/>
            </w:tcBorders>
            <w:shd w:val="clear" w:color="000000" w:fill="E6E6E6"/>
            <w:noWrap/>
            <w:vAlign w:val="bottom"/>
            <w:hideMark/>
          </w:tcPr>
          <w:p w14:paraId="3B18ADBF" w14:textId="54B80205"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744,669 </w:t>
            </w:r>
          </w:p>
        </w:tc>
        <w:tc>
          <w:tcPr>
            <w:tcW w:w="1017" w:type="dxa"/>
            <w:tcBorders>
              <w:top w:val="single" w:sz="4" w:space="0" w:color="000000"/>
              <w:left w:val="nil"/>
              <w:bottom w:val="single" w:sz="4" w:space="0" w:color="000000"/>
              <w:right w:val="nil"/>
            </w:tcBorders>
            <w:shd w:val="clear" w:color="auto" w:fill="auto"/>
            <w:noWrap/>
            <w:vAlign w:val="bottom"/>
            <w:hideMark/>
          </w:tcPr>
          <w:p w14:paraId="3CCE55F9" w14:textId="52A5C456"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775,208 </w:t>
            </w:r>
          </w:p>
        </w:tc>
        <w:tc>
          <w:tcPr>
            <w:tcW w:w="1017" w:type="dxa"/>
            <w:tcBorders>
              <w:top w:val="single" w:sz="4" w:space="0" w:color="000000"/>
              <w:left w:val="nil"/>
              <w:bottom w:val="single" w:sz="4" w:space="0" w:color="000000"/>
              <w:right w:val="nil"/>
            </w:tcBorders>
            <w:shd w:val="clear" w:color="auto" w:fill="auto"/>
            <w:noWrap/>
            <w:vAlign w:val="bottom"/>
            <w:hideMark/>
          </w:tcPr>
          <w:p w14:paraId="52C50646" w14:textId="48E4F232"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806,331 </w:t>
            </w:r>
          </w:p>
        </w:tc>
        <w:tc>
          <w:tcPr>
            <w:tcW w:w="1017" w:type="dxa"/>
            <w:tcBorders>
              <w:top w:val="single" w:sz="4" w:space="0" w:color="000000"/>
              <w:left w:val="nil"/>
              <w:bottom w:val="single" w:sz="4" w:space="0" w:color="000000"/>
              <w:right w:val="nil"/>
            </w:tcBorders>
            <w:shd w:val="clear" w:color="auto" w:fill="auto"/>
            <w:noWrap/>
            <w:vAlign w:val="bottom"/>
            <w:hideMark/>
          </w:tcPr>
          <w:p w14:paraId="6B8E9CF2" w14:textId="46A23566"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861,540 </w:t>
            </w:r>
          </w:p>
        </w:tc>
      </w:tr>
      <w:tr w:rsidR="00DE2B0E" w:rsidRPr="007B6E09" w14:paraId="0F3D4573" w14:textId="77777777" w:rsidTr="00AF04BD">
        <w:trPr>
          <w:trHeight w:val="204"/>
        </w:trPr>
        <w:tc>
          <w:tcPr>
            <w:tcW w:w="2552" w:type="dxa"/>
            <w:tcBorders>
              <w:top w:val="nil"/>
              <w:left w:val="nil"/>
              <w:bottom w:val="nil"/>
              <w:right w:val="nil"/>
            </w:tcBorders>
            <w:shd w:val="clear" w:color="auto" w:fill="auto"/>
            <w:vAlign w:val="center"/>
            <w:hideMark/>
          </w:tcPr>
          <w:p w14:paraId="6784D6A6" w14:textId="61AE2859" w:rsidR="00DE2B0E" w:rsidRPr="00B37C70" w:rsidRDefault="00DE2B0E" w:rsidP="00DE2B0E">
            <w:pPr>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 on behalf of Government</w:t>
            </w:r>
          </w:p>
        </w:tc>
        <w:tc>
          <w:tcPr>
            <w:tcW w:w="1017" w:type="dxa"/>
            <w:tcBorders>
              <w:top w:val="nil"/>
              <w:left w:val="nil"/>
              <w:bottom w:val="single" w:sz="4" w:space="0" w:color="000000"/>
              <w:right w:val="nil"/>
            </w:tcBorders>
            <w:shd w:val="clear" w:color="auto" w:fill="auto"/>
            <w:noWrap/>
            <w:vAlign w:val="bottom"/>
            <w:hideMark/>
          </w:tcPr>
          <w:p w14:paraId="6E2B7DC3" w14:textId="7419005C"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1,770,817 </w:t>
            </w:r>
          </w:p>
        </w:tc>
        <w:tc>
          <w:tcPr>
            <w:tcW w:w="1017" w:type="dxa"/>
            <w:tcBorders>
              <w:top w:val="nil"/>
              <w:left w:val="nil"/>
              <w:bottom w:val="single" w:sz="4" w:space="0" w:color="000000"/>
              <w:right w:val="nil"/>
            </w:tcBorders>
            <w:shd w:val="clear" w:color="000000" w:fill="E6E6E6"/>
            <w:noWrap/>
            <w:vAlign w:val="bottom"/>
            <w:hideMark/>
          </w:tcPr>
          <w:p w14:paraId="15848B6B" w14:textId="09D85691"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1,873,886 </w:t>
            </w:r>
          </w:p>
        </w:tc>
        <w:tc>
          <w:tcPr>
            <w:tcW w:w="1017" w:type="dxa"/>
            <w:tcBorders>
              <w:top w:val="nil"/>
              <w:left w:val="nil"/>
              <w:bottom w:val="single" w:sz="4" w:space="0" w:color="000000"/>
              <w:right w:val="nil"/>
            </w:tcBorders>
            <w:shd w:val="clear" w:color="auto" w:fill="auto"/>
            <w:noWrap/>
            <w:vAlign w:val="bottom"/>
            <w:hideMark/>
          </w:tcPr>
          <w:p w14:paraId="18E538CD" w14:textId="2EACAC91"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1,543,580 </w:t>
            </w:r>
          </w:p>
        </w:tc>
        <w:tc>
          <w:tcPr>
            <w:tcW w:w="1017" w:type="dxa"/>
            <w:tcBorders>
              <w:top w:val="nil"/>
              <w:left w:val="nil"/>
              <w:bottom w:val="single" w:sz="4" w:space="0" w:color="000000"/>
              <w:right w:val="nil"/>
            </w:tcBorders>
            <w:shd w:val="clear" w:color="auto" w:fill="auto"/>
            <w:noWrap/>
            <w:vAlign w:val="bottom"/>
            <w:hideMark/>
          </w:tcPr>
          <w:p w14:paraId="2CC0DB67" w14:textId="0AC4C5D2"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1,292,295 </w:t>
            </w:r>
          </w:p>
        </w:tc>
        <w:tc>
          <w:tcPr>
            <w:tcW w:w="1017" w:type="dxa"/>
            <w:tcBorders>
              <w:top w:val="nil"/>
              <w:left w:val="nil"/>
              <w:bottom w:val="single" w:sz="4" w:space="0" w:color="000000"/>
              <w:right w:val="nil"/>
            </w:tcBorders>
            <w:shd w:val="clear" w:color="auto" w:fill="auto"/>
            <w:noWrap/>
            <w:vAlign w:val="bottom"/>
            <w:hideMark/>
          </w:tcPr>
          <w:p w14:paraId="7DADCA77" w14:textId="3FDD61FA"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1,328,112 </w:t>
            </w:r>
          </w:p>
        </w:tc>
      </w:tr>
      <w:tr w:rsidR="00DE2B0E" w:rsidRPr="007B6E09" w14:paraId="472DCB71" w14:textId="77777777" w:rsidTr="00AF04BD">
        <w:trPr>
          <w:trHeight w:val="204"/>
        </w:trPr>
        <w:tc>
          <w:tcPr>
            <w:tcW w:w="2552" w:type="dxa"/>
            <w:tcBorders>
              <w:top w:val="nil"/>
              <w:left w:val="nil"/>
              <w:bottom w:val="single" w:sz="4" w:space="0" w:color="000000"/>
              <w:right w:val="nil"/>
            </w:tcBorders>
            <w:shd w:val="clear" w:color="auto" w:fill="auto"/>
            <w:noWrap/>
            <w:vAlign w:val="center"/>
            <w:hideMark/>
          </w:tcPr>
          <w:p w14:paraId="3C9DF6F6" w14:textId="66B0359A" w:rsidR="00DE2B0E" w:rsidRPr="007B6E09" w:rsidRDefault="00DE2B0E" w:rsidP="00DE2B0E">
            <w:pPr>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1017" w:type="dxa"/>
            <w:tcBorders>
              <w:top w:val="nil"/>
              <w:left w:val="nil"/>
              <w:bottom w:val="single" w:sz="4" w:space="0" w:color="000000"/>
              <w:right w:val="nil"/>
            </w:tcBorders>
            <w:shd w:val="clear" w:color="auto" w:fill="auto"/>
            <w:noWrap/>
            <w:vAlign w:val="bottom"/>
            <w:hideMark/>
          </w:tcPr>
          <w:p w14:paraId="13181F53" w14:textId="11FA0300"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47,269,394 </w:t>
            </w:r>
          </w:p>
        </w:tc>
        <w:tc>
          <w:tcPr>
            <w:tcW w:w="1017" w:type="dxa"/>
            <w:tcBorders>
              <w:top w:val="nil"/>
              <w:left w:val="nil"/>
              <w:bottom w:val="single" w:sz="4" w:space="0" w:color="000000"/>
              <w:right w:val="nil"/>
            </w:tcBorders>
            <w:shd w:val="clear" w:color="000000" w:fill="E6E6E6"/>
            <w:noWrap/>
            <w:vAlign w:val="bottom"/>
            <w:hideMark/>
          </w:tcPr>
          <w:p w14:paraId="1F767278" w14:textId="41C5A57D" w:rsidR="00DE2B0E" w:rsidRPr="00722716" w:rsidRDefault="00DE2B0E" w:rsidP="00DE2B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53,213,274 </w:t>
            </w:r>
          </w:p>
        </w:tc>
        <w:tc>
          <w:tcPr>
            <w:tcW w:w="1017" w:type="dxa"/>
            <w:tcBorders>
              <w:top w:val="nil"/>
              <w:left w:val="nil"/>
              <w:bottom w:val="single" w:sz="4" w:space="0" w:color="000000"/>
              <w:right w:val="nil"/>
            </w:tcBorders>
            <w:shd w:val="clear" w:color="auto" w:fill="auto"/>
            <w:noWrap/>
            <w:vAlign w:val="bottom"/>
            <w:hideMark/>
          </w:tcPr>
          <w:p w14:paraId="1E122BBB" w14:textId="51620343"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51,976,604 </w:t>
            </w:r>
          </w:p>
        </w:tc>
        <w:tc>
          <w:tcPr>
            <w:tcW w:w="1017" w:type="dxa"/>
            <w:tcBorders>
              <w:top w:val="nil"/>
              <w:left w:val="nil"/>
              <w:bottom w:val="single" w:sz="4" w:space="0" w:color="000000"/>
              <w:right w:val="nil"/>
            </w:tcBorders>
            <w:shd w:val="clear" w:color="auto" w:fill="auto"/>
            <w:noWrap/>
            <w:vAlign w:val="bottom"/>
            <w:hideMark/>
          </w:tcPr>
          <w:p w14:paraId="3A245902" w14:textId="5B3379AB"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57,786,300 </w:t>
            </w:r>
          </w:p>
        </w:tc>
        <w:tc>
          <w:tcPr>
            <w:tcW w:w="1017" w:type="dxa"/>
            <w:tcBorders>
              <w:top w:val="nil"/>
              <w:left w:val="nil"/>
              <w:bottom w:val="single" w:sz="4" w:space="0" w:color="000000"/>
              <w:right w:val="nil"/>
            </w:tcBorders>
            <w:shd w:val="clear" w:color="auto" w:fill="auto"/>
            <w:noWrap/>
            <w:vAlign w:val="bottom"/>
            <w:hideMark/>
          </w:tcPr>
          <w:p w14:paraId="1F7784C9" w14:textId="14C8F809" w:rsidR="00DE2B0E" w:rsidRPr="00722716" w:rsidRDefault="00DE2B0E" w:rsidP="00DE2B0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61,069,037 </w:t>
            </w:r>
          </w:p>
        </w:tc>
      </w:tr>
    </w:tbl>
    <w:p w14:paraId="42E27F46" w14:textId="77777777" w:rsidR="00B91F3E" w:rsidRPr="009763C1" w:rsidRDefault="00B91F3E" w:rsidP="00B91F3E">
      <w:pPr>
        <w:pStyle w:val="ChartandTableFootnote"/>
        <w:spacing w:before="60"/>
      </w:pPr>
      <w:r w:rsidRPr="00B7521F">
        <w:t>Prepared on Austral</w:t>
      </w:r>
      <w:r>
        <w:t>ian Accounting Standards basis.</w:t>
      </w:r>
    </w:p>
    <w:p w14:paraId="657F0176" w14:textId="061F25D4" w:rsidR="00B91F3E" w:rsidRDefault="00B91F3E" w:rsidP="00741AE0">
      <w:pPr>
        <w:pStyle w:val="TableHeadingcontinued"/>
      </w:pPr>
      <w:r w:rsidRPr="00B7521F">
        <w:rPr>
          <w:rFonts w:ascii="Arial" w:hAnsi="Arial" w:cs="Arial"/>
          <w:sz w:val="16"/>
          <w:szCs w:val="16"/>
        </w:rPr>
        <w:t xml:space="preserve"> </w:t>
      </w:r>
      <w:r>
        <w:br w:type="page"/>
      </w:r>
      <w:r w:rsidRPr="00416C71">
        <w:lastRenderedPageBreak/>
        <w:t>Table 3.9: Schedule of budgeted administered cash flows (for the period ended 30 June)</w:t>
      </w:r>
    </w:p>
    <w:tbl>
      <w:tblPr>
        <w:tblW w:w="7726" w:type="dxa"/>
        <w:tblLook w:val="04A0" w:firstRow="1" w:lastRow="0" w:firstColumn="1" w:lastColumn="0" w:noHBand="0" w:noVBand="1"/>
      </w:tblPr>
      <w:tblGrid>
        <w:gridCol w:w="2410"/>
        <w:gridCol w:w="1124"/>
        <w:gridCol w:w="1035"/>
        <w:gridCol w:w="1061"/>
        <w:gridCol w:w="1061"/>
        <w:gridCol w:w="1035"/>
      </w:tblGrid>
      <w:tr w:rsidR="00B023B9" w:rsidRPr="00B023B9" w14:paraId="59D67BE9" w14:textId="77777777" w:rsidTr="00807D41">
        <w:trPr>
          <w:trHeight w:val="204"/>
        </w:trPr>
        <w:tc>
          <w:tcPr>
            <w:tcW w:w="2410" w:type="dxa"/>
            <w:tcBorders>
              <w:top w:val="single" w:sz="4" w:space="0" w:color="auto"/>
              <w:left w:val="nil"/>
              <w:bottom w:val="nil"/>
              <w:right w:val="nil"/>
            </w:tcBorders>
            <w:shd w:val="clear" w:color="auto" w:fill="auto"/>
            <w:noWrap/>
            <w:vAlign w:val="bottom"/>
            <w:hideMark/>
          </w:tcPr>
          <w:p w14:paraId="666B8718" w14:textId="77777777" w:rsidR="00B023B9" w:rsidRPr="00B023B9" w:rsidRDefault="00B023B9" w:rsidP="00B023B9">
            <w:pPr>
              <w:spacing w:after="0" w:line="240" w:lineRule="auto"/>
              <w:jc w:val="left"/>
              <w:rPr>
                <w:rFonts w:ascii="Arial" w:hAnsi="Arial" w:cs="Arial"/>
                <w:b/>
                <w:bCs/>
                <w:sz w:val="16"/>
                <w:szCs w:val="16"/>
              </w:rPr>
            </w:pPr>
            <w:r w:rsidRPr="00B023B9">
              <w:rPr>
                <w:rFonts w:ascii="Arial" w:hAnsi="Arial" w:cs="Arial"/>
                <w:b/>
                <w:bCs/>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462A85F3" w14:textId="77777777" w:rsidR="00B023B9" w:rsidRPr="00B023B9" w:rsidRDefault="00B023B9" w:rsidP="00B023B9">
            <w:pPr>
              <w:spacing w:after="0" w:line="240" w:lineRule="auto"/>
              <w:jc w:val="right"/>
              <w:rPr>
                <w:rFonts w:ascii="Arial" w:hAnsi="Arial" w:cs="Arial"/>
                <w:sz w:val="16"/>
                <w:szCs w:val="16"/>
              </w:rPr>
            </w:pPr>
            <w:r w:rsidRPr="00B023B9">
              <w:rPr>
                <w:rFonts w:ascii="Arial" w:hAnsi="Arial" w:cs="Arial"/>
                <w:sz w:val="16"/>
                <w:szCs w:val="16"/>
              </w:rPr>
              <w:t>2021-22</w:t>
            </w:r>
            <w:r w:rsidRPr="00B023B9">
              <w:rPr>
                <w:rFonts w:ascii="Arial" w:hAnsi="Arial" w:cs="Arial"/>
                <w:sz w:val="16"/>
                <w:szCs w:val="16"/>
              </w:rPr>
              <w:br/>
              <w:t>Estimated actual</w:t>
            </w:r>
            <w:r w:rsidRPr="00B023B9">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vAlign w:val="bottom"/>
            <w:hideMark/>
          </w:tcPr>
          <w:p w14:paraId="68619A22" w14:textId="77777777" w:rsidR="00B023B9" w:rsidRPr="00B023B9" w:rsidRDefault="00B023B9" w:rsidP="00B023B9">
            <w:pPr>
              <w:spacing w:after="0" w:line="240" w:lineRule="auto"/>
              <w:jc w:val="right"/>
              <w:rPr>
                <w:rFonts w:ascii="Arial" w:hAnsi="Arial" w:cs="Arial"/>
                <w:sz w:val="16"/>
                <w:szCs w:val="16"/>
              </w:rPr>
            </w:pPr>
            <w:r w:rsidRPr="00B023B9">
              <w:rPr>
                <w:rFonts w:ascii="Arial" w:hAnsi="Arial" w:cs="Arial"/>
                <w:sz w:val="16"/>
                <w:szCs w:val="16"/>
              </w:rPr>
              <w:t>2022-23</w:t>
            </w:r>
            <w:r w:rsidRPr="00B023B9">
              <w:rPr>
                <w:rFonts w:ascii="Arial" w:hAnsi="Arial" w:cs="Arial"/>
                <w:sz w:val="16"/>
                <w:szCs w:val="16"/>
              </w:rPr>
              <w:br/>
              <w:t>Budget</w:t>
            </w:r>
            <w:r w:rsidRPr="00B023B9">
              <w:rPr>
                <w:rFonts w:ascii="Arial" w:hAnsi="Arial" w:cs="Arial"/>
                <w:sz w:val="16"/>
                <w:szCs w:val="16"/>
              </w:rPr>
              <w:br/>
            </w:r>
            <w:r w:rsidRPr="00B023B9">
              <w:rPr>
                <w:rFonts w:ascii="Arial" w:hAnsi="Arial" w:cs="Arial"/>
                <w:sz w:val="16"/>
                <w:szCs w:val="16"/>
              </w:rPr>
              <w:br/>
              <w:t>$'000</w:t>
            </w:r>
          </w:p>
        </w:tc>
        <w:tc>
          <w:tcPr>
            <w:tcW w:w="1061" w:type="dxa"/>
            <w:tcBorders>
              <w:top w:val="single" w:sz="4" w:space="0" w:color="auto"/>
              <w:left w:val="nil"/>
              <w:bottom w:val="single" w:sz="4" w:space="0" w:color="auto"/>
              <w:right w:val="nil"/>
            </w:tcBorders>
            <w:shd w:val="clear" w:color="auto" w:fill="auto"/>
            <w:vAlign w:val="bottom"/>
            <w:hideMark/>
          </w:tcPr>
          <w:p w14:paraId="036308E9" w14:textId="77777777" w:rsidR="00B023B9" w:rsidRPr="00B023B9" w:rsidRDefault="00B023B9" w:rsidP="00B023B9">
            <w:pPr>
              <w:spacing w:after="0" w:line="240" w:lineRule="auto"/>
              <w:jc w:val="right"/>
              <w:rPr>
                <w:rFonts w:ascii="Arial" w:hAnsi="Arial" w:cs="Arial"/>
                <w:sz w:val="16"/>
                <w:szCs w:val="16"/>
              </w:rPr>
            </w:pPr>
            <w:r w:rsidRPr="00B023B9">
              <w:rPr>
                <w:rFonts w:ascii="Arial" w:hAnsi="Arial" w:cs="Arial"/>
                <w:sz w:val="16"/>
                <w:szCs w:val="16"/>
              </w:rPr>
              <w:t>2023-24</w:t>
            </w:r>
            <w:r w:rsidRPr="00B023B9">
              <w:rPr>
                <w:rFonts w:ascii="Arial" w:hAnsi="Arial" w:cs="Arial"/>
                <w:sz w:val="16"/>
                <w:szCs w:val="16"/>
              </w:rPr>
              <w:br/>
              <w:t>Forward estimate</w:t>
            </w:r>
            <w:r w:rsidRPr="00B023B9">
              <w:rPr>
                <w:rFonts w:ascii="Arial" w:hAnsi="Arial" w:cs="Arial"/>
                <w:sz w:val="16"/>
                <w:szCs w:val="16"/>
              </w:rPr>
              <w:br/>
              <w:t>$'000</w:t>
            </w:r>
          </w:p>
        </w:tc>
        <w:tc>
          <w:tcPr>
            <w:tcW w:w="1061" w:type="dxa"/>
            <w:tcBorders>
              <w:top w:val="single" w:sz="4" w:space="0" w:color="auto"/>
              <w:left w:val="nil"/>
              <w:bottom w:val="single" w:sz="4" w:space="0" w:color="auto"/>
              <w:right w:val="nil"/>
            </w:tcBorders>
            <w:shd w:val="clear" w:color="auto" w:fill="auto"/>
            <w:vAlign w:val="bottom"/>
            <w:hideMark/>
          </w:tcPr>
          <w:p w14:paraId="09597E1B" w14:textId="77777777" w:rsidR="00B023B9" w:rsidRPr="00B023B9" w:rsidRDefault="00B023B9" w:rsidP="00B023B9">
            <w:pPr>
              <w:spacing w:after="0" w:line="240" w:lineRule="auto"/>
              <w:jc w:val="right"/>
              <w:rPr>
                <w:rFonts w:ascii="Arial" w:hAnsi="Arial" w:cs="Arial"/>
                <w:sz w:val="16"/>
                <w:szCs w:val="16"/>
              </w:rPr>
            </w:pPr>
            <w:r w:rsidRPr="00B023B9">
              <w:rPr>
                <w:rFonts w:ascii="Arial" w:hAnsi="Arial" w:cs="Arial"/>
                <w:sz w:val="16"/>
                <w:szCs w:val="16"/>
              </w:rPr>
              <w:t>2024-25</w:t>
            </w:r>
            <w:r w:rsidRPr="00B023B9">
              <w:rPr>
                <w:rFonts w:ascii="Arial" w:hAnsi="Arial" w:cs="Arial"/>
                <w:sz w:val="16"/>
                <w:szCs w:val="16"/>
              </w:rPr>
              <w:br/>
              <w:t>Forward estimate</w:t>
            </w:r>
            <w:r w:rsidRPr="00B023B9">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494792C5" w14:textId="77777777" w:rsidR="00B023B9" w:rsidRPr="00B023B9" w:rsidRDefault="00B023B9" w:rsidP="00B023B9">
            <w:pPr>
              <w:spacing w:after="0" w:line="240" w:lineRule="auto"/>
              <w:jc w:val="right"/>
              <w:rPr>
                <w:rFonts w:ascii="Arial" w:hAnsi="Arial" w:cs="Arial"/>
                <w:sz w:val="16"/>
                <w:szCs w:val="16"/>
              </w:rPr>
            </w:pPr>
            <w:r w:rsidRPr="00B023B9">
              <w:rPr>
                <w:rFonts w:ascii="Arial" w:hAnsi="Arial" w:cs="Arial"/>
                <w:sz w:val="16"/>
                <w:szCs w:val="16"/>
              </w:rPr>
              <w:t>2025-26</w:t>
            </w:r>
            <w:r w:rsidRPr="00B023B9">
              <w:rPr>
                <w:rFonts w:ascii="Arial" w:hAnsi="Arial" w:cs="Arial"/>
                <w:sz w:val="16"/>
                <w:szCs w:val="16"/>
              </w:rPr>
              <w:br/>
              <w:t>Forward estimate</w:t>
            </w:r>
            <w:r w:rsidRPr="00B023B9">
              <w:rPr>
                <w:rFonts w:ascii="Arial" w:hAnsi="Arial" w:cs="Arial"/>
                <w:sz w:val="16"/>
                <w:szCs w:val="16"/>
              </w:rPr>
              <w:br/>
              <w:t>$'000</w:t>
            </w:r>
          </w:p>
        </w:tc>
      </w:tr>
      <w:tr w:rsidR="00B023B9" w:rsidRPr="00B023B9" w14:paraId="2B2DC2F2" w14:textId="77777777" w:rsidTr="00807D41">
        <w:trPr>
          <w:trHeight w:val="204"/>
        </w:trPr>
        <w:tc>
          <w:tcPr>
            <w:tcW w:w="2410" w:type="dxa"/>
            <w:tcBorders>
              <w:top w:val="nil"/>
              <w:left w:val="nil"/>
              <w:bottom w:val="nil"/>
              <w:right w:val="nil"/>
            </w:tcBorders>
            <w:shd w:val="clear" w:color="auto" w:fill="auto"/>
            <w:noWrap/>
            <w:vAlign w:val="bottom"/>
            <w:hideMark/>
          </w:tcPr>
          <w:p w14:paraId="145C8C83" w14:textId="77777777" w:rsidR="00B023B9" w:rsidRPr="00B023B9" w:rsidRDefault="00B023B9" w:rsidP="00B023B9">
            <w:pPr>
              <w:spacing w:after="0" w:line="240" w:lineRule="auto"/>
              <w:jc w:val="left"/>
              <w:rPr>
                <w:rFonts w:ascii="Arial" w:hAnsi="Arial" w:cs="Arial"/>
                <w:b/>
                <w:bCs/>
                <w:color w:val="000000"/>
                <w:sz w:val="16"/>
                <w:szCs w:val="16"/>
              </w:rPr>
            </w:pPr>
            <w:r w:rsidRPr="00B023B9">
              <w:rPr>
                <w:rFonts w:ascii="Arial" w:hAnsi="Arial" w:cs="Arial"/>
                <w:b/>
                <w:bCs/>
                <w:color w:val="000000"/>
                <w:sz w:val="16"/>
                <w:szCs w:val="16"/>
              </w:rPr>
              <w:t>OPERATING ACTIVITIES</w:t>
            </w:r>
          </w:p>
        </w:tc>
        <w:tc>
          <w:tcPr>
            <w:tcW w:w="1124" w:type="dxa"/>
            <w:tcBorders>
              <w:top w:val="nil"/>
              <w:left w:val="nil"/>
              <w:bottom w:val="nil"/>
              <w:right w:val="nil"/>
            </w:tcBorders>
            <w:shd w:val="clear" w:color="auto" w:fill="auto"/>
            <w:noWrap/>
            <w:vAlign w:val="bottom"/>
            <w:hideMark/>
          </w:tcPr>
          <w:p w14:paraId="3D874286" w14:textId="77777777" w:rsidR="00B023B9" w:rsidRPr="00B023B9" w:rsidRDefault="00B023B9" w:rsidP="00B023B9">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90FECB8" w14:textId="6826745F" w:rsidR="00B023B9" w:rsidRPr="00B023B9" w:rsidRDefault="00B023B9" w:rsidP="00B023B9">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42F900BF" w14:textId="77777777" w:rsidR="00B023B9" w:rsidRPr="00B023B9" w:rsidRDefault="00B023B9" w:rsidP="00B023B9">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659E782D" w14:textId="77777777" w:rsidR="00B023B9" w:rsidRPr="00B023B9" w:rsidRDefault="00B023B9" w:rsidP="00B023B9">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0B75398E" w14:textId="77777777" w:rsidR="00B023B9" w:rsidRPr="00B023B9" w:rsidRDefault="00B023B9" w:rsidP="00B023B9">
            <w:pPr>
              <w:spacing w:after="0" w:line="240" w:lineRule="auto"/>
              <w:jc w:val="right"/>
              <w:rPr>
                <w:rFonts w:ascii="Times New Roman" w:hAnsi="Times New Roman"/>
              </w:rPr>
            </w:pPr>
          </w:p>
        </w:tc>
      </w:tr>
      <w:tr w:rsidR="00AF04BD" w:rsidRPr="00B023B9" w14:paraId="67B9313B" w14:textId="77777777" w:rsidTr="00AF04BD">
        <w:trPr>
          <w:trHeight w:val="204"/>
        </w:trPr>
        <w:tc>
          <w:tcPr>
            <w:tcW w:w="2410" w:type="dxa"/>
            <w:tcBorders>
              <w:top w:val="nil"/>
              <w:left w:val="nil"/>
              <w:bottom w:val="nil"/>
              <w:right w:val="nil"/>
            </w:tcBorders>
            <w:shd w:val="clear" w:color="auto" w:fill="auto"/>
            <w:noWrap/>
            <w:vAlign w:val="center"/>
            <w:hideMark/>
          </w:tcPr>
          <w:p w14:paraId="159C86E6" w14:textId="5F84B2EE"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14:paraId="30EFD5E2" w14:textId="77777777" w:rsidR="00AF04BD" w:rsidRPr="00AF04BD" w:rsidRDefault="00AF04BD" w:rsidP="00AF04BD">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BED1F02" w14:textId="00D14BD3"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w:t>
            </w:r>
          </w:p>
        </w:tc>
        <w:tc>
          <w:tcPr>
            <w:tcW w:w="1061" w:type="dxa"/>
            <w:tcBorders>
              <w:top w:val="nil"/>
              <w:left w:val="nil"/>
              <w:bottom w:val="nil"/>
              <w:right w:val="nil"/>
            </w:tcBorders>
            <w:shd w:val="clear" w:color="auto" w:fill="auto"/>
            <w:noWrap/>
            <w:vAlign w:val="bottom"/>
            <w:hideMark/>
          </w:tcPr>
          <w:p w14:paraId="52CB7CBF" w14:textId="77777777" w:rsidR="00AF04BD" w:rsidRPr="00AF04BD" w:rsidRDefault="00AF04BD" w:rsidP="00AF04BD">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637D9050" w14:textId="77777777" w:rsidR="00AF04BD" w:rsidRPr="00AF04BD" w:rsidRDefault="00AF04BD" w:rsidP="00AF04B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6316409A" w14:textId="77777777" w:rsidR="00AF04BD" w:rsidRPr="00AF04BD" w:rsidRDefault="00AF04BD" w:rsidP="00AF04BD">
            <w:pPr>
              <w:spacing w:after="0" w:line="240" w:lineRule="auto"/>
              <w:jc w:val="right"/>
              <w:rPr>
                <w:rFonts w:ascii="Times New Roman" w:hAnsi="Times New Roman"/>
                <w:sz w:val="16"/>
                <w:szCs w:val="16"/>
              </w:rPr>
            </w:pPr>
          </w:p>
        </w:tc>
      </w:tr>
      <w:tr w:rsidR="00AF04BD" w:rsidRPr="00B023B9" w14:paraId="1393085C" w14:textId="77777777" w:rsidTr="00AF04BD">
        <w:trPr>
          <w:trHeight w:val="204"/>
        </w:trPr>
        <w:tc>
          <w:tcPr>
            <w:tcW w:w="2410" w:type="dxa"/>
            <w:tcBorders>
              <w:top w:val="nil"/>
              <w:left w:val="nil"/>
              <w:bottom w:val="nil"/>
              <w:right w:val="nil"/>
            </w:tcBorders>
            <w:shd w:val="clear" w:color="auto" w:fill="auto"/>
            <w:vAlign w:val="center"/>
            <w:hideMark/>
          </w:tcPr>
          <w:p w14:paraId="46A283BE" w14:textId="2E12B941" w:rsidR="00AF04BD" w:rsidRPr="00AF04BD" w:rsidRDefault="00AF04BD" w:rsidP="00AF04BD">
            <w:pPr>
              <w:spacing w:after="0" w:line="240" w:lineRule="auto"/>
              <w:ind w:left="227"/>
              <w:jc w:val="left"/>
              <w:rPr>
                <w:rFonts w:ascii="Arial" w:hAnsi="Arial" w:cs="Arial"/>
                <w:sz w:val="16"/>
                <w:szCs w:val="16"/>
              </w:rPr>
            </w:pPr>
            <w:r w:rsidRPr="00AF04BD">
              <w:rPr>
                <w:rFonts w:ascii="Arial" w:hAnsi="Arial" w:cs="Arial"/>
                <w:sz w:val="16"/>
                <w:szCs w:val="16"/>
              </w:rPr>
              <w:t>Revenue from contracts with customers</w:t>
            </w:r>
          </w:p>
        </w:tc>
        <w:tc>
          <w:tcPr>
            <w:tcW w:w="1124" w:type="dxa"/>
            <w:tcBorders>
              <w:top w:val="nil"/>
              <w:left w:val="nil"/>
              <w:bottom w:val="nil"/>
              <w:right w:val="nil"/>
            </w:tcBorders>
            <w:shd w:val="clear" w:color="auto" w:fill="auto"/>
            <w:noWrap/>
            <w:vAlign w:val="bottom"/>
            <w:hideMark/>
          </w:tcPr>
          <w:p w14:paraId="63A4EBA9" w14:textId="522519E6"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17,841 </w:t>
            </w:r>
          </w:p>
        </w:tc>
        <w:tc>
          <w:tcPr>
            <w:tcW w:w="1035" w:type="dxa"/>
            <w:tcBorders>
              <w:top w:val="nil"/>
              <w:left w:val="nil"/>
              <w:bottom w:val="nil"/>
              <w:right w:val="nil"/>
            </w:tcBorders>
            <w:shd w:val="clear" w:color="000000" w:fill="E6E6E6"/>
            <w:noWrap/>
            <w:vAlign w:val="bottom"/>
            <w:hideMark/>
          </w:tcPr>
          <w:p w14:paraId="48F191DA" w14:textId="0D046A0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17,891 </w:t>
            </w:r>
          </w:p>
        </w:tc>
        <w:tc>
          <w:tcPr>
            <w:tcW w:w="1061" w:type="dxa"/>
            <w:tcBorders>
              <w:top w:val="nil"/>
              <w:left w:val="nil"/>
              <w:bottom w:val="nil"/>
              <w:right w:val="nil"/>
            </w:tcBorders>
            <w:shd w:val="clear" w:color="auto" w:fill="auto"/>
            <w:noWrap/>
            <w:vAlign w:val="bottom"/>
            <w:hideMark/>
          </w:tcPr>
          <w:p w14:paraId="767541C4" w14:textId="3158C96F"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17,818 </w:t>
            </w:r>
          </w:p>
        </w:tc>
        <w:tc>
          <w:tcPr>
            <w:tcW w:w="1061" w:type="dxa"/>
            <w:tcBorders>
              <w:top w:val="nil"/>
              <w:left w:val="nil"/>
              <w:bottom w:val="nil"/>
              <w:right w:val="nil"/>
            </w:tcBorders>
            <w:shd w:val="clear" w:color="auto" w:fill="auto"/>
            <w:noWrap/>
            <w:vAlign w:val="bottom"/>
            <w:hideMark/>
          </w:tcPr>
          <w:p w14:paraId="0B68F9C9" w14:textId="183D6F1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17,793 </w:t>
            </w:r>
          </w:p>
        </w:tc>
        <w:tc>
          <w:tcPr>
            <w:tcW w:w="1035" w:type="dxa"/>
            <w:tcBorders>
              <w:top w:val="nil"/>
              <w:left w:val="nil"/>
              <w:bottom w:val="nil"/>
              <w:right w:val="nil"/>
            </w:tcBorders>
            <w:shd w:val="clear" w:color="auto" w:fill="auto"/>
            <w:noWrap/>
            <w:vAlign w:val="bottom"/>
            <w:hideMark/>
          </w:tcPr>
          <w:p w14:paraId="554357FB" w14:textId="6CC4E273"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15,156 </w:t>
            </w:r>
          </w:p>
        </w:tc>
      </w:tr>
      <w:tr w:rsidR="00AF04BD" w:rsidRPr="00B023B9" w14:paraId="7DAA5ED0" w14:textId="77777777" w:rsidTr="00AF04BD">
        <w:trPr>
          <w:trHeight w:val="204"/>
        </w:trPr>
        <w:tc>
          <w:tcPr>
            <w:tcW w:w="2410" w:type="dxa"/>
            <w:tcBorders>
              <w:top w:val="nil"/>
              <w:left w:val="nil"/>
              <w:bottom w:val="nil"/>
              <w:right w:val="nil"/>
            </w:tcBorders>
            <w:shd w:val="clear" w:color="auto" w:fill="auto"/>
            <w:noWrap/>
            <w:vAlign w:val="center"/>
            <w:hideMark/>
          </w:tcPr>
          <w:p w14:paraId="0AB4728A" w14:textId="50EC551A"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Dividends</w:t>
            </w:r>
          </w:p>
        </w:tc>
        <w:tc>
          <w:tcPr>
            <w:tcW w:w="1124" w:type="dxa"/>
            <w:tcBorders>
              <w:top w:val="nil"/>
              <w:left w:val="nil"/>
              <w:bottom w:val="nil"/>
              <w:right w:val="nil"/>
            </w:tcBorders>
            <w:shd w:val="clear" w:color="auto" w:fill="auto"/>
            <w:noWrap/>
            <w:vAlign w:val="bottom"/>
            <w:hideMark/>
          </w:tcPr>
          <w:p w14:paraId="479AC5B0" w14:textId="5E85E348"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106,900 </w:t>
            </w:r>
          </w:p>
        </w:tc>
        <w:tc>
          <w:tcPr>
            <w:tcW w:w="1035" w:type="dxa"/>
            <w:tcBorders>
              <w:top w:val="nil"/>
              <w:left w:val="nil"/>
              <w:bottom w:val="nil"/>
              <w:right w:val="nil"/>
            </w:tcBorders>
            <w:shd w:val="clear" w:color="000000" w:fill="E6E6E6"/>
            <w:noWrap/>
            <w:vAlign w:val="bottom"/>
            <w:hideMark/>
          </w:tcPr>
          <w:p w14:paraId="179EDB90" w14:textId="6380457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36,500 </w:t>
            </w:r>
          </w:p>
        </w:tc>
        <w:tc>
          <w:tcPr>
            <w:tcW w:w="1061" w:type="dxa"/>
            <w:tcBorders>
              <w:top w:val="nil"/>
              <w:left w:val="nil"/>
              <w:bottom w:val="nil"/>
              <w:right w:val="nil"/>
            </w:tcBorders>
            <w:shd w:val="clear" w:color="auto" w:fill="auto"/>
            <w:noWrap/>
            <w:vAlign w:val="bottom"/>
            <w:hideMark/>
          </w:tcPr>
          <w:p w14:paraId="4459E8FF" w14:textId="71916B3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35,300 </w:t>
            </w:r>
          </w:p>
        </w:tc>
        <w:tc>
          <w:tcPr>
            <w:tcW w:w="1061" w:type="dxa"/>
            <w:tcBorders>
              <w:top w:val="nil"/>
              <w:left w:val="nil"/>
              <w:bottom w:val="nil"/>
              <w:right w:val="nil"/>
            </w:tcBorders>
            <w:shd w:val="clear" w:color="auto" w:fill="auto"/>
            <w:noWrap/>
            <w:vAlign w:val="bottom"/>
            <w:hideMark/>
          </w:tcPr>
          <w:p w14:paraId="484C55A1" w14:textId="7FD34B03"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58,100 </w:t>
            </w:r>
          </w:p>
        </w:tc>
        <w:tc>
          <w:tcPr>
            <w:tcW w:w="1035" w:type="dxa"/>
            <w:tcBorders>
              <w:top w:val="nil"/>
              <w:left w:val="nil"/>
              <w:bottom w:val="nil"/>
              <w:right w:val="nil"/>
            </w:tcBorders>
            <w:shd w:val="clear" w:color="auto" w:fill="auto"/>
            <w:noWrap/>
            <w:vAlign w:val="bottom"/>
            <w:hideMark/>
          </w:tcPr>
          <w:p w14:paraId="337DD6E8" w14:textId="3E96B5E4"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55,400 </w:t>
            </w:r>
          </w:p>
        </w:tc>
      </w:tr>
      <w:tr w:rsidR="00AF04BD" w:rsidRPr="00B023B9" w14:paraId="60D823FE" w14:textId="77777777" w:rsidTr="00AF04BD">
        <w:trPr>
          <w:trHeight w:val="204"/>
        </w:trPr>
        <w:tc>
          <w:tcPr>
            <w:tcW w:w="2410" w:type="dxa"/>
            <w:tcBorders>
              <w:top w:val="nil"/>
              <w:left w:val="nil"/>
              <w:bottom w:val="nil"/>
              <w:right w:val="nil"/>
            </w:tcBorders>
            <w:shd w:val="clear" w:color="auto" w:fill="auto"/>
            <w:noWrap/>
            <w:vAlign w:val="center"/>
            <w:hideMark/>
          </w:tcPr>
          <w:p w14:paraId="0C045E48" w14:textId="666F3DD2" w:rsidR="00AF04BD" w:rsidRPr="00AF04BD" w:rsidRDefault="00AF04BD" w:rsidP="00AF04BD">
            <w:pPr>
              <w:spacing w:after="0" w:line="240" w:lineRule="auto"/>
              <w:ind w:left="227"/>
              <w:jc w:val="left"/>
              <w:rPr>
                <w:rFonts w:ascii="Arial" w:hAnsi="Arial" w:cs="Arial"/>
                <w:sz w:val="16"/>
                <w:szCs w:val="16"/>
              </w:rPr>
            </w:pPr>
            <w:r w:rsidRPr="00AF04BD">
              <w:rPr>
                <w:rFonts w:ascii="Arial" w:hAnsi="Arial" w:cs="Arial"/>
                <w:sz w:val="16"/>
                <w:szCs w:val="16"/>
              </w:rPr>
              <w:t>Taxes</w:t>
            </w:r>
          </w:p>
        </w:tc>
        <w:tc>
          <w:tcPr>
            <w:tcW w:w="1124" w:type="dxa"/>
            <w:tcBorders>
              <w:top w:val="nil"/>
              <w:left w:val="nil"/>
              <w:bottom w:val="nil"/>
              <w:right w:val="nil"/>
            </w:tcBorders>
            <w:shd w:val="clear" w:color="auto" w:fill="auto"/>
            <w:noWrap/>
            <w:vAlign w:val="bottom"/>
            <w:hideMark/>
          </w:tcPr>
          <w:p w14:paraId="1EA1A86E" w14:textId="213E3590"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41,491 </w:t>
            </w:r>
          </w:p>
        </w:tc>
        <w:tc>
          <w:tcPr>
            <w:tcW w:w="1035" w:type="dxa"/>
            <w:tcBorders>
              <w:top w:val="nil"/>
              <w:left w:val="nil"/>
              <w:bottom w:val="nil"/>
              <w:right w:val="nil"/>
            </w:tcBorders>
            <w:shd w:val="clear" w:color="000000" w:fill="E6E6E6"/>
            <w:noWrap/>
            <w:vAlign w:val="bottom"/>
            <w:hideMark/>
          </w:tcPr>
          <w:p w14:paraId="3AC7473F" w14:textId="23D5E8DF"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43,187 </w:t>
            </w:r>
          </w:p>
        </w:tc>
        <w:tc>
          <w:tcPr>
            <w:tcW w:w="1061" w:type="dxa"/>
            <w:tcBorders>
              <w:top w:val="nil"/>
              <w:left w:val="nil"/>
              <w:bottom w:val="nil"/>
              <w:right w:val="nil"/>
            </w:tcBorders>
            <w:shd w:val="clear" w:color="auto" w:fill="auto"/>
            <w:noWrap/>
            <w:vAlign w:val="bottom"/>
            <w:hideMark/>
          </w:tcPr>
          <w:p w14:paraId="0A051A13" w14:textId="7A6FFC80"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42,468 </w:t>
            </w:r>
          </w:p>
        </w:tc>
        <w:tc>
          <w:tcPr>
            <w:tcW w:w="1061" w:type="dxa"/>
            <w:tcBorders>
              <w:top w:val="nil"/>
              <w:left w:val="nil"/>
              <w:bottom w:val="nil"/>
              <w:right w:val="nil"/>
            </w:tcBorders>
            <w:shd w:val="clear" w:color="auto" w:fill="auto"/>
            <w:noWrap/>
            <w:vAlign w:val="bottom"/>
            <w:hideMark/>
          </w:tcPr>
          <w:p w14:paraId="00C60ABF" w14:textId="109F71F7"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45,006 </w:t>
            </w:r>
          </w:p>
        </w:tc>
        <w:tc>
          <w:tcPr>
            <w:tcW w:w="1035" w:type="dxa"/>
            <w:tcBorders>
              <w:top w:val="nil"/>
              <w:left w:val="nil"/>
              <w:bottom w:val="nil"/>
              <w:right w:val="nil"/>
            </w:tcBorders>
            <w:shd w:val="clear" w:color="auto" w:fill="auto"/>
            <w:noWrap/>
            <w:vAlign w:val="bottom"/>
            <w:hideMark/>
          </w:tcPr>
          <w:p w14:paraId="4896EB92" w14:textId="6FF3968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45,006 </w:t>
            </w:r>
          </w:p>
        </w:tc>
      </w:tr>
      <w:tr w:rsidR="00AF04BD" w:rsidRPr="00B023B9" w14:paraId="19D1C41E" w14:textId="77777777" w:rsidTr="00AF04BD">
        <w:trPr>
          <w:trHeight w:val="204"/>
        </w:trPr>
        <w:tc>
          <w:tcPr>
            <w:tcW w:w="2410" w:type="dxa"/>
            <w:tcBorders>
              <w:top w:val="nil"/>
              <w:left w:val="nil"/>
              <w:bottom w:val="nil"/>
              <w:right w:val="nil"/>
            </w:tcBorders>
            <w:shd w:val="clear" w:color="auto" w:fill="auto"/>
            <w:noWrap/>
            <w:vAlign w:val="center"/>
            <w:hideMark/>
          </w:tcPr>
          <w:p w14:paraId="5EE9B86A" w14:textId="147D693F"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Regulatory and other fees</w:t>
            </w:r>
          </w:p>
        </w:tc>
        <w:tc>
          <w:tcPr>
            <w:tcW w:w="1124" w:type="dxa"/>
            <w:tcBorders>
              <w:top w:val="nil"/>
              <w:left w:val="nil"/>
              <w:bottom w:val="nil"/>
              <w:right w:val="nil"/>
            </w:tcBorders>
            <w:shd w:val="clear" w:color="auto" w:fill="auto"/>
            <w:noWrap/>
            <w:vAlign w:val="bottom"/>
            <w:hideMark/>
          </w:tcPr>
          <w:p w14:paraId="47549EFD" w14:textId="418B2EA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120,923 </w:t>
            </w:r>
          </w:p>
        </w:tc>
        <w:tc>
          <w:tcPr>
            <w:tcW w:w="1035" w:type="dxa"/>
            <w:tcBorders>
              <w:top w:val="nil"/>
              <w:left w:val="nil"/>
              <w:bottom w:val="nil"/>
              <w:right w:val="nil"/>
            </w:tcBorders>
            <w:shd w:val="clear" w:color="000000" w:fill="E6E6E6"/>
            <w:noWrap/>
            <w:vAlign w:val="bottom"/>
            <w:hideMark/>
          </w:tcPr>
          <w:p w14:paraId="146419A5" w14:textId="2D26F7BA"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135,574 </w:t>
            </w:r>
          </w:p>
        </w:tc>
        <w:tc>
          <w:tcPr>
            <w:tcW w:w="1061" w:type="dxa"/>
            <w:tcBorders>
              <w:top w:val="nil"/>
              <w:left w:val="nil"/>
              <w:bottom w:val="nil"/>
              <w:right w:val="nil"/>
            </w:tcBorders>
            <w:shd w:val="clear" w:color="auto" w:fill="auto"/>
            <w:noWrap/>
            <w:vAlign w:val="bottom"/>
            <w:hideMark/>
          </w:tcPr>
          <w:p w14:paraId="5F38783A" w14:textId="03D542E4"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140,103 </w:t>
            </w:r>
          </w:p>
        </w:tc>
        <w:tc>
          <w:tcPr>
            <w:tcW w:w="1061" w:type="dxa"/>
            <w:tcBorders>
              <w:top w:val="nil"/>
              <w:left w:val="nil"/>
              <w:bottom w:val="nil"/>
              <w:right w:val="nil"/>
            </w:tcBorders>
            <w:shd w:val="clear" w:color="auto" w:fill="auto"/>
            <w:noWrap/>
            <w:vAlign w:val="bottom"/>
            <w:hideMark/>
          </w:tcPr>
          <w:p w14:paraId="14692622" w14:textId="23352EE3"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179,607 </w:t>
            </w:r>
          </w:p>
        </w:tc>
        <w:tc>
          <w:tcPr>
            <w:tcW w:w="1035" w:type="dxa"/>
            <w:tcBorders>
              <w:top w:val="nil"/>
              <w:left w:val="nil"/>
              <w:bottom w:val="nil"/>
              <w:right w:val="nil"/>
            </w:tcBorders>
            <w:shd w:val="clear" w:color="auto" w:fill="auto"/>
            <w:noWrap/>
            <w:vAlign w:val="bottom"/>
            <w:hideMark/>
          </w:tcPr>
          <w:p w14:paraId="20E8B0C2" w14:textId="285A5690"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154,995 </w:t>
            </w:r>
          </w:p>
        </w:tc>
      </w:tr>
      <w:tr w:rsidR="00AF04BD" w:rsidRPr="00B023B9" w14:paraId="27DD10E4" w14:textId="77777777" w:rsidTr="00AF04BD">
        <w:trPr>
          <w:trHeight w:val="204"/>
        </w:trPr>
        <w:tc>
          <w:tcPr>
            <w:tcW w:w="2410" w:type="dxa"/>
            <w:tcBorders>
              <w:top w:val="nil"/>
              <w:left w:val="nil"/>
              <w:bottom w:val="nil"/>
              <w:right w:val="nil"/>
            </w:tcBorders>
            <w:shd w:val="clear" w:color="auto" w:fill="auto"/>
            <w:noWrap/>
            <w:vAlign w:val="center"/>
            <w:hideMark/>
          </w:tcPr>
          <w:p w14:paraId="1F5D6ADF" w14:textId="1BD2F72C"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5DD9BAC9" w14:textId="32751531"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9,614 </w:t>
            </w:r>
          </w:p>
        </w:tc>
        <w:tc>
          <w:tcPr>
            <w:tcW w:w="1035" w:type="dxa"/>
            <w:tcBorders>
              <w:top w:val="nil"/>
              <w:left w:val="nil"/>
              <w:bottom w:val="nil"/>
              <w:right w:val="nil"/>
            </w:tcBorders>
            <w:shd w:val="clear" w:color="000000" w:fill="E6E6E6"/>
            <w:noWrap/>
            <w:vAlign w:val="bottom"/>
            <w:hideMark/>
          </w:tcPr>
          <w:p w14:paraId="04DF9FB1" w14:textId="29CDF3A6"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22,946 </w:t>
            </w:r>
          </w:p>
        </w:tc>
        <w:tc>
          <w:tcPr>
            <w:tcW w:w="1061" w:type="dxa"/>
            <w:tcBorders>
              <w:top w:val="nil"/>
              <w:left w:val="nil"/>
              <w:bottom w:val="nil"/>
              <w:right w:val="nil"/>
            </w:tcBorders>
            <w:shd w:val="clear" w:color="auto" w:fill="auto"/>
            <w:noWrap/>
            <w:vAlign w:val="bottom"/>
            <w:hideMark/>
          </w:tcPr>
          <w:p w14:paraId="11FE07A5" w14:textId="3B6CD1E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13,575 </w:t>
            </w:r>
          </w:p>
        </w:tc>
        <w:tc>
          <w:tcPr>
            <w:tcW w:w="1061" w:type="dxa"/>
            <w:tcBorders>
              <w:top w:val="nil"/>
              <w:left w:val="nil"/>
              <w:bottom w:val="nil"/>
              <w:right w:val="nil"/>
            </w:tcBorders>
            <w:shd w:val="clear" w:color="auto" w:fill="auto"/>
            <w:noWrap/>
            <w:vAlign w:val="bottom"/>
            <w:hideMark/>
          </w:tcPr>
          <w:p w14:paraId="5977FD36" w14:textId="7EE48403"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7,339 </w:t>
            </w:r>
          </w:p>
        </w:tc>
        <w:tc>
          <w:tcPr>
            <w:tcW w:w="1035" w:type="dxa"/>
            <w:tcBorders>
              <w:top w:val="nil"/>
              <w:left w:val="nil"/>
              <w:bottom w:val="nil"/>
              <w:right w:val="nil"/>
            </w:tcBorders>
            <w:shd w:val="clear" w:color="auto" w:fill="auto"/>
            <w:noWrap/>
            <w:vAlign w:val="bottom"/>
            <w:hideMark/>
          </w:tcPr>
          <w:p w14:paraId="6B39EA44" w14:textId="3E2F198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1,200 </w:t>
            </w:r>
          </w:p>
        </w:tc>
      </w:tr>
      <w:tr w:rsidR="00AF04BD" w:rsidRPr="00B023B9" w14:paraId="5B15E75F" w14:textId="77777777" w:rsidTr="00AF04BD">
        <w:trPr>
          <w:trHeight w:val="204"/>
        </w:trPr>
        <w:tc>
          <w:tcPr>
            <w:tcW w:w="2410" w:type="dxa"/>
            <w:tcBorders>
              <w:top w:val="nil"/>
              <w:left w:val="nil"/>
              <w:bottom w:val="nil"/>
              <w:right w:val="nil"/>
            </w:tcBorders>
            <w:shd w:val="clear" w:color="auto" w:fill="auto"/>
            <w:noWrap/>
            <w:vAlign w:val="center"/>
            <w:hideMark/>
          </w:tcPr>
          <w:p w14:paraId="66DDBABD" w14:textId="3D89D07B"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hideMark/>
          </w:tcPr>
          <w:p w14:paraId="6351E28A" w14:textId="5A2EBBA2"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296,769 </w:t>
            </w:r>
          </w:p>
        </w:tc>
        <w:tc>
          <w:tcPr>
            <w:tcW w:w="1035" w:type="dxa"/>
            <w:tcBorders>
              <w:top w:val="single" w:sz="4" w:space="0" w:color="000000"/>
              <w:left w:val="nil"/>
              <w:bottom w:val="single" w:sz="4" w:space="0" w:color="000000"/>
              <w:right w:val="nil"/>
            </w:tcBorders>
            <w:shd w:val="clear" w:color="000000" w:fill="E6E6E6"/>
            <w:noWrap/>
            <w:vAlign w:val="bottom"/>
            <w:hideMark/>
          </w:tcPr>
          <w:p w14:paraId="576CA7F7" w14:textId="525C9A58"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256,098 </w:t>
            </w:r>
          </w:p>
        </w:tc>
        <w:tc>
          <w:tcPr>
            <w:tcW w:w="1061" w:type="dxa"/>
            <w:tcBorders>
              <w:top w:val="single" w:sz="4" w:space="0" w:color="000000"/>
              <w:left w:val="nil"/>
              <w:bottom w:val="single" w:sz="4" w:space="0" w:color="000000"/>
              <w:right w:val="nil"/>
            </w:tcBorders>
            <w:shd w:val="clear" w:color="auto" w:fill="auto"/>
            <w:noWrap/>
            <w:vAlign w:val="bottom"/>
            <w:hideMark/>
          </w:tcPr>
          <w:p w14:paraId="7E7494C8" w14:textId="42CD9E4C"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249,264 </w:t>
            </w:r>
          </w:p>
        </w:tc>
        <w:tc>
          <w:tcPr>
            <w:tcW w:w="1061" w:type="dxa"/>
            <w:tcBorders>
              <w:top w:val="single" w:sz="4" w:space="0" w:color="000000"/>
              <w:left w:val="nil"/>
              <w:bottom w:val="single" w:sz="4" w:space="0" w:color="000000"/>
              <w:right w:val="nil"/>
            </w:tcBorders>
            <w:shd w:val="clear" w:color="auto" w:fill="auto"/>
            <w:noWrap/>
            <w:vAlign w:val="bottom"/>
            <w:hideMark/>
          </w:tcPr>
          <w:p w14:paraId="597CA5A1" w14:textId="2FBDBCB1"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307,845 </w:t>
            </w:r>
          </w:p>
        </w:tc>
        <w:tc>
          <w:tcPr>
            <w:tcW w:w="1035" w:type="dxa"/>
            <w:tcBorders>
              <w:top w:val="single" w:sz="4" w:space="0" w:color="000000"/>
              <w:left w:val="nil"/>
              <w:bottom w:val="single" w:sz="4" w:space="0" w:color="000000"/>
              <w:right w:val="nil"/>
            </w:tcBorders>
            <w:shd w:val="clear" w:color="auto" w:fill="auto"/>
            <w:noWrap/>
            <w:vAlign w:val="bottom"/>
            <w:hideMark/>
          </w:tcPr>
          <w:p w14:paraId="1DEAFDC3" w14:textId="21C41104"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271,757 </w:t>
            </w:r>
          </w:p>
        </w:tc>
      </w:tr>
      <w:tr w:rsidR="00AF04BD" w:rsidRPr="00B023B9" w14:paraId="68150520" w14:textId="77777777" w:rsidTr="00AF04BD">
        <w:trPr>
          <w:trHeight w:val="204"/>
        </w:trPr>
        <w:tc>
          <w:tcPr>
            <w:tcW w:w="2410" w:type="dxa"/>
            <w:tcBorders>
              <w:top w:val="nil"/>
              <w:left w:val="nil"/>
              <w:bottom w:val="nil"/>
              <w:right w:val="nil"/>
            </w:tcBorders>
            <w:shd w:val="clear" w:color="auto" w:fill="auto"/>
            <w:noWrap/>
            <w:vAlign w:val="center"/>
            <w:hideMark/>
          </w:tcPr>
          <w:p w14:paraId="725A16ED" w14:textId="5B8368DB"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bottom"/>
            <w:hideMark/>
          </w:tcPr>
          <w:p w14:paraId="052E8620" w14:textId="77777777" w:rsidR="00AF04BD" w:rsidRPr="00AF04BD" w:rsidRDefault="00AF04BD" w:rsidP="00AF04BD">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4DC2F32" w14:textId="5B5A77E4"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w:t>
            </w:r>
          </w:p>
        </w:tc>
        <w:tc>
          <w:tcPr>
            <w:tcW w:w="1061" w:type="dxa"/>
            <w:tcBorders>
              <w:top w:val="nil"/>
              <w:left w:val="nil"/>
              <w:bottom w:val="nil"/>
              <w:right w:val="nil"/>
            </w:tcBorders>
            <w:shd w:val="clear" w:color="auto" w:fill="auto"/>
            <w:noWrap/>
            <w:vAlign w:val="bottom"/>
            <w:hideMark/>
          </w:tcPr>
          <w:p w14:paraId="6E0B8C7E" w14:textId="77777777" w:rsidR="00AF04BD" w:rsidRPr="00AF04BD" w:rsidRDefault="00AF04BD" w:rsidP="00AF04BD">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4C19BD3A" w14:textId="77777777" w:rsidR="00AF04BD" w:rsidRPr="00AF04BD" w:rsidRDefault="00AF04BD" w:rsidP="00AF04B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127D32DD" w14:textId="77777777" w:rsidR="00AF04BD" w:rsidRPr="00AF04BD" w:rsidRDefault="00AF04BD" w:rsidP="00AF04BD">
            <w:pPr>
              <w:spacing w:after="0" w:line="240" w:lineRule="auto"/>
              <w:jc w:val="right"/>
              <w:rPr>
                <w:rFonts w:ascii="Times New Roman" w:hAnsi="Times New Roman"/>
                <w:sz w:val="16"/>
                <w:szCs w:val="16"/>
              </w:rPr>
            </w:pPr>
          </w:p>
        </w:tc>
      </w:tr>
      <w:tr w:rsidR="00AF04BD" w:rsidRPr="00B023B9" w14:paraId="208170CB" w14:textId="77777777" w:rsidTr="00AF04BD">
        <w:trPr>
          <w:trHeight w:val="204"/>
        </w:trPr>
        <w:tc>
          <w:tcPr>
            <w:tcW w:w="2410" w:type="dxa"/>
            <w:tcBorders>
              <w:top w:val="nil"/>
              <w:left w:val="nil"/>
              <w:bottom w:val="nil"/>
              <w:right w:val="nil"/>
            </w:tcBorders>
            <w:shd w:val="clear" w:color="auto" w:fill="auto"/>
            <w:noWrap/>
            <w:vAlign w:val="center"/>
            <w:hideMark/>
          </w:tcPr>
          <w:p w14:paraId="09728959" w14:textId="46A64766"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sz w:val="16"/>
                <w:szCs w:val="16"/>
              </w:rPr>
              <w:t>Grant payments</w:t>
            </w:r>
          </w:p>
        </w:tc>
        <w:tc>
          <w:tcPr>
            <w:tcW w:w="1124" w:type="dxa"/>
            <w:tcBorders>
              <w:top w:val="nil"/>
              <w:left w:val="nil"/>
              <w:bottom w:val="nil"/>
              <w:right w:val="nil"/>
            </w:tcBorders>
            <w:shd w:val="clear" w:color="auto" w:fill="auto"/>
            <w:noWrap/>
            <w:vAlign w:val="bottom"/>
            <w:hideMark/>
          </w:tcPr>
          <w:p w14:paraId="0A0BE451" w14:textId="570D091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7,245,145 </w:t>
            </w:r>
          </w:p>
        </w:tc>
        <w:tc>
          <w:tcPr>
            <w:tcW w:w="1035" w:type="dxa"/>
            <w:tcBorders>
              <w:top w:val="nil"/>
              <w:left w:val="nil"/>
              <w:bottom w:val="nil"/>
              <w:right w:val="nil"/>
            </w:tcBorders>
            <w:shd w:val="clear" w:color="000000" w:fill="E6E6E6"/>
            <w:noWrap/>
            <w:vAlign w:val="bottom"/>
            <w:hideMark/>
          </w:tcPr>
          <w:p w14:paraId="0542A7C2" w14:textId="2A49165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4,610,772 </w:t>
            </w:r>
          </w:p>
        </w:tc>
        <w:tc>
          <w:tcPr>
            <w:tcW w:w="1061" w:type="dxa"/>
            <w:tcBorders>
              <w:top w:val="nil"/>
              <w:left w:val="nil"/>
              <w:bottom w:val="nil"/>
              <w:right w:val="nil"/>
            </w:tcBorders>
            <w:shd w:val="clear" w:color="auto" w:fill="auto"/>
            <w:noWrap/>
            <w:vAlign w:val="bottom"/>
            <w:hideMark/>
          </w:tcPr>
          <w:p w14:paraId="692A7705" w14:textId="64D393A5"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5,944,964 </w:t>
            </w:r>
          </w:p>
        </w:tc>
        <w:tc>
          <w:tcPr>
            <w:tcW w:w="1061" w:type="dxa"/>
            <w:tcBorders>
              <w:top w:val="nil"/>
              <w:left w:val="nil"/>
              <w:bottom w:val="nil"/>
              <w:right w:val="nil"/>
            </w:tcBorders>
            <w:shd w:val="clear" w:color="auto" w:fill="auto"/>
            <w:noWrap/>
            <w:vAlign w:val="bottom"/>
            <w:hideMark/>
          </w:tcPr>
          <w:p w14:paraId="1D24E7D7" w14:textId="174590F3"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5,683,333 </w:t>
            </w:r>
          </w:p>
        </w:tc>
        <w:tc>
          <w:tcPr>
            <w:tcW w:w="1035" w:type="dxa"/>
            <w:tcBorders>
              <w:top w:val="nil"/>
              <w:left w:val="nil"/>
              <w:bottom w:val="nil"/>
              <w:right w:val="nil"/>
            </w:tcBorders>
            <w:shd w:val="clear" w:color="auto" w:fill="auto"/>
            <w:noWrap/>
            <w:vAlign w:val="bottom"/>
            <w:hideMark/>
          </w:tcPr>
          <w:p w14:paraId="2BDEE199" w14:textId="5A50F35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5,204,839 </w:t>
            </w:r>
          </w:p>
        </w:tc>
      </w:tr>
      <w:tr w:rsidR="00AF04BD" w:rsidRPr="00B023B9" w14:paraId="1AA8CE4E" w14:textId="77777777" w:rsidTr="00AF04BD">
        <w:trPr>
          <w:trHeight w:val="204"/>
        </w:trPr>
        <w:tc>
          <w:tcPr>
            <w:tcW w:w="2410" w:type="dxa"/>
            <w:tcBorders>
              <w:top w:val="nil"/>
              <w:left w:val="nil"/>
              <w:bottom w:val="nil"/>
              <w:right w:val="nil"/>
            </w:tcBorders>
            <w:shd w:val="clear" w:color="auto" w:fill="auto"/>
            <w:noWrap/>
            <w:vAlign w:val="center"/>
            <w:hideMark/>
          </w:tcPr>
          <w:p w14:paraId="20D0D6CB" w14:textId="53DCFFED"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sz w:val="16"/>
                <w:szCs w:val="16"/>
              </w:rPr>
              <w:t>Subsidies paid</w:t>
            </w:r>
          </w:p>
        </w:tc>
        <w:tc>
          <w:tcPr>
            <w:tcW w:w="1124" w:type="dxa"/>
            <w:tcBorders>
              <w:top w:val="nil"/>
              <w:left w:val="nil"/>
              <w:bottom w:val="nil"/>
              <w:right w:val="nil"/>
            </w:tcBorders>
            <w:shd w:val="clear" w:color="auto" w:fill="auto"/>
            <w:noWrap/>
            <w:vAlign w:val="bottom"/>
            <w:hideMark/>
          </w:tcPr>
          <w:p w14:paraId="06CCE252" w14:textId="6E20A8C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1,135,116 </w:t>
            </w:r>
          </w:p>
        </w:tc>
        <w:tc>
          <w:tcPr>
            <w:tcW w:w="1035" w:type="dxa"/>
            <w:tcBorders>
              <w:top w:val="nil"/>
              <w:left w:val="nil"/>
              <w:bottom w:val="nil"/>
              <w:right w:val="nil"/>
            </w:tcBorders>
            <w:shd w:val="clear" w:color="000000" w:fill="E6E6E6"/>
            <w:noWrap/>
            <w:vAlign w:val="bottom"/>
            <w:hideMark/>
          </w:tcPr>
          <w:p w14:paraId="7D131C95" w14:textId="484572A6"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296,695 </w:t>
            </w:r>
          </w:p>
        </w:tc>
        <w:tc>
          <w:tcPr>
            <w:tcW w:w="1061" w:type="dxa"/>
            <w:tcBorders>
              <w:top w:val="nil"/>
              <w:left w:val="nil"/>
              <w:bottom w:val="nil"/>
              <w:right w:val="nil"/>
            </w:tcBorders>
            <w:shd w:val="clear" w:color="auto" w:fill="auto"/>
            <w:noWrap/>
            <w:vAlign w:val="bottom"/>
            <w:hideMark/>
          </w:tcPr>
          <w:p w14:paraId="613C7431" w14:textId="235E2DC1"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286,565 </w:t>
            </w:r>
          </w:p>
        </w:tc>
        <w:tc>
          <w:tcPr>
            <w:tcW w:w="1061" w:type="dxa"/>
            <w:tcBorders>
              <w:top w:val="nil"/>
              <w:left w:val="nil"/>
              <w:bottom w:val="nil"/>
              <w:right w:val="nil"/>
            </w:tcBorders>
            <w:shd w:val="clear" w:color="auto" w:fill="auto"/>
            <w:noWrap/>
            <w:vAlign w:val="bottom"/>
            <w:hideMark/>
          </w:tcPr>
          <w:p w14:paraId="67426393" w14:textId="0725FD9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282,308 </w:t>
            </w:r>
          </w:p>
        </w:tc>
        <w:tc>
          <w:tcPr>
            <w:tcW w:w="1035" w:type="dxa"/>
            <w:tcBorders>
              <w:top w:val="nil"/>
              <w:left w:val="nil"/>
              <w:bottom w:val="nil"/>
              <w:right w:val="nil"/>
            </w:tcBorders>
            <w:shd w:val="clear" w:color="auto" w:fill="auto"/>
            <w:noWrap/>
            <w:vAlign w:val="bottom"/>
            <w:hideMark/>
          </w:tcPr>
          <w:p w14:paraId="78F2EE31" w14:textId="2DF3229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283,286 </w:t>
            </w:r>
          </w:p>
        </w:tc>
      </w:tr>
      <w:tr w:rsidR="00AF04BD" w:rsidRPr="00B023B9" w14:paraId="722ED67B" w14:textId="77777777" w:rsidTr="00AF04BD">
        <w:trPr>
          <w:trHeight w:val="204"/>
        </w:trPr>
        <w:tc>
          <w:tcPr>
            <w:tcW w:w="2410" w:type="dxa"/>
            <w:tcBorders>
              <w:top w:val="nil"/>
              <w:left w:val="nil"/>
              <w:bottom w:val="nil"/>
              <w:right w:val="nil"/>
            </w:tcBorders>
            <w:shd w:val="clear" w:color="auto" w:fill="auto"/>
            <w:noWrap/>
            <w:vAlign w:val="center"/>
            <w:hideMark/>
          </w:tcPr>
          <w:p w14:paraId="58FF4D97" w14:textId="0C06BFDA"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sz w:val="16"/>
                <w:szCs w:val="16"/>
              </w:rPr>
              <w:t>Employee benefits</w:t>
            </w:r>
          </w:p>
        </w:tc>
        <w:tc>
          <w:tcPr>
            <w:tcW w:w="1124" w:type="dxa"/>
            <w:tcBorders>
              <w:top w:val="nil"/>
              <w:left w:val="nil"/>
              <w:bottom w:val="nil"/>
              <w:right w:val="nil"/>
            </w:tcBorders>
            <w:shd w:val="clear" w:color="auto" w:fill="auto"/>
            <w:noWrap/>
            <w:vAlign w:val="bottom"/>
            <w:hideMark/>
          </w:tcPr>
          <w:p w14:paraId="55509017" w14:textId="23383CEB"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16,623 </w:t>
            </w:r>
          </w:p>
        </w:tc>
        <w:tc>
          <w:tcPr>
            <w:tcW w:w="1035" w:type="dxa"/>
            <w:tcBorders>
              <w:top w:val="nil"/>
              <w:left w:val="nil"/>
              <w:bottom w:val="nil"/>
              <w:right w:val="nil"/>
            </w:tcBorders>
            <w:shd w:val="clear" w:color="000000" w:fill="E6E6E6"/>
            <w:noWrap/>
            <w:vAlign w:val="bottom"/>
            <w:hideMark/>
          </w:tcPr>
          <w:p w14:paraId="0EB4B453" w14:textId="0A48578A"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16,948 </w:t>
            </w:r>
          </w:p>
        </w:tc>
        <w:tc>
          <w:tcPr>
            <w:tcW w:w="1061" w:type="dxa"/>
            <w:tcBorders>
              <w:top w:val="nil"/>
              <w:left w:val="nil"/>
              <w:bottom w:val="nil"/>
              <w:right w:val="nil"/>
            </w:tcBorders>
            <w:shd w:val="clear" w:color="auto" w:fill="auto"/>
            <w:noWrap/>
            <w:vAlign w:val="bottom"/>
            <w:hideMark/>
          </w:tcPr>
          <w:p w14:paraId="45769231" w14:textId="4E44834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17,273 </w:t>
            </w:r>
          </w:p>
        </w:tc>
        <w:tc>
          <w:tcPr>
            <w:tcW w:w="1061" w:type="dxa"/>
            <w:tcBorders>
              <w:top w:val="nil"/>
              <w:left w:val="nil"/>
              <w:bottom w:val="nil"/>
              <w:right w:val="nil"/>
            </w:tcBorders>
            <w:shd w:val="clear" w:color="auto" w:fill="auto"/>
            <w:noWrap/>
            <w:vAlign w:val="bottom"/>
            <w:hideMark/>
          </w:tcPr>
          <w:p w14:paraId="70D34AEC" w14:textId="186622F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17,604 </w:t>
            </w:r>
          </w:p>
        </w:tc>
        <w:tc>
          <w:tcPr>
            <w:tcW w:w="1035" w:type="dxa"/>
            <w:tcBorders>
              <w:top w:val="nil"/>
              <w:left w:val="nil"/>
              <w:bottom w:val="nil"/>
              <w:right w:val="nil"/>
            </w:tcBorders>
            <w:shd w:val="clear" w:color="auto" w:fill="auto"/>
            <w:noWrap/>
            <w:vAlign w:val="bottom"/>
            <w:hideMark/>
          </w:tcPr>
          <w:p w14:paraId="74EE39DD" w14:textId="2E8C72F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17,942 </w:t>
            </w:r>
          </w:p>
        </w:tc>
      </w:tr>
      <w:tr w:rsidR="00AF04BD" w:rsidRPr="00B023B9" w14:paraId="6C7921A4" w14:textId="77777777" w:rsidTr="00AF04BD">
        <w:trPr>
          <w:trHeight w:val="204"/>
        </w:trPr>
        <w:tc>
          <w:tcPr>
            <w:tcW w:w="2410" w:type="dxa"/>
            <w:tcBorders>
              <w:top w:val="nil"/>
              <w:left w:val="nil"/>
              <w:bottom w:val="nil"/>
              <w:right w:val="nil"/>
            </w:tcBorders>
            <w:shd w:val="clear" w:color="auto" w:fill="auto"/>
            <w:noWrap/>
            <w:vAlign w:val="center"/>
            <w:hideMark/>
          </w:tcPr>
          <w:p w14:paraId="09E72EFD" w14:textId="465F5F20"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sz w:val="16"/>
                <w:szCs w:val="16"/>
              </w:rPr>
              <w:t>Suppliers</w:t>
            </w:r>
          </w:p>
        </w:tc>
        <w:tc>
          <w:tcPr>
            <w:tcW w:w="1124" w:type="dxa"/>
            <w:tcBorders>
              <w:top w:val="nil"/>
              <w:left w:val="nil"/>
              <w:bottom w:val="nil"/>
              <w:right w:val="nil"/>
            </w:tcBorders>
            <w:shd w:val="clear" w:color="auto" w:fill="auto"/>
            <w:noWrap/>
            <w:vAlign w:val="bottom"/>
            <w:hideMark/>
          </w:tcPr>
          <w:p w14:paraId="05024E98" w14:textId="19B3F2C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650,790 </w:t>
            </w:r>
          </w:p>
        </w:tc>
        <w:tc>
          <w:tcPr>
            <w:tcW w:w="1035" w:type="dxa"/>
            <w:tcBorders>
              <w:top w:val="nil"/>
              <w:left w:val="nil"/>
              <w:bottom w:val="nil"/>
              <w:right w:val="nil"/>
            </w:tcBorders>
            <w:shd w:val="clear" w:color="000000" w:fill="E6E6E6"/>
            <w:noWrap/>
            <w:vAlign w:val="bottom"/>
            <w:hideMark/>
          </w:tcPr>
          <w:p w14:paraId="448DD6EA" w14:textId="6C0397D7"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621,166 </w:t>
            </w:r>
          </w:p>
        </w:tc>
        <w:tc>
          <w:tcPr>
            <w:tcW w:w="1061" w:type="dxa"/>
            <w:tcBorders>
              <w:top w:val="nil"/>
              <w:left w:val="nil"/>
              <w:bottom w:val="nil"/>
              <w:right w:val="nil"/>
            </w:tcBorders>
            <w:shd w:val="clear" w:color="auto" w:fill="auto"/>
            <w:noWrap/>
            <w:vAlign w:val="bottom"/>
            <w:hideMark/>
          </w:tcPr>
          <w:p w14:paraId="107AA39B" w14:textId="4B9BF80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537,734 </w:t>
            </w:r>
          </w:p>
        </w:tc>
        <w:tc>
          <w:tcPr>
            <w:tcW w:w="1061" w:type="dxa"/>
            <w:tcBorders>
              <w:top w:val="nil"/>
              <w:left w:val="nil"/>
              <w:bottom w:val="nil"/>
              <w:right w:val="nil"/>
            </w:tcBorders>
            <w:shd w:val="clear" w:color="auto" w:fill="auto"/>
            <w:noWrap/>
            <w:vAlign w:val="bottom"/>
            <w:hideMark/>
          </w:tcPr>
          <w:p w14:paraId="4BE3278E" w14:textId="32855E5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523,983 </w:t>
            </w:r>
          </w:p>
        </w:tc>
        <w:tc>
          <w:tcPr>
            <w:tcW w:w="1035" w:type="dxa"/>
            <w:tcBorders>
              <w:top w:val="nil"/>
              <w:left w:val="nil"/>
              <w:bottom w:val="nil"/>
              <w:right w:val="nil"/>
            </w:tcBorders>
            <w:shd w:val="clear" w:color="auto" w:fill="auto"/>
            <w:noWrap/>
            <w:vAlign w:val="bottom"/>
            <w:hideMark/>
          </w:tcPr>
          <w:p w14:paraId="64715FE8" w14:textId="33819FE4"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523,783 </w:t>
            </w:r>
          </w:p>
        </w:tc>
      </w:tr>
      <w:tr w:rsidR="00AF04BD" w:rsidRPr="00B023B9" w14:paraId="040D4AB1" w14:textId="77777777" w:rsidTr="00AF04BD">
        <w:trPr>
          <w:trHeight w:val="204"/>
        </w:trPr>
        <w:tc>
          <w:tcPr>
            <w:tcW w:w="2410" w:type="dxa"/>
            <w:tcBorders>
              <w:top w:val="nil"/>
              <w:left w:val="nil"/>
              <w:bottom w:val="nil"/>
              <w:right w:val="nil"/>
            </w:tcBorders>
            <w:shd w:val="clear" w:color="auto" w:fill="auto"/>
            <w:vAlign w:val="center"/>
            <w:hideMark/>
          </w:tcPr>
          <w:p w14:paraId="7E0C9306" w14:textId="360ACA30"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sz w:val="16"/>
                <w:szCs w:val="16"/>
              </w:rPr>
              <w:t>Payments to corporate entities</w:t>
            </w:r>
          </w:p>
        </w:tc>
        <w:tc>
          <w:tcPr>
            <w:tcW w:w="1124" w:type="dxa"/>
            <w:tcBorders>
              <w:top w:val="nil"/>
              <w:left w:val="nil"/>
              <w:bottom w:val="nil"/>
              <w:right w:val="nil"/>
            </w:tcBorders>
            <w:shd w:val="clear" w:color="auto" w:fill="auto"/>
            <w:noWrap/>
            <w:vAlign w:val="bottom"/>
            <w:hideMark/>
          </w:tcPr>
          <w:p w14:paraId="43715686" w14:textId="04D8C2C6"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2,116,638 </w:t>
            </w:r>
          </w:p>
        </w:tc>
        <w:tc>
          <w:tcPr>
            <w:tcW w:w="1035" w:type="dxa"/>
            <w:tcBorders>
              <w:top w:val="nil"/>
              <w:left w:val="nil"/>
              <w:bottom w:val="nil"/>
              <w:right w:val="nil"/>
            </w:tcBorders>
            <w:shd w:val="clear" w:color="000000" w:fill="E6E6E6"/>
            <w:noWrap/>
            <w:vAlign w:val="bottom"/>
            <w:hideMark/>
          </w:tcPr>
          <w:p w14:paraId="6E112A91" w14:textId="562DA627"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2,115,617 </w:t>
            </w:r>
          </w:p>
        </w:tc>
        <w:tc>
          <w:tcPr>
            <w:tcW w:w="1061" w:type="dxa"/>
            <w:tcBorders>
              <w:top w:val="nil"/>
              <w:left w:val="nil"/>
              <w:bottom w:val="nil"/>
              <w:right w:val="nil"/>
            </w:tcBorders>
            <w:shd w:val="clear" w:color="auto" w:fill="auto"/>
            <w:noWrap/>
            <w:vAlign w:val="bottom"/>
            <w:hideMark/>
          </w:tcPr>
          <w:p w14:paraId="239AFF5A" w14:textId="6EEB3B6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2,066,422 </w:t>
            </w:r>
          </w:p>
        </w:tc>
        <w:tc>
          <w:tcPr>
            <w:tcW w:w="1061" w:type="dxa"/>
            <w:tcBorders>
              <w:top w:val="nil"/>
              <w:left w:val="nil"/>
              <w:bottom w:val="nil"/>
              <w:right w:val="nil"/>
            </w:tcBorders>
            <w:shd w:val="clear" w:color="auto" w:fill="auto"/>
            <w:noWrap/>
            <w:vAlign w:val="bottom"/>
            <w:hideMark/>
          </w:tcPr>
          <w:p w14:paraId="0C42F125" w14:textId="0D2C004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2,055,614 </w:t>
            </w:r>
          </w:p>
        </w:tc>
        <w:tc>
          <w:tcPr>
            <w:tcW w:w="1035" w:type="dxa"/>
            <w:tcBorders>
              <w:top w:val="nil"/>
              <w:left w:val="nil"/>
              <w:bottom w:val="nil"/>
              <w:right w:val="nil"/>
            </w:tcBorders>
            <w:shd w:val="clear" w:color="auto" w:fill="auto"/>
            <w:noWrap/>
            <w:vAlign w:val="bottom"/>
            <w:hideMark/>
          </w:tcPr>
          <w:p w14:paraId="7F29DCEC" w14:textId="684571B4"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2,072,267 </w:t>
            </w:r>
          </w:p>
        </w:tc>
      </w:tr>
      <w:tr w:rsidR="00AF04BD" w:rsidRPr="00B023B9" w14:paraId="1DD61FC2" w14:textId="77777777" w:rsidTr="00AF04BD">
        <w:trPr>
          <w:trHeight w:val="204"/>
        </w:trPr>
        <w:tc>
          <w:tcPr>
            <w:tcW w:w="2410" w:type="dxa"/>
            <w:tcBorders>
              <w:top w:val="nil"/>
              <w:left w:val="nil"/>
              <w:bottom w:val="nil"/>
              <w:right w:val="nil"/>
            </w:tcBorders>
            <w:shd w:val="clear" w:color="auto" w:fill="auto"/>
            <w:noWrap/>
            <w:vAlign w:val="center"/>
            <w:hideMark/>
          </w:tcPr>
          <w:p w14:paraId="0CF70CA5" w14:textId="559834AC"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7CACCD16" w14:textId="12DD34CB"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14,539 </w:t>
            </w:r>
          </w:p>
        </w:tc>
        <w:tc>
          <w:tcPr>
            <w:tcW w:w="1035" w:type="dxa"/>
            <w:tcBorders>
              <w:top w:val="nil"/>
              <w:left w:val="nil"/>
              <w:bottom w:val="nil"/>
              <w:right w:val="nil"/>
            </w:tcBorders>
            <w:shd w:val="clear" w:color="000000" w:fill="E6E6E6"/>
            <w:noWrap/>
            <w:vAlign w:val="bottom"/>
            <w:hideMark/>
          </w:tcPr>
          <w:p w14:paraId="0C44B936" w14:textId="4C292AD8"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9,650 </w:t>
            </w:r>
          </w:p>
        </w:tc>
        <w:tc>
          <w:tcPr>
            <w:tcW w:w="1061" w:type="dxa"/>
            <w:tcBorders>
              <w:top w:val="nil"/>
              <w:left w:val="nil"/>
              <w:bottom w:val="nil"/>
              <w:right w:val="nil"/>
            </w:tcBorders>
            <w:shd w:val="clear" w:color="auto" w:fill="auto"/>
            <w:noWrap/>
            <w:vAlign w:val="bottom"/>
            <w:hideMark/>
          </w:tcPr>
          <w:p w14:paraId="4381F59A" w14:textId="3694811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9,745 </w:t>
            </w:r>
          </w:p>
        </w:tc>
        <w:tc>
          <w:tcPr>
            <w:tcW w:w="1061" w:type="dxa"/>
            <w:tcBorders>
              <w:top w:val="nil"/>
              <w:left w:val="nil"/>
              <w:bottom w:val="nil"/>
              <w:right w:val="nil"/>
            </w:tcBorders>
            <w:shd w:val="clear" w:color="auto" w:fill="auto"/>
            <w:noWrap/>
            <w:vAlign w:val="bottom"/>
            <w:hideMark/>
          </w:tcPr>
          <w:p w14:paraId="6BB7FC7E" w14:textId="212B0C9A"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10,273 </w:t>
            </w:r>
          </w:p>
        </w:tc>
        <w:tc>
          <w:tcPr>
            <w:tcW w:w="1035" w:type="dxa"/>
            <w:tcBorders>
              <w:top w:val="nil"/>
              <w:left w:val="nil"/>
              <w:bottom w:val="nil"/>
              <w:right w:val="nil"/>
            </w:tcBorders>
            <w:shd w:val="clear" w:color="auto" w:fill="auto"/>
            <w:noWrap/>
            <w:vAlign w:val="bottom"/>
            <w:hideMark/>
          </w:tcPr>
          <w:p w14:paraId="0C5E6F07" w14:textId="0FA49D0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2,745 </w:t>
            </w:r>
          </w:p>
        </w:tc>
      </w:tr>
      <w:tr w:rsidR="00AF04BD" w:rsidRPr="00B023B9" w14:paraId="04471CD3" w14:textId="77777777" w:rsidTr="00AF04BD">
        <w:trPr>
          <w:trHeight w:val="204"/>
        </w:trPr>
        <w:tc>
          <w:tcPr>
            <w:tcW w:w="2410" w:type="dxa"/>
            <w:tcBorders>
              <w:top w:val="nil"/>
              <w:left w:val="nil"/>
              <w:bottom w:val="nil"/>
              <w:right w:val="nil"/>
            </w:tcBorders>
            <w:shd w:val="clear" w:color="auto" w:fill="auto"/>
            <w:noWrap/>
            <w:vAlign w:val="center"/>
            <w:hideMark/>
          </w:tcPr>
          <w:p w14:paraId="3A8D2281" w14:textId="53AA76E2"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bottom"/>
            <w:hideMark/>
          </w:tcPr>
          <w:p w14:paraId="53717E36" w14:textId="01616C88"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11,178,851 </w:t>
            </w:r>
          </w:p>
        </w:tc>
        <w:tc>
          <w:tcPr>
            <w:tcW w:w="1035" w:type="dxa"/>
            <w:tcBorders>
              <w:top w:val="single" w:sz="4" w:space="0" w:color="000000"/>
              <w:left w:val="nil"/>
              <w:bottom w:val="single" w:sz="4" w:space="0" w:color="000000"/>
              <w:right w:val="nil"/>
            </w:tcBorders>
            <w:shd w:val="clear" w:color="000000" w:fill="E6E6E6"/>
            <w:noWrap/>
            <w:vAlign w:val="bottom"/>
            <w:hideMark/>
          </w:tcPr>
          <w:p w14:paraId="4403C52B" w14:textId="7758E945"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7,670,848 </w:t>
            </w:r>
          </w:p>
        </w:tc>
        <w:tc>
          <w:tcPr>
            <w:tcW w:w="1061" w:type="dxa"/>
            <w:tcBorders>
              <w:top w:val="single" w:sz="4" w:space="0" w:color="000000"/>
              <w:left w:val="nil"/>
              <w:bottom w:val="single" w:sz="4" w:space="0" w:color="000000"/>
              <w:right w:val="nil"/>
            </w:tcBorders>
            <w:shd w:val="clear" w:color="auto" w:fill="auto"/>
            <w:noWrap/>
            <w:vAlign w:val="bottom"/>
            <w:hideMark/>
          </w:tcPr>
          <w:p w14:paraId="5FAFDD82" w14:textId="16FE1F8F"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8,862,703 </w:t>
            </w:r>
          </w:p>
        </w:tc>
        <w:tc>
          <w:tcPr>
            <w:tcW w:w="1061" w:type="dxa"/>
            <w:tcBorders>
              <w:top w:val="single" w:sz="4" w:space="0" w:color="000000"/>
              <w:left w:val="nil"/>
              <w:bottom w:val="single" w:sz="4" w:space="0" w:color="000000"/>
              <w:right w:val="nil"/>
            </w:tcBorders>
            <w:shd w:val="clear" w:color="auto" w:fill="auto"/>
            <w:noWrap/>
            <w:vAlign w:val="bottom"/>
            <w:hideMark/>
          </w:tcPr>
          <w:p w14:paraId="78D1AABA" w14:textId="555EFDE9"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8,573,115 </w:t>
            </w:r>
          </w:p>
        </w:tc>
        <w:tc>
          <w:tcPr>
            <w:tcW w:w="1035" w:type="dxa"/>
            <w:tcBorders>
              <w:top w:val="single" w:sz="4" w:space="0" w:color="000000"/>
              <w:left w:val="nil"/>
              <w:bottom w:val="single" w:sz="4" w:space="0" w:color="000000"/>
              <w:right w:val="nil"/>
            </w:tcBorders>
            <w:shd w:val="clear" w:color="auto" w:fill="auto"/>
            <w:noWrap/>
            <w:vAlign w:val="bottom"/>
            <w:hideMark/>
          </w:tcPr>
          <w:p w14:paraId="1E8F8DFE" w14:textId="016777C3"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8,104,862 </w:t>
            </w:r>
          </w:p>
        </w:tc>
      </w:tr>
      <w:tr w:rsidR="00AF04BD" w:rsidRPr="00B023B9" w14:paraId="39F7443F" w14:textId="77777777" w:rsidTr="00AF04BD">
        <w:trPr>
          <w:trHeight w:val="204"/>
        </w:trPr>
        <w:tc>
          <w:tcPr>
            <w:tcW w:w="2410" w:type="dxa"/>
            <w:tcBorders>
              <w:top w:val="nil"/>
              <w:left w:val="nil"/>
              <w:bottom w:val="nil"/>
              <w:right w:val="nil"/>
            </w:tcBorders>
            <w:shd w:val="clear" w:color="auto" w:fill="auto"/>
            <w:vAlign w:val="center"/>
            <w:hideMark/>
          </w:tcPr>
          <w:p w14:paraId="37296C12" w14:textId="77454DAD"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color w:val="000000"/>
                <w:sz w:val="16"/>
                <w:szCs w:val="16"/>
              </w:rPr>
              <w:t>Net cash from/(used by) operating activities</w:t>
            </w:r>
          </w:p>
        </w:tc>
        <w:tc>
          <w:tcPr>
            <w:tcW w:w="1124" w:type="dxa"/>
            <w:tcBorders>
              <w:top w:val="nil"/>
              <w:left w:val="nil"/>
              <w:bottom w:val="single" w:sz="4" w:space="0" w:color="000000"/>
              <w:right w:val="nil"/>
            </w:tcBorders>
            <w:shd w:val="clear" w:color="auto" w:fill="auto"/>
            <w:noWrap/>
            <w:vAlign w:val="bottom"/>
            <w:hideMark/>
          </w:tcPr>
          <w:p w14:paraId="4B23C8D4" w14:textId="7F2AEEEB"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(10,882,082)</w:t>
            </w:r>
          </w:p>
        </w:tc>
        <w:tc>
          <w:tcPr>
            <w:tcW w:w="1035" w:type="dxa"/>
            <w:tcBorders>
              <w:top w:val="nil"/>
              <w:left w:val="nil"/>
              <w:bottom w:val="single" w:sz="4" w:space="0" w:color="000000"/>
              <w:right w:val="nil"/>
            </w:tcBorders>
            <w:shd w:val="clear" w:color="000000" w:fill="E6E6E6"/>
            <w:noWrap/>
            <w:vAlign w:val="bottom"/>
            <w:hideMark/>
          </w:tcPr>
          <w:p w14:paraId="36DC4223" w14:textId="3F195F49"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(7,414,750)</w:t>
            </w:r>
          </w:p>
        </w:tc>
        <w:tc>
          <w:tcPr>
            <w:tcW w:w="1061" w:type="dxa"/>
            <w:tcBorders>
              <w:top w:val="nil"/>
              <w:left w:val="nil"/>
              <w:bottom w:val="single" w:sz="4" w:space="0" w:color="000000"/>
              <w:right w:val="nil"/>
            </w:tcBorders>
            <w:shd w:val="clear" w:color="auto" w:fill="auto"/>
            <w:noWrap/>
            <w:vAlign w:val="bottom"/>
            <w:hideMark/>
          </w:tcPr>
          <w:p w14:paraId="3AE1F961" w14:textId="22F1A6C6"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(8,613,439)</w:t>
            </w:r>
          </w:p>
        </w:tc>
        <w:tc>
          <w:tcPr>
            <w:tcW w:w="1061" w:type="dxa"/>
            <w:tcBorders>
              <w:top w:val="nil"/>
              <w:left w:val="nil"/>
              <w:bottom w:val="single" w:sz="4" w:space="0" w:color="000000"/>
              <w:right w:val="nil"/>
            </w:tcBorders>
            <w:shd w:val="clear" w:color="auto" w:fill="auto"/>
            <w:noWrap/>
            <w:vAlign w:val="bottom"/>
            <w:hideMark/>
          </w:tcPr>
          <w:p w14:paraId="0A28CEB7" w14:textId="7A33E347"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(8,265,270)</w:t>
            </w:r>
          </w:p>
        </w:tc>
        <w:tc>
          <w:tcPr>
            <w:tcW w:w="1035" w:type="dxa"/>
            <w:tcBorders>
              <w:top w:val="nil"/>
              <w:left w:val="nil"/>
              <w:bottom w:val="single" w:sz="4" w:space="0" w:color="000000"/>
              <w:right w:val="nil"/>
            </w:tcBorders>
            <w:shd w:val="clear" w:color="auto" w:fill="auto"/>
            <w:noWrap/>
            <w:vAlign w:val="bottom"/>
            <w:hideMark/>
          </w:tcPr>
          <w:p w14:paraId="5A8EF91A" w14:textId="14550EB1"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(7,833,105)</w:t>
            </w:r>
          </w:p>
        </w:tc>
      </w:tr>
      <w:tr w:rsidR="00AF04BD" w:rsidRPr="00B023B9" w14:paraId="2DE7BEE3" w14:textId="77777777" w:rsidTr="00AF04BD">
        <w:trPr>
          <w:trHeight w:val="204"/>
        </w:trPr>
        <w:tc>
          <w:tcPr>
            <w:tcW w:w="2410" w:type="dxa"/>
            <w:tcBorders>
              <w:top w:val="nil"/>
              <w:left w:val="nil"/>
              <w:bottom w:val="nil"/>
              <w:right w:val="nil"/>
            </w:tcBorders>
            <w:shd w:val="clear" w:color="auto" w:fill="auto"/>
            <w:noWrap/>
            <w:vAlign w:val="center"/>
            <w:hideMark/>
          </w:tcPr>
          <w:p w14:paraId="5E01EAA5" w14:textId="024E50D1" w:rsidR="00AF04BD" w:rsidRPr="00AF04BD" w:rsidRDefault="00AF04BD" w:rsidP="00AF04BD">
            <w:pPr>
              <w:spacing w:after="0" w:line="240" w:lineRule="auto"/>
              <w:jc w:val="left"/>
              <w:rPr>
                <w:rFonts w:ascii="Arial" w:hAnsi="Arial" w:cs="Arial"/>
                <w:b/>
                <w:bCs/>
                <w:color w:val="000000"/>
                <w:sz w:val="16"/>
                <w:szCs w:val="16"/>
              </w:rPr>
            </w:pPr>
            <w:r w:rsidRPr="00AF04BD">
              <w:rPr>
                <w:rFonts w:ascii="Arial" w:hAnsi="Arial" w:cs="Arial"/>
                <w:b/>
                <w:bCs/>
                <w:color w:val="000000"/>
                <w:sz w:val="16"/>
                <w:szCs w:val="16"/>
              </w:rPr>
              <w:t>INVESTING ACTIVITIES</w:t>
            </w:r>
          </w:p>
        </w:tc>
        <w:tc>
          <w:tcPr>
            <w:tcW w:w="1124" w:type="dxa"/>
            <w:tcBorders>
              <w:top w:val="nil"/>
              <w:left w:val="nil"/>
              <w:bottom w:val="nil"/>
              <w:right w:val="nil"/>
            </w:tcBorders>
            <w:shd w:val="clear" w:color="auto" w:fill="auto"/>
            <w:noWrap/>
            <w:vAlign w:val="bottom"/>
            <w:hideMark/>
          </w:tcPr>
          <w:p w14:paraId="0A9399E8" w14:textId="77777777" w:rsidR="00AF04BD" w:rsidRPr="00AF04BD" w:rsidRDefault="00AF04BD" w:rsidP="00AF04BD">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B840437" w14:textId="117F20D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w:t>
            </w:r>
          </w:p>
        </w:tc>
        <w:tc>
          <w:tcPr>
            <w:tcW w:w="1061" w:type="dxa"/>
            <w:tcBorders>
              <w:top w:val="nil"/>
              <w:left w:val="nil"/>
              <w:bottom w:val="nil"/>
              <w:right w:val="nil"/>
            </w:tcBorders>
            <w:shd w:val="clear" w:color="auto" w:fill="auto"/>
            <w:noWrap/>
            <w:vAlign w:val="bottom"/>
            <w:hideMark/>
          </w:tcPr>
          <w:p w14:paraId="72A28EE4" w14:textId="77777777" w:rsidR="00AF04BD" w:rsidRPr="00AF04BD" w:rsidRDefault="00AF04BD" w:rsidP="00AF04BD">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6150A3A8" w14:textId="77777777" w:rsidR="00AF04BD" w:rsidRPr="00AF04BD" w:rsidRDefault="00AF04BD" w:rsidP="00AF04B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6DA35459" w14:textId="77777777" w:rsidR="00AF04BD" w:rsidRPr="00AF04BD" w:rsidRDefault="00AF04BD" w:rsidP="00AF04BD">
            <w:pPr>
              <w:spacing w:after="0" w:line="240" w:lineRule="auto"/>
              <w:jc w:val="right"/>
              <w:rPr>
                <w:rFonts w:ascii="Times New Roman" w:hAnsi="Times New Roman"/>
                <w:sz w:val="16"/>
                <w:szCs w:val="16"/>
              </w:rPr>
            </w:pPr>
          </w:p>
        </w:tc>
      </w:tr>
      <w:tr w:rsidR="00AF04BD" w:rsidRPr="00B023B9" w14:paraId="2476A154" w14:textId="77777777" w:rsidTr="00AF04BD">
        <w:trPr>
          <w:trHeight w:val="204"/>
        </w:trPr>
        <w:tc>
          <w:tcPr>
            <w:tcW w:w="2410" w:type="dxa"/>
            <w:tcBorders>
              <w:top w:val="nil"/>
              <w:left w:val="nil"/>
              <w:bottom w:val="nil"/>
              <w:right w:val="nil"/>
            </w:tcBorders>
            <w:shd w:val="clear" w:color="auto" w:fill="auto"/>
            <w:noWrap/>
            <w:vAlign w:val="center"/>
            <w:hideMark/>
          </w:tcPr>
          <w:p w14:paraId="2E92DB50" w14:textId="4857C605"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14:paraId="52F46587" w14:textId="77777777" w:rsidR="00AF04BD" w:rsidRPr="00AF04BD" w:rsidRDefault="00AF04BD" w:rsidP="00AF04BD">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4E7C13E" w14:textId="6A5485E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w:t>
            </w:r>
          </w:p>
        </w:tc>
        <w:tc>
          <w:tcPr>
            <w:tcW w:w="1061" w:type="dxa"/>
            <w:tcBorders>
              <w:top w:val="nil"/>
              <w:left w:val="nil"/>
              <w:bottom w:val="nil"/>
              <w:right w:val="nil"/>
            </w:tcBorders>
            <w:shd w:val="clear" w:color="auto" w:fill="auto"/>
            <w:noWrap/>
            <w:vAlign w:val="bottom"/>
            <w:hideMark/>
          </w:tcPr>
          <w:p w14:paraId="49ED08CB" w14:textId="77777777" w:rsidR="00AF04BD" w:rsidRPr="00AF04BD" w:rsidRDefault="00AF04BD" w:rsidP="00AF04BD">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2577201A" w14:textId="77777777" w:rsidR="00AF04BD" w:rsidRPr="00AF04BD" w:rsidRDefault="00AF04BD" w:rsidP="00AF04B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66173C71" w14:textId="77777777" w:rsidR="00AF04BD" w:rsidRPr="00AF04BD" w:rsidRDefault="00AF04BD" w:rsidP="00AF04BD">
            <w:pPr>
              <w:spacing w:after="0" w:line="240" w:lineRule="auto"/>
              <w:jc w:val="right"/>
              <w:rPr>
                <w:rFonts w:ascii="Times New Roman" w:hAnsi="Times New Roman"/>
                <w:sz w:val="16"/>
                <w:szCs w:val="16"/>
              </w:rPr>
            </w:pPr>
          </w:p>
        </w:tc>
      </w:tr>
      <w:tr w:rsidR="00AF04BD" w:rsidRPr="00B023B9" w14:paraId="1867B8B7" w14:textId="77777777" w:rsidTr="00AF04BD">
        <w:trPr>
          <w:trHeight w:val="204"/>
        </w:trPr>
        <w:tc>
          <w:tcPr>
            <w:tcW w:w="2410" w:type="dxa"/>
            <w:tcBorders>
              <w:top w:val="nil"/>
              <w:left w:val="nil"/>
              <w:bottom w:val="nil"/>
              <w:right w:val="nil"/>
            </w:tcBorders>
            <w:shd w:val="clear" w:color="auto" w:fill="auto"/>
            <w:vAlign w:val="center"/>
            <w:hideMark/>
          </w:tcPr>
          <w:p w14:paraId="7617EB07" w14:textId="505E944B"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Repayments of advances and loans</w:t>
            </w:r>
          </w:p>
        </w:tc>
        <w:tc>
          <w:tcPr>
            <w:tcW w:w="1124" w:type="dxa"/>
            <w:tcBorders>
              <w:top w:val="nil"/>
              <w:left w:val="nil"/>
              <w:bottom w:val="nil"/>
              <w:right w:val="nil"/>
            </w:tcBorders>
            <w:shd w:val="clear" w:color="auto" w:fill="auto"/>
            <w:noWrap/>
            <w:vAlign w:val="bottom"/>
            <w:hideMark/>
          </w:tcPr>
          <w:p w14:paraId="0EA071BE" w14:textId="62784D5E"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5,958,393 </w:t>
            </w:r>
          </w:p>
        </w:tc>
        <w:tc>
          <w:tcPr>
            <w:tcW w:w="1035" w:type="dxa"/>
            <w:tcBorders>
              <w:top w:val="nil"/>
              <w:left w:val="nil"/>
              <w:bottom w:val="nil"/>
              <w:right w:val="nil"/>
            </w:tcBorders>
            <w:shd w:val="clear" w:color="000000" w:fill="E6E6E6"/>
            <w:noWrap/>
            <w:vAlign w:val="bottom"/>
            <w:hideMark/>
          </w:tcPr>
          <w:p w14:paraId="3C3845CA" w14:textId="07B7841A"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24,654 </w:t>
            </w:r>
          </w:p>
        </w:tc>
        <w:tc>
          <w:tcPr>
            <w:tcW w:w="1061" w:type="dxa"/>
            <w:tcBorders>
              <w:top w:val="nil"/>
              <w:left w:val="nil"/>
              <w:bottom w:val="nil"/>
              <w:right w:val="nil"/>
            </w:tcBorders>
            <w:shd w:val="clear" w:color="auto" w:fill="auto"/>
            <w:noWrap/>
            <w:vAlign w:val="bottom"/>
            <w:hideMark/>
          </w:tcPr>
          <w:p w14:paraId="55DA1FF6" w14:textId="70B92FBA"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7,406,367 </w:t>
            </w:r>
          </w:p>
        </w:tc>
        <w:tc>
          <w:tcPr>
            <w:tcW w:w="1061" w:type="dxa"/>
            <w:tcBorders>
              <w:top w:val="nil"/>
              <w:left w:val="nil"/>
              <w:bottom w:val="nil"/>
              <w:right w:val="nil"/>
            </w:tcBorders>
            <w:shd w:val="clear" w:color="auto" w:fill="auto"/>
            <w:noWrap/>
            <w:vAlign w:val="bottom"/>
            <w:hideMark/>
          </w:tcPr>
          <w:p w14:paraId="2C090872" w14:textId="543667AD"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65,892 </w:t>
            </w:r>
          </w:p>
        </w:tc>
        <w:tc>
          <w:tcPr>
            <w:tcW w:w="1035" w:type="dxa"/>
            <w:tcBorders>
              <w:top w:val="nil"/>
              <w:left w:val="nil"/>
              <w:bottom w:val="nil"/>
              <w:right w:val="nil"/>
            </w:tcBorders>
            <w:shd w:val="clear" w:color="auto" w:fill="auto"/>
            <w:noWrap/>
            <w:vAlign w:val="bottom"/>
            <w:hideMark/>
          </w:tcPr>
          <w:p w14:paraId="7195BC5A" w14:textId="5C5D135B"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165,918 </w:t>
            </w:r>
          </w:p>
        </w:tc>
      </w:tr>
      <w:tr w:rsidR="00AF04BD" w:rsidRPr="00B023B9" w14:paraId="5399CB3D" w14:textId="77777777" w:rsidTr="00AF04BD">
        <w:trPr>
          <w:trHeight w:val="204"/>
        </w:trPr>
        <w:tc>
          <w:tcPr>
            <w:tcW w:w="2410" w:type="dxa"/>
            <w:tcBorders>
              <w:top w:val="nil"/>
              <w:left w:val="nil"/>
              <w:bottom w:val="nil"/>
              <w:right w:val="nil"/>
            </w:tcBorders>
            <w:shd w:val="clear" w:color="auto" w:fill="auto"/>
            <w:noWrap/>
            <w:vAlign w:val="center"/>
            <w:hideMark/>
          </w:tcPr>
          <w:p w14:paraId="5E260D3C" w14:textId="4F02F5AD"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74D69EF2" w14:textId="408ED1A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358,791 </w:t>
            </w:r>
          </w:p>
        </w:tc>
        <w:tc>
          <w:tcPr>
            <w:tcW w:w="1035" w:type="dxa"/>
            <w:tcBorders>
              <w:top w:val="nil"/>
              <w:left w:val="nil"/>
              <w:bottom w:val="nil"/>
              <w:right w:val="nil"/>
            </w:tcBorders>
            <w:shd w:val="clear" w:color="000000" w:fill="E6E6E6"/>
            <w:noWrap/>
            <w:vAlign w:val="bottom"/>
            <w:hideMark/>
          </w:tcPr>
          <w:p w14:paraId="689C962F" w14:textId="452DA55B"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312,756 </w:t>
            </w:r>
          </w:p>
        </w:tc>
        <w:tc>
          <w:tcPr>
            <w:tcW w:w="1061" w:type="dxa"/>
            <w:tcBorders>
              <w:top w:val="nil"/>
              <w:left w:val="nil"/>
              <w:bottom w:val="nil"/>
              <w:right w:val="nil"/>
            </w:tcBorders>
            <w:shd w:val="clear" w:color="auto" w:fill="auto"/>
            <w:noWrap/>
            <w:vAlign w:val="bottom"/>
            <w:hideMark/>
          </w:tcPr>
          <w:p w14:paraId="5A3A750B" w14:textId="01C3D7E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322,067 </w:t>
            </w:r>
          </w:p>
        </w:tc>
        <w:tc>
          <w:tcPr>
            <w:tcW w:w="1061" w:type="dxa"/>
            <w:tcBorders>
              <w:top w:val="nil"/>
              <w:left w:val="nil"/>
              <w:bottom w:val="nil"/>
              <w:right w:val="nil"/>
            </w:tcBorders>
            <w:shd w:val="clear" w:color="auto" w:fill="auto"/>
            <w:noWrap/>
            <w:vAlign w:val="bottom"/>
            <w:hideMark/>
          </w:tcPr>
          <w:p w14:paraId="0FA91D63" w14:textId="48573850"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55,700 </w:t>
            </w:r>
          </w:p>
        </w:tc>
        <w:tc>
          <w:tcPr>
            <w:tcW w:w="1035" w:type="dxa"/>
            <w:tcBorders>
              <w:top w:val="nil"/>
              <w:left w:val="nil"/>
              <w:bottom w:val="nil"/>
              <w:right w:val="nil"/>
            </w:tcBorders>
            <w:shd w:val="clear" w:color="auto" w:fill="auto"/>
            <w:noWrap/>
            <w:vAlign w:val="bottom"/>
            <w:hideMark/>
          </w:tcPr>
          <w:p w14:paraId="65D91224" w14:textId="1AF48F4B"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115,163 </w:t>
            </w:r>
          </w:p>
        </w:tc>
      </w:tr>
      <w:tr w:rsidR="00AF04BD" w:rsidRPr="00B023B9" w14:paraId="01AD20BB" w14:textId="77777777" w:rsidTr="00AF04BD">
        <w:trPr>
          <w:trHeight w:val="204"/>
        </w:trPr>
        <w:tc>
          <w:tcPr>
            <w:tcW w:w="2410" w:type="dxa"/>
            <w:tcBorders>
              <w:top w:val="nil"/>
              <w:left w:val="nil"/>
              <w:bottom w:val="nil"/>
              <w:right w:val="nil"/>
            </w:tcBorders>
            <w:shd w:val="clear" w:color="auto" w:fill="auto"/>
            <w:noWrap/>
            <w:vAlign w:val="center"/>
            <w:hideMark/>
          </w:tcPr>
          <w:p w14:paraId="053B3BF4" w14:textId="69541EE7"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hideMark/>
          </w:tcPr>
          <w:p w14:paraId="4C77BA29" w14:textId="393D6AE1"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6,317,184 </w:t>
            </w:r>
          </w:p>
        </w:tc>
        <w:tc>
          <w:tcPr>
            <w:tcW w:w="1035" w:type="dxa"/>
            <w:tcBorders>
              <w:top w:val="single" w:sz="4" w:space="0" w:color="000000"/>
              <w:left w:val="nil"/>
              <w:bottom w:val="single" w:sz="4" w:space="0" w:color="000000"/>
              <w:right w:val="nil"/>
            </w:tcBorders>
            <w:shd w:val="clear" w:color="000000" w:fill="E6E6E6"/>
            <w:noWrap/>
            <w:vAlign w:val="bottom"/>
            <w:hideMark/>
          </w:tcPr>
          <w:p w14:paraId="282D8B6A" w14:textId="404DA61F"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337,410 </w:t>
            </w:r>
          </w:p>
        </w:tc>
        <w:tc>
          <w:tcPr>
            <w:tcW w:w="1061" w:type="dxa"/>
            <w:tcBorders>
              <w:top w:val="single" w:sz="4" w:space="0" w:color="000000"/>
              <w:left w:val="nil"/>
              <w:bottom w:val="single" w:sz="4" w:space="0" w:color="000000"/>
              <w:right w:val="nil"/>
            </w:tcBorders>
            <w:shd w:val="clear" w:color="auto" w:fill="auto"/>
            <w:noWrap/>
            <w:vAlign w:val="bottom"/>
            <w:hideMark/>
          </w:tcPr>
          <w:p w14:paraId="764A3726" w14:textId="358E7BD0"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7,728,434 </w:t>
            </w:r>
          </w:p>
        </w:tc>
        <w:tc>
          <w:tcPr>
            <w:tcW w:w="1061" w:type="dxa"/>
            <w:tcBorders>
              <w:top w:val="single" w:sz="4" w:space="0" w:color="000000"/>
              <w:left w:val="nil"/>
              <w:bottom w:val="single" w:sz="4" w:space="0" w:color="000000"/>
              <w:right w:val="nil"/>
            </w:tcBorders>
            <w:shd w:val="clear" w:color="auto" w:fill="auto"/>
            <w:noWrap/>
            <w:vAlign w:val="bottom"/>
            <w:hideMark/>
          </w:tcPr>
          <w:p w14:paraId="18329E40" w14:textId="063D9CD1"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121,592 </w:t>
            </w:r>
          </w:p>
        </w:tc>
        <w:tc>
          <w:tcPr>
            <w:tcW w:w="1035" w:type="dxa"/>
            <w:tcBorders>
              <w:top w:val="single" w:sz="4" w:space="0" w:color="000000"/>
              <w:left w:val="nil"/>
              <w:bottom w:val="single" w:sz="4" w:space="0" w:color="000000"/>
              <w:right w:val="nil"/>
            </w:tcBorders>
            <w:shd w:val="clear" w:color="auto" w:fill="auto"/>
            <w:noWrap/>
            <w:vAlign w:val="bottom"/>
            <w:hideMark/>
          </w:tcPr>
          <w:p w14:paraId="68EDB106" w14:textId="4A0A4697"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281,081 </w:t>
            </w:r>
          </w:p>
        </w:tc>
      </w:tr>
      <w:tr w:rsidR="00AF04BD" w:rsidRPr="00B023B9" w14:paraId="31EA20C4" w14:textId="77777777" w:rsidTr="00AF04BD">
        <w:trPr>
          <w:trHeight w:val="204"/>
        </w:trPr>
        <w:tc>
          <w:tcPr>
            <w:tcW w:w="2410" w:type="dxa"/>
            <w:tcBorders>
              <w:top w:val="nil"/>
              <w:left w:val="nil"/>
              <w:bottom w:val="nil"/>
              <w:right w:val="nil"/>
            </w:tcBorders>
            <w:shd w:val="clear" w:color="auto" w:fill="auto"/>
            <w:noWrap/>
            <w:vAlign w:val="center"/>
            <w:hideMark/>
          </w:tcPr>
          <w:p w14:paraId="69CD4879" w14:textId="2B815660"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bottom"/>
            <w:hideMark/>
          </w:tcPr>
          <w:p w14:paraId="0362400D" w14:textId="77777777" w:rsidR="00AF04BD" w:rsidRPr="00AF04BD" w:rsidRDefault="00AF04BD" w:rsidP="00AF04BD">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B3FE107" w14:textId="1BDB6031"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w:t>
            </w:r>
          </w:p>
        </w:tc>
        <w:tc>
          <w:tcPr>
            <w:tcW w:w="1061" w:type="dxa"/>
            <w:tcBorders>
              <w:top w:val="nil"/>
              <w:left w:val="nil"/>
              <w:bottom w:val="nil"/>
              <w:right w:val="nil"/>
            </w:tcBorders>
            <w:shd w:val="clear" w:color="auto" w:fill="auto"/>
            <w:noWrap/>
            <w:vAlign w:val="bottom"/>
            <w:hideMark/>
          </w:tcPr>
          <w:p w14:paraId="0CA8AD20" w14:textId="77777777" w:rsidR="00AF04BD" w:rsidRPr="00AF04BD" w:rsidRDefault="00AF04BD" w:rsidP="00AF04BD">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14:paraId="3E066789" w14:textId="77777777" w:rsidR="00AF04BD" w:rsidRPr="00AF04BD" w:rsidRDefault="00AF04BD" w:rsidP="00AF04BD">
            <w:pPr>
              <w:spacing w:after="0" w:line="240" w:lineRule="auto"/>
              <w:jc w:val="right"/>
              <w:rPr>
                <w:rFonts w:ascii="Times New Roman" w:hAnsi="Times New Roman"/>
                <w:sz w:val="16"/>
                <w:szCs w:val="16"/>
              </w:rPr>
            </w:pPr>
          </w:p>
        </w:tc>
        <w:tc>
          <w:tcPr>
            <w:tcW w:w="1035" w:type="dxa"/>
            <w:tcBorders>
              <w:top w:val="nil"/>
              <w:left w:val="nil"/>
              <w:bottom w:val="nil"/>
              <w:right w:val="nil"/>
            </w:tcBorders>
            <w:shd w:val="clear" w:color="auto" w:fill="auto"/>
            <w:noWrap/>
            <w:vAlign w:val="bottom"/>
            <w:hideMark/>
          </w:tcPr>
          <w:p w14:paraId="16BED47B" w14:textId="77777777" w:rsidR="00AF04BD" w:rsidRPr="00AF04BD" w:rsidRDefault="00AF04BD" w:rsidP="00AF04BD">
            <w:pPr>
              <w:spacing w:after="0" w:line="240" w:lineRule="auto"/>
              <w:jc w:val="right"/>
              <w:rPr>
                <w:rFonts w:ascii="Times New Roman" w:hAnsi="Times New Roman"/>
                <w:sz w:val="16"/>
                <w:szCs w:val="16"/>
              </w:rPr>
            </w:pPr>
          </w:p>
        </w:tc>
      </w:tr>
      <w:tr w:rsidR="00AF04BD" w:rsidRPr="00B023B9" w14:paraId="43A42AD3" w14:textId="77777777" w:rsidTr="00AF04BD">
        <w:trPr>
          <w:trHeight w:val="204"/>
        </w:trPr>
        <w:tc>
          <w:tcPr>
            <w:tcW w:w="2410" w:type="dxa"/>
            <w:tcBorders>
              <w:top w:val="nil"/>
              <w:left w:val="nil"/>
              <w:bottom w:val="nil"/>
              <w:right w:val="nil"/>
            </w:tcBorders>
            <w:shd w:val="clear" w:color="auto" w:fill="auto"/>
            <w:vAlign w:val="center"/>
            <w:hideMark/>
          </w:tcPr>
          <w:p w14:paraId="7DF7CDE0" w14:textId="62EB9443"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Purchase of property, plant and equipment and intangibles</w:t>
            </w:r>
          </w:p>
        </w:tc>
        <w:tc>
          <w:tcPr>
            <w:tcW w:w="1124" w:type="dxa"/>
            <w:tcBorders>
              <w:top w:val="nil"/>
              <w:left w:val="nil"/>
              <w:bottom w:val="nil"/>
              <w:right w:val="nil"/>
            </w:tcBorders>
            <w:shd w:val="clear" w:color="auto" w:fill="auto"/>
            <w:noWrap/>
            <w:vAlign w:val="bottom"/>
            <w:hideMark/>
          </w:tcPr>
          <w:p w14:paraId="26A1FFF0" w14:textId="5CD94E7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51,384 </w:t>
            </w:r>
          </w:p>
        </w:tc>
        <w:tc>
          <w:tcPr>
            <w:tcW w:w="1035" w:type="dxa"/>
            <w:tcBorders>
              <w:top w:val="nil"/>
              <w:left w:val="nil"/>
              <w:bottom w:val="nil"/>
              <w:right w:val="nil"/>
            </w:tcBorders>
            <w:shd w:val="clear" w:color="000000" w:fill="E6E6E6"/>
            <w:noWrap/>
            <w:vAlign w:val="bottom"/>
            <w:hideMark/>
          </w:tcPr>
          <w:p w14:paraId="2FE473E1" w14:textId="1A58147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101,492 </w:t>
            </w:r>
          </w:p>
        </w:tc>
        <w:tc>
          <w:tcPr>
            <w:tcW w:w="1061" w:type="dxa"/>
            <w:tcBorders>
              <w:top w:val="nil"/>
              <w:left w:val="nil"/>
              <w:bottom w:val="nil"/>
              <w:right w:val="nil"/>
            </w:tcBorders>
            <w:shd w:val="clear" w:color="auto" w:fill="auto"/>
            <w:noWrap/>
            <w:vAlign w:val="bottom"/>
            <w:hideMark/>
          </w:tcPr>
          <w:p w14:paraId="6A3E4279" w14:textId="03379185"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79,946 </w:t>
            </w:r>
          </w:p>
        </w:tc>
        <w:tc>
          <w:tcPr>
            <w:tcW w:w="1061" w:type="dxa"/>
            <w:tcBorders>
              <w:top w:val="nil"/>
              <w:left w:val="nil"/>
              <w:bottom w:val="nil"/>
              <w:right w:val="nil"/>
            </w:tcBorders>
            <w:shd w:val="clear" w:color="auto" w:fill="auto"/>
            <w:noWrap/>
            <w:vAlign w:val="bottom"/>
            <w:hideMark/>
          </w:tcPr>
          <w:p w14:paraId="7188FD96" w14:textId="0AAD8702"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39,326 </w:t>
            </w:r>
          </w:p>
        </w:tc>
        <w:tc>
          <w:tcPr>
            <w:tcW w:w="1035" w:type="dxa"/>
            <w:tcBorders>
              <w:top w:val="nil"/>
              <w:left w:val="nil"/>
              <w:bottom w:val="nil"/>
              <w:right w:val="nil"/>
            </w:tcBorders>
            <w:shd w:val="clear" w:color="auto" w:fill="auto"/>
            <w:noWrap/>
            <w:vAlign w:val="bottom"/>
            <w:hideMark/>
          </w:tcPr>
          <w:p w14:paraId="2F755755" w14:textId="164C8D59"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17,718 </w:t>
            </w:r>
          </w:p>
        </w:tc>
      </w:tr>
      <w:tr w:rsidR="00AF04BD" w:rsidRPr="00B023B9" w14:paraId="6C1DE492" w14:textId="77777777" w:rsidTr="00AF04BD">
        <w:trPr>
          <w:trHeight w:val="204"/>
        </w:trPr>
        <w:tc>
          <w:tcPr>
            <w:tcW w:w="2410" w:type="dxa"/>
            <w:tcBorders>
              <w:top w:val="nil"/>
              <w:left w:val="nil"/>
              <w:bottom w:val="nil"/>
              <w:right w:val="nil"/>
            </w:tcBorders>
            <w:shd w:val="clear" w:color="auto" w:fill="auto"/>
            <w:noWrap/>
            <w:vAlign w:val="center"/>
            <w:hideMark/>
          </w:tcPr>
          <w:p w14:paraId="0C0BBD6B" w14:textId="0A0E122B"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Advances and loans made</w:t>
            </w:r>
          </w:p>
        </w:tc>
        <w:tc>
          <w:tcPr>
            <w:tcW w:w="1124" w:type="dxa"/>
            <w:tcBorders>
              <w:top w:val="nil"/>
              <w:left w:val="nil"/>
              <w:bottom w:val="nil"/>
              <w:right w:val="nil"/>
            </w:tcBorders>
            <w:shd w:val="clear" w:color="auto" w:fill="auto"/>
            <w:noWrap/>
            <w:vAlign w:val="bottom"/>
            <w:hideMark/>
          </w:tcPr>
          <w:p w14:paraId="396E6067" w14:textId="7F351F9D"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493,088 </w:t>
            </w:r>
          </w:p>
        </w:tc>
        <w:tc>
          <w:tcPr>
            <w:tcW w:w="1035" w:type="dxa"/>
            <w:tcBorders>
              <w:top w:val="nil"/>
              <w:left w:val="nil"/>
              <w:bottom w:val="nil"/>
              <w:right w:val="nil"/>
            </w:tcBorders>
            <w:shd w:val="clear" w:color="000000" w:fill="E6E6E6"/>
            <w:noWrap/>
            <w:vAlign w:val="bottom"/>
            <w:hideMark/>
          </w:tcPr>
          <w:p w14:paraId="5A75218A" w14:textId="1A6835A8"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1,065,904 </w:t>
            </w:r>
          </w:p>
        </w:tc>
        <w:tc>
          <w:tcPr>
            <w:tcW w:w="1061" w:type="dxa"/>
            <w:tcBorders>
              <w:top w:val="nil"/>
              <w:left w:val="nil"/>
              <w:bottom w:val="nil"/>
              <w:right w:val="nil"/>
            </w:tcBorders>
            <w:shd w:val="clear" w:color="auto" w:fill="auto"/>
            <w:noWrap/>
            <w:vAlign w:val="bottom"/>
            <w:hideMark/>
          </w:tcPr>
          <w:p w14:paraId="5A9487F8" w14:textId="4C60320C"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1,883,430 </w:t>
            </w:r>
          </w:p>
        </w:tc>
        <w:tc>
          <w:tcPr>
            <w:tcW w:w="1061" w:type="dxa"/>
            <w:tcBorders>
              <w:top w:val="nil"/>
              <w:left w:val="nil"/>
              <w:bottom w:val="nil"/>
              <w:right w:val="nil"/>
            </w:tcBorders>
            <w:shd w:val="clear" w:color="auto" w:fill="auto"/>
            <w:noWrap/>
            <w:vAlign w:val="bottom"/>
            <w:hideMark/>
          </w:tcPr>
          <w:p w14:paraId="0F3110F6" w14:textId="6514B65D"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1,494,715 </w:t>
            </w:r>
          </w:p>
        </w:tc>
        <w:tc>
          <w:tcPr>
            <w:tcW w:w="1035" w:type="dxa"/>
            <w:tcBorders>
              <w:top w:val="nil"/>
              <w:left w:val="nil"/>
              <w:bottom w:val="nil"/>
              <w:right w:val="nil"/>
            </w:tcBorders>
            <w:shd w:val="clear" w:color="auto" w:fill="auto"/>
            <w:noWrap/>
            <w:vAlign w:val="bottom"/>
            <w:hideMark/>
          </w:tcPr>
          <w:p w14:paraId="68645501" w14:textId="61BAFB40"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789,181 </w:t>
            </w:r>
          </w:p>
        </w:tc>
      </w:tr>
      <w:tr w:rsidR="00AF04BD" w:rsidRPr="00B023B9" w14:paraId="4750C502" w14:textId="77777777" w:rsidTr="00AF04BD">
        <w:trPr>
          <w:trHeight w:val="204"/>
        </w:trPr>
        <w:tc>
          <w:tcPr>
            <w:tcW w:w="2410" w:type="dxa"/>
            <w:tcBorders>
              <w:top w:val="nil"/>
              <w:left w:val="nil"/>
              <w:bottom w:val="nil"/>
              <w:right w:val="nil"/>
            </w:tcBorders>
            <w:shd w:val="clear" w:color="auto" w:fill="auto"/>
            <w:noWrap/>
            <w:vAlign w:val="center"/>
            <w:hideMark/>
          </w:tcPr>
          <w:p w14:paraId="51D6B3BE" w14:textId="53B97CEA" w:rsidR="00AF04BD" w:rsidRPr="00AF04BD" w:rsidRDefault="00AF04BD" w:rsidP="00AF04BD">
            <w:pPr>
              <w:spacing w:after="0" w:line="240" w:lineRule="auto"/>
              <w:ind w:left="227"/>
              <w:jc w:val="left"/>
              <w:rPr>
                <w:rFonts w:ascii="Arial" w:hAnsi="Arial" w:cs="Arial"/>
                <w:color w:val="000000"/>
                <w:sz w:val="16"/>
                <w:szCs w:val="16"/>
              </w:rPr>
            </w:pPr>
            <w:r w:rsidRPr="00AF04BD">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34BA5FDC" w14:textId="49F58F34"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2,600,162 </w:t>
            </w:r>
          </w:p>
        </w:tc>
        <w:tc>
          <w:tcPr>
            <w:tcW w:w="1035" w:type="dxa"/>
            <w:tcBorders>
              <w:top w:val="nil"/>
              <w:left w:val="nil"/>
              <w:bottom w:val="nil"/>
              <w:right w:val="nil"/>
            </w:tcBorders>
            <w:shd w:val="clear" w:color="000000" w:fill="E6E6E6"/>
            <w:noWrap/>
            <w:vAlign w:val="bottom"/>
            <w:hideMark/>
          </w:tcPr>
          <w:p w14:paraId="6CFC3A9C" w14:textId="0CFC6E28"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5,565,426 </w:t>
            </w:r>
          </w:p>
        </w:tc>
        <w:tc>
          <w:tcPr>
            <w:tcW w:w="1061" w:type="dxa"/>
            <w:tcBorders>
              <w:top w:val="nil"/>
              <w:left w:val="nil"/>
              <w:bottom w:val="nil"/>
              <w:right w:val="nil"/>
            </w:tcBorders>
            <w:shd w:val="clear" w:color="auto" w:fill="auto"/>
            <w:noWrap/>
            <w:vAlign w:val="bottom"/>
            <w:hideMark/>
          </w:tcPr>
          <w:p w14:paraId="23615BA6" w14:textId="57EE6EEF"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4,835,763 </w:t>
            </w:r>
          </w:p>
        </w:tc>
        <w:tc>
          <w:tcPr>
            <w:tcW w:w="1061" w:type="dxa"/>
            <w:tcBorders>
              <w:top w:val="nil"/>
              <w:left w:val="nil"/>
              <w:bottom w:val="nil"/>
              <w:right w:val="nil"/>
            </w:tcBorders>
            <w:shd w:val="clear" w:color="auto" w:fill="auto"/>
            <w:noWrap/>
            <w:vAlign w:val="bottom"/>
            <w:hideMark/>
          </w:tcPr>
          <w:p w14:paraId="6905B536" w14:textId="58ED6641"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4,770,612 </w:t>
            </w:r>
          </w:p>
        </w:tc>
        <w:tc>
          <w:tcPr>
            <w:tcW w:w="1035" w:type="dxa"/>
            <w:tcBorders>
              <w:top w:val="nil"/>
              <w:left w:val="nil"/>
              <w:bottom w:val="nil"/>
              <w:right w:val="nil"/>
            </w:tcBorders>
            <w:shd w:val="clear" w:color="auto" w:fill="auto"/>
            <w:noWrap/>
            <w:vAlign w:val="bottom"/>
            <w:hideMark/>
          </w:tcPr>
          <w:p w14:paraId="1B05C484" w14:textId="016F76C7" w:rsidR="00AF04BD" w:rsidRPr="00AF04BD" w:rsidRDefault="00AF04BD" w:rsidP="00AF04BD">
            <w:pPr>
              <w:spacing w:after="0" w:line="240" w:lineRule="auto"/>
              <w:jc w:val="right"/>
              <w:rPr>
                <w:rFonts w:ascii="Arial" w:hAnsi="Arial" w:cs="Arial"/>
                <w:color w:val="000000"/>
                <w:sz w:val="16"/>
                <w:szCs w:val="16"/>
              </w:rPr>
            </w:pPr>
            <w:r w:rsidRPr="00AF04BD">
              <w:rPr>
                <w:rFonts w:ascii="Arial" w:hAnsi="Arial" w:cs="Arial"/>
                <w:color w:val="000000"/>
                <w:sz w:val="16"/>
                <w:szCs w:val="16"/>
              </w:rPr>
              <w:t xml:space="preserve">3,147,869 </w:t>
            </w:r>
          </w:p>
        </w:tc>
      </w:tr>
      <w:tr w:rsidR="00AF04BD" w:rsidRPr="00B023B9" w14:paraId="5C3C4C82" w14:textId="77777777" w:rsidTr="00AF04BD">
        <w:trPr>
          <w:trHeight w:val="204"/>
        </w:trPr>
        <w:tc>
          <w:tcPr>
            <w:tcW w:w="2410" w:type="dxa"/>
            <w:tcBorders>
              <w:top w:val="nil"/>
              <w:left w:val="nil"/>
              <w:bottom w:val="nil"/>
              <w:right w:val="nil"/>
            </w:tcBorders>
            <w:shd w:val="clear" w:color="auto" w:fill="auto"/>
            <w:noWrap/>
            <w:vAlign w:val="center"/>
            <w:hideMark/>
          </w:tcPr>
          <w:p w14:paraId="00A2BB64" w14:textId="3C869F0D" w:rsidR="00AF04BD" w:rsidRPr="00AF04BD" w:rsidRDefault="00AF04BD" w:rsidP="00AF04BD">
            <w:pPr>
              <w:spacing w:after="0" w:line="240" w:lineRule="auto"/>
              <w:ind w:left="113"/>
              <w:jc w:val="left"/>
              <w:rPr>
                <w:rFonts w:ascii="Arial" w:hAnsi="Arial" w:cs="Arial"/>
                <w:b/>
                <w:bCs/>
                <w:color w:val="000000"/>
                <w:sz w:val="16"/>
                <w:szCs w:val="16"/>
              </w:rPr>
            </w:pPr>
            <w:r w:rsidRPr="00AF04BD">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bottom"/>
            <w:hideMark/>
          </w:tcPr>
          <w:p w14:paraId="7DFBA0C0" w14:textId="2D549847"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3,144,634 </w:t>
            </w:r>
          </w:p>
        </w:tc>
        <w:tc>
          <w:tcPr>
            <w:tcW w:w="1035" w:type="dxa"/>
            <w:tcBorders>
              <w:top w:val="single" w:sz="4" w:space="0" w:color="000000"/>
              <w:left w:val="nil"/>
              <w:bottom w:val="single" w:sz="4" w:space="0" w:color="000000"/>
              <w:right w:val="nil"/>
            </w:tcBorders>
            <w:shd w:val="clear" w:color="000000" w:fill="E6E6E6"/>
            <w:noWrap/>
            <w:vAlign w:val="bottom"/>
            <w:hideMark/>
          </w:tcPr>
          <w:p w14:paraId="3952D326" w14:textId="5E16509D"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6,732,822 </w:t>
            </w:r>
          </w:p>
        </w:tc>
        <w:tc>
          <w:tcPr>
            <w:tcW w:w="1061" w:type="dxa"/>
            <w:tcBorders>
              <w:top w:val="single" w:sz="4" w:space="0" w:color="000000"/>
              <w:left w:val="nil"/>
              <w:bottom w:val="single" w:sz="4" w:space="0" w:color="000000"/>
              <w:right w:val="nil"/>
            </w:tcBorders>
            <w:shd w:val="clear" w:color="auto" w:fill="auto"/>
            <w:noWrap/>
            <w:vAlign w:val="bottom"/>
            <w:hideMark/>
          </w:tcPr>
          <w:p w14:paraId="397B1F50" w14:textId="6A89E162"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6,799,139 </w:t>
            </w:r>
          </w:p>
        </w:tc>
        <w:tc>
          <w:tcPr>
            <w:tcW w:w="1061" w:type="dxa"/>
            <w:tcBorders>
              <w:top w:val="single" w:sz="4" w:space="0" w:color="000000"/>
              <w:left w:val="nil"/>
              <w:bottom w:val="single" w:sz="4" w:space="0" w:color="000000"/>
              <w:right w:val="nil"/>
            </w:tcBorders>
            <w:shd w:val="clear" w:color="auto" w:fill="auto"/>
            <w:noWrap/>
            <w:vAlign w:val="bottom"/>
            <w:hideMark/>
          </w:tcPr>
          <w:p w14:paraId="436D16FB" w14:textId="5F11BDD6"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6,304,653 </w:t>
            </w:r>
          </w:p>
        </w:tc>
        <w:tc>
          <w:tcPr>
            <w:tcW w:w="1035" w:type="dxa"/>
            <w:tcBorders>
              <w:top w:val="single" w:sz="4" w:space="0" w:color="000000"/>
              <w:left w:val="nil"/>
              <w:bottom w:val="single" w:sz="4" w:space="0" w:color="000000"/>
              <w:right w:val="nil"/>
            </w:tcBorders>
            <w:shd w:val="clear" w:color="auto" w:fill="auto"/>
            <w:noWrap/>
            <w:vAlign w:val="bottom"/>
            <w:hideMark/>
          </w:tcPr>
          <w:p w14:paraId="4B1769A2" w14:textId="68005073" w:rsidR="00AF04BD" w:rsidRPr="00AF04BD" w:rsidRDefault="00AF04BD" w:rsidP="00AF04BD">
            <w:pPr>
              <w:spacing w:after="0" w:line="240" w:lineRule="auto"/>
              <w:jc w:val="right"/>
              <w:rPr>
                <w:rFonts w:ascii="Arial" w:hAnsi="Arial" w:cs="Arial"/>
                <w:b/>
                <w:bCs/>
                <w:i/>
                <w:iCs/>
                <w:color w:val="000000"/>
                <w:sz w:val="16"/>
                <w:szCs w:val="16"/>
              </w:rPr>
            </w:pPr>
            <w:r w:rsidRPr="00AF04BD">
              <w:rPr>
                <w:rFonts w:ascii="Arial" w:hAnsi="Arial" w:cs="Arial"/>
                <w:b/>
                <w:bCs/>
                <w:i/>
                <w:iCs/>
                <w:color w:val="000000"/>
                <w:sz w:val="16"/>
                <w:szCs w:val="16"/>
              </w:rPr>
              <w:t xml:space="preserve">3,954,768 </w:t>
            </w:r>
          </w:p>
        </w:tc>
      </w:tr>
      <w:tr w:rsidR="00AF04BD" w:rsidRPr="00B023B9" w14:paraId="6475FBED" w14:textId="77777777" w:rsidTr="00AF04BD">
        <w:trPr>
          <w:trHeight w:val="204"/>
        </w:trPr>
        <w:tc>
          <w:tcPr>
            <w:tcW w:w="2410" w:type="dxa"/>
            <w:tcBorders>
              <w:top w:val="nil"/>
              <w:left w:val="nil"/>
              <w:bottom w:val="single" w:sz="4" w:space="0" w:color="auto"/>
              <w:right w:val="nil"/>
            </w:tcBorders>
            <w:shd w:val="clear" w:color="auto" w:fill="auto"/>
            <w:vAlign w:val="center"/>
            <w:hideMark/>
          </w:tcPr>
          <w:p w14:paraId="104FFD35" w14:textId="04DCF242" w:rsidR="00AF04BD" w:rsidRPr="00AF04BD" w:rsidRDefault="00AF04BD" w:rsidP="00AF04BD">
            <w:pPr>
              <w:spacing w:after="0" w:line="240" w:lineRule="auto"/>
              <w:jc w:val="left"/>
              <w:rPr>
                <w:rFonts w:ascii="Arial" w:hAnsi="Arial" w:cs="Arial"/>
                <w:b/>
                <w:bCs/>
                <w:color w:val="000000"/>
                <w:sz w:val="16"/>
                <w:szCs w:val="16"/>
              </w:rPr>
            </w:pPr>
            <w:r w:rsidRPr="00AF04BD">
              <w:rPr>
                <w:rFonts w:ascii="Arial" w:hAnsi="Arial" w:cs="Arial"/>
                <w:b/>
                <w:bCs/>
                <w:color w:val="000000"/>
                <w:sz w:val="16"/>
                <w:szCs w:val="16"/>
              </w:rPr>
              <w:t>Net cash from/(used by) investing activities</w:t>
            </w:r>
          </w:p>
        </w:tc>
        <w:tc>
          <w:tcPr>
            <w:tcW w:w="1124" w:type="dxa"/>
            <w:tcBorders>
              <w:top w:val="nil"/>
              <w:left w:val="nil"/>
              <w:bottom w:val="single" w:sz="4" w:space="0" w:color="auto"/>
              <w:right w:val="nil"/>
            </w:tcBorders>
            <w:shd w:val="clear" w:color="auto" w:fill="auto"/>
            <w:noWrap/>
            <w:vAlign w:val="bottom"/>
            <w:hideMark/>
          </w:tcPr>
          <w:p w14:paraId="67B195E5" w14:textId="48D0289C"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 xml:space="preserve">3,172,550 </w:t>
            </w:r>
          </w:p>
        </w:tc>
        <w:tc>
          <w:tcPr>
            <w:tcW w:w="1035" w:type="dxa"/>
            <w:tcBorders>
              <w:top w:val="nil"/>
              <w:left w:val="nil"/>
              <w:bottom w:val="single" w:sz="4" w:space="0" w:color="auto"/>
              <w:right w:val="nil"/>
            </w:tcBorders>
            <w:shd w:val="clear" w:color="000000" w:fill="E6E6E6"/>
            <w:noWrap/>
            <w:vAlign w:val="bottom"/>
            <w:hideMark/>
          </w:tcPr>
          <w:p w14:paraId="22D06283" w14:textId="0772BD8F"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(6,395,412)</w:t>
            </w:r>
          </w:p>
        </w:tc>
        <w:tc>
          <w:tcPr>
            <w:tcW w:w="1061" w:type="dxa"/>
            <w:tcBorders>
              <w:top w:val="nil"/>
              <w:left w:val="nil"/>
              <w:bottom w:val="single" w:sz="4" w:space="0" w:color="auto"/>
              <w:right w:val="nil"/>
            </w:tcBorders>
            <w:shd w:val="clear" w:color="auto" w:fill="auto"/>
            <w:noWrap/>
            <w:vAlign w:val="bottom"/>
            <w:hideMark/>
          </w:tcPr>
          <w:p w14:paraId="2F5FF9C8" w14:textId="1C0AE69D"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 xml:space="preserve">929,295 </w:t>
            </w:r>
          </w:p>
        </w:tc>
        <w:tc>
          <w:tcPr>
            <w:tcW w:w="1061" w:type="dxa"/>
            <w:tcBorders>
              <w:top w:val="nil"/>
              <w:left w:val="nil"/>
              <w:bottom w:val="single" w:sz="4" w:space="0" w:color="auto"/>
              <w:right w:val="nil"/>
            </w:tcBorders>
            <w:shd w:val="clear" w:color="auto" w:fill="auto"/>
            <w:noWrap/>
            <w:vAlign w:val="bottom"/>
            <w:hideMark/>
          </w:tcPr>
          <w:p w14:paraId="0FFE3E5B" w14:textId="03674E13"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(6,183,061)</w:t>
            </w:r>
          </w:p>
        </w:tc>
        <w:tc>
          <w:tcPr>
            <w:tcW w:w="1035" w:type="dxa"/>
            <w:tcBorders>
              <w:top w:val="nil"/>
              <w:left w:val="nil"/>
              <w:bottom w:val="single" w:sz="4" w:space="0" w:color="auto"/>
              <w:right w:val="nil"/>
            </w:tcBorders>
            <w:shd w:val="clear" w:color="auto" w:fill="auto"/>
            <w:noWrap/>
            <w:vAlign w:val="bottom"/>
            <w:hideMark/>
          </w:tcPr>
          <w:p w14:paraId="27AAF497" w14:textId="616972D7" w:rsidR="00AF04BD" w:rsidRPr="00AF04BD" w:rsidRDefault="00AF04BD" w:rsidP="00AF04BD">
            <w:pPr>
              <w:spacing w:after="0" w:line="240" w:lineRule="auto"/>
              <w:jc w:val="right"/>
              <w:rPr>
                <w:rFonts w:ascii="Arial" w:hAnsi="Arial" w:cs="Arial"/>
                <w:b/>
                <w:bCs/>
                <w:color w:val="000000"/>
                <w:sz w:val="16"/>
                <w:szCs w:val="16"/>
              </w:rPr>
            </w:pPr>
            <w:r w:rsidRPr="00AF04BD">
              <w:rPr>
                <w:rFonts w:ascii="Arial" w:hAnsi="Arial" w:cs="Arial"/>
                <w:b/>
                <w:bCs/>
                <w:color w:val="000000"/>
                <w:sz w:val="16"/>
                <w:szCs w:val="16"/>
              </w:rPr>
              <w:t>(3,673,687)</w:t>
            </w:r>
          </w:p>
        </w:tc>
      </w:tr>
    </w:tbl>
    <w:p w14:paraId="42C8E1C7" w14:textId="414E4AE2" w:rsidR="00B91F3E" w:rsidRPr="00B7521F" w:rsidRDefault="00B91F3E" w:rsidP="00B91F3E">
      <w:pPr>
        <w:pStyle w:val="NoSpacing"/>
        <w:rPr>
          <w:rFonts w:ascii="Arial" w:hAnsi="Arial" w:cs="Arial"/>
          <w:sz w:val="16"/>
          <w:szCs w:val="16"/>
        </w:rPr>
      </w:pPr>
    </w:p>
    <w:p w14:paraId="2F8A5A73" w14:textId="77777777" w:rsidR="00B91F3E" w:rsidRDefault="00B91F3E" w:rsidP="00B91F3E">
      <w:pPr>
        <w:pStyle w:val="TableHeadingcontinued"/>
      </w:pPr>
      <w:r>
        <w:br w:type="page"/>
      </w:r>
      <w:r w:rsidRPr="004C5507">
        <w:lastRenderedPageBreak/>
        <w:t>Table</w:t>
      </w:r>
      <w:r>
        <w:t xml:space="preserve"> 3.9</w:t>
      </w:r>
      <w:r w:rsidRPr="004C5507">
        <w:t>: Schedule of budgeted administered cash flows</w:t>
      </w:r>
      <w:r>
        <w:t xml:space="preserve"> </w:t>
      </w:r>
      <w:r w:rsidRPr="004C5507">
        <w:t>(for the period ended 30 June) (continued)</w:t>
      </w:r>
    </w:p>
    <w:tbl>
      <w:tblPr>
        <w:tblW w:w="7723" w:type="dxa"/>
        <w:tblLayout w:type="fixed"/>
        <w:tblLook w:val="04A0" w:firstRow="1" w:lastRow="0" w:firstColumn="1" w:lastColumn="0" w:noHBand="0" w:noVBand="1"/>
      </w:tblPr>
      <w:tblGrid>
        <w:gridCol w:w="2127"/>
        <w:gridCol w:w="1035"/>
        <w:gridCol w:w="1124"/>
        <w:gridCol w:w="1102"/>
        <w:gridCol w:w="1124"/>
        <w:gridCol w:w="1211"/>
      </w:tblGrid>
      <w:tr w:rsidR="00B91F3E" w:rsidRPr="00E33C0D" w14:paraId="01C1A603" w14:textId="77777777" w:rsidTr="00BD1951">
        <w:trPr>
          <w:trHeight w:val="204"/>
        </w:trPr>
        <w:tc>
          <w:tcPr>
            <w:tcW w:w="2127" w:type="dxa"/>
            <w:tcBorders>
              <w:top w:val="single" w:sz="4" w:space="0" w:color="auto"/>
              <w:left w:val="nil"/>
              <w:bottom w:val="nil"/>
              <w:right w:val="nil"/>
            </w:tcBorders>
            <w:shd w:val="clear" w:color="auto" w:fill="auto"/>
            <w:noWrap/>
            <w:vAlign w:val="bottom"/>
            <w:hideMark/>
          </w:tcPr>
          <w:p w14:paraId="69BCA85E" w14:textId="77777777" w:rsidR="00B91F3E" w:rsidRPr="00E33C0D" w:rsidRDefault="00B91F3E" w:rsidP="00F96D8A">
            <w:pPr>
              <w:spacing w:after="0" w:line="240" w:lineRule="auto"/>
              <w:jc w:val="left"/>
              <w:rPr>
                <w:rFonts w:ascii="Arial" w:hAnsi="Arial" w:cs="Arial"/>
                <w:b/>
                <w:bCs/>
                <w:sz w:val="16"/>
                <w:szCs w:val="16"/>
              </w:rPr>
            </w:pPr>
            <w:r w:rsidRPr="00E33C0D">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bottom"/>
            <w:hideMark/>
          </w:tcPr>
          <w:p w14:paraId="05942001"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2021-22</w:t>
            </w:r>
            <w:r w:rsidRPr="00E33C0D">
              <w:rPr>
                <w:rFonts w:ascii="Arial" w:hAnsi="Arial" w:cs="Arial"/>
                <w:sz w:val="16"/>
                <w:szCs w:val="16"/>
              </w:rPr>
              <w:br/>
              <w:t>Estimated actual</w:t>
            </w:r>
            <w:r w:rsidRPr="00E33C0D">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000000" w:fill="E6E6E6"/>
            <w:vAlign w:val="bottom"/>
            <w:hideMark/>
          </w:tcPr>
          <w:p w14:paraId="1E9C7186"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2022-23</w:t>
            </w:r>
            <w:r w:rsidRPr="00E33C0D">
              <w:rPr>
                <w:rFonts w:ascii="Arial" w:hAnsi="Arial" w:cs="Arial"/>
                <w:sz w:val="16"/>
                <w:szCs w:val="16"/>
              </w:rPr>
              <w:br/>
              <w:t>Budget</w:t>
            </w:r>
            <w:r w:rsidRPr="00E33C0D">
              <w:rPr>
                <w:rFonts w:ascii="Arial" w:hAnsi="Arial" w:cs="Arial"/>
                <w:sz w:val="16"/>
                <w:szCs w:val="16"/>
              </w:rPr>
              <w:br/>
            </w:r>
            <w:r w:rsidRPr="00E33C0D">
              <w:rPr>
                <w:rFonts w:ascii="Arial" w:hAnsi="Arial" w:cs="Arial"/>
                <w:sz w:val="16"/>
                <w:szCs w:val="16"/>
              </w:rPr>
              <w:br/>
              <w:t>$'000</w:t>
            </w:r>
          </w:p>
        </w:tc>
        <w:tc>
          <w:tcPr>
            <w:tcW w:w="1102" w:type="dxa"/>
            <w:tcBorders>
              <w:top w:val="single" w:sz="4" w:space="0" w:color="auto"/>
              <w:left w:val="nil"/>
              <w:bottom w:val="single" w:sz="4" w:space="0" w:color="auto"/>
              <w:right w:val="nil"/>
            </w:tcBorders>
            <w:shd w:val="clear" w:color="auto" w:fill="auto"/>
            <w:vAlign w:val="bottom"/>
            <w:hideMark/>
          </w:tcPr>
          <w:p w14:paraId="72BBED21"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2023-24</w:t>
            </w:r>
            <w:r w:rsidRPr="00E33C0D">
              <w:rPr>
                <w:rFonts w:ascii="Arial" w:hAnsi="Arial" w:cs="Arial"/>
                <w:sz w:val="16"/>
                <w:szCs w:val="16"/>
              </w:rPr>
              <w:br/>
              <w:t>Forward estimate</w:t>
            </w:r>
            <w:r w:rsidRPr="00E33C0D">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2E8507D2"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2024-25</w:t>
            </w:r>
            <w:r w:rsidRPr="00E33C0D">
              <w:rPr>
                <w:rFonts w:ascii="Arial" w:hAnsi="Arial" w:cs="Arial"/>
                <w:sz w:val="16"/>
                <w:szCs w:val="16"/>
              </w:rPr>
              <w:br/>
              <w:t>Forward estimate</w:t>
            </w:r>
            <w:r w:rsidRPr="00E33C0D">
              <w:rPr>
                <w:rFonts w:ascii="Arial" w:hAnsi="Arial" w:cs="Arial"/>
                <w:sz w:val="16"/>
                <w:szCs w:val="16"/>
              </w:rPr>
              <w:br/>
              <w:t>$'000</w:t>
            </w:r>
          </w:p>
        </w:tc>
        <w:tc>
          <w:tcPr>
            <w:tcW w:w="1211" w:type="dxa"/>
            <w:tcBorders>
              <w:top w:val="single" w:sz="4" w:space="0" w:color="auto"/>
              <w:left w:val="nil"/>
              <w:bottom w:val="single" w:sz="4" w:space="0" w:color="auto"/>
              <w:right w:val="nil"/>
            </w:tcBorders>
            <w:shd w:val="clear" w:color="auto" w:fill="auto"/>
            <w:vAlign w:val="bottom"/>
            <w:hideMark/>
          </w:tcPr>
          <w:p w14:paraId="4089CE71"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2025-26</w:t>
            </w:r>
            <w:r w:rsidRPr="00E33C0D">
              <w:rPr>
                <w:rFonts w:ascii="Arial" w:hAnsi="Arial" w:cs="Arial"/>
                <w:sz w:val="16"/>
                <w:szCs w:val="16"/>
              </w:rPr>
              <w:br/>
              <w:t>Forward estimate</w:t>
            </w:r>
            <w:r w:rsidRPr="00E33C0D">
              <w:rPr>
                <w:rFonts w:ascii="Arial" w:hAnsi="Arial" w:cs="Arial"/>
                <w:sz w:val="16"/>
                <w:szCs w:val="16"/>
              </w:rPr>
              <w:br/>
              <w:t>$'000</w:t>
            </w:r>
          </w:p>
        </w:tc>
      </w:tr>
      <w:tr w:rsidR="00B91F3E" w:rsidRPr="00E33C0D" w14:paraId="0CA153C1" w14:textId="77777777" w:rsidTr="00BD1951">
        <w:trPr>
          <w:trHeight w:val="204"/>
        </w:trPr>
        <w:tc>
          <w:tcPr>
            <w:tcW w:w="2127" w:type="dxa"/>
            <w:tcBorders>
              <w:top w:val="nil"/>
              <w:left w:val="nil"/>
              <w:bottom w:val="nil"/>
              <w:right w:val="nil"/>
            </w:tcBorders>
            <w:shd w:val="clear" w:color="auto" w:fill="auto"/>
            <w:noWrap/>
            <w:vAlign w:val="bottom"/>
            <w:hideMark/>
          </w:tcPr>
          <w:p w14:paraId="7D0A7636" w14:textId="77777777" w:rsidR="00B91F3E" w:rsidRPr="00E33C0D" w:rsidRDefault="00B91F3E" w:rsidP="00F96D8A">
            <w:pPr>
              <w:spacing w:after="0" w:line="240" w:lineRule="auto"/>
              <w:jc w:val="left"/>
              <w:rPr>
                <w:rFonts w:ascii="Arial" w:hAnsi="Arial" w:cs="Arial"/>
                <w:b/>
                <w:bCs/>
                <w:color w:val="000000"/>
                <w:sz w:val="16"/>
                <w:szCs w:val="16"/>
              </w:rPr>
            </w:pPr>
            <w:r w:rsidRPr="00E33C0D">
              <w:rPr>
                <w:rFonts w:ascii="Arial" w:hAnsi="Arial" w:cs="Arial"/>
                <w:b/>
                <w:bCs/>
                <w:color w:val="000000"/>
                <w:sz w:val="16"/>
                <w:szCs w:val="16"/>
              </w:rPr>
              <w:t>FINANCING ACTIVITIES</w:t>
            </w:r>
          </w:p>
        </w:tc>
        <w:tc>
          <w:tcPr>
            <w:tcW w:w="1035" w:type="dxa"/>
            <w:tcBorders>
              <w:top w:val="nil"/>
              <w:left w:val="nil"/>
              <w:bottom w:val="nil"/>
              <w:right w:val="nil"/>
            </w:tcBorders>
            <w:shd w:val="clear" w:color="auto" w:fill="auto"/>
            <w:noWrap/>
            <w:vAlign w:val="bottom"/>
            <w:hideMark/>
          </w:tcPr>
          <w:p w14:paraId="1565ED82" w14:textId="77777777" w:rsidR="00B91F3E" w:rsidRPr="00722716" w:rsidRDefault="00B91F3E" w:rsidP="00F96D8A">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bottom"/>
            <w:hideMark/>
          </w:tcPr>
          <w:p w14:paraId="02555066" w14:textId="77777777" w:rsidR="00B91F3E" w:rsidRPr="00722716" w:rsidRDefault="00B91F3E" w:rsidP="00F96D8A">
            <w:pPr>
              <w:spacing w:after="0" w:line="240" w:lineRule="auto"/>
              <w:jc w:val="right"/>
              <w:rPr>
                <w:rFonts w:ascii="Arial" w:hAnsi="Arial" w:cs="Arial"/>
                <w:color w:val="000000"/>
                <w:sz w:val="16"/>
                <w:szCs w:val="16"/>
              </w:rPr>
            </w:pPr>
          </w:p>
        </w:tc>
        <w:tc>
          <w:tcPr>
            <w:tcW w:w="1102" w:type="dxa"/>
            <w:tcBorders>
              <w:top w:val="nil"/>
              <w:left w:val="nil"/>
              <w:bottom w:val="nil"/>
              <w:right w:val="nil"/>
            </w:tcBorders>
            <w:shd w:val="clear" w:color="auto" w:fill="auto"/>
            <w:noWrap/>
            <w:vAlign w:val="bottom"/>
            <w:hideMark/>
          </w:tcPr>
          <w:p w14:paraId="1DFA0710" w14:textId="77777777" w:rsidR="00B91F3E" w:rsidRPr="00722716" w:rsidRDefault="00B91F3E" w:rsidP="00F96D8A">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BEDB886" w14:textId="77777777" w:rsidR="00B91F3E" w:rsidRPr="00722716" w:rsidRDefault="00B91F3E" w:rsidP="00F96D8A">
            <w:pPr>
              <w:spacing w:after="0" w:line="240" w:lineRule="auto"/>
              <w:jc w:val="right"/>
              <w:rPr>
                <w:rFonts w:ascii="Times New Roman" w:hAnsi="Times New Roman"/>
                <w:sz w:val="16"/>
                <w:szCs w:val="16"/>
              </w:rPr>
            </w:pPr>
          </w:p>
        </w:tc>
        <w:tc>
          <w:tcPr>
            <w:tcW w:w="1211" w:type="dxa"/>
            <w:tcBorders>
              <w:top w:val="nil"/>
              <w:left w:val="nil"/>
              <w:bottom w:val="nil"/>
              <w:right w:val="nil"/>
            </w:tcBorders>
            <w:shd w:val="clear" w:color="auto" w:fill="auto"/>
            <w:noWrap/>
            <w:vAlign w:val="bottom"/>
            <w:hideMark/>
          </w:tcPr>
          <w:p w14:paraId="09CCB0A5" w14:textId="77777777" w:rsidR="00B91F3E" w:rsidRPr="00722716" w:rsidRDefault="00B91F3E" w:rsidP="00F96D8A">
            <w:pPr>
              <w:spacing w:after="0" w:line="240" w:lineRule="auto"/>
              <w:jc w:val="right"/>
              <w:rPr>
                <w:rFonts w:ascii="Times New Roman" w:hAnsi="Times New Roman"/>
                <w:sz w:val="16"/>
                <w:szCs w:val="16"/>
              </w:rPr>
            </w:pPr>
          </w:p>
        </w:tc>
      </w:tr>
      <w:tr w:rsidR="00AF04BD" w:rsidRPr="00E33C0D" w14:paraId="36A8C170" w14:textId="77777777" w:rsidTr="00AF04BD">
        <w:trPr>
          <w:trHeight w:val="204"/>
        </w:trPr>
        <w:tc>
          <w:tcPr>
            <w:tcW w:w="2127" w:type="dxa"/>
            <w:tcBorders>
              <w:top w:val="nil"/>
              <w:left w:val="nil"/>
              <w:bottom w:val="nil"/>
              <w:right w:val="nil"/>
            </w:tcBorders>
            <w:shd w:val="clear" w:color="auto" w:fill="auto"/>
            <w:noWrap/>
            <w:vAlign w:val="center"/>
            <w:hideMark/>
          </w:tcPr>
          <w:p w14:paraId="2416D43A" w14:textId="396F6807" w:rsidR="00AF04BD" w:rsidRPr="00E33C0D" w:rsidRDefault="00AF04BD" w:rsidP="00AF04BD">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1AD888FE" w14:textId="77777777" w:rsidR="00AF04BD" w:rsidRPr="00722716" w:rsidRDefault="00AF04BD" w:rsidP="00AF04BD">
            <w:pPr>
              <w:spacing w:after="0" w:line="240" w:lineRule="auto"/>
              <w:ind w:firstLineChars="100" w:firstLine="160"/>
              <w:jc w:val="right"/>
              <w:rPr>
                <w:rFonts w:ascii="Arial" w:hAnsi="Arial" w:cs="Arial"/>
                <w:b/>
                <w:bCs/>
                <w:color w:val="000000"/>
                <w:sz w:val="16"/>
                <w:szCs w:val="16"/>
              </w:rPr>
            </w:pPr>
          </w:p>
        </w:tc>
        <w:tc>
          <w:tcPr>
            <w:tcW w:w="1124" w:type="dxa"/>
            <w:tcBorders>
              <w:top w:val="nil"/>
              <w:left w:val="nil"/>
              <w:bottom w:val="nil"/>
              <w:right w:val="nil"/>
            </w:tcBorders>
            <w:shd w:val="clear" w:color="000000" w:fill="E6E6E6"/>
            <w:noWrap/>
            <w:vAlign w:val="bottom"/>
            <w:hideMark/>
          </w:tcPr>
          <w:p w14:paraId="000C3C8A" w14:textId="01F6A911"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102" w:type="dxa"/>
            <w:tcBorders>
              <w:top w:val="nil"/>
              <w:left w:val="nil"/>
              <w:bottom w:val="nil"/>
              <w:right w:val="nil"/>
            </w:tcBorders>
            <w:shd w:val="clear" w:color="auto" w:fill="auto"/>
            <w:noWrap/>
            <w:vAlign w:val="bottom"/>
            <w:hideMark/>
          </w:tcPr>
          <w:p w14:paraId="707B1973" w14:textId="77777777" w:rsidR="00AF04BD" w:rsidRPr="00722716" w:rsidRDefault="00AF04BD" w:rsidP="00AF04BD">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D8C4E22" w14:textId="77777777" w:rsidR="00AF04BD" w:rsidRPr="00722716" w:rsidRDefault="00AF04BD" w:rsidP="00AF04BD">
            <w:pPr>
              <w:spacing w:after="0" w:line="240" w:lineRule="auto"/>
              <w:jc w:val="right"/>
              <w:rPr>
                <w:rFonts w:ascii="Times New Roman" w:hAnsi="Times New Roman"/>
                <w:sz w:val="16"/>
                <w:szCs w:val="16"/>
              </w:rPr>
            </w:pPr>
          </w:p>
        </w:tc>
        <w:tc>
          <w:tcPr>
            <w:tcW w:w="1211" w:type="dxa"/>
            <w:tcBorders>
              <w:top w:val="nil"/>
              <w:left w:val="nil"/>
              <w:bottom w:val="nil"/>
              <w:right w:val="nil"/>
            </w:tcBorders>
            <w:shd w:val="clear" w:color="auto" w:fill="auto"/>
            <w:noWrap/>
            <w:vAlign w:val="bottom"/>
            <w:hideMark/>
          </w:tcPr>
          <w:p w14:paraId="4A9E517B" w14:textId="77777777" w:rsidR="00AF04BD" w:rsidRPr="00722716" w:rsidRDefault="00AF04BD" w:rsidP="00AF04BD">
            <w:pPr>
              <w:spacing w:after="0" w:line="240" w:lineRule="auto"/>
              <w:jc w:val="right"/>
              <w:rPr>
                <w:rFonts w:ascii="Times New Roman" w:hAnsi="Times New Roman"/>
                <w:sz w:val="16"/>
                <w:szCs w:val="16"/>
              </w:rPr>
            </w:pPr>
          </w:p>
        </w:tc>
      </w:tr>
      <w:tr w:rsidR="00AF04BD" w:rsidRPr="00E33C0D" w14:paraId="320C006C" w14:textId="77777777" w:rsidTr="00AF04BD">
        <w:trPr>
          <w:trHeight w:val="204"/>
        </w:trPr>
        <w:tc>
          <w:tcPr>
            <w:tcW w:w="2127" w:type="dxa"/>
            <w:tcBorders>
              <w:top w:val="nil"/>
              <w:left w:val="nil"/>
              <w:bottom w:val="nil"/>
              <w:right w:val="nil"/>
            </w:tcBorders>
            <w:shd w:val="clear" w:color="auto" w:fill="auto"/>
            <w:noWrap/>
            <w:vAlign w:val="center"/>
            <w:hideMark/>
          </w:tcPr>
          <w:p w14:paraId="0311B2CB" w14:textId="6ED87395" w:rsidR="00AF04BD" w:rsidRPr="00E33C0D" w:rsidRDefault="00AF04BD" w:rsidP="00AF04BD">
            <w:pPr>
              <w:spacing w:after="0" w:line="240" w:lineRule="auto"/>
              <w:ind w:left="227"/>
              <w:jc w:val="left"/>
              <w:rPr>
                <w:rFonts w:ascii="Arial" w:hAnsi="Arial" w:cs="Arial"/>
                <w:color w:val="000000"/>
                <w:sz w:val="16"/>
                <w:szCs w:val="16"/>
              </w:rPr>
            </w:pPr>
            <w:r>
              <w:rPr>
                <w:rFonts w:ascii="Arial" w:hAnsi="Arial" w:cs="Arial"/>
                <w:color w:val="000000"/>
                <w:sz w:val="16"/>
                <w:szCs w:val="16"/>
              </w:rPr>
              <w:t>Other</w:t>
            </w:r>
          </w:p>
        </w:tc>
        <w:tc>
          <w:tcPr>
            <w:tcW w:w="1035" w:type="dxa"/>
            <w:tcBorders>
              <w:top w:val="nil"/>
              <w:left w:val="nil"/>
              <w:bottom w:val="nil"/>
              <w:right w:val="nil"/>
            </w:tcBorders>
            <w:shd w:val="clear" w:color="auto" w:fill="auto"/>
            <w:noWrap/>
            <w:vAlign w:val="bottom"/>
            <w:hideMark/>
          </w:tcPr>
          <w:p w14:paraId="5904C5B3" w14:textId="54FBB7C0"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24" w:type="dxa"/>
            <w:tcBorders>
              <w:top w:val="nil"/>
              <w:left w:val="nil"/>
              <w:bottom w:val="nil"/>
              <w:right w:val="nil"/>
            </w:tcBorders>
            <w:shd w:val="clear" w:color="000000" w:fill="E6E6E6"/>
            <w:noWrap/>
            <w:vAlign w:val="bottom"/>
            <w:hideMark/>
          </w:tcPr>
          <w:p w14:paraId="27214776" w14:textId="3ED958A8"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02" w:type="dxa"/>
            <w:tcBorders>
              <w:top w:val="nil"/>
              <w:left w:val="nil"/>
              <w:bottom w:val="nil"/>
              <w:right w:val="nil"/>
            </w:tcBorders>
            <w:shd w:val="clear" w:color="auto" w:fill="auto"/>
            <w:noWrap/>
            <w:vAlign w:val="bottom"/>
            <w:hideMark/>
          </w:tcPr>
          <w:p w14:paraId="42BF45C5" w14:textId="135E043D"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bottom"/>
            <w:hideMark/>
          </w:tcPr>
          <w:p w14:paraId="3EE4707B" w14:textId="4B5BAB86"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211" w:type="dxa"/>
            <w:tcBorders>
              <w:top w:val="nil"/>
              <w:left w:val="nil"/>
              <w:bottom w:val="nil"/>
              <w:right w:val="nil"/>
            </w:tcBorders>
            <w:shd w:val="clear" w:color="auto" w:fill="auto"/>
            <w:noWrap/>
            <w:vAlign w:val="bottom"/>
            <w:hideMark/>
          </w:tcPr>
          <w:p w14:paraId="5CBBF753" w14:textId="451C8A94"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F04BD" w:rsidRPr="00E33C0D" w14:paraId="514797B7" w14:textId="77777777" w:rsidTr="00AF04BD">
        <w:trPr>
          <w:trHeight w:val="204"/>
        </w:trPr>
        <w:tc>
          <w:tcPr>
            <w:tcW w:w="2127" w:type="dxa"/>
            <w:tcBorders>
              <w:top w:val="nil"/>
              <w:left w:val="nil"/>
              <w:bottom w:val="nil"/>
              <w:right w:val="nil"/>
            </w:tcBorders>
            <w:shd w:val="clear" w:color="auto" w:fill="auto"/>
            <w:noWrap/>
            <w:vAlign w:val="center"/>
            <w:hideMark/>
          </w:tcPr>
          <w:p w14:paraId="1178FDD6" w14:textId="72E1CB9E" w:rsidR="00AF04BD" w:rsidRPr="00E33C0D" w:rsidRDefault="00AF04BD" w:rsidP="00AF04BD">
            <w:pPr>
              <w:spacing w:after="0" w:line="240" w:lineRule="auto"/>
              <w:ind w:left="113"/>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69AEC2F9" w14:textId="44F899EF"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124" w:type="dxa"/>
            <w:tcBorders>
              <w:top w:val="single" w:sz="4" w:space="0" w:color="000000"/>
              <w:left w:val="nil"/>
              <w:bottom w:val="single" w:sz="4" w:space="0" w:color="000000"/>
              <w:right w:val="nil"/>
            </w:tcBorders>
            <w:shd w:val="clear" w:color="000000" w:fill="E6E6E6"/>
            <w:noWrap/>
            <w:vAlign w:val="bottom"/>
            <w:hideMark/>
          </w:tcPr>
          <w:p w14:paraId="707AA831" w14:textId="0A9FE0AB"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102" w:type="dxa"/>
            <w:tcBorders>
              <w:top w:val="single" w:sz="4" w:space="0" w:color="000000"/>
              <w:left w:val="nil"/>
              <w:bottom w:val="single" w:sz="4" w:space="0" w:color="000000"/>
              <w:right w:val="nil"/>
            </w:tcBorders>
            <w:shd w:val="clear" w:color="auto" w:fill="auto"/>
            <w:noWrap/>
            <w:vAlign w:val="bottom"/>
            <w:hideMark/>
          </w:tcPr>
          <w:p w14:paraId="2C93428F" w14:textId="290F1D55"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bottom"/>
            <w:hideMark/>
          </w:tcPr>
          <w:p w14:paraId="286D2B03" w14:textId="458EE394"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c>
          <w:tcPr>
            <w:tcW w:w="1211" w:type="dxa"/>
            <w:tcBorders>
              <w:top w:val="single" w:sz="4" w:space="0" w:color="000000"/>
              <w:left w:val="nil"/>
              <w:bottom w:val="single" w:sz="4" w:space="0" w:color="000000"/>
              <w:right w:val="nil"/>
            </w:tcBorders>
            <w:shd w:val="clear" w:color="auto" w:fill="auto"/>
            <w:noWrap/>
            <w:vAlign w:val="bottom"/>
            <w:hideMark/>
          </w:tcPr>
          <w:p w14:paraId="7F17DB5E" w14:textId="23669E32"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w:t>
            </w:r>
          </w:p>
        </w:tc>
      </w:tr>
      <w:tr w:rsidR="00AF04BD" w:rsidRPr="00E33C0D" w14:paraId="325427B9" w14:textId="77777777" w:rsidTr="00AF04BD">
        <w:trPr>
          <w:trHeight w:val="204"/>
        </w:trPr>
        <w:tc>
          <w:tcPr>
            <w:tcW w:w="2127" w:type="dxa"/>
            <w:tcBorders>
              <w:top w:val="nil"/>
              <w:left w:val="nil"/>
              <w:bottom w:val="nil"/>
              <w:right w:val="nil"/>
            </w:tcBorders>
            <w:shd w:val="clear" w:color="auto" w:fill="auto"/>
            <w:vAlign w:val="center"/>
            <w:hideMark/>
          </w:tcPr>
          <w:p w14:paraId="429416FB" w14:textId="6426BBA6" w:rsidR="00AF04BD" w:rsidRPr="00E33C0D" w:rsidRDefault="00AF04BD" w:rsidP="00AF04B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financing activities</w:t>
            </w:r>
          </w:p>
        </w:tc>
        <w:tc>
          <w:tcPr>
            <w:tcW w:w="1035" w:type="dxa"/>
            <w:tcBorders>
              <w:top w:val="nil"/>
              <w:left w:val="nil"/>
              <w:bottom w:val="single" w:sz="4" w:space="0" w:color="auto"/>
              <w:right w:val="nil"/>
            </w:tcBorders>
            <w:shd w:val="clear" w:color="auto" w:fill="auto"/>
            <w:noWrap/>
            <w:vAlign w:val="bottom"/>
            <w:hideMark/>
          </w:tcPr>
          <w:p w14:paraId="46426A4F" w14:textId="543BFB2F"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000000" w:fill="E6E6E6"/>
            <w:noWrap/>
            <w:vAlign w:val="bottom"/>
            <w:hideMark/>
          </w:tcPr>
          <w:p w14:paraId="7CF52B57" w14:textId="196BBE5C"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102" w:type="dxa"/>
            <w:tcBorders>
              <w:top w:val="nil"/>
              <w:left w:val="nil"/>
              <w:bottom w:val="single" w:sz="4" w:space="0" w:color="auto"/>
              <w:right w:val="nil"/>
            </w:tcBorders>
            <w:shd w:val="clear" w:color="auto" w:fill="auto"/>
            <w:noWrap/>
            <w:vAlign w:val="bottom"/>
            <w:hideMark/>
          </w:tcPr>
          <w:p w14:paraId="648CB638" w14:textId="25176319"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053767E0" w14:textId="268BCA4C"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211" w:type="dxa"/>
            <w:tcBorders>
              <w:top w:val="nil"/>
              <w:left w:val="nil"/>
              <w:bottom w:val="single" w:sz="4" w:space="0" w:color="auto"/>
              <w:right w:val="nil"/>
            </w:tcBorders>
            <w:shd w:val="clear" w:color="auto" w:fill="auto"/>
            <w:noWrap/>
            <w:vAlign w:val="bottom"/>
            <w:hideMark/>
          </w:tcPr>
          <w:p w14:paraId="3998B492" w14:textId="373A4ED7"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AF04BD" w:rsidRPr="00E33C0D" w14:paraId="0317F0CC" w14:textId="77777777" w:rsidTr="00AF04BD">
        <w:trPr>
          <w:trHeight w:val="204"/>
        </w:trPr>
        <w:tc>
          <w:tcPr>
            <w:tcW w:w="2127" w:type="dxa"/>
            <w:tcBorders>
              <w:top w:val="nil"/>
              <w:left w:val="nil"/>
              <w:bottom w:val="nil"/>
              <w:right w:val="nil"/>
            </w:tcBorders>
            <w:shd w:val="clear" w:color="auto" w:fill="auto"/>
            <w:vAlign w:val="center"/>
            <w:hideMark/>
          </w:tcPr>
          <w:p w14:paraId="6184A026" w14:textId="46C99132" w:rsidR="00AF04BD" w:rsidRPr="00E33C0D" w:rsidRDefault="00AF04BD" w:rsidP="00AF04BD">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increase/(decrease) in cash held</w:t>
            </w:r>
          </w:p>
        </w:tc>
        <w:tc>
          <w:tcPr>
            <w:tcW w:w="1035" w:type="dxa"/>
            <w:tcBorders>
              <w:top w:val="nil"/>
              <w:left w:val="nil"/>
              <w:bottom w:val="single" w:sz="4" w:space="0" w:color="auto"/>
              <w:right w:val="nil"/>
            </w:tcBorders>
            <w:shd w:val="clear" w:color="auto" w:fill="auto"/>
            <w:noWrap/>
            <w:vAlign w:val="bottom"/>
            <w:hideMark/>
          </w:tcPr>
          <w:p w14:paraId="3800B7A2" w14:textId="0AFE9B76"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(7,709,532)</w:t>
            </w:r>
          </w:p>
        </w:tc>
        <w:tc>
          <w:tcPr>
            <w:tcW w:w="1124" w:type="dxa"/>
            <w:tcBorders>
              <w:top w:val="nil"/>
              <w:left w:val="nil"/>
              <w:bottom w:val="single" w:sz="4" w:space="0" w:color="auto"/>
              <w:right w:val="nil"/>
            </w:tcBorders>
            <w:shd w:val="clear" w:color="000000" w:fill="E6E6E6"/>
            <w:noWrap/>
            <w:vAlign w:val="bottom"/>
            <w:hideMark/>
          </w:tcPr>
          <w:p w14:paraId="0E9195ED" w14:textId="355A01E9"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(13,810,162)</w:t>
            </w:r>
          </w:p>
        </w:tc>
        <w:tc>
          <w:tcPr>
            <w:tcW w:w="1102" w:type="dxa"/>
            <w:tcBorders>
              <w:top w:val="nil"/>
              <w:left w:val="nil"/>
              <w:bottom w:val="single" w:sz="4" w:space="0" w:color="auto"/>
              <w:right w:val="nil"/>
            </w:tcBorders>
            <w:shd w:val="clear" w:color="auto" w:fill="auto"/>
            <w:noWrap/>
            <w:vAlign w:val="bottom"/>
            <w:hideMark/>
          </w:tcPr>
          <w:p w14:paraId="023150EF" w14:textId="27F0C41C"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(7,684,144)</w:t>
            </w:r>
          </w:p>
        </w:tc>
        <w:tc>
          <w:tcPr>
            <w:tcW w:w="1124" w:type="dxa"/>
            <w:tcBorders>
              <w:top w:val="nil"/>
              <w:left w:val="nil"/>
              <w:bottom w:val="single" w:sz="4" w:space="0" w:color="auto"/>
              <w:right w:val="nil"/>
            </w:tcBorders>
            <w:shd w:val="clear" w:color="auto" w:fill="auto"/>
            <w:noWrap/>
            <w:vAlign w:val="bottom"/>
            <w:hideMark/>
          </w:tcPr>
          <w:p w14:paraId="38FA9E44" w14:textId="4CCDD26A"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(14,448,331)</w:t>
            </w:r>
          </w:p>
        </w:tc>
        <w:tc>
          <w:tcPr>
            <w:tcW w:w="1211" w:type="dxa"/>
            <w:tcBorders>
              <w:top w:val="nil"/>
              <w:left w:val="nil"/>
              <w:bottom w:val="single" w:sz="4" w:space="0" w:color="auto"/>
              <w:right w:val="nil"/>
            </w:tcBorders>
            <w:shd w:val="clear" w:color="auto" w:fill="auto"/>
            <w:noWrap/>
            <w:vAlign w:val="bottom"/>
            <w:hideMark/>
          </w:tcPr>
          <w:p w14:paraId="01966E73" w14:textId="278F3C16" w:rsidR="00AF04BD" w:rsidRPr="00722716" w:rsidRDefault="00AF04BD" w:rsidP="00AF04B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(11,506,792)</w:t>
            </w:r>
          </w:p>
        </w:tc>
      </w:tr>
      <w:tr w:rsidR="00AF04BD" w:rsidRPr="00E33C0D" w14:paraId="25525470" w14:textId="77777777" w:rsidTr="00AF04BD">
        <w:trPr>
          <w:trHeight w:val="204"/>
        </w:trPr>
        <w:tc>
          <w:tcPr>
            <w:tcW w:w="2127" w:type="dxa"/>
            <w:tcBorders>
              <w:top w:val="nil"/>
              <w:left w:val="nil"/>
              <w:bottom w:val="nil"/>
              <w:right w:val="nil"/>
            </w:tcBorders>
            <w:shd w:val="clear" w:color="auto" w:fill="auto"/>
            <w:vAlign w:val="center"/>
            <w:hideMark/>
          </w:tcPr>
          <w:p w14:paraId="487D6C5F" w14:textId="62C129CE" w:rsidR="00AF04BD" w:rsidRPr="00E33C0D" w:rsidRDefault="00AF04BD" w:rsidP="00AF04BD">
            <w:pPr>
              <w:spacing w:after="0" w:line="240" w:lineRule="auto"/>
              <w:ind w:left="113"/>
              <w:jc w:val="left"/>
              <w:rPr>
                <w:rFonts w:ascii="Arial" w:hAnsi="Arial" w:cs="Arial"/>
                <w:color w:val="000000"/>
                <w:sz w:val="16"/>
                <w:szCs w:val="16"/>
              </w:rPr>
            </w:pPr>
            <w:r>
              <w:rPr>
                <w:rFonts w:ascii="Arial" w:hAnsi="Arial" w:cs="Arial"/>
                <w:color w:val="000000"/>
                <w:sz w:val="16"/>
                <w:szCs w:val="16"/>
              </w:rPr>
              <w:t>Cash and cash equivalents at beginning of reporting period</w:t>
            </w:r>
          </w:p>
        </w:tc>
        <w:tc>
          <w:tcPr>
            <w:tcW w:w="1035" w:type="dxa"/>
            <w:tcBorders>
              <w:top w:val="nil"/>
              <w:left w:val="nil"/>
              <w:bottom w:val="nil"/>
              <w:right w:val="nil"/>
            </w:tcBorders>
            <w:shd w:val="clear" w:color="auto" w:fill="auto"/>
            <w:noWrap/>
            <w:vAlign w:val="bottom"/>
            <w:hideMark/>
          </w:tcPr>
          <w:p w14:paraId="0EB34893" w14:textId="38B8E8CC"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124" w:type="dxa"/>
            <w:tcBorders>
              <w:top w:val="nil"/>
              <w:left w:val="nil"/>
              <w:bottom w:val="nil"/>
              <w:right w:val="nil"/>
            </w:tcBorders>
            <w:shd w:val="clear" w:color="000000" w:fill="E6E6E6"/>
            <w:noWrap/>
            <w:vAlign w:val="bottom"/>
            <w:hideMark/>
          </w:tcPr>
          <w:p w14:paraId="0EF3E248" w14:textId="0FAB6A53"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102" w:type="dxa"/>
            <w:tcBorders>
              <w:top w:val="nil"/>
              <w:left w:val="nil"/>
              <w:bottom w:val="nil"/>
              <w:right w:val="nil"/>
            </w:tcBorders>
            <w:shd w:val="clear" w:color="auto" w:fill="auto"/>
            <w:noWrap/>
            <w:vAlign w:val="bottom"/>
            <w:hideMark/>
          </w:tcPr>
          <w:p w14:paraId="3D3CA472" w14:textId="1FF4BBCA"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124" w:type="dxa"/>
            <w:tcBorders>
              <w:top w:val="nil"/>
              <w:left w:val="nil"/>
              <w:bottom w:val="nil"/>
              <w:right w:val="nil"/>
            </w:tcBorders>
            <w:shd w:val="clear" w:color="auto" w:fill="auto"/>
            <w:noWrap/>
            <w:vAlign w:val="bottom"/>
            <w:hideMark/>
          </w:tcPr>
          <w:p w14:paraId="5A7D7D68" w14:textId="29C91B4E"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c>
          <w:tcPr>
            <w:tcW w:w="1211" w:type="dxa"/>
            <w:tcBorders>
              <w:top w:val="nil"/>
              <w:left w:val="nil"/>
              <w:bottom w:val="nil"/>
              <w:right w:val="nil"/>
            </w:tcBorders>
            <w:shd w:val="clear" w:color="auto" w:fill="auto"/>
            <w:noWrap/>
            <w:vAlign w:val="bottom"/>
            <w:hideMark/>
          </w:tcPr>
          <w:p w14:paraId="1B40F060" w14:textId="00DC6CBA"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41,989 </w:t>
            </w:r>
          </w:p>
        </w:tc>
      </w:tr>
      <w:tr w:rsidR="00AF04BD" w:rsidRPr="00E33C0D" w14:paraId="72320017" w14:textId="77777777" w:rsidTr="00AF04BD">
        <w:trPr>
          <w:trHeight w:val="204"/>
        </w:trPr>
        <w:tc>
          <w:tcPr>
            <w:tcW w:w="2127" w:type="dxa"/>
            <w:tcBorders>
              <w:top w:val="nil"/>
              <w:left w:val="nil"/>
              <w:bottom w:val="nil"/>
              <w:right w:val="nil"/>
            </w:tcBorders>
            <w:shd w:val="clear" w:color="auto" w:fill="auto"/>
            <w:vAlign w:val="center"/>
            <w:hideMark/>
          </w:tcPr>
          <w:p w14:paraId="627E240D" w14:textId="7B39F33A" w:rsidR="00AF04BD" w:rsidRPr="00E33C0D" w:rsidRDefault="00AF04BD" w:rsidP="00AF04BD">
            <w:pPr>
              <w:spacing w:after="0" w:line="240" w:lineRule="auto"/>
              <w:ind w:left="113"/>
              <w:jc w:val="left"/>
              <w:rPr>
                <w:rFonts w:ascii="Arial" w:hAnsi="Arial" w:cs="Arial"/>
                <w:color w:val="000000"/>
                <w:sz w:val="16"/>
                <w:szCs w:val="16"/>
              </w:rPr>
            </w:pPr>
            <w:r>
              <w:rPr>
                <w:rFonts w:ascii="Arial" w:hAnsi="Arial" w:cs="Arial"/>
                <w:color w:val="000000"/>
                <w:sz w:val="16"/>
                <w:szCs w:val="16"/>
              </w:rPr>
              <w:t>Cash from Official Public Account for:</w:t>
            </w:r>
          </w:p>
        </w:tc>
        <w:tc>
          <w:tcPr>
            <w:tcW w:w="1035" w:type="dxa"/>
            <w:tcBorders>
              <w:top w:val="nil"/>
              <w:left w:val="nil"/>
              <w:bottom w:val="nil"/>
              <w:right w:val="nil"/>
            </w:tcBorders>
            <w:shd w:val="clear" w:color="auto" w:fill="auto"/>
            <w:noWrap/>
            <w:vAlign w:val="bottom"/>
            <w:hideMark/>
          </w:tcPr>
          <w:p w14:paraId="1C39FEFC" w14:textId="77777777" w:rsidR="00AF04BD" w:rsidRPr="00722716" w:rsidRDefault="00AF04BD" w:rsidP="00AF04BD">
            <w:pPr>
              <w:spacing w:after="0" w:line="240" w:lineRule="auto"/>
              <w:ind w:firstLineChars="100" w:firstLine="160"/>
              <w:jc w:val="right"/>
              <w:rPr>
                <w:rFonts w:ascii="Arial" w:hAnsi="Arial" w:cs="Arial"/>
                <w:color w:val="000000"/>
                <w:sz w:val="16"/>
                <w:szCs w:val="16"/>
              </w:rPr>
            </w:pPr>
          </w:p>
        </w:tc>
        <w:tc>
          <w:tcPr>
            <w:tcW w:w="1124" w:type="dxa"/>
            <w:tcBorders>
              <w:top w:val="nil"/>
              <w:left w:val="nil"/>
              <w:bottom w:val="nil"/>
              <w:right w:val="nil"/>
            </w:tcBorders>
            <w:shd w:val="clear" w:color="000000" w:fill="E6E6E6"/>
            <w:noWrap/>
            <w:vAlign w:val="bottom"/>
            <w:hideMark/>
          </w:tcPr>
          <w:p w14:paraId="77F7D17A" w14:textId="7934FCA7"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102" w:type="dxa"/>
            <w:tcBorders>
              <w:top w:val="nil"/>
              <w:left w:val="nil"/>
              <w:bottom w:val="nil"/>
              <w:right w:val="nil"/>
            </w:tcBorders>
            <w:shd w:val="clear" w:color="auto" w:fill="auto"/>
            <w:noWrap/>
            <w:vAlign w:val="bottom"/>
            <w:hideMark/>
          </w:tcPr>
          <w:p w14:paraId="792C1D8B" w14:textId="77777777" w:rsidR="00AF04BD" w:rsidRPr="00722716" w:rsidRDefault="00AF04BD" w:rsidP="00AF04BD">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2C7650D0" w14:textId="77777777" w:rsidR="00AF04BD" w:rsidRPr="00722716" w:rsidRDefault="00AF04BD" w:rsidP="00AF04BD">
            <w:pPr>
              <w:spacing w:after="0" w:line="240" w:lineRule="auto"/>
              <w:jc w:val="right"/>
              <w:rPr>
                <w:rFonts w:ascii="Times New Roman" w:hAnsi="Times New Roman"/>
                <w:sz w:val="16"/>
                <w:szCs w:val="16"/>
              </w:rPr>
            </w:pPr>
          </w:p>
        </w:tc>
        <w:tc>
          <w:tcPr>
            <w:tcW w:w="1211" w:type="dxa"/>
            <w:tcBorders>
              <w:top w:val="nil"/>
              <w:left w:val="nil"/>
              <w:bottom w:val="nil"/>
              <w:right w:val="nil"/>
            </w:tcBorders>
            <w:shd w:val="clear" w:color="auto" w:fill="auto"/>
            <w:noWrap/>
            <w:vAlign w:val="bottom"/>
            <w:hideMark/>
          </w:tcPr>
          <w:p w14:paraId="52070404" w14:textId="77777777" w:rsidR="00AF04BD" w:rsidRPr="00722716" w:rsidRDefault="00AF04BD" w:rsidP="00AF04BD">
            <w:pPr>
              <w:spacing w:after="0" w:line="240" w:lineRule="auto"/>
              <w:jc w:val="right"/>
              <w:rPr>
                <w:rFonts w:ascii="Times New Roman" w:hAnsi="Times New Roman"/>
                <w:sz w:val="16"/>
                <w:szCs w:val="16"/>
              </w:rPr>
            </w:pPr>
          </w:p>
        </w:tc>
      </w:tr>
      <w:tr w:rsidR="00AF04BD" w:rsidRPr="00E33C0D" w14:paraId="02AA0C5C" w14:textId="77777777" w:rsidTr="00AF04BD">
        <w:trPr>
          <w:trHeight w:val="204"/>
        </w:trPr>
        <w:tc>
          <w:tcPr>
            <w:tcW w:w="2127" w:type="dxa"/>
            <w:tcBorders>
              <w:top w:val="nil"/>
              <w:left w:val="nil"/>
              <w:bottom w:val="nil"/>
              <w:right w:val="nil"/>
            </w:tcBorders>
            <w:shd w:val="clear" w:color="auto" w:fill="auto"/>
            <w:noWrap/>
            <w:vAlign w:val="center"/>
            <w:hideMark/>
          </w:tcPr>
          <w:p w14:paraId="033A6F1D" w14:textId="6909CC72" w:rsidR="00AF04BD" w:rsidRPr="00E33C0D" w:rsidRDefault="00AF04BD" w:rsidP="00AF04BD">
            <w:pPr>
              <w:spacing w:after="0" w:line="240" w:lineRule="auto"/>
              <w:ind w:left="227"/>
              <w:jc w:val="left"/>
              <w:rPr>
                <w:rFonts w:ascii="Arial" w:hAnsi="Arial" w:cs="Arial"/>
                <w:color w:val="000000"/>
                <w:sz w:val="16"/>
                <w:szCs w:val="16"/>
              </w:rPr>
            </w:pPr>
            <w:r>
              <w:rPr>
                <w:rFonts w:ascii="Arial" w:hAnsi="Arial" w:cs="Arial"/>
                <w:color w:val="000000"/>
                <w:sz w:val="16"/>
                <w:szCs w:val="16"/>
              </w:rPr>
              <w:t>Appropriations</w:t>
            </w:r>
          </w:p>
        </w:tc>
        <w:tc>
          <w:tcPr>
            <w:tcW w:w="1035" w:type="dxa"/>
            <w:tcBorders>
              <w:top w:val="nil"/>
              <w:left w:val="nil"/>
              <w:bottom w:val="nil"/>
              <w:right w:val="nil"/>
            </w:tcBorders>
            <w:shd w:val="clear" w:color="auto" w:fill="auto"/>
            <w:noWrap/>
            <w:vAlign w:val="bottom"/>
            <w:hideMark/>
          </w:tcPr>
          <w:p w14:paraId="73C56FA4" w14:textId="53E4FE63"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8,664,554 </w:t>
            </w:r>
          </w:p>
        </w:tc>
        <w:tc>
          <w:tcPr>
            <w:tcW w:w="1124" w:type="dxa"/>
            <w:tcBorders>
              <w:top w:val="nil"/>
              <w:left w:val="nil"/>
              <w:bottom w:val="nil"/>
              <w:right w:val="nil"/>
            </w:tcBorders>
            <w:shd w:val="clear" w:color="000000" w:fill="E6E6E6"/>
            <w:noWrap/>
            <w:vAlign w:val="bottom"/>
            <w:hideMark/>
          </w:tcPr>
          <w:p w14:paraId="7858EB0D" w14:textId="033D5237"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14,288,560 </w:t>
            </w:r>
          </w:p>
        </w:tc>
        <w:tc>
          <w:tcPr>
            <w:tcW w:w="1102" w:type="dxa"/>
            <w:tcBorders>
              <w:top w:val="nil"/>
              <w:left w:val="nil"/>
              <w:bottom w:val="nil"/>
              <w:right w:val="nil"/>
            </w:tcBorders>
            <w:shd w:val="clear" w:color="auto" w:fill="auto"/>
            <w:noWrap/>
            <w:vAlign w:val="bottom"/>
            <w:hideMark/>
          </w:tcPr>
          <w:p w14:paraId="063E480A" w14:textId="0C23C9B3"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8,186,578 </w:t>
            </w:r>
          </w:p>
        </w:tc>
        <w:tc>
          <w:tcPr>
            <w:tcW w:w="1124" w:type="dxa"/>
            <w:tcBorders>
              <w:top w:val="nil"/>
              <w:left w:val="nil"/>
              <w:bottom w:val="nil"/>
              <w:right w:val="nil"/>
            </w:tcBorders>
            <w:shd w:val="clear" w:color="auto" w:fill="auto"/>
            <w:noWrap/>
            <w:vAlign w:val="bottom"/>
            <w:hideMark/>
          </w:tcPr>
          <w:p w14:paraId="1E5E53EB" w14:textId="40F7845F"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14,660,042 </w:t>
            </w:r>
          </w:p>
        </w:tc>
        <w:tc>
          <w:tcPr>
            <w:tcW w:w="1211" w:type="dxa"/>
            <w:tcBorders>
              <w:top w:val="nil"/>
              <w:left w:val="nil"/>
              <w:bottom w:val="nil"/>
              <w:right w:val="nil"/>
            </w:tcBorders>
            <w:shd w:val="clear" w:color="auto" w:fill="auto"/>
            <w:noWrap/>
            <w:vAlign w:val="bottom"/>
            <w:hideMark/>
          </w:tcPr>
          <w:p w14:paraId="23C61F43" w14:textId="341F8EF2"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xml:space="preserve">11,841,805 </w:t>
            </w:r>
          </w:p>
        </w:tc>
      </w:tr>
      <w:tr w:rsidR="00AF04BD" w:rsidRPr="00E33C0D" w14:paraId="073F5A32" w14:textId="77777777" w:rsidTr="00AF04BD">
        <w:trPr>
          <w:trHeight w:val="204"/>
        </w:trPr>
        <w:tc>
          <w:tcPr>
            <w:tcW w:w="2127" w:type="dxa"/>
            <w:tcBorders>
              <w:top w:val="nil"/>
              <w:left w:val="nil"/>
              <w:bottom w:val="nil"/>
              <w:right w:val="nil"/>
            </w:tcBorders>
            <w:shd w:val="clear" w:color="auto" w:fill="auto"/>
            <w:vAlign w:val="center"/>
            <w:hideMark/>
          </w:tcPr>
          <w:p w14:paraId="50A8CFAE" w14:textId="6FD21175" w:rsidR="00AF04BD" w:rsidRPr="00E33C0D" w:rsidRDefault="00AF04BD" w:rsidP="00AF04BD">
            <w:pPr>
              <w:spacing w:after="0" w:line="240" w:lineRule="auto"/>
              <w:ind w:left="113"/>
              <w:jc w:val="left"/>
              <w:rPr>
                <w:rFonts w:ascii="Arial" w:hAnsi="Arial" w:cs="Arial"/>
                <w:i/>
                <w:iCs/>
                <w:color w:val="000000"/>
                <w:sz w:val="16"/>
                <w:szCs w:val="16"/>
              </w:rPr>
            </w:pPr>
            <w:r>
              <w:rPr>
                <w:rFonts w:ascii="Arial" w:hAnsi="Arial" w:cs="Arial"/>
                <w:i/>
                <w:iCs/>
                <w:color w:val="000000"/>
                <w:sz w:val="16"/>
                <w:szCs w:val="16"/>
              </w:rPr>
              <w:t>Total cash from Official Public Account</w:t>
            </w:r>
          </w:p>
        </w:tc>
        <w:tc>
          <w:tcPr>
            <w:tcW w:w="1035" w:type="dxa"/>
            <w:tcBorders>
              <w:top w:val="single" w:sz="4" w:space="0" w:color="000000"/>
              <w:left w:val="nil"/>
              <w:bottom w:val="nil"/>
              <w:right w:val="nil"/>
            </w:tcBorders>
            <w:shd w:val="clear" w:color="000000" w:fill="FFFFFF"/>
            <w:noWrap/>
            <w:vAlign w:val="bottom"/>
            <w:hideMark/>
          </w:tcPr>
          <w:p w14:paraId="77343122" w14:textId="0C22D294"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8,664,554 </w:t>
            </w:r>
          </w:p>
        </w:tc>
        <w:tc>
          <w:tcPr>
            <w:tcW w:w="1124" w:type="dxa"/>
            <w:tcBorders>
              <w:top w:val="single" w:sz="4" w:space="0" w:color="000000"/>
              <w:left w:val="nil"/>
              <w:bottom w:val="nil"/>
              <w:right w:val="nil"/>
            </w:tcBorders>
            <w:shd w:val="clear" w:color="000000" w:fill="E6E6E6"/>
            <w:noWrap/>
            <w:vAlign w:val="bottom"/>
            <w:hideMark/>
          </w:tcPr>
          <w:p w14:paraId="284DDDEA" w14:textId="0D71E7BE"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14,288,560 </w:t>
            </w:r>
          </w:p>
        </w:tc>
        <w:tc>
          <w:tcPr>
            <w:tcW w:w="1102" w:type="dxa"/>
            <w:tcBorders>
              <w:top w:val="single" w:sz="4" w:space="0" w:color="000000"/>
              <w:left w:val="nil"/>
              <w:bottom w:val="nil"/>
              <w:right w:val="nil"/>
            </w:tcBorders>
            <w:shd w:val="clear" w:color="auto" w:fill="auto"/>
            <w:noWrap/>
            <w:vAlign w:val="bottom"/>
            <w:hideMark/>
          </w:tcPr>
          <w:p w14:paraId="4E471786" w14:textId="16EF2025"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8,186,578 </w:t>
            </w:r>
          </w:p>
        </w:tc>
        <w:tc>
          <w:tcPr>
            <w:tcW w:w="1124" w:type="dxa"/>
            <w:tcBorders>
              <w:top w:val="single" w:sz="4" w:space="0" w:color="000000"/>
              <w:left w:val="nil"/>
              <w:bottom w:val="nil"/>
              <w:right w:val="nil"/>
            </w:tcBorders>
            <w:shd w:val="clear" w:color="auto" w:fill="auto"/>
            <w:noWrap/>
            <w:vAlign w:val="bottom"/>
            <w:hideMark/>
          </w:tcPr>
          <w:p w14:paraId="185E4E64" w14:textId="157B2B7B"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14,660,042 </w:t>
            </w:r>
          </w:p>
        </w:tc>
        <w:tc>
          <w:tcPr>
            <w:tcW w:w="1211" w:type="dxa"/>
            <w:tcBorders>
              <w:top w:val="single" w:sz="4" w:space="0" w:color="000000"/>
              <w:left w:val="nil"/>
              <w:bottom w:val="nil"/>
              <w:right w:val="nil"/>
            </w:tcBorders>
            <w:shd w:val="clear" w:color="auto" w:fill="auto"/>
            <w:noWrap/>
            <w:vAlign w:val="bottom"/>
            <w:hideMark/>
          </w:tcPr>
          <w:p w14:paraId="74F21C94" w14:textId="787735D1"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11,841,805 </w:t>
            </w:r>
          </w:p>
        </w:tc>
      </w:tr>
      <w:tr w:rsidR="00AF04BD" w:rsidRPr="00E33C0D" w14:paraId="0A3E9DD5" w14:textId="77777777" w:rsidTr="00AF04BD">
        <w:trPr>
          <w:trHeight w:val="204"/>
        </w:trPr>
        <w:tc>
          <w:tcPr>
            <w:tcW w:w="2127" w:type="dxa"/>
            <w:tcBorders>
              <w:top w:val="nil"/>
              <w:left w:val="nil"/>
              <w:bottom w:val="nil"/>
              <w:right w:val="nil"/>
            </w:tcBorders>
            <w:shd w:val="clear" w:color="auto" w:fill="auto"/>
            <w:noWrap/>
            <w:vAlign w:val="center"/>
            <w:hideMark/>
          </w:tcPr>
          <w:p w14:paraId="2473F088" w14:textId="32AF181D" w:rsidR="00AF04BD" w:rsidRPr="00E33C0D" w:rsidRDefault="00AF04BD" w:rsidP="00AF04BD">
            <w:pPr>
              <w:spacing w:after="0" w:line="240" w:lineRule="auto"/>
              <w:ind w:left="113"/>
              <w:jc w:val="left"/>
              <w:rPr>
                <w:rFonts w:ascii="Arial" w:hAnsi="Arial" w:cs="Arial"/>
                <w:color w:val="000000"/>
                <w:sz w:val="16"/>
                <w:szCs w:val="16"/>
              </w:rPr>
            </w:pPr>
            <w:r>
              <w:rPr>
                <w:rFonts w:ascii="Arial" w:hAnsi="Arial" w:cs="Arial"/>
                <w:color w:val="000000"/>
                <w:sz w:val="16"/>
                <w:szCs w:val="16"/>
              </w:rPr>
              <w:t>Cash to Official Public Account for:</w:t>
            </w:r>
          </w:p>
        </w:tc>
        <w:tc>
          <w:tcPr>
            <w:tcW w:w="1035" w:type="dxa"/>
            <w:tcBorders>
              <w:top w:val="single" w:sz="4" w:space="0" w:color="auto"/>
              <w:left w:val="nil"/>
              <w:bottom w:val="nil"/>
              <w:right w:val="nil"/>
            </w:tcBorders>
            <w:shd w:val="clear" w:color="auto" w:fill="auto"/>
            <w:noWrap/>
            <w:vAlign w:val="bottom"/>
            <w:hideMark/>
          </w:tcPr>
          <w:p w14:paraId="0EDF4602" w14:textId="023CDEEA"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124" w:type="dxa"/>
            <w:tcBorders>
              <w:top w:val="single" w:sz="4" w:space="0" w:color="auto"/>
              <w:left w:val="nil"/>
              <w:bottom w:val="nil"/>
              <w:right w:val="nil"/>
            </w:tcBorders>
            <w:shd w:val="clear" w:color="000000" w:fill="E6E6E6"/>
            <w:noWrap/>
            <w:vAlign w:val="bottom"/>
            <w:hideMark/>
          </w:tcPr>
          <w:p w14:paraId="268D81D6" w14:textId="74406A55"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102" w:type="dxa"/>
            <w:tcBorders>
              <w:top w:val="single" w:sz="4" w:space="0" w:color="auto"/>
              <w:left w:val="nil"/>
              <w:bottom w:val="nil"/>
              <w:right w:val="nil"/>
            </w:tcBorders>
            <w:shd w:val="clear" w:color="auto" w:fill="auto"/>
            <w:noWrap/>
            <w:vAlign w:val="bottom"/>
            <w:hideMark/>
          </w:tcPr>
          <w:p w14:paraId="1DBAB0AE" w14:textId="663C28FA"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bottom"/>
            <w:hideMark/>
          </w:tcPr>
          <w:p w14:paraId="1E18D70F" w14:textId="2CFCF788"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1211" w:type="dxa"/>
            <w:tcBorders>
              <w:top w:val="single" w:sz="4" w:space="0" w:color="auto"/>
              <w:left w:val="nil"/>
              <w:bottom w:val="nil"/>
              <w:right w:val="nil"/>
            </w:tcBorders>
            <w:shd w:val="clear" w:color="auto" w:fill="auto"/>
            <w:noWrap/>
            <w:vAlign w:val="bottom"/>
            <w:hideMark/>
          </w:tcPr>
          <w:p w14:paraId="39FF17BE" w14:textId="7FB0E7C8"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 </w:t>
            </w:r>
          </w:p>
        </w:tc>
      </w:tr>
      <w:tr w:rsidR="00AF04BD" w:rsidRPr="00E33C0D" w14:paraId="05365F44" w14:textId="77777777" w:rsidTr="00AF04BD">
        <w:trPr>
          <w:trHeight w:val="204"/>
        </w:trPr>
        <w:tc>
          <w:tcPr>
            <w:tcW w:w="2127" w:type="dxa"/>
            <w:tcBorders>
              <w:top w:val="nil"/>
              <w:left w:val="nil"/>
              <w:bottom w:val="nil"/>
              <w:right w:val="nil"/>
            </w:tcBorders>
            <w:shd w:val="clear" w:color="auto" w:fill="auto"/>
            <w:noWrap/>
            <w:vAlign w:val="center"/>
            <w:hideMark/>
          </w:tcPr>
          <w:p w14:paraId="1F39A4A3" w14:textId="0E7D9285" w:rsidR="00AF04BD" w:rsidRPr="00E33C0D" w:rsidRDefault="00AF04BD" w:rsidP="00AF04BD">
            <w:pPr>
              <w:spacing w:after="0" w:line="240" w:lineRule="auto"/>
              <w:ind w:left="227"/>
              <w:jc w:val="left"/>
              <w:rPr>
                <w:rFonts w:ascii="Arial" w:hAnsi="Arial" w:cs="Arial"/>
                <w:color w:val="000000"/>
                <w:sz w:val="16"/>
                <w:szCs w:val="16"/>
              </w:rPr>
            </w:pPr>
            <w:r>
              <w:rPr>
                <w:rFonts w:ascii="Arial" w:hAnsi="Arial" w:cs="Arial"/>
                <w:color w:val="000000"/>
                <w:sz w:val="16"/>
                <w:szCs w:val="16"/>
              </w:rPr>
              <w:t>Appropriations</w:t>
            </w:r>
          </w:p>
        </w:tc>
        <w:tc>
          <w:tcPr>
            <w:tcW w:w="1035" w:type="dxa"/>
            <w:tcBorders>
              <w:top w:val="nil"/>
              <w:left w:val="nil"/>
              <w:bottom w:val="nil"/>
              <w:right w:val="nil"/>
            </w:tcBorders>
            <w:shd w:val="clear" w:color="auto" w:fill="auto"/>
            <w:noWrap/>
            <w:vAlign w:val="bottom"/>
            <w:hideMark/>
          </w:tcPr>
          <w:p w14:paraId="016DB3CC" w14:textId="5144BCCE"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(955,022)</w:t>
            </w:r>
          </w:p>
        </w:tc>
        <w:tc>
          <w:tcPr>
            <w:tcW w:w="1124" w:type="dxa"/>
            <w:tcBorders>
              <w:top w:val="nil"/>
              <w:left w:val="nil"/>
              <w:bottom w:val="nil"/>
              <w:right w:val="nil"/>
            </w:tcBorders>
            <w:shd w:val="clear" w:color="000000" w:fill="E6E6E6"/>
            <w:noWrap/>
            <w:vAlign w:val="bottom"/>
            <w:hideMark/>
          </w:tcPr>
          <w:p w14:paraId="68973D86" w14:textId="4AE554F6"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(478,398)</w:t>
            </w:r>
          </w:p>
        </w:tc>
        <w:tc>
          <w:tcPr>
            <w:tcW w:w="1102" w:type="dxa"/>
            <w:tcBorders>
              <w:top w:val="nil"/>
              <w:left w:val="nil"/>
              <w:bottom w:val="nil"/>
              <w:right w:val="nil"/>
            </w:tcBorders>
            <w:shd w:val="clear" w:color="auto" w:fill="auto"/>
            <w:noWrap/>
            <w:vAlign w:val="bottom"/>
            <w:hideMark/>
          </w:tcPr>
          <w:p w14:paraId="0D20222A" w14:textId="247E47A8"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(502,434)</w:t>
            </w:r>
          </w:p>
        </w:tc>
        <w:tc>
          <w:tcPr>
            <w:tcW w:w="1124" w:type="dxa"/>
            <w:tcBorders>
              <w:top w:val="nil"/>
              <w:left w:val="nil"/>
              <w:bottom w:val="nil"/>
              <w:right w:val="nil"/>
            </w:tcBorders>
            <w:shd w:val="clear" w:color="auto" w:fill="auto"/>
            <w:noWrap/>
            <w:vAlign w:val="bottom"/>
            <w:hideMark/>
          </w:tcPr>
          <w:p w14:paraId="24CB5417" w14:textId="71E72991"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(211,711)</w:t>
            </w:r>
          </w:p>
        </w:tc>
        <w:tc>
          <w:tcPr>
            <w:tcW w:w="1211" w:type="dxa"/>
            <w:tcBorders>
              <w:top w:val="nil"/>
              <w:left w:val="nil"/>
              <w:bottom w:val="nil"/>
              <w:right w:val="nil"/>
            </w:tcBorders>
            <w:shd w:val="clear" w:color="auto" w:fill="auto"/>
            <w:noWrap/>
            <w:vAlign w:val="bottom"/>
            <w:hideMark/>
          </w:tcPr>
          <w:p w14:paraId="2765BDFD" w14:textId="4D7CC8DD" w:rsidR="00AF04BD" w:rsidRPr="00722716" w:rsidRDefault="00AF04BD" w:rsidP="00AF04BD">
            <w:pPr>
              <w:spacing w:after="0" w:line="240" w:lineRule="auto"/>
              <w:jc w:val="right"/>
              <w:rPr>
                <w:rFonts w:ascii="Arial" w:hAnsi="Arial" w:cs="Arial"/>
                <w:color w:val="000000"/>
                <w:sz w:val="16"/>
                <w:szCs w:val="16"/>
              </w:rPr>
            </w:pPr>
            <w:r>
              <w:rPr>
                <w:rFonts w:ascii="Arial" w:hAnsi="Arial" w:cs="Arial"/>
                <w:color w:val="000000"/>
                <w:sz w:val="16"/>
                <w:szCs w:val="16"/>
              </w:rPr>
              <w:t>(335,013)</w:t>
            </w:r>
          </w:p>
        </w:tc>
      </w:tr>
      <w:tr w:rsidR="00AF04BD" w:rsidRPr="00E33C0D" w14:paraId="6BF0C312" w14:textId="77777777" w:rsidTr="00AF04BD">
        <w:trPr>
          <w:trHeight w:val="204"/>
        </w:trPr>
        <w:tc>
          <w:tcPr>
            <w:tcW w:w="2127" w:type="dxa"/>
            <w:tcBorders>
              <w:top w:val="nil"/>
              <w:left w:val="nil"/>
              <w:bottom w:val="nil"/>
              <w:right w:val="nil"/>
            </w:tcBorders>
            <w:shd w:val="clear" w:color="auto" w:fill="auto"/>
            <w:vAlign w:val="center"/>
            <w:hideMark/>
          </w:tcPr>
          <w:p w14:paraId="11F16AB4" w14:textId="7D24528F" w:rsidR="00AF04BD" w:rsidRPr="00E33C0D" w:rsidRDefault="00AF04BD" w:rsidP="00EB6CBF">
            <w:pPr>
              <w:spacing w:after="0" w:line="240" w:lineRule="auto"/>
              <w:ind w:left="113"/>
              <w:jc w:val="left"/>
              <w:rPr>
                <w:rFonts w:ascii="Arial" w:hAnsi="Arial" w:cs="Arial"/>
                <w:i/>
                <w:iCs/>
                <w:color w:val="000000"/>
                <w:sz w:val="16"/>
                <w:szCs w:val="16"/>
              </w:rPr>
            </w:pPr>
            <w:r>
              <w:rPr>
                <w:rFonts w:ascii="Arial" w:hAnsi="Arial" w:cs="Arial"/>
                <w:i/>
                <w:iCs/>
                <w:color w:val="000000"/>
                <w:sz w:val="16"/>
                <w:szCs w:val="16"/>
              </w:rPr>
              <w:t>Total cash to Official Public Account</w:t>
            </w:r>
          </w:p>
        </w:tc>
        <w:tc>
          <w:tcPr>
            <w:tcW w:w="1035" w:type="dxa"/>
            <w:tcBorders>
              <w:top w:val="single" w:sz="4" w:space="0" w:color="000000"/>
              <w:left w:val="nil"/>
              <w:bottom w:val="nil"/>
              <w:right w:val="nil"/>
            </w:tcBorders>
            <w:shd w:val="clear" w:color="auto" w:fill="auto"/>
            <w:noWrap/>
            <w:vAlign w:val="bottom"/>
            <w:hideMark/>
          </w:tcPr>
          <w:p w14:paraId="75973B4D" w14:textId="53615D0E"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(955,022)</w:t>
            </w:r>
          </w:p>
        </w:tc>
        <w:tc>
          <w:tcPr>
            <w:tcW w:w="1124" w:type="dxa"/>
            <w:tcBorders>
              <w:top w:val="single" w:sz="4" w:space="0" w:color="000000"/>
              <w:left w:val="nil"/>
              <w:bottom w:val="nil"/>
              <w:right w:val="nil"/>
            </w:tcBorders>
            <w:shd w:val="clear" w:color="000000" w:fill="E6E6E6"/>
            <w:noWrap/>
            <w:vAlign w:val="bottom"/>
            <w:hideMark/>
          </w:tcPr>
          <w:p w14:paraId="45CAF6DA" w14:textId="63BC43BC"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(478,398)</w:t>
            </w:r>
          </w:p>
        </w:tc>
        <w:tc>
          <w:tcPr>
            <w:tcW w:w="1102" w:type="dxa"/>
            <w:tcBorders>
              <w:top w:val="single" w:sz="4" w:space="0" w:color="000000"/>
              <w:left w:val="nil"/>
              <w:bottom w:val="nil"/>
              <w:right w:val="nil"/>
            </w:tcBorders>
            <w:shd w:val="clear" w:color="auto" w:fill="auto"/>
            <w:noWrap/>
            <w:vAlign w:val="bottom"/>
            <w:hideMark/>
          </w:tcPr>
          <w:p w14:paraId="166CE908" w14:textId="59E290DA"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(502,434)</w:t>
            </w:r>
          </w:p>
        </w:tc>
        <w:tc>
          <w:tcPr>
            <w:tcW w:w="1124" w:type="dxa"/>
            <w:tcBorders>
              <w:top w:val="single" w:sz="4" w:space="0" w:color="000000"/>
              <w:left w:val="nil"/>
              <w:bottom w:val="nil"/>
              <w:right w:val="nil"/>
            </w:tcBorders>
            <w:shd w:val="clear" w:color="auto" w:fill="auto"/>
            <w:noWrap/>
            <w:vAlign w:val="bottom"/>
            <w:hideMark/>
          </w:tcPr>
          <w:p w14:paraId="6B349798" w14:textId="02F312AC"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(211,711)</w:t>
            </w:r>
          </w:p>
        </w:tc>
        <w:tc>
          <w:tcPr>
            <w:tcW w:w="1211" w:type="dxa"/>
            <w:tcBorders>
              <w:top w:val="single" w:sz="4" w:space="0" w:color="000000"/>
              <w:left w:val="nil"/>
              <w:bottom w:val="nil"/>
              <w:right w:val="nil"/>
            </w:tcBorders>
            <w:shd w:val="clear" w:color="auto" w:fill="auto"/>
            <w:noWrap/>
            <w:vAlign w:val="bottom"/>
            <w:hideMark/>
          </w:tcPr>
          <w:p w14:paraId="5BA88B31" w14:textId="5ED2223C" w:rsidR="00AF04BD" w:rsidRPr="00722716" w:rsidRDefault="00AF04BD" w:rsidP="00AF04BD">
            <w:pPr>
              <w:spacing w:after="0" w:line="240" w:lineRule="auto"/>
              <w:jc w:val="right"/>
              <w:rPr>
                <w:rFonts w:ascii="Arial" w:hAnsi="Arial" w:cs="Arial"/>
                <w:i/>
                <w:iCs/>
                <w:color w:val="000000"/>
                <w:sz w:val="16"/>
                <w:szCs w:val="16"/>
              </w:rPr>
            </w:pPr>
            <w:r>
              <w:rPr>
                <w:rFonts w:ascii="Arial" w:hAnsi="Arial" w:cs="Arial"/>
                <w:i/>
                <w:iCs/>
                <w:color w:val="000000"/>
                <w:sz w:val="16"/>
                <w:szCs w:val="16"/>
              </w:rPr>
              <w:t>(335,013)</w:t>
            </w:r>
          </w:p>
        </w:tc>
      </w:tr>
      <w:tr w:rsidR="00AF04BD" w:rsidRPr="00E33C0D" w14:paraId="2087DBD6" w14:textId="77777777" w:rsidTr="00AF04BD">
        <w:trPr>
          <w:trHeight w:val="204"/>
        </w:trPr>
        <w:tc>
          <w:tcPr>
            <w:tcW w:w="2127" w:type="dxa"/>
            <w:tcBorders>
              <w:top w:val="nil"/>
              <w:left w:val="nil"/>
              <w:bottom w:val="single" w:sz="4" w:space="0" w:color="auto"/>
              <w:right w:val="nil"/>
            </w:tcBorders>
            <w:shd w:val="clear" w:color="auto" w:fill="auto"/>
            <w:vAlign w:val="center"/>
            <w:hideMark/>
          </w:tcPr>
          <w:p w14:paraId="0E787570" w14:textId="241DAB80" w:rsidR="00AF04BD" w:rsidRPr="00E33C0D" w:rsidRDefault="00AF04BD" w:rsidP="00AF04BD">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1035" w:type="dxa"/>
            <w:tcBorders>
              <w:top w:val="single" w:sz="4" w:space="0" w:color="000000"/>
              <w:left w:val="nil"/>
              <w:bottom w:val="single" w:sz="4" w:space="0" w:color="auto"/>
              <w:right w:val="nil"/>
            </w:tcBorders>
            <w:shd w:val="clear" w:color="auto" w:fill="auto"/>
            <w:noWrap/>
            <w:vAlign w:val="bottom"/>
            <w:hideMark/>
          </w:tcPr>
          <w:p w14:paraId="3E3E12BE" w14:textId="0C8B7C65"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41,989 </w:t>
            </w:r>
          </w:p>
        </w:tc>
        <w:tc>
          <w:tcPr>
            <w:tcW w:w="1124" w:type="dxa"/>
            <w:tcBorders>
              <w:top w:val="single" w:sz="4" w:space="0" w:color="000000"/>
              <w:left w:val="nil"/>
              <w:bottom w:val="single" w:sz="4" w:space="0" w:color="auto"/>
              <w:right w:val="nil"/>
            </w:tcBorders>
            <w:shd w:val="clear" w:color="000000" w:fill="E6E6E6"/>
            <w:noWrap/>
            <w:vAlign w:val="bottom"/>
            <w:hideMark/>
          </w:tcPr>
          <w:p w14:paraId="6E61E0AE" w14:textId="701265A0"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41,989 </w:t>
            </w:r>
          </w:p>
        </w:tc>
        <w:tc>
          <w:tcPr>
            <w:tcW w:w="1102" w:type="dxa"/>
            <w:tcBorders>
              <w:top w:val="single" w:sz="4" w:space="0" w:color="000000"/>
              <w:left w:val="nil"/>
              <w:bottom w:val="single" w:sz="4" w:space="0" w:color="auto"/>
              <w:right w:val="nil"/>
            </w:tcBorders>
            <w:shd w:val="clear" w:color="auto" w:fill="auto"/>
            <w:noWrap/>
            <w:vAlign w:val="bottom"/>
            <w:hideMark/>
          </w:tcPr>
          <w:p w14:paraId="3BF5755D" w14:textId="5ECC938B"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41,989 </w:t>
            </w:r>
          </w:p>
        </w:tc>
        <w:tc>
          <w:tcPr>
            <w:tcW w:w="1124" w:type="dxa"/>
            <w:tcBorders>
              <w:top w:val="single" w:sz="4" w:space="0" w:color="000000"/>
              <w:left w:val="nil"/>
              <w:bottom w:val="single" w:sz="4" w:space="0" w:color="auto"/>
              <w:right w:val="nil"/>
            </w:tcBorders>
            <w:shd w:val="clear" w:color="auto" w:fill="auto"/>
            <w:noWrap/>
            <w:vAlign w:val="bottom"/>
            <w:hideMark/>
          </w:tcPr>
          <w:p w14:paraId="52A437E4" w14:textId="1F1BBEB2"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41,989 </w:t>
            </w:r>
          </w:p>
        </w:tc>
        <w:tc>
          <w:tcPr>
            <w:tcW w:w="1211" w:type="dxa"/>
            <w:tcBorders>
              <w:top w:val="single" w:sz="4" w:space="0" w:color="000000"/>
              <w:left w:val="nil"/>
              <w:bottom w:val="single" w:sz="4" w:space="0" w:color="auto"/>
              <w:right w:val="nil"/>
            </w:tcBorders>
            <w:shd w:val="clear" w:color="auto" w:fill="auto"/>
            <w:noWrap/>
            <w:vAlign w:val="bottom"/>
            <w:hideMark/>
          </w:tcPr>
          <w:p w14:paraId="01010E22" w14:textId="7B5D9CDC" w:rsidR="00AF04BD" w:rsidRPr="00722716" w:rsidRDefault="00AF04BD" w:rsidP="00AF04B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41,989 </w:t>
            </w:r>
          </w:p>
        </w:tc>
      </w:tr>
    </w:tbl>
    <w:p w14:paraId="17095E0A" w14:textId="77777777" w:rsidR="00B91F3E" w:rsidRDefault="00B91F3E" w:rsidP="00B91F3E">
      <w:pPr>
        <w:pStyle w:val="ChartandTableFootnote"/>
        <w:spacing w:before="60"/>
      </w:pPr>
      <w:r>
        <w:t>Prepared on Australian Accounting Standards basis.</w:t>
      </w:r>
    </w:p>
    <w:p w14:paraId="5D695493" w14:textId="77777777" w:rsidR="00B91F3E" w:rsidRDefault="00B91F3E" w:rsidP="00B91F3E">
      <w:pPr>
        <w:pStyle w:val="TableHeading"/>
      </w:pPr>
      <w:r>
        <w:br w:type="page"/>
      </w:r>
      <w:r w:rsidRPr="00D30CBA">
        <w:lastRenderedPageBreak/>
        <w:t>Table</w:t>
      </w:r>
      <w:r>
        <w:t xml:space="preserve"> 3.10</w:t>
      </w:r>
      <w:r w:rsidRPr="00D30CBA">
        <w:t xml:space="preserve">: </w:t>
      </w:r>
      <w:r>
        <w:rPr>
          <w:lang w:val="en-AU"/>
        </w:rPr>
        <w:t xml:space="preserve">Schedule of </w:t>
      </w:r>
      <w:r>
        <w:t>administered capital budget statement (for the period ended 30 June)</w:t>
      </w:r>
    </w:p>
    <w:tbl>
      <w:tblPr>
        <w:tblW w:w="7671" w:type="dxa"/>
        <w:tblLook w:val="04A0" w:firstRow="1" w:lastRow="0" w:firstColumn="1" w:lastColumn="0" w:noHBand="0" w:noVBand="1"/>
      </w:tblPr>
      <w:tblGrid>
        <w:gridCol w:w="2996"/>
        <w:gridCol w:w="936"/>
        <w:gridCol w:w="928"/>
        <w:gridCol w:w="937"/>
        <w:gridCol w:w="937"/>
        <w:gridCol w:w="937"/>
      </w:tblGrid>
      <w:tr w:rsidR="00B91F3E" w:rsidRPr="00E33C0D" w14:paraId="71F8F19A" w14:textId="77777777" w:rsidTr="00F96D8A">
        <w:trPr>
          <w:trHeight w:val="204"/>
        </w:trPr>
        <w:tc>
          <w:tcPr>
            <w:tcW w:w="2996" w:type="dxa"/>
            <w:tcBorders>
              <w:top w:val="single" w:sz="4" w:space="0" w:color="auto"/>
              <w:left w:val="nil"/>
              <w:bottom w:val="nil"/>
              <w:right w:val="nil"/>
            </w:tcBorders>
            <w:shd w:val="clear" w:color="auto" w:fill="auto"/>
            <w:noWrap/>
            <w:vAlign w:val="bottom"/>
            <w:hideMark/>
          </w:tcPr>
          <w:p w14:paraId="2CDE70AB" w14:textId="77777777" w:rsidR="00B91F3E" w:rsidRPr="00E33C0D" w:rsidRDefault="00B91F3E" w:rsidP="00F96D8A">
            <w:pPr>
              <w:spacing w:after="0" w:line="240" w:lineRule="auto"/>
              <w:jc w:val="left"/>
              <w:rPr>
                <w:rFonts w:ascii="Arial" w:hAnsi="Arial" w:cs="Arial"/>
                <w:b/>
                <w:bCs/>
                <w:sz w:val="16"/>
                <w:szCs w:val="16"/>
              </w:rPr>
            </w:pPr>
            <w:r w:rsidRPr="00E33C0D">
              <w:rPr>
                <w:rFonts w:ascii="Arial" w:hAnsi="Arial" w:cs="Arial"/>
                <w:b/>
                <w:bCs/>
                <w:sz w:val="16"/>
                <w:szCs w:val="16"/>
              </w:rPr>
              <w:t> </w:t>
            </w:r>
          </w:p>
        </w:tc>
        <w:tc>
          <w:tcPr>
            <w:tcW w:w="936" w:type="dxa"/>
            <w:tcBorders>
              <w:top w:val="single" w:sz="4" w:space="0" w:color="auto"/>
              <w:left w:val="nil"/>
              <w:bottom w:val="single" w:sz="4" w:space="0" w:color="auto"/>
              <w:right w:val="nil"/>
            </w:tcBorders>
            <w:shd w:val="clear" w:color="auto" w:fill="auto"/>
            <w:vAlign w:val="bottom"/>
            <w:hideMark/>
          </w:tcPr>
          <w:p w14:paraId="6C95296F"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2021-22</w:t>
            </w:r>
            <w:r w:rsidRPr="00E33C0D">
              <w:rPr>
                <w:rFonts w:ascii="Arial" w:hAnsi="Arial" w:cs="Arial"/>
                <w:sz w:val="16"/>
                <w:szCs w:val="16"/>
              </w:rPr>
              <w:br/>
              <w:t>Estimated actual</w:t>
            </w:r>
            <w:r w:rsidRPr="00E33C0D">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bottom"/>
            <w:hideMark/>
          </w:tcPr>
          <w:p w14:paraId="316374F2"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2022-23</w:t>
            </w:r>
            <w:r w:rsidRPr="00E33C0D">
              <w:rPr>
                <w:rFonts w:ascii="Arial" w:hAnsi="Arial" w:cs="Arial"/>
                <w:sz w:val="16"/>
                <w:szCs w:val="16"/>
              </w:rPr>
              <w:br/>
              <w:t>Budget</w:t>
            </w:r>
            <w:r w:rsidRPr="00E33C0D">
              <w:rPr>
                <w:rFonts w:ascii="Arial" w:hAnsi="Arial" w:cs="Arial"/>
                <w:sz w:val="16"/>
                <w:szCs w:val="16"/>
              </w:rPr>
              <w:br/>
            </w:r>
            <w:r w:rsidRPr="00E33C0D">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4F8A37DD"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2023-24</w:t>
            </w:r>
            <w:r w:rsidRPr="00E33C0D">
              <w:rPr>
                <w:rFonts w:ascii="Arial" w:hAnsi="Arial" w:cs="Arial"/>
                <w:sz w:val="16"/>
                <w:szCs w:val="16"/>
              </w:rPr>
              <w:br/>
              <w:t>Forward estimate</w:t>
            </w:r>
            <w:r w:rsidRPr="00E33C0D">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048DEBDC"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2024-25</w:t>
            </w:r>
            <w:r w:rsidRPr="00E33C0D">
              <w:rPr>
                <w:rFonts w:ascii="Arial" w:hAnsi="Arial" w:cs="Arial"/>
                <w:sz w:val="16"/>
                <w:szCs w:val="16"/>
              </w:rPr>
              <w:br/>
              <w:t>Forward estimate</w:t>
            </w:r>
            <w:r w:rsidRPr="00E33C0D">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39E10D7" w14:textId="77777777" w:rsidR="00B91F3E" w:rsidRPr="00E33C0D" w:rsidRDefault="00B91F3E" w:rsidP="00F96D8A">
            <w:pPr>
              <w:spacing w:after="0" w:line="240" w:lineRule="auto"/>
              <w:jc w:val="right"/>
              <w:rPr>
                <w:rFonts w:ascii="Arial" w:hAnsi="Arial" w:cs="Arial"/>
                <w:sz w:val="16"/>
                <w:szCs w:val="16"/>
              </w:rPr>
            </w:pPr>
            <w:r w:rsidRPr="00E33C0D">
              <w:rPr>
                <w:rFonts w:ascii="Arial" w:hAnsi="Arial" w:cs="Arial"/>
                <w:sz w:val="16"/>
                <w:szCs w:val="16"/>
              </w:rPr>
              <w:t>2025-26</w:t>
            </w:r>
            <w:r w:rsidRPr="00E33C0D">
              <w:rPr>
                <w:rFonts w:ascii="Arial" w:hAnsi="Arial" w:cs="Arial"/>
                <w:sz w:val="16"/>
                <w:szCs w:val="16"/>
              </w:rPr>
              <w:br/>
              <w:t>Forward estimate</w:t>
            </w:r>
            <w:r w:rsidRPr="00E33C0D">
              <w:rPr>
                <w:rFonts w:ascii="Arial" w:hAnsi="Arial" w:cs="Arial"/>
                <w:sz w:val="16"/>
                <w:szCs w:val="16"/>
              </w:rPr>
              <w:br/>
              <w:t>$'000</w:t>
            </w:r>
          </w:p>
        </w:tc>
      </w:tr>
      <w:tr w:rsidR="00B91F3E" w:rsidRPr="00E33C0D" w14:paraId="52E7AB76" w14:textId="77777777" w:rsidTr="00F96D8A">
        <w:trPr>
          <w:trHeight w:val="204"/>
        </w:trPr>
        <w:tc>
          <w:tcPr>
            <w:tcW w:w="2996" w:type="dxa"/>
            <w:tcBorders>
              <w:top w:val="nil"/>
              <w:left w:val="nil"/>
              <w:bottom w:val="nil"/>
              <w:right w:val="nil"/>
            </w:tcBorders>
            <w:shd w:val="clear" w:color="auto" w:fill="auto"/>
            <w:noWrap/>
            <w:vAlign w:val="bottom"/>
            <w:hideMark/>
          </w:tcPr>
          <w:p w14:paraId="7659978E" w14:textId="77777777" w:rsidR="00B91F3E" w:rsidRPr="00E33C0D" w:rsidRDefault="00B91F3E" w:rsidP="00F96D8A">
            <w:pPr>
              <w:spacing w:after="0" w:line="240" w:lineRule="auto"/>
              <w:jc w:val="left"/>
              <w:rPr>
                <w:rFonts w:ascii="Arial" w:hAnsi="Arial" w:cs="Arial"/>
                <w:b/>
                <w:bCs/>
                <w:sz w:val="16"/>
                <w:szCs w:val="16"/>
              </w:rPr>
            </w:pPr>
            <w:r w:rsidRPr="00E33C0D">
              <w:rPr>
                <w:rFonts w:ascii="Arial" w:hAnsi="Arial" w:cs="Arial"/>
                <w:b/>
                <w:bCs/>
                <w:sz w:val="16"/>
                <w:szCs w:val="16"/>
              </w:rPr>
              <w:t>NEW CAPITAL APPROPRIATIONS</w:t>
            </w:r>
          </w:p>
        </w:tc>
        <w:tc>
          <w:tcPr>
            <w:tcW w:w="936" w:type="dxa"/>
            <w:tcBorders>
              <w:top w:val="nil"/>
              <w:left w:val="nil"/>
              <w:bottom w:val="nil"/>
              <w:right w:val="nil"/>
            </w:tcBorders>
            <w:shd w:val="clear" w:color="auto" w:fill="auto"/>
            <w:noWrap/>
            <w:vAlign w:val="bottom"/>
            <w:hideMark/>
          </w:tcPr>
          <w:p w14:paraId="6618111A" w14:textId="77777777" w:rsidR="00B91F3E" w:rsidRPr="00E33C0D" w:rsidRDefault="00B91F3E" w:rsidP="00F96D8A">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44550FA7" w14:textId="77777777" w:rsidR="00B91F3E" w:rsidRPr="00E33C0D" w:rsidRDefault="00B91F3E" w:rsidP="00F96D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E464127" w14:textId="77777777" w:rsidR="00B91F3E" w:rsidRPr="00E33C0D" w:rsidRDefault="00B91F3E" w:rsidP="00F96D8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83E3396" w14:textId="77777777" w:rsidR="00B91F3E" w:rsidRPr="00E33C0D" w:rsidRDefault="00B91F3E" w:rsidP="00F96D8A">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454DC0BB" w14:textId="77777777" w:rsidR="00B91F3E" w:rsidRPr="00E33C0D" w:rsidRDefault="00B91F3E" w:rsidP="00F96D8A">
            <w:pPr>
              <w:spacing w:after="0" w:line="240" w:lineRule="auto"/>
              <w:jc w:val="right"/>
              <w:rPr>
                <w:rFonts w:ascii="Times New Roman" w:hAnsi="Times New Roman"/>
              </w:rPr>
            </w:pPr>
          </w:p>
        </w:tc>
      </w:tr>
      <w:tr w:rsidR="00D264CA" w:rsidRPr="00E33C0D" w14:paraId="77D18264" w14:textId="77777777" w:rsidTr="00F96D8A">
        <w:trPr>
          <w:trHeight w:val="204"/>
        </w:trPr>
        <w:tc>
          <w:tcPr>
            <w:tcW w:w="2996" w:type="dxa"/>
            <w:tcBorders>
              <w:top w:val="nil"/>
              <w:left w:val="nil"/>
              <w:bottom w:val="nil"/>
              <w:right w:val="nil"/>
            </w:tcBorders>
            <w:shd w:val="clear" w:color="auto" w:fill="auto"/>
            <w:noWrap/>
            <w:vAlign w:val="bottom"/>
            <w:hideMark/>
          </w:tcPr>
          <w:p w14:paraId="1CA9AC6E" w14:textId="77777777" w:rsidR="00D264CA" w:rsidRPr="00E33C0D" w:rsidRDefault="00D264CA" w:rsidP="00D264CA">
            <w:pPr>
              <w:spacing w:after="0" w:line="240" w:lineRule="auto"/>
              <w:ind w:left="113"/>
              <w:jc w:val="left"/>
              <w:rPr>
                <w:rFonts w:ascii="Arial" w:hAnsi="Arial" w:cs="Arial"/>
                <w:sz w:val="16"/>
                <w:szCs w:val="16"/>
              </w:rPr>
            </w:pPr>
            <w:r w:rsidRPr="00E33C0D">
              <w:rPr>
                <w:rFonts w:ascii="Arial" w:hAnsi="Arial" w:cs="Arial"/>
                <w:sz w:val="16"/>
                <w:szCs w:val="16"/>
              </w:rPr>
              <w:t>Capital budget - Bill 1 (ACB)</w:t>
            </w:r>
          </w:p>
        </w:tc>
        <w:tc>
          <w:tcPr>
            <w:tcW w:w="936" w:type="dxa"/>
            <w:tcBorders>
              <w:top w:val="nil"/>
              <w:left w:val="nil"/>
              <w:bottom w:val="nil"/>
              <w:right w:val="nil"/>
            </w:tcBorders>
            <w:shd w:val="clear" w:color="auto" w:fill="auto"/>
            <w:noWrap/>
            <w:vAlign w:val="bottom"/>
            <w:hideMark/>
          </w:tcPr>
          <w:p w14:paraId="3448B447" w14:textId="30D42330"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19,857 </w:t>
            </w:r>
          </w:p>
        </w:tc>
        <w:tc>
          <w:tcPr>
            <w:tcW w:w="928" w:type="dxa"/>
            <w:tcBorders>
              <w:top w:val="nil"/>
              <w:left w:val="nil"/>
              <w:bottom w:val="nil"/>
              <w:right w:val="nil"/>
            </w:tcBorders>
            <w:shd w:val="clear" w:color="000000" w:fill="E6E6E6"/>
            <w:noWrap/>
            <w:vAlign w:val="bottom"/>
            <w:hideMark/>
          </w:tcPr>
          <w:p w14:paraId="6438EA19" w14:textId="799F0F89"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39,244 </w:t>
            </w:r>
          </w:p>
        </w:tc>
        <w:tc>
          <w:tcPr>
            <w:tcW w:w="937" w:type="dxa"/>
            <w:tcBorders>
              <w:top w:val="nil"/>
              <w:left w:val="nil"/>
              <w:bottom w:val="nil"/>
              <w:right w:val="nil"/>
            </w:tcBorders>
            <w:shd w:val="clear" w:color="auto" w:fill="auto"/>
            <w:noWrap/>
            <w:vAlign w:val="bottom"/>
            <w:hideMark/>
          </w:tcPr>
          <w:p w14:paraId="7679A6E8" w14:textId="0B3DCCC7"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26,502 </w:t>
            </w:r>
          </w:p>
        </w:tc>
        <w:tc>
          <w:tcPr>
            <w:tcW w:w="937" w:type="dxa"/>
            <w:tcBorders>
              <w:top w:val="nil"/>
              <w:left w:val="nil"/>
              <w:bottom w:val="nil"/>
              <w:right w:val="nil"/>
            </w:tcBorders>
            <w:shd w:val="clear" w:color="auto" w:fill="auto"/>
            <w:noWrap/>
            <w:vAlign w:val="bottom"/>
            <w:hideMark/>
          </w:tcPr>
          <w:p w14:paraId="34050CB7" w14:textId="73D18DD3"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19,316 </w:t>
            </w:r>
          </w:p>
        </w:tc>
        <w:tc>
          <w:tcPr>
            <w:tcW w:w="937" w:type="dxa"/>
            <w:tcBorders>
              <w:top w:val="nil"/>
              <w:left w:val="nil"/>
              <w:bottom w:val="nil"/>
              <w:right w:val="nil"/>
            </w:tcBorders>
            <w:shd w:val="clear" w:color="auto" w:fill="auto"/>
            <w:noWrap/>
            <w:vAlign w:val="bottom"/>
            <w:hideMark/>
          </w:tcPr>
          <w:p w14:paraId="40C59AD4" w14:textId="71F358D1"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17,718 </w:t>
            </w:r>
          </w:p>
        </w:tc>
      </w:tr>
      <w:tr w:rsidR="00D264CA" w:rsidRPr="00E33C0D" w14:paraId="0BE9891F" w14:textId="77777777" w:rsidTr="00F96D8A">
        <w:trPr>
          <w:trHeight w:val="204"/>
        </w:trPr>
        <w:tc>
          <w:tcPr>
            <w:tcW w:w="2996" w:type="dxa"/>
            <w:tcBorders>
              <w:top w:val="nil"/>
              <w:left w:val="nil"/>
              <w:bottom w:val="nil"/>
              <w:right w:val="nil"/>
            </w:tcBorders>
            <w:shd w:val="clear" w:color="000000" w:fill="FFFFFF"/>
            <w:vAlign w:val="bottom"/>
            <w:hideMark/>
          </w:tcPr>
          <w:p w14:paraId="3B842C31" w14:textId="77777777" w:rsidR="00D264CA" w:rsidRPr="00E33C0D" w:rsidRDefault="00D264CA" w:rsidP="00D264CA">
            <w:pPr>
              <w:spacing w:after="0" w:line="240" w:lineRule="auto"/>
              <w:ind w:left="113"/>
              <w:jc w:val="left"/>
              <w:rPr>
                <w:rFonts w:ascii="Arial" w:hAnsi="Arial" w:cs="Arial"/>
                <w:sz w:val="16"/>
                <w:szCs w:val="16"/>
              </w:rPr>
            </w:pPr>
            <w:r w:rsidRPr="00E33C0D">
              <w:rPr>
                <w:rFonts w:ascii="Arial" w:hAnsi="Arial" w:cs="Arial"/>
                <w:sz w:val="16"/>
                <w:szCs w:val="16"/>
              </w:rPr>
              <w:t>Administered Assets and Liabilities - Bill 2</w:t>
            </w:r>
          </w:p>
        </w:tc>
        <w:tc>
          <w:tcPr>
            <w:tcW w:w="936" w:type="dxa"/>
            <w:tcBorders>
              <w:top w:val="nil"/>
              <w:left w:val="nil"/>
              <w:bottom w:val="nil"/>
              <w:right w:val="nil"/>
            </w:tcBorders>
            <w:shd w:val="clear" w:color="auto" w:fill="auto"/>
            <w:noWrap/>
            <w:vAlign w:val="bottom"/>
            <w:hideMark/>
          </w:tcPr>
          <w:p w14:paraId="58A02300" w14:textId="54D5D787"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2,131,167 </w:t>
            </w:r>
          </w:p>
        </w:tc>
        <w:tc>
          <w:tcPr>
            <w:tcW w:w="928" w:type="dxa"/>
            <w:tcBorders>
              <w:top w:val="nil"/>
              <w:left w:val="nil"/>
              <w:bottom w:val="nil"/>
              <w:right w:val="nil"/>
            </w:tcBorders>
            <w:shd w:val="clear" w:color="000000" w:fill="E6E6E6"/>
            <w:noWrap/>
            <w:vAlign w:val="bottom"/>
            <w:hideMark/>
          </w:tcPr>
          <w:p w14:paraId="126B909E" w14:textId="44305E3F"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5,191,453 </w:t>
            </w:r>
          </w:p>
        </w:tc>
        <w:tc>
          <w:tcPr>
            <w:tcW w:w="937" w:type="dxa"/>
            <w:tcBorders>
              <w:top w:val="nil"/>
              <w:left w:val="nil"/>
              <w:bottom w:val="nil"/>
              <w:right w:val="nil"/>
            </w:tcBorders>
            <w:shd w:val="clear" w:color="000000" w:fill="FFFFFF"/>
            <w:noWrap/>
            <w:vAlign w:val="bottom"/>
            <w:hideMark/>
          </w:tcPr>
          <w:p w14:paraId="4397BA2A" w14:textId="23EDB21D"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4,399,362 </w:t>
            </w:r>
          </w:p>
        </w:tc>
        <w:tc>
          <w:tcPr>
            <w:tcW w:w="937" w:type="dxa"/>
            <w:tcBorders>
              <w:top w:val="nil"/>
              <w:left w:val="nil"/>
              <w:bottom w:val="nil"/>
              <w:right w:val="nil"/>
            </w:tcBorders>
            <w:shd w:val="clear" w:color="000000" w:fill="FFFFFF"/>
            <w:noWrap/>
            <w:vAlign w:val="bottom"/>
            <w:hideMark/>
          </w:tcPr>
          <w:p w14:paraId="2ECDC303" w14:textId="7A7B66F4"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4,328,018 </w:t>
            </w:r>
          </w:p>
        </w:tc>
        <w:tc>
          <w:tcPr>
            <w:tcW w:w="937" w:type="dxa"/>
            <w:tcBorders>
              <w:top w:val="nil"/>
              <w:left w:val="nil"/>
              <w:bottom w:val="nil"/>
              <w:right w:val="nil"/>
            </w:tcBorders>
            <w:shd w:val="clear" w:color="000000" w:fill="FFFFFF"/>
            <w:noWrap/>
            <w:vAlign w:val="bottom"/>
            <w:hideMark/>
          </w:tcPr>
          <w:p w14:paraId="26BF1731" w14:textId="36245D33"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2,713,875 </w:t>
            </w:r>
          </w:p>
        </w:tc>
      </w:tr>
      <w:tr w:rsidR="00D264CA" w:rsidRPr="00E33C0D" w14:paraId="53D881A0" w14:textId="77777777" w:rsidTr="00F96D8A">
        <w:trPr>
          <w:trHeight w:val="204"/>
        </w:trPr>
        <w:tc>
          <w:tcPr>
            <w:tcW w:w="2996" w:type="dxa"/>
            <w:tcBorders>
              <w:top w:val="nil"/>
              <w:left w:val="nil"/>
              <w:bottom w:val="nil"/>
              <w:right w:val="nil"/>
            </w:tcBorders>
            <w:shd w:val="clear" w:color="auto" w:fill="auto"/>
            <w:noWrap/>
            <w:vAlign w:val="bottom"/>
            <w:hideMark/>
          </w:tcPr>
          <w:p w14:paraId="193E2755" w14:textId="77777777" w:rsidR="00D264CA" w:rsidRPr="00E33C0D" w:rsidRDefault="00D264CA" w:rsidP="00D264CA">
            <w:pPr>
              <w:spacing w:after="0" w:line="240" w:lineRule="auto"/>
              <w:jc w:val="left"/>
              <w:rPr>
                <w:rFonts w:ascii="Arial" w:hAnsi="Arial" w:cs="Arial"/>
                <w:b/>
                <w:bCs/>
                <w:sz w:val="16"/>
                <w:szCs w:val="16"/>
              </w:rPr>
            </w:pPr>
            <w:r w:rsidRPr="00E33C0D">
              <w:rPr>
                <w:rFonts w:ascii="Arial" w:hAnsi="Arial" w:cs="Arial"/>
                <w:b/>
                <w:bCs/>
                <w:sz w:val="16"/>
                <w:szCs w:val="16"/>
              </w:rPr>
              <w:t>Total new capital appropriations</w:t>
            </w:r>
          </w:p>
        </w:tc>
        <w:tc>
          <w:tcPr>
            <w:tcW w:w="936" w:type="dxa"/>
            <w:tcBorders>
              <w:top w:val="single" w:sz="4" w:space="0" w:color="auto"/>
              <w:left w:val="nil"/>
              <w:bottom w:val="single" w:sz="4" w:space="0" w:color="auto"/>
              <w:right w:val="nil"/>
            </w:tcBorders>
            <w:shd w:val="clear" w:color="auto" w:fill="auto"/>
            <w:noWrap/>
            <w:vAlign w:val="bottom"/>
            <w:hideMark/>
          </w:tcPr>
          <w:p w14:paraId="00779CC8" w14:textId="3A4E74A2"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2,151,024 </w:t>
            </w:r>
          </w:p>
        </w:tc>
        <w:tc>
          <w:tcPr>
            <w:tcW w:w="928" w:type="dxa"/>
            <w:tcBorders>
              <w:top w:val="single" w:sz="4" w:space="0" w:color="000000"/>
              <w:left w:val="nil"/>
              <w:bottom w:val="single" w:sz="4" w:space="0" w:color="000000"/>
              <w:right w:val="nil"/>
            </w:tcBorders>
            <w:shd w:val="clear" w:color="000000" w:fill="E6E6E6"/>
            <w:noWrap/>
            <w:vAlign w:val="bottom"/>
            <w:hideMark/>
          </w:tcPr>
          <w:p w14:paraId="07C66147" w14:textId="36B5AD99" w:rsidR="00D264CA" w:rsidRPr="00AF04BD" w:rsidRDefault="00D264CA" w:rsidP="00D264CA">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5,230,697 </w:t>
            </w:r>
          </w:p>
        </w:tc>
        <w:tc>
          <w:tcPr>
            <w:tcW w:w="937" w:type="dxa"/>
            <w:tcBorders>
              <w:top w:val="single" w:sz="4" w:space="0" w:color="auto"/>
              <w:left w:val="nil"/>
              <w:bottom w:val="single" w:sz="4" w:space="0" w:color="auto"/>
              <w:right w:val="nil"/>
            </w:tcBorders>
            <w:shd w:val="clear" w:color="auto" w:fill="auto"/>
            <w:noWrap/>
            <w:vAlign w:val="bottom"/>
            <w:hideMark/>
          </w:tcPr>
          <w:p w14:paraId="608E923F" w14:textId="6E912614"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4,425,864 </w:t>
            </w:r>
          </w:p>
        </w:tc>
        <w:tc>
          <w:tcPr>
            <w:tcW w:w="937" w:type="dxa"/>
            <w:tcBorders>
              <w:top w:val="single" w:sz="4" w:space="0" w:color="auto"/>
              <w:left w:val="nil"/>
              <w:bottom w:val="single" w:sz="4" w:space="0" w:color="auto"/>
              <w:right w:val="nil"/>
            </w:tcBorders>
            <w:shd w:val="clear" w:color="auto" w:fill="auto"/>
            <w:noWrap/>
            <w:vAlign w:val="bottom"/>
            <w:hideMark/>
          </w:tcPr>
          <w:p w14:paraId="588D5BBB" w14:textId="1EB6F56B"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4,347,334 </w:t>
            </w:r>
          </w:p>
        </w:tc>
        <w:tc>
          <w:tcPr>
            <w:tcW w:w="937" w:type="dxa"/>
            <w:tcBorders>
              <w:top w:val="single" w:sz="4" w:space="0" w:color="auto"/>
              <w:left w:val="nil"/>
              <w:bottom w:val="single" w:sz="4" w:space="0" w:color="auto"/>
              <w:right w:val="nil"/>
            </w:tcBorders>
            <w:shd w:val="clear" w:color="auto" w:fill="auto"/>
            <w:noWrap/>
            <w:vAlign w:val="bottom"/>
            <w:hideMark/>
          </w:tcPr>
          <w:p w14:paraId="4204F930" w14:textId="35895F07"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2,731,593 </w:t>
            </w:r>
          </w:p>
        </w:tc>
      </w:tr>
      <w:tr w:rsidR="00D264CA" w:rsidRPr="00E33C0D" w14:paraId="53E2C4D8" w14:textId="77777777" w:rsidTr="00F96D8A">
        <w:trPr>
          <w:trHeight w:val="204"/>
        </w:trPr>
        <w:tc>
          <w:tcPr>
            <w:tcW w:w="2996" w:type="dxa"/>
            <w:tcBorders>
              <w:top w:val="nil"/>
              <w:left w:val="nil"/>
              <w:bottom w:val="nil"/>
              <w:right w:val="nil"/>
            </w:tcBorders>
            <w:shd w:val="clear" w:color="auto" w:fill="auto"/>
            <w:noWrap/>
            <w:vAlign w:val="bottom"/>
            <w:hideMark/>
          </w:tcPr>
          <w:p w14:paraId="33F1B323" w14:textId="77777777" w:rsidR="00D264CA" w:rsidRPr="00722716" w:rsidRDefault="00D264CA" w:rsidP="00D264CA">
            <w:pPr>
              <w:spacing w:after="0" w:line="240" w:lineRule="auto"/>
              <w:ind w:left="113"/>
              <w:jc w:val="left"/>
              <w:rPr>
                <w:rFonts w:ascii="Arial" w:hAnsi="Arial" w:cs="Arial"/>
                <w:b/>
                <w:bCs/>
                <w:iCs/>
                <w:sz w:val="16"/>
                <w:szCs w:val="16"/>
              </w:rPr>
            </w:pPr>
            <w:r w:rsidRPr="00722716">
              <w:rPr>
                <w:rFonts w:ascii="Arial" w:hAnsi="Arial" w:cs="Arial"/>
                <w:b/>
                <w:bCs/>
                <w:iCs/>
                <w:sz w:val="16"/>
                <w:szCs w:val="16"/>
              </w:rPr>
              <w:t>Provided for:</w:t>
            </w:r>
          </w:p>
        </w:tc>
        <w:tc>
          <w:tcPr>
            <w:tcW w:w="936" w:type="dxa"/>
            <w:tcBorders>
              <w:top w:val="nil"/>
              <w:left w:val="nil"/>
              <w:bottom w:val="nil"/>
              <w:right w:val="nil"/>
            </w:tcBorders>
            <w:shd w:val="clear" w:color="auto" w:fill="auto"/>
            <w:noWrap/>
            <w:vAlign w:val="bottom"/>
            <w:hideMark/>
          </w:tcPr>
          <w:p w14:paraId="5A7221A7" w14:textId="77777777" w:rsidR="00D264CA" w:rsidRPr="00AF04BD" w:rsidRDefault="00D264CA" w:rsidP="00D264CA">
            <w:pPr>
              <w:spacing w:after="0" w:line="240" w:lineRule="auto"/>
              <w:ind w:firstLineChars="100" w:firstLine="160"/>
              <w:jc w:val="right"/>
              <w:rPr>
                <w:rFonts w:ascii="Arial" w:hAnsi="Arial" w:cs="Arial"/>
                <w:b/>
                <w:bCs/>
                <w:iCs/>
                <w:sz w:val="16"/>
                <w:szCs w:val="16"/>
              </w:rPr>
            </w:pPr>
          </w:p>
        </w:tc>
        <w:tc>
          <w:tcPr>
            <w:tcW w:w="928" w:type="dxa"/>
            <w:tcBorders>
              <w:top w:val="nil"/>
              <w:left w:val="nil"/>
              <w:bottom w:val="nil"/>
              <w:right w:val="nil"/>
            </w:tcBorders>
            <w:shd w:val="clear" w:color="000000" w:fill="E6E6E6"/>
            <w:noWrap/>
            <w:vAlign w:val="bottom"/>
            <w:hideMark/>
          </w:tcPr>
          <w:p w14:paraId="6781D8A2" w14:textId="54A0E265"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7B60BE4D" w14:textId="77777777" w:rsidR="00D264CA" w:rsidRPr="00AF04BD" w:rsidRDefault="00D264CA" w:rsidP="00D264C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9718F0D" w14:textId="77777777" w:rsidR="00D264CA" w:rsidRPr="00AF04BD" w:rsidRDefault="00D264CA" w:rsidP="00D264CA">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2489C1F6" w14:textId="77777777" w:rsidR="00D264CA" w:rsidRPr="00AF04BD" w:rsidRDefault="00D264CA" w:rsidP="00D264CA">
            <w:pPr>
              <w:spacing w:after="0" w:line="240" w:lineRule="auto"/>
              <w:jc w:val="right"/>
              <w:rPr>
                <w:rFonts w:ascii="Times New Roman" w:hAnsi="Times New Roman"/>
                <w:sz w:val="16"/>
                <w:szCs w:val="16"/>
              </w:rPr>
            </w:pPr>
          </w:p>
        </w:tc>
      </w:tr>
      <w:tr w:rsidR="00D264CA" w:rsidRPr="00E33C0D" w14:paraId="13874B4D" w14:textId="77777777" w:rsidTr="00F96D8A">
        <w:trPr>
          <w:trHeight w:val="204"/>
        </w:trPr>
        <w:tc>
          <w:tcPr>
            <w:tcW w:w="2996" w:type="dxa"/>
            <w:tcBorders>
              <w:top w:val="nil"/>
              <w:left w:val="nil"/>
              <w:bottom w:val="nil"/>
              <w:right w:val="nil"/>
            </w:tcBorders>
            <w:shd w:val="clear" w:color="auto" w:fill="auto"/>
            <w:noWrap/>
            <w:vAlign w:val="bottom"/>
            <w:hideMark/>
          </w:tcPr>
          <w:p w14:paraId="3DA68170" w14:textId="77777777" w:rsidR="00D264CA" w:rsidRPr="00722716" w:rsidRDefault="00D264CA" w:rsidP="00D264CA">
            <w:pPr>
              <w:spacing w:after="0" w:line="240" w:lineRule="auto"/>
              <w:ind w:left="227"/>
              <w:jc w:val="left"/>
              <w:rPr>
                <w:rFonts w:ascii="Arial" w:hAnsi="Arial" w:cs="Arial"/>
                <w:iCs/>
                <w:sz w:val="16"/>
                <w:szCs w:val="16"/>
              </w:rPr>
            </w:pPr>
            <w:r w:rsidRPr="00722716">
              <w:rPr>
                <w:rFonts w:ascii="Arial" w:hAnsi="Arial" w:cs="Arial"/>
                <w:iCs/>
                <w:sz w:val="16"/>
                <w:szCs w:val="16"/>
              </w:rPr>
              <w:t>Purchase of non-financial assets</w:t>
            </w:r>
          </w:p>
        </w:tc>
        <w:tc>
          <w:tcPr>
            <w:tcW w:w="936" w:type="dxa"/>
            <w:tcBorders>
              <w:top w:val="nil"/>
              <w:left w:val="nil"/>
              <w:bottom w:val="nil"/>
              <w:right w:val="nil"/>
            </w:tcBorders>
            <w:shd w:val="clear" w:color="auto" w:fill="auto"/>
            <w:noWrap/>
            <w:vAlign w:val="bottom"/>
            <w:hideMark/>
          </w:tcPr>
          <w:p w14:paraId="37C07FE7" w14:textId="71864098"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51,484 </w:t>
            </w:r>
          </w:p>
        </w:tc>
        <w:tc>
          <w:tcPr>
            <w:tcW w:w="928" w:type="dxa"/>
            <w:tcBorders>
              <w:top w:val="nil"/>
              <w:left w:val="nil"/>
              <w:bottom w:val="nil"/>
              <w:right w:val="nil"/>
            </w:tcBorders>
            <w:shd w:val="clear" w:color="000000" w:fill="E6E6E6"/>
            <w:noWrap/>
            <w:vAlign w:val="bottom"/>
            <w:hideMark/>
          </w:tcPr>
          <w:p w14:paraId="6EF78F11" w14:textId="459C5400"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101,492 </w:t>
            </w:r>
          </w:p>
        </w:tc>
        <w:tc>
          <w:tcPr>
            <w:tcW w:w="937" w:type="dxa"/>
            <w:tcBorders>
              <w:top w:val="nil"/>
              <w:left w:val="nil"/>
              <w:bottom w:val="nil"/>
              <w:right w:val="nil"/>
            </w:tcBorders>
            <w:shd w:val="clear" w:color="auto" w:fill="auto"/>
            <w:noWrap/>
            <w:vAlign w:val="bottom"/>
            <w:hideMark/>
          </w:tcPr>
          <w:p w14:paraId="2A386A53" w14:textId="13D5BE08"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79,926 </w:t>
            </w:r>
          </w:p>
        </w:tc>
        <w:tc>
          <w:tcPr>
            <w:tcW w:w="937" w:type="dxa"/>
            <w:tcBorders>
              <w:top w:val="nil"/>
              <w:left w:val="nil"/>
              <w:bottom w:val="nil"/>
              <w:right w:val="nil"/>
            </w:tcBorders>
            <w:shd w:val="clear" w:color="auto" w:fill="auto"/>
            <w:noWrap/>
            <w:vAlign w:val="bottom"/>
            <w:hideMark/>
          </w:tcPr>
          <w:p w14:paraId="5153C266" w14:textId="234FC729"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39,326 </w:t>
            </w:r>
          </w:p>
        </w:tc>
        <w:tc>
          <w:tcPr>
            <w:tcW w:w="937" w:type="dxa"/>
            <w:tcBorders>
              <w:top w:val="nil"/>
              <w:left w:val="nil"/>
              <w:bottom w:val="nil"/>
              <w:right w:val="nil"/>
            </w:tcBorders>
            <w:shd w:val="clear" w:color="auto" w:fill="auto"/>
            <w:noWrap/>
            <w:vAlign w:val="bottom"/>
            <w:hideMark/>
          </w:tcPr>
          <w:p w14:paraId="1555B180" w14:textId="5920FC30"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19,728 </w:t>
            </w:r>
          </w:p>
        </w:tc>
      </w:tr>
      <w:tr w:rsidR="00D264CA" w:rsidRPr="00E33C0D" w14:paraId="07AB82DA" w14:textId="77777777" w:rsidTr="00F96D8A">
        <w:trPr>
          <w:trHeight w:val="204"/>
        </w:trPr>
        <w:tc>
          <w:tcPr>
            <w:tcW w:w="2996" w:type="dxa"/>
            <w:tcBorders>
              <w:top w:val="nil"/>
              <w:left w:val="nil"/>
              <w:bottom w:val="nil"/>
              <w:right w:val="nil"/>
            </w:tcBorders>
            <w:shd w:val="clear" w:color="auto" w:fill="auto"/>
            <w:noWrap/>
            <w:vAlign w:val="bottom"/>
            <w:hideMark/>
          </w:tcPr>
          <w:p w14:paraId="48608D9B" w14:textId="77777777" w:rsidR="00D264CA" w:rsidRPr="00722716" w:rsidRDefault="00D264CA" w:rsidP="00D264CA">
            <w:pPr>
              <w:spacing w:after="0" w:line="240" w:lineRule="auto"/>
              <w:ind w:left="227"/>
              <w:jc w:val="left"/>
              <w:rPr>
                <w:rFonts w:ascii="Arial" w:hAnsi="Arial" w:cs="Arial"/>
                <w:iCs/>
                <w:sz w:val="16"/>
                <w:szCs w:val="16"/>
              </w:rPr>
            </w:pPr>
            <w:r w:rsidRPr="00722716">
              <w:rPr>
                <w:rFonts w:ascii="Arial" w:hAnsi="Arial" w:cs="Arial"/>
                <w:iCs/>
                <w:sz w:val="16"/>
                <w:szCs w:val="16"/>
              </w:rPr>
              <w:t>Other Items</w:t>
            </w:r>
          </w:p>
        </w:tc>
        <w:tc>
          <w:tcPr>
            <w:tcW w:w="936" w:type="dxa"/>
            <w:tcBorders>
              <w:top w:val="nil"/>
              <w:left w:val="nil"/>
              <w:bottom w:val="nil"/>
              <w:right w:val="nil"/>
            </w:tcBorders>
            <w:shd w:val="clear" w:color="auto" w:fill="auto"/>
            <w:noWrap/>
            <w:vAlign w:val="bottom"/>
            <w:hideMark/>
          </w:tcPr>
          <w:p w14:paraId="3B255BD6" w14:textId="439474BC"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2,099,540 </w:t>
            </w:r>
          </w:p>
        </w:tc>
        <w:tc>
          <w:tcPr>
            <w:tcW w:w="928" w:type="dxa"/>
            <w:tcBorders>
              <w:top w:val="nil"/>
              <w:left w:val="nil"/>
              <w:bottom w:val="nil"/>
              <w:right w:val="nil"/>
            </w:tcBorders>
            <w:shd w:val="clear" w:color="000000" w:fill="E6E6E6"/>
            <w:noWrap/>
            <w:vAlign w:val="bottom"/>
            <w:hideMark/>
          </w:tcPr>
          <w:p w14:paraId="2340E321" w14:textId="4261514C"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5,129,205 </w:t>
            </w:r>
          </w:p>
        </w:tc>
        <w:tc>
          <w:tcPr>
            <w:tcW w:w="937" w:type="dxa"/>
            <w:tcBorders>
              <w:top w:val="nil"/>
              <w:left w:val="nil"/>
              <w:bottom w:val="nil"/>
              <w:right w:val="nil"/>
            </w:tcBorders>
            <w:shd w:val="clear" w:color="auto" w:fill="auto"/>
            <w:noWrap/>
            <w:vAlign w:val="bottom"/>
            <w:hideMark/>
          </w:tcPr>
          <w:p w14:paraId="0B564049" w14:textId="703E85D2"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4,345,938 </w:t>
            </w:r>
          </w:p>
        </w:tc>
        <w:tc>
          <w:tcPr>
            <w:tcW w:w="937" w:type="dxa"/>
            <w:tcBorders>
              <w:top w:val="nil"/>
              <w:left w:val="nil"/>
              <w:bottom w:val="nil"/>
              <w:right w:val="nil"/>
            </w:tcBorders>
            <w:shd w:val="clear" w:color="auto" w:fill="auto"/>
            <w:noWrap/>
            <w:vAlign w:val="bottom"/>
            <w:hideMark/>
          </w:tcPr>
          <w:p w14:paraId="06ECD517" w14:textId="15E934C5"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4,308,008 </w:t>
            </w:r>
          </w:p>
        </w:tc>
        <w:tc>
          <w:tcPr>
            <w:tcW w:w="937" w:type="dxa"/>
            <w:tcBorders>
              <w:top w:val="nil"/>
              <w:left w:val="nil"/>
              <w:bottom w:val="nil"/>
              <w:right w:val="nil"/>
            </w:tcBorders>
            <w:shd w:val="clear" w:color="auto" w:fill="auto"/>
            <w:noWrap/>
            <w:vAlign w:val="bottom"/>
            <w:hideMark/>
          </w:tcPr>
          <w:p w14:paraId="46B7790B" w14:textId="6C4CFEA7" w:rsidR="00D264CA" w:rsidRPr="00AF04BD" w:rsidRDefault="00D264CA" w:rsidP="00D264CA">
            <w:pPr>
              <w:spacing w:after="0" w:line="240" w:lineRule="auto"/>
              <w:jc w:val="right"/>
              <w:rPr>
                <w:rFonts w:ascii="Arial" w:hAnsi="Arial" w:cs="Arial"/>
                <w:iCs/>
                <w:sz w:val="16"/>
                <w:szCs w:val="16"/>
              </w:rPr>
            </w:pPr>
            <w:r>
              <w:rPr>
                <w:rFonts w:ascii="Arial" w:hAnsi="Arial" w:cs="Arial"/>
                <w:sz w:val="16"/>
                <w:szCs w:val="16"/>
              </w:rPr>
              <w:t xml:space="preserve">2,711,865 </w:t>
            </w:r>
          </w:p>
        </w:tc>
      </w:tr>
      <w:tr w:rsidR="00D264CA" w:rsidRPr="00E33C0D" w14:paraId="69821D95" w14:textId="77777777" w:rsidTr="00F96D8A">
        <w:trPr>
          <w:trHeight w:val="204"/>
        </w:trPr>
        <w:tc>
          <w:tcPr>
            <w:tcW w:w="2996" w:type="dxa"/>
            <w:tcBorders>
              <w:top w:val="nil"/>
              <w:left w:val="nil"/>
              <w:bottom w:val="nil"/>
              <w:right w:val="nil"/>
            </w:tcBorders>
            <w:shd w:val="clear" w:color="auto" w:fill="auto"/>
            <w:noWrap/>
            <w:vAlign w:val="bottom"/>
            <w:hideMark/>
          </w:tcPr>
          <w:p w14:paraId="59C78F3B" w14:textId="77777777" w:rsidR="00D264CA" w:rsidRPr="00722716" w:rsidRDefault="00D264CA" w:rsidP="00D264CA">
            <w:pPr>
              <w:spacing w:after="0" w:line="240" w:lineRule="auto"/>
              <w:ind w:left="113"/>
              <w:jc w:val="left"/>
              <w:rPr>
                <w:rFonts w:ascii="Arial" w:hAnsi="Arial" w:cs="Arial"/>
                <w:b/>
                <w:bCs/>
                <w:iCs/>
                <w:sz w:val="16"/>
                <w:szCs w:val="16"/>
              </w:rPr>
            </w:pPr>
            <w:r w:rsidRPr="00722716">
              <w:rPr>
                <w:rFonts w:ascii="Arial" w:hAnsi="Arial" w:cs="Arial"/>
                <w:b/>
                <w:bCs/>
                <w:iCs/>
                <w:sz w:val="16"/>
                <w:szCs w:val="16"/>
              </w:rPr>
              <w:t>Total items</w:t>
            </w:r>
          </w:p>
        </w:tc>
        <w:tc>
          <w:tcPr>
            <w:tcW w:w="936" w:type="dxa"/>
            <w:tcBorders>
              <w:top w:val="single" w:sz="4" w:space="0" w:color="auto"/>
              <w:left w:val="nil"/>
              <w:bottom w:val="single" w:sz="4" w:space="0" w:color="auto"/>
              <w:right w:val="nil"/>
            </w:tcBorders>
            <w:shd w:val="clear" w:color="auto" w:fill="auto"/>
            <w:noWrap/>
            <w:vAlign w:val="bottom"/>
            <w:hideMark/>
          </w:tcPr>
          <w:p w14:paraId="57CEA073" w14:textId="7D57CA24" w:rsidR="00D264CA" w:rsidRPr="00AF04BD" w:rsidRDefault="00D264CA" w:rsidP="00D264CA">
            <w:pPr>
              <w:spacing w:after="0" w:line="240" w:lineRule="auto"/>
              <w:jc w:val="right"/>
              <w:rPr>
                <w:rFonts w:ascii="Arial" w:hAnsi="Arial" w:cs="Arial"/>
                <w:b/>
                <w:bCs/>
                <w:iCs/>
                <w:sz w:val="16"/>
                <w:szCs w:val="16"/>
              </w:rPr>
            </w:pPr>
            <w:r>
              <w:rPr>
                <w:rFonts w:ascii="Arial" w:hAnsi="Arial" w:cs="Arial"/>
                <w:b/>
                <w:bCs/>
                <w:sz w:val="16"/>
                <w:szCs w:val="16"/>
              </w:rPr>
              <w:t xml:space="preserve">2,151,024 </w:t>
            </w:r>
          </w:p>
        </w:tc>
        <w:tc>
          <w:tcPr>
            <w:tcW w:w="928" w:type="dxa"/>
            <w:tcBorders>
              <w:top w:val="single" w:sz="4" w:space="0" w:color="auto"/>
              <w:left w:val="nil"/>
              <w:bottom w:val="single" w:sz="4" w:space="0" w:color="auto"/>
              <w:right w:val="nil"/>
            </w:tcBorders>
            <w:shd w:val="clear" w:color="000000" w:fill="E6E6E6"/>
            <w:noWrap/>
            <w:vAlign w:val="bottom"/>
            <w:hideMark/>
          </w:tcPr>
          <w:p w14:paraId="2CEE49B3" w14:textId="18E5A8BC" w:rsidR="00D264CA" w:rsidRPr="00AF04BD" w:rsidRDefault="00D264CA" w:rsidP="00D264CA">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5,230,697 </w:t>
            </w:r>
          </w:p>
        </w:tc>
        <w:tc>
          <w:tcPr>
            <w:tcW w:w="937" w:type="dxa"/>
            <w:tcBorders>
              <w:top w:val="single" w:sz="4" w:space="0" w:color="auto"/>
              <w:left w:val="nil"/>
              <w:bottom w:val="single" w:sz="4" w:space="0" w:color="auto"/>
              <w:right w:val="nil"/>
            </w:tcBorders>
            <w:shd w:val="clear" w:color="auto" w:fill="auto"/>
            <w:noWrap/>
            <w:vAlign w:val="bottom"/>
            <w:hideMark/>
          </w:tcPr>
          <w:p w14:paraId="4C8E1D69" w14:textId="7DB26EDD" w:rsidR="00D264CA" w:rsidRPr="00AF04BD" w:rsidRDefault="00D264CA" w:rsidP="00D264CA">
            <w:pPr>
              <w:spacing w:after="0" w:line="240" w:lineRule="auto"/>
              <w:jc w:val="right"/>
              <w:rPr>
                <w:rFonts w:ascii="Arial" w:hAnsi="Arial" w:cs="Arial"/>
                <w:b/>
                <w:bCs/>
                <w:iCs/>
                <w:sz w:val="16"/>
                <w:szCs w:val="16"/>
              </w:rPr>
            </w:pPr>
            <w:r>
              <w:rPr>
                <w:rFonts w:ascii="Arial" w:hAnsi="Arial" w:cs="Arial"/>
                <w:b/>
                <w:bCs/>
                <w:sz w:val="16"/>
                <w:szCs w:val="16"/>
              </w:rPr>
              <w:t xml:space="preserve">4,425,864 </w:t>
            </w:r>
          </w:p>
        </w:tc>
        <w:tc>
          <w:tcPr>
            <w:tcW w:w="937" w:type="dxa"/>
            <w:tcBorders>
              <w:top w:val="single" w:sz="4" w:space="0" w:color="auto"/>
              <w:left w:val="nil"/>
              <w:bottom w:val="single" w:sz="4" w:space="0" w:color="auto"/>
              <w:right w:val="nil"/>
            </w:tcBorders>
            <w:shd w:val="clear" w:color="auto" w:fill="auto"/>
            <w:noWrap/>
            <w:vAlign w:val="bottom"/>
            <w:hideMark/>
          </w:tcPr>
          <w:p w14:paraId="030B26A1" w14:textId="4F66CAD1" w:rsidR="00D264CA" w:rsidRPr="00AF04BD" w:rsidRDefault="00D264CA" w:rsidP="00D264CA">
            <w:pPr>
              <w:spacing w:after="0" w:line="240" w:lineRule="auto"/>
              <w:jc w:val="right"/>
              <w:rPr>
                <w:rFonts w:ascii="Arial" w:hAnsi="Arial" w:cs="Arial"/>
                <w:b/>
                <w:bCs/>
                <w:iCs/>
                <w:sz w:val="16"/>
                <w:szCs w:val="16"/>
              </w:rPr>
            </w:pPr>
            <w:r>
              <w:rPr>
                <w:rFonts w:ascii="Arial" w:hAnsi="Arial" w:cs="Arial"/>
                <w:b/>
                <w:bCs/>
                <w:sz w:val="16"/>
                <w:szCs w:val="16"/>
              </w:rPr>
              <w:t xml:space="preserve">4,347,334 </w:t>
            </w:r>
          </w:p>
        </w:tc>
        <w:tc>
          <w:tcPr>
            <w:tcW w:w="937" w:type="dxa"/>
            <w:tcBorders>
              <w:top w:val="single" w:sz="4" w:space="0" w:color="auto"/>
              <w:left w:val="nil"/>
              <w:bottom w:val="single" w:sz="4" w:space="0" w:color="auto"/>
              <w:right w:val="nil"/>
            </w:tcBorders>
            <w:shd w:val="clear" w:color="auto" w:fill="auto"/>
            <w:noWrap/>
            <w:vAlign w:val="bottom"/>
            <w:hideMark/>
          </w:tcPr>
          <w:p w14:paraId="5DD5AE07" w14:textId="7B87F1B0" w:rsidR="00D264CA" w:rsidRPr="00AF04BD" w:rsidRDefault="00D264CA" w:rsidP="00D264CA">
            <w:pPr>
              <w:spacing w:after="0" w:line="240" w:lineRule="auto"/>
              <w:jc w:val="right"/>
              <w:rPr>
                <w:rFonts w:ascii="Arial" w:hAnsi="Arial" w:cs="Arial"/>
                <w:b/>
                <w:bCs/>
                <w:iCs/>
                <w:sz w:val="16"/>
                <w:szCs w:val="16"/>
              </w:rPr>
            </w:pPr>
            <w:r>
              <w:rPr>
                <w:rFonts w:ascii="Arial" w:hAnsi="Arial" w:cs="Arial"/>
                <w:b/>
                <w:bCs/>
                <w:sz w:val="16"/>
                <w:szCs w:val="16"/>
              </w:rPr>
              <w:t xml:space="preserve">2,731,593 </w:t>
            </w:r>
          </w:p>
        </w:tc>
      </w:tr>
      <w:tr w:rsidR="00D264CA" w:rsidRPr="00E33C0D" w14:paraId="32C8D16A" w14:textId="77777777" w:rsidTr="00F96D8A">
        <w:trPr>
          <w:trHeight w:val="204"/>
        </w:trPr>
        <w:tc>
          <w:tcPr>
            <w:tcW w:w="2996" w:type="dxa"/>
            <w:tcBorders>
              <w:top w:val="nil"/>
              <w:left w:val="nil"/>
              <w:bottom w:val="nil"/>
              <w:right w:val="nil"/>
            </w:tcBorders>
            <w:shd w:val="clear" w:color="auto" w:fill="auto"/>
            <w:vAlign w:val="bottom"/>
            <w:hideMark/>
          </w:tcPr>
          <w:p w14:paraId="3FB5C235" w14:textId="77777777" w:rsidR="00D264CA" w:rsidRPr="00E33C0D" w:rsidRDefault="00D264CA" w:rsidP="00D264CA">
            <w:pPr>
              <w:spacing w:after="0" w:line="240" w:lineRule="auto"/>
              <w:jc w:val="left"/>
              <w:rPr>
                <w:rFonts w:ascii="Arial" w:hAnsi="Arial" w:cs="Arial"/>
                <w:b/>
                <w:bCs/>
                <w:sz w:val="16"/>
                <w:szCs w:val="16"/>
              </w:rPr>
            </w:pPr>
            <w:r w:rsidRPr="00E33C0D">
              <w:rPr>
                <w:rFonts w:ascii="Arial" w:hAnsi="Arial" w:cs="Arial"/>
                <w:b/>
                <w:bCs/>
                <w:sz w:val="16"/>
                <w:szCs w:val="16"/>
              </w:rPr>
              <w:t>PURCHASE OF NON-FINANCIAL ASSETS</w:t>
            </w:r>
          </w:p>
        </w:tc>
        <w:tc>
          <w:tcPr>
            <w:tcW w:w="936" w:type="dxa"/>
            <w:tcBorders>
              <w:top w:val="nil"/>
              <w:left w:val="nil"/>
              <w:bottom w:val="nil"/>
              <w:right w:val="nil"/>
            </w:tcBorders>
            <w:shd w:val="clear" w:color="auto" w:fill="auto"/>
            <w:noWrap/>
            <w:vAlign w:val="bottom"/>
            <w:hideMark/>
          </w:tcPr>
          <w:p w14:paraId="3AE8465E" w14:textId="77777777" w:rsidR="00D264CA" w:rsidRPr="00AF04BD" w:rsidRDefault="00D264CA" w:rsidP="00D264CA">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7BE05930" w14:textId="79B6B658"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68CA8CDB" w14:textId="77777777" w:rsidR="00D264CA" w:rsidRPr="00AF04BD" w:rsidRDefault="00D264CA" w:rsidP="00D264C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D8AA8AB" w14:textId="77777777" w:rsidR="00D264CA" w:rsidRPr="00AF04BD" w:rsidRDefault="00D264CA" w:rsidP="00D264CA">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0B756C4F" w14:textId="77777777" w:rsidR="00D264CA" w:rsidRPr="00AF04BD" w:rsidRDefault="00D264CA" w:rsidP="00D264CA">
            <w:pPr>
              <w:spacing w:after="0" w:line="240" w:lineRule="auto"/>
              <w:jc w:val="right"/>
              <w:rPr>
                <w:rFonts w:ascii="Times New Roman" w:hAnsi="Times New Roman"/>
                <w:sz w:val="16"/>
                <w:szCs w:val="16"/>
              </w:rPr>
            </w:pPr>
          </w:p>
        </w:tc>
      </w:tr>
      <w:tr w:rsidR="00D264CA" w:rsidRPr="00E33C0D" w14:paraId="403FA490" w14:textId="77777777" w:rsidTr="00F96D8A">
        <w:trPr>
          <w:trHeight w:val="204"/>
        </w:trPr>
        <w:tc>
          <w:tcPr>
            <w:tcW w:w="2996" w:type="dxa"/>
            <w:tcBorders>
              <w:top w:val="nil"/>
              <w:left w:val="nil"/>
              <w:bottom w:val="nil"/>
              <w:right w:val="nil"/>
            </w:tcBorders>
            <w:shd w:val="clear" w:color="auto" w:fill="auto"/>
            <w:noWrap/>
            <w:vAlign w:val="bottom"/>
            <w:hideMark/>
          </w:tcPr>
          <w:p w14:paraId="5D16AA9F" w14:textId="77777777" w:rsidR="00D264CA" w:rsidRPr="00E33C0D" w:rsidRDefault="00D264CA" w:rsidP="00D264CA">
            <w:pPr>
              <w:spacing w:after="0" w:line="240" w:lineRule="auto"/>
              <w:ind w:left="113"/>
              <w:jc w:val="left"/>
              <w:rPr>
                <w:rFonts w:ascii="Arial" w:hAnsi="Arial" w:cs="Arial"/>
                <w:sz w:val="16"/>
                <w:szCs w:val="16"/>
              </w:rPr>
            </w:pPr>
            <w:r w:rsidRPr="00E33C0D">
              <w:rPr>
                <w:rFonts w:ascii="Arial" w:hAnsi="Arial" w:cs="Arial"/>
                <w:sz w:val="16"/>
                <w:szCs w:val="16"/>
              </w:rPr>
              <w:t xml:space="preserve">Funded by capital appropriations </w:t>
            </w:r>
          </w:p>
        </w:tc>
        <w:tc>
          <w:tcPr>
            <w:tcW w:w="936" w:type="dxa"/>
            <w:tcBorders>
              <w:top w:val="nil"/>
              <w:left w:val="nil"/>
              <w:bottom w:val="nil"/>
              <w:right w:val="nil"/>
            </w:tcBorders>
            <w:shd w:val="clear" w:color="auto" w:fill="auto"/>
            <w:noWrap/>
            <w:vAlign w:val="bottom"/>
            <w:hideMark/>
          </w:tcPr>
          <w:p w14:paraId="499C6ACE" w14:textId="1279031D"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30,122 </w:t>
            </w:r>
          </w:p>
        </w:tc>
        <w:tc>
          <w:tcPr>
            <w:tcW w:w="928" w:type="dxa"/>
            <w:tcBorders>
              <w:top w:val="nil"/>
              <w:left w:val="nil"/>
              <w:bottom w:val="nil"/>
              <w:right w:val="nil"/>
            </w:tcBorders>
            <w:shd w:val="clear" w:color="000000" w:fill="E6E6E6"/>
            <w:noWrap/>
            <w:vAlign w:val="bottom"/>
            <w:hideMark/>
          </w:tcPr>
          <w:p w14:paraId="10BA40E6" w14:textId="11294EC2"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62,248 </w:t>
            </w:r>
          </w:p>
        </w:tc>
        <w:tc>
          <w:tcPr>
            <w:tcW w:w="937" w:type="dxa"/>
            <w:tcBorders>
              <w:top w:val="nil"/>
              <w:left w:val="nil"/>
              <w:bottom w:val="nil"/>
              <w:right w:val="nil"/>
            </w:tcBorders>
            <w:shd w:val="clear" w:color="auto" w:fill="auto"/>
            <w:noWrap/>
            <w:vAlign w:val="bottom"/>
            <w:hideMark/>
          </w:tcPr>
          <w:p w14:paraId="545865C9" w14:textId="5A1B4938"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53,424 </w:t>
            </w:r>
          </w:p>
        </w:tc>
        <w:tc>
          <w:tcPr>
            <w:tcW w:w="937" w:type="dxa"/>
            <w:tcBorders>
              <w:top w:val="nil"/>
              <w:left w:val="nil"/>
              <w:bottom w:val="nil"/>
              <w:right w:val="nil"/>
            </w:tcBorders>
            <w:shd w:val="clear" w:color="auto" w:fill="auto"/>
            <w:noWrap/>
            <w:vAlign w:val="bottom"/>
            <w:hideMark/>
          </w:tcPr>
          <w:p w14:paraId="5E45ACA1" w14:textId="78448638"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20,010 </w:t>
            </w:r>
          </w:p>
        </w:tc>
        <w:tc>
          <w:tcPr>
            <w:tcW w:w="937" w:type="dxa"/>
            <w:tcBorders>
              <w:top w:val="nil"/>
              <w:left w:val="nil"/>
              <w:bottom w:val="nil"/>
              <w:right w:val="nil"/>
            </w:tcBorders>
            <w:shd w:val="clear" w:color="auto" w:fill="auto"/>
            <w:noWrap/>
            <w:vAlign w:val="bottom"/>
            <w:hideMark/>
          </w:tcPr>
          <w:p w14:paraId="31FC89CF" w14:textId="1E7D0AF8"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2,010 </w:t>
            </w:r>
          </w:p>
        </w:tc>
      </w:tr>
      <w:tr w:rsidR="00D264CA" w:rsidRPr="00E33C0D" w14:paraId="6F3572AF" w14:textId="77777777" w:rsidTr="00F96D8A">
        <w:trPr>
          <w:trHeight w:val="204"/>
        </w:trPr>
        <w:tc>
          <w:tcPr>
            <w:tcW w:w="2996" w:type="dxa"/>
            <w:tcBorders>
              <w:top w:val="nil"/>
              <w:left w:val="nil"/>
              <w:bottom w:val="nil"/>
              <w:right w:val="nil"/>
            </w:tcBorders>
            <w:shd w:val="clear" w:color="auto" w:fill="auto"/>
            <w:vAlign w:val="bottom"/>
            <w:hideMark/>
          </w:tcPr>
          <w:p w14:paraId="64990466" w14:textId="77777777" w:rsidR="00D264CA" w:rsidRPr="00E33C0D" w:rsidRDefault="00D264CA" w:rsidP="00D264CA">
            <w:pPr>
              <w:spacing w:after="0" w:line="240" w:lineRule="auto"/>
              <w:ind w:left="113"/>
              <w:jc w:val="left"/>
              <w:rPr>
                <w:rFonts w:ascii="Arial" w:hAnsi="Arial" w:cs="Arial"/>
                <w:sz w:val="16"/>
                <w:szCs w:val="16"/>
              </w:rPr>
            </w:pPr>
            <w:r w:rsidRPr="00E33C0D">
              <w:rPr>
                <w:rFonts w:ascii="Arial" w:hAnsi="Arial" w:cs="Arial"/>
                <w:sz w:val="16"/>
                <w:szCs w:val="16"/>
              </w:rPr>
              <w:t>Funded by capital appropriation -</w:t>
            </w:r>
            <w:r>
              <w:rPr>
                <w:rFonts w:ascii="Arial" w:hAnsi="Arial" w:cs="Arial"/>
                <w:sz w:val="16"/>
                <w:szCs w:val="16"/>
              </w:rPr>
              <w:t> </w:t>
            </w:r>
            <w:r w:rsidRPr="00E33C0D">
              <w:rPr>
                <w:rFonts w:ascii="Arial" w:hAnsi="Arial" w:cs="Arial"/>
                <w:sz w:val="16"/>
                <w:szCs w:val="16"/>
              </w:rPr>
              <w:t>ACB</w:t>
            </w:r>
          </w:p>
        </w:tc>
        <w:tc>
          <w:tcPr>
            <w:tcW w:w="936" w:type="dxa"/>
            <w:tcBorders>
              <w:top w:val="nil"/>
              <w:left w:val="nil"/>
              <w:bottom w:val="nil"/>
              <w:right w:val="nil"/>
            </w:tcBorders>
            <w:shd w:val="clear" w:color="auto" w:fill="auto"/>
            <w:noWrap/>
            <w:vAlign w:val="bottom"/>
            <w:hideMark/>
          </w:tcPr>
          <w:p w14:paraId="5D4A9FF5" w14:textId="1C827459"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21,362 </w:t>
            </w:r>
          </w:p>
        </w:tc>
        <w:tc>
          <w:tcPr>
            <w:tcW w:w="928" w:type="dxa"/>
            <w:tcBorders>
              <w:top w:val="nil"/>
              <w:left w:val="nil"/>
              <w:bottom w:val="nil"/>
              <w:right w:val="nil"/>
            </w:tcBorders>
            <w:shd w:val="clear" w:color="000000" w:fill="E6E6E6"/>
            <w:noWrap/>
            <w:vAlign w:val="bottom"/>
            <w:hideMark/>
          </w:tcPr>
          <w:p w14:paraId="12E77138" w14:textId="109A9DC5"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39,244 </w:t>
            </w:r>
          </w:p>
        </w:tc>
        <w:tc>
          <w:tcPr>
            <w:tcW w:w="937" w:type="dxa"/>
            <w:tcBorders>
              <w:top w:val="nil"/>
              <w:left w:val="nil"/>
              <w:bottom w:val="nil"/>
              <w:right w:val="nil"/>
            </w:tcBorders>
            <w:shd w:val="clear" w:color="auto" w:fill="auto"/>
            <w:noWrap/>
            <w:vAlign w:val="bottom"/>
            <w:hideMark/>
          </w:tcPr>
          <w:p w14:paraId="53EF2472" w14:textId="0FDEB509"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26,502 </w:t>
            </w:r>
          </w:p>
        </w:tc>
        <w:tc>
          <w:tcPr>
            <w:tcW w:w="937" w:type="dxa"/>
            <w:tcBorders>
              <w:top w:val="nil"/>
              <w:left w:val="nil"/>
              <w:bottom w:val="nil"/>
              <w:right w:val="nil"/>
            </w:tcBorders>
            <w:shd w:val="clear" w:color="auto" w:fill="auto"/>
            <w:noWrap/>
            <w:vAlign w:val="bottom"/>
            <w:hideMark/>
          </w:tcPr>
          <w:p w14:paraId="1855FE9C" w14:textId="7046F88A"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19,316 </w:t>
            </w:r>
          </w:p>
        </w:tc>
        <w:tc>
          <w:tcPr>
            <w:tcW w:w="937" w:type="dxa"/>
            <w:tcBorders>
              <w:top w:val="nil"/>
              <w:left w:val="nil"/>
              <w:bottom w:val="nil"/>
              <w:right w:val="nil"/>
            </w:tcBorders>
            <w:shd w:val="clear" w:color="auto" w:fill="auto"/>
            <w:noWrap/>
            <w:vAlign w:val="bottom"/>
            <w:hideMark/>
          </w:tcPr>
          <w:p w14:paraId="36156E4E" w14:textId="0B1D2171"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17,718 </w:t>
            </w:r>
          </w:p>
        </w:tc>
      </w:tr>
      <w:tr w:rsidR="00D264CA" w:rsidRPr="00E33C0D" w14:paraId="17CC3AFE" w14:textId="77777777" w:rsidTr="00F96D8A">
        <w:trPr>
          <w:trHeight w:val="204"/>
        </w:trPr>
        <w:tc>
          <w:tcPr>
            <w:tcW w:w="2996" w:type="dxa"/>
            <w:tcBorders>
              <w:top w:val="nil"/>
              <w:left w:val="nil"/>
              <w:bottom w:val="nil"/>
              <w:right w:val="nil"/>
            </w:tcBorders>
            <w:shd w:val="clear" w:color="auto" w:fill="auto"/>
            <w:noWrap/>
            <w:vAlign w:val="bottom"/>
            <w:hideMark/>
          </w:tcPr>
          <w:p w14:paraId="707DA74C" w14:textId="77777777" w:rsidR="00D264CA" w:rsidRPr="00E33C0D" w:rsidRDefault="00D264CA" w:rsidP="00D264CA">
            <w:pPr>
              <w:spacing w:after="0" w:line="240" w:lineRule="auto"/>
              <w:jc w:val="left"/>
              <w:rPr>
                <w:rFonts w:ascii="Arial" w:hAnsi="Arial" w:cs="Arial"/>
                <w:b/>
                <w:bCs/>
                <w:sz w:val="16"/>
                <w:szCs w:val="16"/>
              </w:rPr>
            </w:pPr>
            <w:r w:rsidRPr="00E33C0D">
              <w:rPr>
                <w:rFonts w:ascii="Arial" w:hAnsi="Arial" w:cs="Arial"/>
                <w:b/>
                <w:bCs/>
                <w:sz w:val="16"/>
                <w:szCs w:val="16"/>
              </w:rPr>
              <w:t>TOTAL</w:t>
            </w:r>
          </w:p>
        </w:tc>
        <w:tc>
          <w:tcPr>
            <w:tcW w:w="936" w:type="dxa"/>
            <w:tcBorders>
              <w:top w:val="single" w:sz="4" w:space="0" w:color="auto"/>
              <w:left w:val="nil"/>
              <w:bottom w:val="single" w:sz="4" w:space="0" w:color="auto"/>
              <w:right w:val="nil"/>
            </w:tcBorders>
            <w:shd w:val="clear" w:color="auto" w:fill="auto"/>
            <w:noWrap/>
            <w:vAlign w:val="bottom"/>
            <w:hideMark/>
          </w:tcPr>
          <w:p w14:paraId="1F87F50A" w14:textId="3480577A"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51,484 </w:t>
            </w:r>
          </w:p>
        </w:tc>
        <w:tc>
          <w:tcPr>
            <w:tcW w:w="928" w:type="dxa"/>
            <w:tcBorders>
              <w:top w:val="single" w:sz="4" w:space="0" w:color="000000"/>
              <w:left w:val="nil"/>
              <w:bottom w:val="single" w:sz="4" w:space="0" w:color="auto"/>
              <w:right w:val="nil"/>
            </w:tcBorders>
            <w:shd w:val="clear" w:color="000000" w:fill="E6E6E6"/>
            <w:noWrap/>
            <w:vAlign w:val="bottom"/>
            <w:hideMark/>
          </w:tcPr>
          <w:p w14:paraId="3DD03FCC" w14:textId="7331C4CF" w:rsidR="00D264CA" w:rsidRPr="00AF04BD" w:rsidRDefault="00D264CA" w:rsidP="00D264CA">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101,492 </w:t>
            </w:r>
          </w:p>
        </w:tc>
        <w:tc>
          <w:tcPr>
            <w:tcW w:w="937" w:type="dxa"/>
            <w:tcBorders>
              <w:top w:val="single" w:sz="4" w:space="0" w:color="auto"/>
              <w:left w:val="nil"/>
              <w:bottom w:val="single" w:sz="4" w:space="0" w:color="auto"/>
              <w:right w:val="nil"/>
            </w:tcBorders>
            <w:shd w:val="clear" w:color="auto" w:fill="auto"/>
            <w:noWrap/>
            <w:vAlign w:val="bottom"/>
            <w:hideMark/>
          </w:tcPr>
          <w:p w14:paraId="792C53AA" w14:textId="6E31BB14"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79,926 </w:t>
            </w:r>
          </w:p>
        </w:tc>
        <w:tc>
          <w:tcPr>
            <w:tcW w:w="937" w:type="dxa"/>
            <w:tcBorders>
              <w:top w:val="single" w:sz="4" w:space="0" w:color="auto"/>
              <w:left w:val="nil"/>
              <w:bottom w:val="single" w:sz="4" w:space="0" w:color="auto"/>
              <w:right w:val="nil"/>
            </w:tcBorders>
            <w:shd w:val="clear" w:color="auto" w:fill="auto"/>
            <w:noWrap/>
            <w:vAlign w:val="bottom"/>
            <w:hideMark/>
          </w:tcPr>
          <w:p w14:paraId="3492A9CD" w14:textId="0C9654CD"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39,326 </w:t>
            </w:r>
          </w:p>
        </w:tc>
        <w:tc>
          <w:tcPr>
            <w:tcW w:w="937" w:type="dxa"/>
            <w:tcBorders>
              <w:top w:val="single" w:sz="4" w:space="0" w:color="auto"/>
              <w:left w:val="nil"/>
              <w:bottom w:val="single" w:sz="4" w:space="0" w:color="auto"/>
              <w:right w:val="nil"/>
            </w:tcBorders>
            <w:shd w:val="clear" w:color="auto" w:fill="auto"/>
            <w:noWrap/>
            <w:vAlign w:val="bottom"/>
            <w:hideMark/>
          </w:tcPr>
          <w:p w14:paraId="7988FFDA" w14:textId="76A5A648"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19,728 </w:t>
            </w:r>
          </w:p>
        </w:tc>
      </w:tr>
      <w:tr w:rsidR="00D264CA" w:rsidRPr="00E33C0D" w14:paraId="720822B0" w14:textId="77777777" w:rsidTr="00F96D8A">
        <w:trPr>
          <w:trHeight w:val="204"/>
        </w:trPr>
        <w:tc>
          <w:tcPr>
            <w:tcW w:w="2996" w:type="dxa"/>
            <w:tcBorders>
              <w:top w:val="nil"/>
              <w:left w:val="nil"/>
              <w:bottom w:val="nil"/>
              <w:right w:val="nil"/>
            </w:tcBorders>
            <w:shd w:val="clear" w:color="auto" w:fill="auto"/>
            <w:vAlign w:val="bottom"/>
            <w:hideMark/>
          </w:tcPr>
          <w:p w14:paraId="10FFF23A" w14:textId="77777777" w:rsidR="00D264CA" w:rsidRPr="00E33C0D" w:rsidRDefault="00D264CA" w:rsidP="00D264CA">
            <w:pPr>
              <w:spacing w:after="0" w:line="240" w:lineRule="auto"/>
              <w:jc w:val="left"/>
              <w:rPr>
                <w:rFonts w:ascii="Arial" w:hAnsi="Arial" w:cs="Arial"/>
                <w:b/>
                <w:bCs/>
                <w:sz w:val="16"/>
                <w:szCs w:val="16"/>
              </w:rPr>
            </w:pPr>
            <w:r w:rsidRPr="00E33C0D">
              <w:rPr>
                <w:rFonts w:ascii="Arial" w:hAnsi="Arial" w:cs="Arial"/>
                <w:b/>
                <w:bCs/>
                <w:sz w:val="16"/>
                <w:szCs w:val="16"/>
              </w:rPr>
              <w:t>RECONCILIATION OF CASH USED TO ACQUIRE ASSETS TO ASSET MOVEMENT TABLE</w:t>
            </w:r>
          </w:p>
        </w:tc>
        <w:tc>
          <w:tcPr>
            <w:tcW w:w="936" w:type="dxa"/>
            <w:tcBorders>
              <w:top w:val="nil"/>
              <w:left w:val="nil"/>
              <w:bottom w:val="nil"/>
              <w:right w:val="nil"/>
            </w:tcBorders>
            <w:shd w:val="clear" w:color="auto" w:fill="auto"/>
            <w:noWrap/>
            <w:vAlign w:val="bottom"/>
            <w:hideMark/>
          </w:tcPr>
          <w:p w14:paraId="45FC4747" w14:textId="77777777" w:rsidR="00D264CA" w:rsidRPr="00AF04BD" w:rsidRDefault="00D264CA" w:rsidP="00D264CA">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7A474F13" w14:textId="4727A0E1"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1CB17567" w14:textId="77777777" w:rsidR="00D264CA" w:rsidRPr="00AF04BD" w:rsidRDefault="00D264CA" w:rsidP="00D264CA">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EF1C0AA" w14:textId="77777777" w:rsidR="00D264CA" w:rsidRPr="00AF04BD" w:rsidRDefault="00D264CA" w:rsidP="00D264CA">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7B792833" w14:textId="77777777" w:rsidR="00D264CA" w:rsidRPr="00AF04BD" w:rsidRDefault="00D264CA" w:rsidP="00D264CA">
            <w:pPr>
              <w:spacing w:after="0" w:line="240" w:lineRule="auto"/>
              <w:jc w:val="right"/>
              <w:rPr>
                <w:rFonts w:ascii="Times New Roman" w:hAnsi="Times New Roman"/>
                <w:sz w:val="16"/>
                <w:szCs w:val="16"/>
              </w:rPr>
            </w:pPr>
          </w:p>
        </w:tc>
      </w:tr>
      <w:tr w:rsidR="00D264CA" w:rsidRPr="00E33C0D" w14:paraId="0435CCEE" w14:textId="77777777" w:rsidTr="00F96D8A">
        <w:trPr>
          <w:trHeight w:val="204"/>
        </w:trPr>
        <w:tc>
          <w:tcPr>
            <w:tcW w:w="2996" w:type="dxa"/>
            <w:tcBorders>
              <w:top w:val="nil"/>
              <w:left w:val="nil"/>
              <w:bottom w:val="nil"/>
              <w:right w:val="nil"/>
            </w:tcBorders>
            <w:shd w:val="clear" w:color="auto" w:fill="auto"/>
            <w:noWrap/>
            <w:vAlign w:val="bottom"/>
            <w:hideMark/>
          </w:tcPr>
          <w:p w14:paraId="3D27A503" w14:textId="77777777" w:rsidR="00D264CA" w:rsidRPr="00E33C0D" w:rsidRDefault="00D264CA" w:rsidP="00D264CA">
            <w:pPr>
              <w:spacing w:after="0" w:line="240" w:lineRule="auto"/>
              <w:ind w:left="113"/>
              <w:jc w:val="left"/>
              <w:rPr>
                <w:rFonts w:ascii="Arial" w:hAnsi="Arial" w:cs="Arial"/>
                <w:sz w:val="16"/>
                <w:szCs w:val="16"/>
              </w:rPr>
            </w:pPr>
            <w:r w:rsidRPr="00E33C0D">
              <w:rPr>
                <w:rFonts w:ascii="Arial" w:hAnsi="Arial" w:cs="Arial"/>
                <w:sz w:val="16"/>
                <w:szCs w:val="16"/>
              </w:rPr>
              <w:t>Total accrual purchases</w:t>
            </w:r>
          </w:p>
        </w:tc>
        <w:tc>
          <w:tcPr>
            <w:tcW w:w="936" w:type="dxa"/>
            <w:tcBorders>
              <w:top w:val="nil"/>
              <w:left w:val="nil"/>
              <w:bottom w:val="nil"/>
              <w:right w:val="nil"/>
            </w:tcBorders>
            <w:shd w:val="clear" w:color="auto" w:fill="auto"/>
            <w:noWrap/>
            <w:vAlign w:val="bottom"/>
            <w:hideMark/>
          </w:tcPr>
          <w:p w14:paraId="34F22D4C" w14:textId="6143C9CB"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51,484 </w:t>
            </w:r>
          </w:p>
        </w:tc>
        <w:tc>
          <w:tcPr>
            <w:tcW w:w="928" w:type="dxa"/>
            <w:tcBorders>
              <w:top w:val="nil"/>
              <w:left w:val="nil"/>
              <w:bottom w:val="nil"/>
              <w:right w:val="nil"/>
            </w:tcBorders>
            <w:shd w:val="clear" w:color="000000" w:fill="E6E6E6"/>
            <w:noWrap/>
            <w:vAlign w:val="bottom"/>
            <w:hideMark/>
          </w:tcPr>
          <w:p w14:paraId="49C081D8" w14:textId="48DC3576" w:rsidR="00D264CA" w:rsidRPr="00AF04BD" w:rsidRDefault="00D264CA" w:rsidP="00D264CA">
            <w:pPr>
              <w:spacing w:after="0" w:line="240" w:lineRule="auto"/>
              <w:jc w:val="right"/>
              <w:rPr>
                <w:rFonts w:ascii="Arial" w:hAnsi="Arial" w:cs="Arial"/>
                <w:color w:val="000000"/>
                <w:sz w:val="16"/>
                <w:szCs w:val="16"/>
              </w:rPr>
            </w:pPr>
            <w:r>
              <w:rPr>
                <w:rFonts w:ascii="Arial" w:hAnsi="Arial" w:cs="Arial"/>
                <w:color w:val="000000"/>
                <w:sz w:val="16"/>
                <w:szCs w:val="16"/>
              </w:rPr>
              <w:t xml:space="preserve">101,492 </w:t>
            </w:r>
          </w:p>
        </w:tc>
        <w:tc>
          <w:tcPr>
            <w:tcW w:w="937" w:type="dxa"/>
            <w:tcBorders>
              <w:top w:val="nil"/>
              <w:left w:val="nil"/>
              <w:bottom w:val="nil"/>
              <w:right w:val="nil"/>
            </w:tcBorders>
            <w:shd w:val="clear" w:color="auto" w:fill="auto"/>
            <w:noWrap/>
            <w:vAlign w:val="bottom"/>
            <w:hideMark/>
          </w:tcPr>
          <w:p w14:paraId="79420F03" w14:textId="532AC2B9"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79,926 </w:t>
            </w:r>
          </w:p>
        </w:tc>
        <w:tc>
          <w:tcPr>
            <w:tcW w:w="937" w:type="dxa"/>
            <w:tcBorders>
              <w:top w:val="nil"/>
              <w:left w:val="nil"/>
              <w:bottom w:val="nil"/>
              <w:right w:val="nil"/>
            </w:tcBorders>
            <w:shd w:val="clear" w:color="auto" w:fill="auto"/>
            <w:noWrap/>
            <w:vAlign w:val="bottom"/>
            <w:hideMark/>
          </w:tcPr>
          <w:p w14:paraId="7646D43B" w14:textId="19C95E47"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39,326 </w:t>
            </w:r>
          </w:p>
        </w:tc>
        <w:tc>
          <w:tcPr>
            <w:tcW w:w="937" w:type="dxa"/>
            <w:tcBorders>
              <w:top w:val="nil"/>
              <w:left w:val="nil"/>
              <w:bottom w:val="nil"/>
              <w:right w:val="nil"/>
            </w:tcBorders>
            <w:shd w:val="clear" w:color="auto" w:fill="auto"/>
            <w:noWrap/>
            <w:vAlign w:val="bottom"/>
            <w:hideMark/>
          </w:tcPr>
          <w:p w14:paraId="1648DC3D" w14:textId="7502517A" w:rsidR="00D264CA" w:rsidRPr="00AF04BD" w:rsidRDefault="00D264CA" w:rsidP="00D264CA">
            <w:pPr>
              <w:spacing w:after="0" w:line="240" w:lineRule="auto"/>
              <w:jc w:val="right"/>
              <w:rPr>
                <w:rFonts w:ascii="Arial" w:hAnsi="Arial" w:cs="Arial"/>
                <w:sz w:val="16"/>
                <w:szCs w:val="16"/>
              </w:rPr>
            </w:pPr>
            <w:r>
              <w:rPr>
                <w:rFonts w:ascii="Arial" w:hAnsi="Arial" w:cs="Arial"/>
                <w:sz w:val="16"/>
                <w:szCs w:val="16"/>
              </w:rPr>
              <w:t xml:space="preserve">19,728 </w:t>
            </w:r>
          </w:p>
        </w:tc>
      </w:tr>
      <w:tr w:rsidR="00D264CA" w:rsidRPr="00E33C0D" w14:paraId="11D608FC" w14:textId="77777777" w:rsidTr="00F96D8A">
        <w:trPr>
          <w:trHeight w:val="204"/>
        </w:trPr>
        <w:tc>
          <w:tcPr>
            <w:tcW w:w="2996" w:type="dxa"/>
            <w:tcBorders>
              <w:top w:val="nil"/>
              <w:left w:val="nil"/>
              <w:bottom w:val="single" w:sz="4" w:space="0" w:color="auto"/>
              <w:right w:val="nil"/>
            </w:tcBorders>
            <w:shd w:val="clear" w:color="auto" w:fill="auto"/>
            <w:vAlign w:val="bottom"/>
            <w:hideMark/>
          </w:tcPr>
          <w:p w14:paraId="1F0385DA" w14:textId="77777777" w:rsidR="00D264CA" w:rsidRPr="00E33C0D" w:rsidRDefault="00D264CA" w:rsidP="00D264CA">
            <w:pPr>
              <w:spacing w:after="0" w:line="240" w:lineRule="auto"/>
              <w:jc w:val="left"/>
              <w:rPr>
                <w:rFonts w:ascii="Arial" w:hAnsi="Arial" w:cs="Arial"/>
                <w:b/>
                <w:bCs/>
                <w:sz w:val="16"/>
                <w:szCs w:val="16"/>
              </w:rPr>
            </w:pPr>
            <w:r w:rsidRPr="00E33C0D">
              <w:rPr>
                <w:rFonts w:ascii="Arial" w:hAnsi="Arial" w:cs="Arial"/>
                <w:b/>
                <w:bCs/>
                <w:sz w:val="16"/>
                <w:szCs w:val="16"/>
              </w:rPr>
              <w:t>Total cash used to acquire assets</w:t>
            </w:r>
          </w:p>
        </w:tc>
        <w:tc>
          <w:tcPr>
            <w:tcW w:w="936" w:type="dxa"/>
            <w:tcBorders>
              <w:top w:val="single" w:sz="4" w:space="0" w:color="auto"/>
              <w:left w:val="nil"/>
              <w:bottom w:val="single" w:sz="4" w:space="0" w:color="auto"/>
              <w:right w:val="nil"/>
            </w:tcBorders>
            <w:shd w:val="clear" w:color="auto" w:fill="auto"/>
            <w:noWrap/>
            <w:vAlign w:val="bottom"/>
            <w:hideMark/>
          </w:tcPr>
          <w:p w14:paraId="6532C94B" w14:textId="1C7F366E"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51,484 </w:t>
            </w:r>
          </w:p>
        </w:tc>
        <w:tc>
          <w:tcPr>
            <w:tcW w:w="928" w:type="dxa"/>
            <w:tcBorders>
              <w:top w:val="single" w:sz="4" w:space="0" w:color="auto"/>
              <w:left w:val="nil"/>
              <w:bottom w:val="single" w:sz="4" w:space="0" w:color="auto"/>
              <w:right w:val="nil"/>
            </w:tcBorders>
            <w:shd w:val="clear" w:color="000000" w:fill="E6E6E6"/>
            <w:noWrap/>
            <w:vAlign w:val="bottom"/>
            <w:hideMark/>
          </w:tcPr>
          <w:p w14:paraId="68613EED" w14:textId="62146975" w:rsidR="00D264CA" w:rsidRPr="00AF04BD" w:rsidRDefault="00D264CA" w:rsidP="00D264CA">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101,492 </w:t>
            </w:r>
          </w:p>
        </w:tc>
        <w:tc>
          <w:tcPr>
            <w:tcW w:w="937" w:type="dxa"/>
            <w:tcBorders>
              <w:top w:val="single" w:sz="4" w:space="0" w:color="auto"/>
              <w:left w:val="nil"/>
              <w:bottom w:val="single" w:sz="4" w:space="0" w:color="auto"/>
              <w:right w:val="nil"/>
            </w:tcBorders>
            <w:shd w:val="clear" w:color="auto" w:fill="auto"/>
            <w:noWrap/>
            <w:vAlign w:val="bottom"/>
            <w:hideMark/>
          </w:tcPr>
          <w:p w14:paraId="75B7ED86" w14:textId="6349407B"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79,926 </w:t>
            </w:r>
          </w:p>
        </w:tc>
        <w:tc>
          <w:tcPr>
            <w:tcW w:w="937" w:type="dxa"/>
            <w:tcBorders>
              <w:top w:val="single" w:sz="4" w:space="0" w:color="auto"/>
              <w:left w:val="nil"/>
              <w:bottom w:val="single" w:sz="4" w:space="0" w:color="auto"/>
              <w:right w:val="nil"/>
            </w:tcBorders>
            <w:shd w:val="clear" w:color="auto" w:fill="auto"/>
            <w:noWrap/>
            <w:vAlign w:val="bottom"/>
            <w:hideMark/>
          </w:tcPr>
          <w:p w14:paraId="2C202F4F" w14:textId="68101360"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39,326 </w:t>
            </w:r>
          </w:p>
        </w:tc>
        <w:tc>
          <w:tcPr>
            <w:tcW w:w="937" w:type="dxa"/>
            <w:tcBorders>
              <w:top w:val="single" w:sz="4" w:space="0" w:color="auto"/>
              <w:left w:val="nil"/>
              <w:bottom w:val="single" w:sz="4" w:space="0" w:color="auto"/>
              <w:right w:val="nil"/>
            </w:tcBorders>
            <w:shd w:val="clear" w:color="auto" w:fill="auto"/>
            <w:noWrap/>
            <w:vAlign w:val="bottom"/>
            <w:hideMark/>
          </w:tcPr>
          <w:p w14:paraId="69C3A677" w14:textId="446072AE" w:rsidR="00D264CA" w:rsidRPr="00AF04BD" w:rsidRDefault="00D264CA" w:rsidP="00D264CA">
            <w:pPr>
              <w:spacing w:after="0" w:line="240" w:lineRule="auto"/>
              <w:jc w:val="right"/>
              <w:rPr>
                <w:rFonts w:ascii="Arial" w:hAnsi="Arial" w:cs="Arial"/>
                <w:b/>
                <w:bCs/>
                <w:sz w:val="16"/>
                <w:szCs w:val="16"/>
              </w:rPr>
            </w:pPr>
            <w:r>
              <w:rPr>
                <w:rFonts w:ascii="Arial" w:hAnsi="Arial" w:cs="Arial"/>
                <w:b/>
                <w:bCs/>
                <w:sz w:val="16"/>
                <w:szCs w:val="16"/>
              </w:rPr>
              <w:t xml:space="preserve">19,728 </w:t>
            </w:r>
          </w:p>
        </w:tc>
      </w:tr>
    </w:tbl>
    <w:p w14:paraId="5B2378A6" w14:textId="77777777" w:rsidR="00B91F3E" w:rsidRPr="00013FFB" w:rsidRDefault="00B91F3E" w:rsidP="00B91F3E">
      <w:pPr>
        <w:pStyle w:val="Source"/>
        <w:spacing w:before="60"/>
        <w:rPr>
          <w:rFonts w:cs="Arial"/>
          <w:szCs w:val="16"/>
        </w:rPr>
      </w:pPr>
      <w:r w:rsidRPr="00B7521F">
        <w:rPr>
          <w:rFonts w:cs="Arial"/>
          <w:szCs w:val="16"/>
        </w:rPr>
        <w:t>Prepared on Australian Accounting Standards basis.</w:t>
      </w:r>
    </w:p>
    <w:p w14:paraId="7AD84E9E" w14:textId="77777777" w:rsidR="00B91F3E" w:rsidRPr="005B6A94" w:rsidRDefault="00B91F3E" w:rsidP="00B91F3E">
      <w:pPr>
        <w:pStyle w:val="ExampleText0"/>
        <w:spacing w:before="60"/>
        <w:rPr>
          <w:i w:val="0"/>
        </w:rPr>
        <w:sectPr w:rsidR="00B91F3E" w:rsidRPr="005B6A94" w:rsidSect="00F96D8A">
          <w:headerReference w:type="even" r:id="rId35"/>
          <w:headerReference w:type="default" r:id="rId36"/>
          <w:footerReference w:type="even" r:id="rId37"/>
          <w:footerReference w:type="default" r:id="rId38"/>
          <w:headerReference w:type="first" r:id="rId39"/>
          <w:footerReference w:type="first" r:id="rId40"/>
          <w:pgSz w:w="11906" w:h="16838" w:code="9"/>
          <w:pgMar w:top="2835" w:right="2098" w:bottom="2466" w:left="2098" w:header="1814" w:footer="1814" w:gutter="0"/>
          <w:cols w:space="708"/>
          <w:titlePg/>
          <w:docGrid w:linePitch="360"/>
        </w:sectPr>
      </w:pPr>
    </w:p>
    <w:p w14:paraId="574D0D31" w14:textId="77777777" w:rsidR="00B91F3E" w:rsidRPr="00C523EE" w:rsidRDefault="00B91F3E" w:rsidP="00B91F3E">
      <w:pPr>
        <w:pStyle w:val="TableHeading"/>
        <w:keepNext w:val="0"/>
        <w:spacing w:after="0" w:line="260" w:lineRule="exact"/>
        <w:jc w:val="both"/>
        <w:rPr>
          <w:lang w:val="en-AU"/>
        </w:rPr>
      </w:pPr>
      <w:r>
        <w:lastRenderedPageBreak/>
        <w:t xml:space="preserve">Table 3.11: Statement of administered asset movements (Budget year </w:t>
      </w:r>
      <w:r>
        <w:rPr>
          <w:lang w:val="en-AU"/>
        </w:rPr>
        <w:t>2022-23</w:t>
      </w:r>
      <w:r>
        <w:t>)</w:t>
      </w:r>
    </w:p>
    <w:tbl>
      <w:tblPr>
        <w:tblW w:w="7769" w:type="dxa"/>
        <w:tblLayout w:type="fixed"/>
        <w:tblLook w:val="04A0" w:firstRow="1" w:lastRow="0" w:firstColumn="1" w:lastColumn="0" w:noHBand="0" w:noVBand="1"/>
      </w:tblPr>
      <w:tblGrid>
        <w:gridCol w:w="2268"/>
        <w:gridCol w:w="816"/>
        <w:gridCol w:w="866"/>
        <w:gridCol w:w="964"/>
        <w:gridCol w:w="917"/>
        <w:gridCol w:w="981"/>
        <w:gridCol w:w="957"/>
      </w:tblGrid>
      <w:tr w:rsidR="00B91F3E" w:rsidRPr="00C523EE" w14:paraId="79DB2173" w14:textId="77777777" w:rsidTr="00363A39">
        <w:trPr>
          <w:trHeight w:val="203"/>
        </w:trPr>
        <w:tc>
          <w:tcPr>
            <w:tcW w:w="2268" w:type="dxa"/>
            <w:tcBorders>
              <w:top w:val="single" w:sz="4" w:space="0" w:color="auto"/>
              <w:left w:val="nil"/>
              <w:bottom w:val="nil"/>
              <w:right w:val="nil"/>
            </w:tcBorders>
            <w:shd w:val="clear" w:color="auto" w:fill="auto"/>
            <w:noWrap/>
            <w:vAlign w:val="bottom"/>
            <w:hideMark/>
          </w:tcPr>
          <w:p w14:paraId="41FFEC23" w14:textId="77777777" w:rsidR="00B91F3E" w:rsidRPr="00C523EE" w:rsidRDefault="00B91F3E" w:rsidP="00F96D8A">
            <w:pPr>
              <w:spacing w:after="0" w:line="240" w:lineRule="auto"/>
              <w:jc w:val="left"/>
              <w:rPr>
                <w:rFonts w:ascii="Arial" w:hAnsi="Arial" w:cs="Arial"/>
                <w:sz w:val="16"/>
                <w:szCs w:val="16"/>
              </w:rPr>
            </w:pPr>
            <w:r w:rsidRPr="00C523EE">
              <w:rPr>
                <w:rFonts w:ascii="Arial" w:hAnsi="Arial" w:cs="Arial"/>
                <w:sz w:val="16"/>
                <w:szCs w:val="16"/>
              </w:rPr>
              <w:t> </w:t>
            </w:r>
          </w:p>
        </w:tc>
        <w:tc>
          <w:tcPr>
            <w:tcW w:w="5501" w:type="dxa"/>
            <w:gridSpan w:val="6"/>
            <w:tcBorders>
              <w:top w:val="single" w:sz="4" w:space="0" w:color="auto"/>
              <w:left w:val="nil"/>
              <w:bottom w:val="single" w:sz="4" w:space="0" w:color="auto"/>
              <w:right w:val="nil"/>
            </w:tcBorders>
            <w:shd w:val="clear" w:color="auto" w:fill="auto"/>
            <w:vAlign w:val="bottom"/>
          </w:tcPr>
          <w:p w14:paraId="1212E4AB" w14:textId="77777777" w:rsidR="00B91F3E" w:rsidRPr="00722716" w:rsidRDefault="00B91F3E" w:rsidP="00F96D8A">
            <w:pPr>
              <w:spacing w:after="0" w:line="240" w:lineRule="auto"/>
              <w:jc w:val="center"/>
              <w:rPr>
                <w:rFonts w:ascii="Arial" w:hAnsi="Arial" w:cs="Arial"/>
                <w:b/>
                <w:sz w:val="16"/>
                <w:szCs w:val="16"/>
              </w:rPr>
            </w:pPr>
            <w:r w:rsidRPr="00722716">
              <w:rPr>
                <w:rFonts w:ascii="Arial" w:hAnsi="Arial" w:cs="Arial"/>
                <w:b/>
                <w:sz w:val="16"/>
                <w:szCs w:val="16"/>
              </w:rPr>
              <w:t>Asset Category</w:t>
            </w:r>
          </w:p>
        </w:tc>
      </w:tr>
      <w:tr w:rsidR="00B91F3E" w:rsidRPr="00C523EE" w14:paraId="77B72839" w14:textId="77777777" w:rsidTr="00363A39">
        <w:trPr>
          <w:trHeight w:val="203"/>
        </w:trPr>
        <w:tc>
          <w:tcPr>
            <w:tcW w:w="2268" w:type="dxa"/>
            <w:tcBorders>
              <w:left w:val="nil"/>
              <w:bottom w:val="nil"/>
              <w:right w:val="nil"/>
            </w:tcBorders>
            <w:shd w:val="clear" w:color="auto" w:fill="auto"/>
            <w:noWrap/>
            <w:vAlign w:val="bottom"/>
          </w:tcPr>
          <w:p w14:paraId="669F34DB" w14:textId="77777777" w:rsidR="00B91F3E" w:rsidRPr="00C523EE" w:rsidRDefault="00B91F3E" w:rsidP="00F96D8A">
            <w:pPr>
              <w:spacing w:after="0" w:line="240" w:lineRule="auto"/>
              <w:jc w:val="left"/>
              <w:rPr>
                <w:rFonts w:ascii="Arial" w:hAnsi="Arial" w:cs="Arial"/>
                <w:sz w:val="16"/>
                <w:szCs w:val="16"/>
              </w:rPr>
            </w:pPr>
          </w:p>
        </w:tc>
        <w:tc>
          <w:tcPr>
            <w:tcW w:w="816" w:type="dxa"/>
            <w:tcBorders>
              <w:top w:val="single" w:sz="4" w:space="0" w:color="auto"/>
              <w:left w:val="nil"/>
              <w:bottom w:val="single" w:sz="4" w:space="0" w:color="auto"/>
              <w:right w:val="nil"/>
            </w:tcBorders>
            <w:shd w:val="clear" w:color="auto" w:fill="auto"/>
            <w:vAlign w:val="bottom"/>
          </w:tcPr>
          <w:p w14:paraId="04BBADF9" w14:textId="77777777" w:rsidR="00B91F3E" w:rsidRPr="00C523EE" w:rsidRDefault="00B91F3E" w:rsidP="00F96D8A">
            <w:pPr>
              <w:spacing w:after="0" w:line="240" w:lineRule="auto"/>
              <w:jc w:val="right"/>
              <w:rPr>
                <w:rFonts w:ascii="Arial" w:hAnsi="Arial" w:cs="Arial"/>
                <w:sz w:val="16"/>
                <w:szCs w:val="16"/>
              </w:rPr>
            </w:pPr>
            <w:r w:rsidRPr="00C523EE">
              <w:rPr>
                <w:rFonts w:ascii="Arial" w:hAnsi="Arial" w:cs="Arial"/>
                <w:sz w:val="16"/>
                <w:szCs w:val="16"/>
              </w:rPr>
              <w:t>Land</w:t>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bottom"/>
          </w:tcPr>
          <w:p w14:paraId="2F0DD8F7" w14:textId="77777777" w:rsidR="00B91F3E" w:rsidRPr="00C523EE" w:rsidRDefault="00B91F3E" w:rsidP="00F96D8A">
            <w:pPr>
              <w:spacing w:after="0" w:line="240" w:lineRule="auto"/>
              <w:jc w:val="right"/>
              <w:rPr>
                <w:rFonts w:ascii="Arial" w:hAnsi="Arial" w:cs="Arial"/>
                <w:sz w:val="16"/>
                <w:szCs w:val="16"/>
              </w:rPr>
            </w:pPr>
            <w:r w:rsidRPr="00C523EE">
              <w:rPr>
                <w:rFonts w:ascii="Arial" w:hAnsi="Arial" w:cs="Arial"/>
                <w:sz w:val="16"/>
                <w:szCs w:val="16"/>
              </w:rPr>
              <w:t>Buildings</w:t>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4149355A" w14:textId="77777777" w:rsidR="00B91F3E" w:rsidRPr="00C523EE" w:rsidRDefault="00B91F3E" w:rsidP="00F96D8A">
            <w:pPr>
              <w:spacing w:after="0" w:line="240" w:lineRule="auto"/>
              <w:jc w:val="right"/>
              <w:rPr>
                <w:rFonts w:ascii="Arial" w:hAnsi="Arial" w:cs="Arial"/>
                <w:sz w:val="16"/>
                <w:szCs w:val="16"/>
              </w:rPr>
            </w:pPr>
            <w:r w:rsidRPr="00C523EE">
              <w:rPr>
                <w:rFonts w:ascii="Arial" w:hAnsi="Arial" w:cs="Arial"/>
                <w:sz w:val="16"/>
                <w:szCs w:val="16"/>
              </w:rPr>
              <w:t>Other</w:t>
            </w:r>
            <w:r w:rsidRPr="00C523EE">
              <w:rPr>
                <w:rFonts w:ascii="Arial" w:hAnsi="Arial" w:cs="Arial"/>
                <w:sz w:val="16"/>
                <w:szCs w:val="16"/>
              </w:rPr>
              <w:br/>
              <w:t>property,</w:t>
            </w:r>
            <w:r w:rsidRPr="00C523EE">
              <w:rPr>
                <w:rFonts w:ascii="Arial" w:hAnsi="Arial" w:cs="Arial"/>
                <w:sz w:val="16"/>
                <w:szCs w:val="16"/>
              </w:rPr>
              <w:br/>
              <w:t>plant and</w:t>
            </w:r>
            <w:r w:rsidRPr="00C523EE">
              <w:rPr>
                <w:rFonts w:ascii="Arial" w:hAnsi="Arial" w:cs="Arial"/>
                <w:sz w:val="16"/>
                <w:szCs w:val="16"/>
              </w:rPr>
              <w:br/>
              <w:t>equipment</w:t>
            </w:r>
            <w:r w:rsidRPr="00C523EE">
              <w:rPr>
                <w:rFonts w:ascii="Arial" w:hAnsi="Arial" w:cs="Arial"/>
                <w:sz w:val="16"/>
                <w:szCs w:val="16"/>
              </w:rPr>
              <w:br/>
            </w:r>
            <w:r w:rsidRPr="00C523EE">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tcPr>
          <w:p w14:paraId="30908B53" w14:textId="77777777" w:rsidR="00B91F3E" w:rsidRPr="00C523EE" w:rsidRDefault="00B91F3E" w:rsidP="00F96D8A">
            <w:pPr>
              <w:spacing w:after="0" w:line="240" w:lineRule="auto"/>
              <w:jc w:val="right"/>
              <w:rPr>
                <w:rFonts w:ascii="Arial" w:hAnsi="Arial" w:cs="Arial"/>
                <w:sz w:val="16"/>
                <w:szCs w:val="16"/>
              </w:rPr>
            </w:pPr>
            <w:r w:rsidRPr="00C523EE">
              <w:rPr>
                <w:rFonts w:ascii="Arial" w:hAnsi="Arial" w:cs="Arial"/>
                <w:sz w:val="16"/>
                <w:szCs w:val="16"/>
              </w:rPr>
              <w:t>Heritage</w:t>
            </w:r>
            <w:r w:rsidRPr="00C523EE">
              <w:rPr>
                <w:rFonts w:ascii="Arial" w:hAnsi="Arial" w:cs="Arial"/>
                <w:sz w:val="16"/>
                <w:szCs w:val="16"/>
              </w:rPr>
              <w:br/>
              <w:t>and</w:t>
            </w:r>
            <w:r w:rsidRPr="00C523EE">
              <w:rPr>
                <w:rFonts w:ascii="Arial" w:hAnsi="Arial" w:cs="Arial"/>
                <w:sz w:val="16"/>
                <w:szCs w:val="16"/>
              </w:rPr>
              <w:br/>
              <w:t>cultural</w:t>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343DA986" w14:textId="77777777" w:rsidR="00B91F3E" w:rsidRPr="00C523EE" w:rsidRDefault="00B91F3E" w:rsidP="00F96D8A">
            <w:pPr>
              <w:spacing w:after="0" w:line="240" w:lineRule="auto"/>
              <w:jc w:val="right"/>
              <w:rPr>
                <w:rFonts w:ascii="Arial" w:hAnsi="Arial" w:cs="Arial"/>
                <w:sz w:val="16"/>
                <w:szCs w:val="16"/>
              </w:rPr>
            </w:pPr>
            <w:r w:rsidRPr="00C523EE">
              <w:rPr>
                <w:rFonts w:ascii="Arial" w:hAnsi="Arial" w:cs="Arial"/>
                <w:sz w:val="16"/>
                <w:szCs w:val="16"/>
              </w:rPr>
              <w:t>Computer</w:t>
            </w:r>
            <w:r w:rsidRPr="00C523EE">
              <w:rPr>
                <w:rFonts w:ascii="Arial" w:hAnsi="Arial" w:cs="Arial"/>
                <w:sz w:val="16"/>
                <w:szCs w:val="16"/>
              </w:rPr>
              <w:br/>
              <w:t>software and</w:t>
            </w:r>
            <w:r w:rsidRPr="00C523EE">
              <w:rPr>
                <w:rFonts w:ascii="Arial" w:hAnsi="Arial" w:cs="Arial"/>
                <w:sz w:val="16"/>
                <w:szCs w:val="16"/>
              </w:rPr>
              <w:br/>
              <w:t>intangibles</w:t>
            </w:r>
            <w:r w:rsidRPr="00C523EE">
              <w:rPr>
                <w:rFonts w:ascii="Arial" w:hAnsi="Arial" w:cs="Arial"/>
                <w:sz w:val="16"/>
                <w:szCs w:val="16"/>
              </w:rPr>
              <w:br/>
            </w:r>
            <w:r w:rsidRPr="00C523EE">
              <w:rPr>
                <w:rFonts w:ascii="Arial" w:hAnsi="Arial" w:cs="Arial"/>
                <w:sz w:val="16"/>
                <w:szCs w:val="16"/>
              </w:rPr>
              <w:br/>
              <w:t>$'000</w:t>
            </w:r>
          </w:p>
        </w:tc>
        <w:tc>
          <w:tcPr>
            <w:tcW w:w="957" w:type="dxa"/>
            <w:tcBorders>
              <w:top w:val="single" w:sz="4" w:space="0" w:color="auto"/>
              <w:left w:val="nil"/>
              <w:bottom w:val="single" w:sz="4" w:space="0" w:color="auto"/>
              <w:right w:val="nil"/>
            </w:tcBorders>
            <w:shd w:val="clear" w:color="auto" w:fill="auto"/>
            <w:vAlign w:val="bottom"/>
          </w:tcPr>
          <w:p w14:paraId="3C9D4043" w14:textId="77777777" w:rsidR="00B91F3E" w:rsidRPr="00C523EE" w:rsidRDefault="00B91F3E" w:rsidP="00F96D8A">
            <w:pPr>
              <w:spacing w:after="0" w:line="240" w:lineRule="auto"/>
              <w:jc w:val="right"/>
              <w:rPr>
                <w:rFonts w:ascii="Arial" w:hAnsi="Arial" w:cs="Arial"/>
                <w:sz w:val="16"/>
                <w:szCs w:val="16"/>
              </w:rPr>
            </w:pPr>
            <w:r w:rsidRPr="00C523EE">
              <w:rPr>
                <w:rFonts w:ascii="Arial" w:hAnsi="Arial" w:cs="Arial"/>
                <w:sz w:val="16"/>
                <w:szCs w:val="16"/>
              </w:rPr>
              <w:t>Total</w:t>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r>
            <w:r w:rsidRPr="00C523EE">
              <w:rPr>
                <w:rFonts w:ascii="Arial" w:hAnsi="Arial" w:cs="Arial"/>
                <w:sz w:val="16"/>
                <w:szCs w:val="16"/>
              </w:rPr>
              <w:br/>
              <w:t>$'000</w:t>
            </w:r>
          </w:p>
        </w:tc>
      </w:tr>
      <w:tr w:rsidR="00B91F3E" w:rsidRPr="00C523EE" w14:paraId="0BA21EA5" w14:textId="77777777" w:rsidTr="00363A39">
        <w:trPr>
          <w:trHeight w:val="203"/>
        </w:trPr>
        <w:tc>
          <w:tcPr>
            <w:tcW w:w="2268" w:type="dxa"/>
            <w:tcBorders>
              <w:top w:val="nil"/>
              <w:left w:val="nil"/>
              <w:bottom w:val="nil"/>
              <w:right w:val="nil"/>
            </w:tcBorders>
            <w:shd w:val="clear" w:color="auto" w:fill="auto"/>
            <w:vAlign w:val="bottom"/>
            <w:hideMark/>
          </w:tcPr>
          <w:p w14:paraId="488F0366" w14:textId="5718E30C" w:rsidR="00B91F3E" w:rsidRPr="00C523EE" w:rsidRDefault="00B91F3E" w:rsidP="00707BCF">
            <w:pPr>
              <w:spacing w:after="0" w:line="240" w:lineRule="auto"/>
              <w:jc w:val="left"/>
              <w:rPr>
                <w:rFonts w:ascii="Arial" w:hAnsi="Arial" w:cs="Arial"/>
                <w:b/>
                <w:bCs/>
                <w:sz w:val="16"/>
                <w:szCs w:val="16"/>
              </w:rPr>
            </w:pPr>
            <w:r w:rsidRPr="00C523EE">
              <w:rPr>
                <w:rFonts w:ascii="Arial" w:hAnsi="Arial" w:cs="Arial"/>
                <w:b/>
                <w:bCs/>
                <w:sz w:val="16"/>
                <w:szCs w:val="16"/>
              </w:rPr>
              <w:t>As at 1 July 202</w:t>
            </w:r>
            <w:r w:rsidR="00707BCF">
              <w:rPr>
                <w:rFonts w:ascii="Arial" w:hAnsi="Arial" w:cs="Arial"/>
                <w:b/>
                <w:bCs/>
                <w:sz w:val="16"/>
                <w:szCs w:val="16"/>
              </w:rPr>
              <w:t>2</w:t>
            </w:r>
          </w:p>
        </w:tc>
        <w:tc>
          <w:tcPr>
            <w:tcW w:w="816" w:type="dxa"/>
            <w:tcBorders>
              <w:top w:val="nil"/>
              <w:left w:val="nil"/>
              <w:bottom w:val="nil"/>
              <w:right w:val="nil"/>
            </w:tcBorders>
            <w:shd w:val="clear" w:color="auto" w:fill="auto"/>
            <w:noWrap/>
            <w:vAlign w:val="bottom"/>
            <w:hideMark/>
          </w:tcPr>
          <w:p w14:paraId="31824117" w14:textId="77777777" w:rsidR="00B91F3E" w:rsidRPr="00722716" w:rsidRDefault="00B91F3E" w:rsidP="00F96D8A">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D07CB72" w14:textId="77777777" w:rsidR="00B91F3E" w:rsidRPr="00722716" w:rsidRDefault="00B91F3E" w:rsidP="00F96D8A">
            <w:pPr>
              <w:spacing w:after="0" w:line="240" w:lineRule="auto"/>
              <w:jc w:val="right"/>
              <w:rPr>
                <w:rFonts w:ascii="Times New Roman" w:hAnsi="Times New Roman"/>
                <w:sz w:val="16"/>
                <w:szCs w:val="16"/>
              </w:rPr>
            </w:pPr>
          </w:p>
        </w:tc>
        <w:tc>
          <w:tcPr>
            <w:tcW w:w="964" w:type="dxa"/>
            <w:tcBorders>
              <w:top w:val="nil"/>
              <w:left w:val="nil"/>
              <w:bottom w:val="nil"/>
              <w:right w:val="nil"/>
            </w:tcBorders>
            <w:shd w:val="clear" w:color="auto" w:fill="auto"/>
            <w:noWrap/>
            <w:vAlign w:val="bottom"/>
            <w:hideMark/>
          </w:tcPr>
          <w:p w14:paraId="5F14C82D" w14:textId="77777777" w:rsidR="00B91F3E" w:rsidRPr="00722716" w:rsidRDefault="00B91F3E" w:rsidP="00F96D8A">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noWrap/>
            <w:vAlign w:val="bottom"/>
            <w:hideMark/>
          </w:tcPr>
          <w:p w14:paraId="3B50589D" w14:textId="77777777" w:rsidR="00B91F3E" w:rsidRPr="00722716" w:rsidRDefault="00B91F3E" w:rsidP="00F96D8A">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146458F4" w14:textId="77777777" w:rsidR="00B91F3E" w:rsidRPr="00722716" w:rsidRDefault="00B91F3E" w:rsidP="00F96D8A">
            <w:pPr>
              <w:spacing w:after="0" w:line="240" w:lineRule="auto"/>
              <w:jc w:val="right"/>
              <w:rPr>
                <w:rFonts w:ascii="Times New Roman" w:hAnsi="Times New Roman"/>
                <w:sz w:val="16"/>
                <w:szCs w:val="16"/>
              </w:rPr>
            </w:pPr>
          </w:p>
        </w:tc>
        <w:tc>
          <w:tcPr>
            <w:tcW w:w="957" w:type="dxa"/>
            <w:tcBorders>
              <w:top w:val="nil"/>
              <w:left w:val="nil"/>
              <w:bottom w:val="nil"/>
              <w:right w:val="nil"/>
            </w:tcBorders>
            <w:shd w:val="clear" w:color="auto" w:fill="auto"/>
            <w:noWrap/>
            <w:vAlign w:val="bottom"/>
            <w:hideMark/>
          </w:tcPr>
          <w:p w14:paraId="68B53AEA" w14:textId="77777777" w:rsidR="00B91F3E" w:rsidRPr="00722716" w:rsidRDefault="00B91F3E" w:rsidP="00F96D8A">
            <w:pPr>
              <w:spacing w:after="0" w:line="240" w:lineRule="auto"/>
              <w:jc w:val="right"/>
              <w:rPr>
                <w:rFonts w:ascii="Times New Roman" w:hAnsi="Times New Roman"/>
                <w:sz w:val="16"/>
                <w:szCs w:val="16"/>
              </w:rPr>
            </w:pPr>
          </w:p>
        </w:tc>
      </w:tr>
      <w:tr w:rsidR="00AC6D33" w:rsidRPr="00C523EE" w14:paraId="3B2B22BA" w14:textId="77777777" w:rsidTr="00363A39">
        <w:trPr>
          <w:trHeight w:val="203"/>
        </w:trPr>
        <w:tc>
          <w:tcPr>
            <w:tcW w:w="2268" w:type="dxa"/>
            <w:tcBorders>
              <w:top w:val="nil"/>
              <w:left w:val="nil"/>
              <w:bottom w:val="nil"/>
              <w:right w:val="nil"/>
            </w:tcBorders>
            <w:shd w:val="clear" w:color="auto" w:fill="auto"/>
            <w:vAlign w:val="bottom"/>
            <w:hideMark/>
          </w:tcPr>
          <w:p w14:paraId="657E482D" w14:textId="77777777" w:rsidR="00AC6D33" w:rsidRPr="00C523EE" w:rsidRDefault="00AC6D33" w:rsidP="00AC6D33">
            <w:pPr>
              <w:spacing w:after="0" w:line="240" w:lineRule="auto"/>
              <w:ind w:left="113"/>
              <w:jc w:val="left"/>
              <w:rPr>
                <w:rFonts w:ascii="Arial" w:hAnsi="Arial" w:cs="Arial"/>
                <w:sz w:val="16"/>
                <w:szCs w:val="16"/>
              </w:rPr>
            </w:pPr>
            <w:r w:rsidRPr="00C523EE">
              <w:rPr>
                <w:rFonts w:ascii="Arial" w:hAnsi="Arial" w:cs="Arial"/>
                <w:sz w:val="16"/>
                <w:szCs w:val="16"/>
              </w:rPr>
              <w:t xml:space="preserve">Gross book value </w:t>
            </w:r>
          </w:p>
        </w:tc>
        <w:tc>
          <w:tcPr>
            <w:tcW w:w="816" w:type="dxa"/>
            <w:tcBorders>
              <w:top w:val="nil"/>
              <w:left w:val="nil"/>
              <w:bottom w:val="nil"/>
              <w:right w:val="nil"/>
            </w:tcBorders>
            <w:shd w:val="clear" w:color="auto" w:fill="auto"/>
            <w:noWrap/>
            <w:vAlign w:val="bottom"/>
            <w:hideMark/>
          </w:tcPr>
          <w:p w14:paraId="38A3D4F1" w14:textId="7BD52B8A"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66,776 </w:t>
            </w:r>
          </w:p>
        </w:tc>
        <w:tc>
          <w:tcPr>
            <w:tcW w:w="866" w:type="dxa"/>
            <w:tcBorders>
              <w:top w:val="nil"/>
              <w:left w:val="nil"/>
              <w:bottom w:val="nil"/>
              <w:right w:val="nil"/>
            </w:tcBorders>
            <w:shd w:val="clear" w:color="auto" w:fill="auto"/>
            <w:noWrap/>
            <w:vAlign w:val="bottom"/>
            <w:hideMark/>
          </w:tcPr>
          <w:p w14:paraId="002CFF4A" w14:textId="27758056"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175,957 </w:t>
            </w:r>
          </w:p>
        </w:tc>
        <w:tc>
          <w:tcPr>
            <w:tcW w:w="964" w:type="dxa"/>
            <w:tcBorders>
              <w:top w:val="nil"/>
              <w:left w:val="nil"/>
              <w:bottom w:val="nil"/>
              <w:right w:val="nil"/>
            </w:tcBorders>
            <w:shd w:val="clear" w:color="auto" w:fill="auto"/>
            <w:noWrap/>
            <w:vAlign w:val="bottom"/>
            <w:hideMark/>
          </w:tcPr>
          <w:p w14:paraId="594A7646" w14:textId="7E8CD391"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585,609 </w:t>
            </w:r>
          </w:p>
        </w:tc>
        <w:tc>
          <w:tcPr>
            <w:tcW w:w="917" w:type="dxa"/>
            <w:tcBorders>
              <w:top w:val="nil"/>
              <w:left w:val="nil"/>
              <w:bottom w:val="nil"/>
              <w:right w:val="nil"/>
            </w:tcBorders>
            <w:shd w:val="clear" w:color="auto" w:fill="auto"/>
            <w:noWrap/>
            <w:vAlign w:val="bottom"/>
            <w:hideMark/>
          </w:tcPr>
          <w:p w14:paraId="18A844B5" w14:textId="5FB826CC"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179,664 </w:t>
            </w:r>
          </w:p>
        </w:tc>
        <w:tc>
          <w:tcPr>
            <w:tcW w:w="981" w:type="dxa"/>
            <w:tcBorders>
              <w:top w:val="nil"/>
              <w:left w:val="nil"/>
              <w:bottom w:val="nil"/>
              <w:right w:val="nil"/>
            </w:tcBorders>
            <w:shd w:val="clear" w:color="auto" w:fill="auto"/>
            <w:noWrap/>
            <w:vAlign w:val="bottom"/>
            <w:hideMark/>
          </w:tcPr>
          <w:p w14:paraId="0A609D7D" w14:textId="6348DC41"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8,097 </w:t>
            </w:r>
          </w:p>
        </w:tc>
        <w:tc>
          <w:tcPr>
            <w:tcW w:w="957" w:type="dxa"/>
            <w:tcBorders>
              <w:top w:val="nil"/>
              <w:left w:val="nil"/>
              <w:bottom w:val="nil"/>
              <w:right w:val="nil"/>
            </w:tcBorders>
            <w:shd w:val="clear" w:color="auto" w:fill="auto"/>
            <w:noWrap/>
            <w:vAlign w:val="bottom"/>
            <w:hideMark/>
          </w:tcPr>
          <w:p w14:paraId="37866DB2" w14:textId="33F855CA"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1,016,103 </w:t>
            </w:r>
          </w:p>
        </w:tc>
      </w:tr>
      <w:tr w:rsidR="00AC6D33" w:rsidRPr="00C523EE" w14:paraId="68FD010C" w14:textId="77777777" w:rsidTr="00363A39">
        <w:trPr>
          <w:trHeight w:val="203"/>
        </w:trPr>
        <w:tc>
          <w:tcPr>
            <w:tcW w:w="2268" w:type="dxa"/>
            <w:tcBorders>
              <w:top w:val="nil"/>
              <w:left w:val="nil"/>
              <w:bottom w:val="nil"/>
              <w:right w:val="nil"/>
            </w:tcBorders>
            <w:shd w:val="clear" w:color="auto" w:fill="auto"/>
            <w:vAlign w:val="bottom"/>
            <w:hideMark/>
          </w:tcPr>
          <w:p w14:paraId="00E003FA" w14:textId="77777777" w:rsidR="00AC6D33" w:rsidRPr="00C523EE" w:rsidRDefault="00AC6D33" w:rsidP="00AC6D33">
            <w:pPr>
              <w:spacing w:after="0" w:line="240" w:lineRule="auto"/>
              <w:ind w:left="113"/>
              <w:jc w:val="left"/>
              <w:rPr>
                <w:rFonts w:ascii="Arial" w:hAnsi="Arial" w:cs="Arial"/>
                <w:sz w:val="16"/>
                <w:szCs w:val="16"/>
              </w:rPr>
            </w:pPr>
            <w:r w:rsidRPr="00C523EE">
              <w:rPr>
                <w:rFonts w:ascii="Arial" w:hAnsi="Arial" w:cs="Arial"/>
                <w:sz w:val="16"/>
                <w:szCs w:val="16"/>
              </w:rPr>
              <w:t>Accumulated depreciation/</w:t>
            </w:r>
            <w:r>
              <w:rPr>
                <w:rFonts w:ascii="Arial" w:hAnsi="Arial" w:cs="Arial"/>
                <w:sz w:val="16"/>
                <w:szCs w:val="16"/>
              </w:rPr>
              <w:t xml:space="preserve"> </w:t>
            </w:r>
            <w:r w:rsidRPr="00C523EE">
              <w:rPr>
                <w:rFonts w:ascii="Arial" w:hAnsi="Arial" w:cs="Arial"/>
                <w:sz w:val="16"/>
                <w:szCs w:val="16"/>
              </w:rPr>
              <w:t>amortisation and impairment</w:t>
            </w:r>
          </w:p>
        </w:tc>
        <w:tc>
          <w:tcPr>
            <w:tcW w:w="816" w:type="dxa"/>
            <w:tcBorders>
              <w:top w:val="nil"/>
              <w:left w:val="nil"/>
              <w:bottom w:val="nil"/>
              <w:right w:val="nil"/>
            </w:tcBorders>
            <w:shd w:val="clear" w:color="auto" w:fill="auto"/>
            <w:noWrap/>
            <w:vAlign w:val="bottom"/>
            <w:hideMark/>
          </w:tcPr>
          <w:p w14:paraId="2D054F75" w14:textId="6FC4DFFF"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 </w:t>
            </w:r>
          </w:p>
        </w:tc>
        <w:tc>
          <w:tcPr>
            <w:tcW w:w="866" w:type="dxa"/>
            <w:tcBorders>
              <w:top w:val="nil"/>
              <w:left w:val="nil"/>
              <w:bottom w:val="nil"/>
              <w:right w:val="nil"/>
            </w:tcBorders>
            <w:shd w:val="clear" w:color="auto" w:fill="auto"/>
            <w:noWrap/>
            <w:vAlign w:val="bottom"/>
            <w:hideMark/>
          </w:tcPr>
          <w:p w14:paraId="3FC619D7" w14:textId="11FBFF1D"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(38,948)</w:t>
            </w:r>
          </w:p>
        </w:tc>
        <w:tc>
          <w:tcPr>
            <w:tcW w:w="964" w:type="dxa"/>
            <w:tcBorders>
              <w:top w:val="nil"/>
              <w:left w:val="nil"/>
              <w:bottom w:val="nil"/>
              <w:right w:val="nil"/>
            </w:tcBorders>
            <w:shd w:val="clear" w:color="auto" w:fill="auto"/>
            <w:noWrap/>
            <w:vAlign w:val="bottom"/>
            <w:hideMark/>
          </w:tcPr>
          <w:p w14:paraId="2DDA2662" w14:textId="655DFE27"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(134,656)</w:t>
            </w:r>
          </w:p>
        </w:tc>
        <w:tc>
          <w:tcPr>
            <w:tcW w:w="917" w:type="dxa"/>
            <w:tcBorders>
              <w:top w:val="nil"/>
              <w:left w:val="nil"/>
              <w:bottom w:val="nil"/>
              <w:right w:val="nil"/>
            </w:tcBorders>
            <w:shd w:val="clear" w:color="auto" w:fill="auto"/>
            <w:noWrap/>
            <w:vAlign w:val="bottom"/>
            <w:hideMark/>
          </w:tcPr>
          <w:p w14:paraId="24FF5485" w14:textId="38B806CF"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(7,319)</w:t>
            </w:r>
          </w:p>
        </w:tc>
        <w:tc>
          <w:tcPr>
            <w:tcW w:w="981" w:type="dxa"/>
            <w:tcBorders>
              <w:top w:val="nil"/>
              <w:left w:val="nil"/>
              <w:bottom w:val="nil"/>
              <w:right w:val="nil"/>
            </w:tcBorders>
            <w:shd w:val="clear" w:color="auto" w:fill="auto"/>
            <w:noWrap/>
            <w:vAlign w:val="bottom"/>
            <w:hideMark/>
          </w:tcPr>
          <w:p w14:paraId="725A40C3" w14:textId="58E3EE42"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(1,348)</w:t>
            </w:r>
          </w:p>
        </w:tc>
        <w:tc>
          <w:tcPr>
            <w:tcW w:w="957" w:type="dxa"/>
            <w:tcBorders>
              <w:top w:val="nil"/>
              <w:left w:val="nil"/>
              <w:bottom w:val="nil"/>
              <w:right w:val="nil"/>
            </w:tcBorders>
            <w:shd w:val="clear" w:color="auto" w:fill="auto"/>
            <w:noWrap/>
            <w:vAlign w:val="bottom"/>
            <w:hideMark/>
          </w:tcPr>
          <w:p w14:paraId="0B737FDD" w14:textId="754E346C"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(182,271)</w:t>
            </w:r>
          </w:p>
        </w:tc>
      </w:tr>
      <w:tr w:rsidR="00AC6D33" w:rsidRPr="00C523EE" w14:paraId="373FC21C" w14:textId="77777777" w:rsidTr="00363A39">
        <w:trPr>
          <w:trHeight w:val="203"/>
        </w:trPr>
        <w:tc>
          <w:tcPr>
            <w:tcW w:w="2268" w:type="dxa"/>
            <w:tcBorders>
              <w:top w:val="nil"/>
              <w:left w:val="nil"/>
              <w:bottom w:val="nil"/>
              <w:right w:val="nil"/>
            </w:tcBorders>
            <w:shd w:val="clear" w:color="auto" w:fill="auto"/>
            <w:vAlign w:val="bottom"/>
            <w:hideMark/>
          </w:tcPr>
          <w:p w14:paraId="4D1E194D" w14:textId="77777777" w:rsidR="00AC6D33" w:rsidRPr="00C523EE" w:rsidRDefault="00AC6D33" w:rsidP="00AC6D33">
            <w:pPr>
              <w:spacing w:after="0" w:line="240" w:lineRule="auto"/>
              <w:jc w:val="left"/>
              <w:rPr>
                <w:rFonts w:ascii="Arial" w:hAnsi="Arial" w:cs="Arial"/>
                <w:b/>
                <w:bCs/>
                <w:sz w:val="16"/>
                <w:szCs w:val="16"/>
              </w:rPr>
            </w:pPr>
            <w:r w:rsidRPr="00C523EE">
              <w:rPr>
                <w:rFonts w:ascii="Arial" w:hAnsi="Arial" w:cs="Arial"/>
                <w:b/>
                <w:bCs/>
                <w:sz w:val="16"/>
                <w:szCs w:val="16"/>
              </w:rPr>
              <w:t>Opening net book balance</w:t>
            </w:r>
          </w:p>
        </w:tc>
        <w:tc>
          <w:tcPr>
            <w:tcW w:w="816" w:type="dxa"/>
            <w:tcBorders>
              <w:top w:val="single" w:sz="4" w:space="0" w:color="auto"/>
              <w:left w:val="nil"/>
              <w:bottom w:val="single" w:sz="4" w:space="0" w:color="auto"/>
              <w:right w:val="nil"/>
            </w:tcBorders>
            <w:shd w:val="clear" w:color="auto" w:fill="auto"/>
            <w:noWrap/>
            <w:vAlign w:val="bottom"/>
            <w:hideMark/>
          </w:tcPr>
          <w:p w14:paraId="16BD870D" w14:textId="6D5CB758"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66,776 </w:t>
            </w:r>
          </w:p>
        </w:tc>
        <w:tc>
          <w:tcPr>
            <w:tcW w:w="866" w:type="dxa"/>
            <w:tcBorders>
              <w:top w:val="single" w:sz="4" w:space="0" w:color="auto"/>
              <w:left w:val="nil"/>
              <w:bottom w:val="single" w:sz="4" w:space="0" w:color="auto"/>
              <w:right w:val="nil"/>
            </w:tcBorders>
            <w:shd w:val="clear" w:color="auto" w:fill="auto"/>
            <w:noWrap/>
            <w:vAlign w:val="bottom"/>
            <w:hideMark/>
          </w:tcPr>
          <w:p w14:paraId="7FF2BCA9" w14:textId="2F69F67F"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137,009 </w:t>
            </w:r>
          </w:p>
        </w:tc>
        <w:tc>
          <w:tcPr>
            <w:tcW w:w="964" w:type="dxa"/>
            <w:tcBorders>
              <w:top w:val="single" w:sz="4" w:space="0" w:color="auto"/>
              <w:left w:val="nil"/>
              <w:bottom w:val="single" w:sz="4" w:space="0" w:color="auto"/>
              <w:right w:val="nil"/>
            </w:tcBorders>
            <w:shd w:val="clear" w:color="auto" w:fill="auto"/>
            <w:noWrap/>
            <w:vAlign w:val="bottom"/>
            <w:hideMark/>
          </w:tcPr>
          <w:p w14:paraId="1E3C8F6A" w14:textId="2D036DC4"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450,953 </w:t>
            </w:r>
          </w:p>
        </w:tc>
        <w:tc>
          <w:tcPr>
            <w:tcW w:w="917" w:type="dxa"/>
            <w:tcBorders>
              <w:top w:val="single" w:sz="4" w:space="0" w:color="auto"/>
              <w:left w:val="nil"/>
              <w:bottom w:val="single" w:sz="4" w:space="0" w:color="auto"/>
              <w:right w:val="nil"/>
            </w:tcBorders>
            <w:shd w:val="clear" w:color="auto" w:fill="auto"/>
            <w:noWrap/>
            <w:vAlign w:val="bottom"/>
            <w:hideMark/>
          </w:tcPr>
          <w:p w14:paraId="14569E44" w14:textId="6CE2C5BF"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172,345 </w:t>
            </w:r>
          </w:p>
        </w:tc>
        <w:tc>
          <w:tcPr>
            <w:tcW w:w="981" w:type="dxa"/>
            <w:tcBorders>
              <w:top w:val="single" w:sz="4" w:space="0" w:color="auto"/>
              <w:left w:val="nil"/>
              <w:bottom w:val="single" w:sz="4" w:space="0" w:color="auto"/>
              <w:right w:val="nil"/>
            </w:tcBorders>
            <w:shd w:val="clear" w:color="auto" w:fill="auto"/>
            <w:noWrap/>
            <w:vAlign w:val="bottom"/>
            <w:hideMark/>
          </w:tcPr>
          <w:p w14:paraId="5A02587D" w14:textId="0B206531"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6,749 </w:t>
            </w:r>
          </w:p>
        </w:tc>
        <w:tc>
          <w:tcPr>
            <w:tcW w:w="957" w:type="dxa"/>
            <w:tcBorders>
              <w:top w:val="single" w:sz="4" w:space="0" w:color="auto"/>
              <w:left w:val="nil"/>
              <w:bottom w:val="single" w:sz="4" w:space="0" w:color="auto"/>
              <w:right w:val="nil"/>
            </w:tcBorders>
            <w:shd w:val="clear" w:color="auto" w:fill="auto"/>
            <w:noWrap/>
            <w:vAlign w:val="bottom"/>
            <w:hideMark/>
          </w:tcPr>
          <w:p w14:paraId="27099FAF" w14:textId="6ED64C62"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833,832 </w:t>
            </w:r>
          </w:p>
        </w:tc>
      </w:tr>
      <w:tr w:rsidR="00B023B9" w:rsidRPr="00C523EE" w14:paraId="209CC9E1" w14:textId="77777777" w:rsidTr="00363A39">
        <w:trPr>
          <w:trHeight w:val="203"/>
        </w:trPr>
        <w:tc>
          <w:tcPr>
            <w:tcW w:w="7769" w:type="dxa"/>
            <w:gridSpan w:val="7"/>
            <w:tcBorders>
              <w:top w:val="nil"/>
              <w:left w:val="nil"/>
              <w:bottom w:val="nil"/>
              <w:right w:val="nil"/>
            </w:tcBorders>
            <w:shd w:val="clear" w:color="auto" w:fill="auto"/>
            <w:vAlign w:val="bottom"/>
            <w:hideMark/>
          </w:tcPr>
          <w:p w14:paraId="4EBF6BF1" w14:textId="146DA015" w:rsidR="00B023B9" w:rsidRPr="00722716" w:rsidRDefault="00B023B9" w:rsidP="00B023B9">
            <w:pPr>
              <w:spacing w:after="0" w:line="240" w:lineRule="auto"/>
              <w:jc w:val="left"/>
              <w:rPr>
                <w:rFonts w:ascii="Times New Roman" w:hAnsi="Times New Roman"/>
                <w:sz w:val="16"/>
                <w:szCs w:val="16"/>
              </w:rPr>
            </w:pPr>
            <w:r w:rsidRPr="00C523EE">
              <w:rPr>
                <w:rFonts w:ascii="Arial" w:hAnsi="Arial" w:cs="Arial"/>
                <w:b/>
                <w:bCs/>
                <w:sz w:val="16"/>
                <w:szCs w:val="16"/>
              </w:rPr>
              <w:t>CAPITAL ASSET ADDITIONS</w:t>
            </w:r>
          </w:p>
        </w:tc>
      </w:tr>
      <w:tr w:rsidR="00B023B9" w:rsidRPr="00C523EE" w14:paraId="621A6A50" w14:textId="77777777" w:rsidTr="00363A39">
        <w:trPr>
          <w:trHeight w:val="203"/>
        </w:trPr>
        <w:tc>
          <w:tcPr>
            <w:tcW w:w="2268" w:type="dxa"/>
            <w:tcBorders>
              <w:top w:val="nil"/>
              <w:left w:val="nil"/>
              <w:bottom w:val="nil"/>
              <w:right w:val="nil"/>
            </w:tcBorders>
            <w:shd w:val="clear" w:color="auto" w:fill="auto"/>
            <w:vAlign w:val="bottom"/>
            <w:hideMark/>
          </w:tcPr>
          <w:p w14:paraId="39F98D10" w14:textId="77777777" w:rsidR="00B023B9" w:rsidRPr="00C523EE" w:rsidRDefault="00B023B9" w:rsidP="00B023B9">
            <w:pPr>
              <w:spacing w:after="0" w:line="240" w:lineRule="auto"/>
              <w:ind w:left="113"/>
              <w:jc w:val="left"/>
              <w:rPr>
                <w:rFonts w:ascii="Arial" w:hAnsi="Arial" w:cs="Arial"/>
                <w:b/>
                <w:bCs/>
                <w:sz w:val="16"/>
                <w:szCs w:val="16"/>
              </w:rPr>
            </w:pPr>
            <w:r w:rsidRPr="00C523EE">
              <w:rPr>
                <w:rFonts w:ascii="Arial" w:hAnsi="Arial" w:cs="Arial"/>
                <w:b/>
                <w:bCs/>
                <w:sz w:val="16"/>
                <w:szCs w:val="16"/>
              </w:rPr>
              <w:t>Estimated expenditure on new or replacement assets</w:t>
            </w:r>
          </w:p>
        </w:tc>
        <w:tc>
          <w:tcPr>
            <w:tcW w:w="816" w:type="dxa"/>
            <w:tcBorders>
              <w:top w:val="nil"/>
              <w:left w:val="nil"/>
              <w:bottom w:val="nil"/>
              <w:right w:val="nil"/>
            </w:tcBorders>
            <w:shd w:val="clear" w:color="auto" w:fill="auto"/>
            <w:noWrap/>
            <w:vAlign w:val="bottom"/>
            <w:hideMark/>
          </w:tcPr>
          <w:p w14:paraId="35A56DDD" w14:textId="77777777" w:rsidR="00B023B9" w:rsidRPr="00722716" w:rsidRDefault="00B023B9" w:rsidP="00B023B9">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267482F7" w14:textId="77777777" w:rsidR="00B023B9" w:rsidRPr="00722716" w:rsidRDefault="00B023B9" w:rsidP="00B023B9">
            <w:pPr>
              <w:spacing w:after="0" w:line="240" w:lineRule="auto"/>
              <w:jc w:val="right"/>
              <w:rPr>
                <w:rFonts w:ascii="Times New Roman" w:hAnsi="Times New Roman"/>
                <w:sz w:val="16"/>
                <w:szCs w:val="16"/>
              </w:rPr>
            </w:pPr>
          </w:p>
        </w:tc>
        <w:tc>
          <w:tcPr>
            <w:tcW w:w="964" w:type="dxa"/>
            <w:tcBorders>
              <w:top w:val="nil"/>
              <w:left w:val="nil"/>
              <w:bottom w:val="nil"/>
              <w:right w:val="nil"/>
            </w:tcBorders>
            <w:shd w:val="clear" w:color="auto" w:fill="auto"/>
            <w:noWrap/>
            <w:vAlign w:val="bottom"/>
            <w:hideMark/>
          </w:tcPr>
          <w:p w14:paraId="5ED102BD" w14:textId="77777777" w:rsidR="00B023B9" w:rsidRPr="00722716" w:rsidRDefault="00B023B9" w:rsidP="00B023B9">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noWrap/>
            <w:vAlign w:val="bottom"/>
            <w:hideMark/>
          </w:tcPr>
          <w:p w14:paraId="1362F1AB" w14:textId="77777777" w:rsidR="00B023B9" w:rsidRPr="00722716" w:rsidRDefault="00B023B9" w:rsidP="00B023B9">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55DDDAE7" w14:textId="77777777" w:rsidR="00B023B9" w:rsidRPr="00722716" w:rsidRDefault="00B023B9" w:rsidP="00B023B9">
            <w:pPr>
              <w:spacing w:after="0" w:line="240" w:lineRule="auto"/>
              <w:jc w:val="right"/>
              <w:rPr>
                <w:rFonts w:ascii="Times New Roman" w:hAnsi="Times New Roman"/>
                <w:sz w:val="16"/>
                <w:szCs w:val="16"/>
              </w:rPr>
            </w:pPr>
          </w:p>
        </w:tc>
        <w:tc>
          <w:tcPr>
            <w:tcW w:w="957" w:type="dxa"/>
            <w:tcBorders>
              <w:top w:val="nil"/>
              <w:left w:val="nil"/>
              <w:bottom w:val="nil"/>
              <w:right w:val="nil"/>
            </w:tcBorders>
            <w:shd w:val="clear" w:color="auto" w:fill="auto"/>
            <w:noWrap/>
            <w:vAlign w:val="bottom"/>
            <w:hideMark/>
          </w:tcPr>
          <w:p w14:paraId="3B23A915" w14:textId="77777777" w:rsidR="00B023B9" w:rsidRPr="00722716" w:rsidRDefault="00B023B9" w:rsidP="00B023B9">
            <w:pPr>
              <w:spacing w:after="0" w:line="240" w:lineRule="auto"/>
              <w:jc w:val="right"/>
              <w:rPr>
                <w:rFonts w:ascii="Times New Roman" w:hAnsi="Times New Roman"/>
                <w:sz w:val="16"/>
                <w:szCs w:val="16"/>
              </w:rPr>
            </w:pPr>
          </w:p>
        </w:tc>
      </w:tr>
      <w:tr w:rsidR="00AC6D33" w:rsidRPr="00C523EE" w14:paraId="476F3820" w14:textId="77777777" w:rsidTr="00363A39">
        <w:trPr>
          <w:trHeight w:val="203"/>
        </w:trPr>
        <w:tc>
          <w:tcPr>
            <w:tcW w:w="2268" w:type="dxa"/>
            <w:tcBorders>
              <w:top w:val="nil"/>
              <w:left w:val="nil"/>
              <w:bottom w:val="nil"/>
              <w:right w:val="nil"/>
            </w:tcBorders>
            <w:shd w:val="clear" w:color="auto" w:fill="auto"/>
            <w:vAlign w:val="bottom"/>
            <w:hideMark/>
          </w:tcPr>
          <w:p w14:paraId="2A6D572E" w14:textId="77777777" w:rsidR="00AC6D33" w:rsidRPr="00C523EE" w:rsidRDefault="00AC6D33" w:rsidP="00AC6D33">
            <w:pPr>
              <w:spacing w:after="0" w:line="240" w:lineRule="auto"/>
              <w:ind w:left="227"/>
              <w:jc w:val="left"/>
              <w:rPr>
                <w:rFonts w:ascii="Arial" w:hAnsi="Arial" w:cs="Arial"/>
                <w:sz w:val="16"/>
                <w:szCs w:val="16"/>
              </w:rPr>
            </w:pPr>
            <w:r w:rsidRPr="00C523EE">
              <w:rPr>
                <w:rFonts w:ascii="Arial" w:hAnsi="Arial" w:cs="Arial"/>
                <w:sz w:val="16"/>
                <w:szCs w:val="16"/>
              </w:rPr>
              <w:t xml:space="preserve">By purchase - appropriation equity </w:t>
            </w:r>
          </w:p>
        </w:tc>
        <w:tc>
          <w:tcPr>
            <w:tcW w:w="816" w:type="dxa"/>
            <w:tcBorders>
              <w:top w:val="nil"/>
              <w:left w:val="nil"/>
              <w:bottom w:val="nil"/>
              <w:right w:val="nil"/>
            </w:tcBorders>
            <w:shd w:val="clear" w:color="auto" w:fill="auto"/>
            <w:noWrap/>
            <w:vAlign w:val="bottom"/>
            <w:hideMark/>
          </w:tcPr>
          <w:p w14:paraId="3FB64A91" w14:textId="3732F7A2"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20 </w:t>
            </w:r>
          </w:p>
        </w:tc>
        <w:tc>
          <w:tcPr>
            <w:tcW w:w="866" w:type="dxa"/>
            <w:tcBorders>
              <w:top w:val="nil"/>
              <w:left w:val="nil"/>
              <w:bottom w:val="nil"/>
              <w:right w:val="nil"/>
            </w:tcBorders>
            <w:shd w:val="clear" w:color="auto" w:fill="auto"/>
            <w:noWrap/>
            <w:vAlign w:val="bottom"/>
            <w:hideMark/>
          </w:tcPr>
          <w:p w14:paraId="4F5761C2" w14:textId="3910DA80"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6,131 </w:t>
            </w:r>
          </w:p>
        </w:tc>
        <w:tc>
          <w:tcPr>
            <w:tcW w:w="964" w:type="dxa"/>
            <w:tcBorders>
              <w:top w:val="nil"/>
              <w:left w:val="nil"/>
              <w:bottom w:val="nil"/>
              <w:right w:val="nil"/>
            </w:tcBorders>
            <w:shd w:val="clear" w:color="auto" w:fill="auto"/>
            <w:noWrap/>
            <w:vAlign w:val="bottom"/>
            <w:hideMark/>
          </w:tcPr>
          <w:p w14:paraId="664E3B72" w14:textId="1D4D7F71"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94,791 </w:t>
            </w:r>
          </w:p>
        </w:tc>
        <w:tc>
          <w:tcPr>
            <w:tcW w:w="917" w:type="dxa"/>
            <w:tcBorders>
              <w:top w:val="nil"/>
              <w:left w:val="nil"/>
              <w:bottom w:val="nil"/>
              <w:right w:val="nil"/>
            </w:tcBorders>
            <w:shd w:val="clear" w:color="auto" w:fill="auto"/>
            <w:noWrap/>
            <w:vAlign w:val="bottom"/>
            <w:hideMark/>
          </w:tcPr>
          <w:p w14:paraId="624B7ACD" w14:textId="5763DCFF"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550 </w:t>
            </w:r>
          </w:p>
        </w:tc>
        <w:tc>
          <w:tcPr>
            <w:tcW w:w="981" w:type="dxa"/>
            <w:tcBorders>
              <w:top w:val="nil"/>
              <w:left w:val="nil"/>
              <w:bottom w:val="nil"/>
              <w:right w:val="nil"/>
            </w:tcBorders>
            <w:shd w:val="clear" w:color="auto" w:fill="auto"/>
            <w:noWrap/>
            <w:vAlign w:val="bottom"/>
            <w:hideMark/>
          </w:tcPr>
          <w:p w14:paraId="04B2E404" w14:textId="0AC8D28A"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 </w:t>
            </w:r>
          </w:p>
        </w:tc>
        <w:tc>
          <w:tcPr>
            <w:tcW w:w="957" w:type="dxa"/>
            <w:tcBorders>
              <w:top w:val="nil"/>
              <w:left w:val="nil"/>
              <w:bottom w:val="nil"/>
              <w:right w:val="nil"/>
            </w:tcBorders>
            <w:shd w:val="clear" w:color="auto" w:fill="auto"/>
            <w:noWrap/>
            <w:vAlign w:val="bottom"/>
            <w:hideMark/>
          </w:tcPr>
          <w:p w14:paraId="5DE22340" w14:textId="55BA1650"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101,492 </w:t>
            </w:r>
          </w:p>
        </w:tc>
      </w:tr>
      <w:tr w:rsidR="00AC6D33" w:rsidRPr="00C523EE" w14:paraId="2D0035B8" w14:textId="77777777" w:rsidTr="00363A39">
        <w:trPr>
          <w:trHeight w:val="203"/>
        </w:trPr>
        <w:tc>
          <w:tcPr>
            <w:tcW w:w="2268" w:type="dxa"/>
            <w:tcBorders>
              <w:top w:val="nil"/>
              <w:left w:val="nil"/>
              <w:bottom w:val="nil"/>
              <w:right w:val="nil"/>
            </w:tcBorders>
            <w:shd w:val="clear" w:color="auto" w:fill="auto"/>
            <w:vAlign w:val="bottom"/>
            <w:hideMark/>
          </w:tcPr>
          <w:p w14:paraId="10C8F05B" w14:textId="77777777" w:rsidR="00AC6D33" w:rsidRPr="00C523EE" w:rsidRDefault="00AC6D33" w:rsidP="00AC6D33">
            <w:pPr>
              <w:spacing w:after="0" w:line="240" w:lineRule="auto"/>
              <w:ind w:left="113"/>
              <w:jc w:val="left"/>
              <w:rPr>
                <w:rFonts w:ascii="Arial" w:hAnsi="Arial" w:cs="Arial"/>
                <w:b/>
                <w:bCs/>
                <w:sz w:val="16"/>
                <w:szCs w:val="16"/>
              </w:rPr>
            </w:pPr>
            <w:r w:rsidRPr="00C523EE">
              <w:rPr>
                <w:rFonts w:ascii="Arial" w:hAnsi="Arial" w:cs="Arial"/>
                <w:b/>
                <w:bCs/>
                <w:sz w:val="16"/>
                <w:szCs w:val="16"/>
              </w:rPr>
              <w:t>Total additions</w:t>
            </w:r>
          </w:p>
        </w:tc>
        <w:tc>
          <w:tcPr>
            <w:tcW w:w="816" w:type="dxa"/>
            <w:tcBorders>
              <w:top w:val="single" w:sz="4" w:space="0" w:color="auto"/>
              <w:left w:val="nil"/>
              <w:bottom w:val="nil"/>
              <w:right w:val="nil"/>
            </w:tcBorders>
            <w:shd w:val="clear" w:color="auto" w:fill="auto"/>
            <w:noWrap/>
            <w:vAlign w:val="bottom"/>
            <w:hideMark/>
          </w:tcPr>
          <w:p w14:paraId="07B9868A" w14:textId="4168F007"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20 </w:t>
            </w:r>
          </w:p>
        </w:tc>
        <w:tc>
          <w:tcPr>
            <w:tcW w:w="866" w:type="dxa"/>
            <w:tcBorders>
              <w:top w:val="single" w:sz="4" w:space="0" w:color="auto"/>
              <w:left w:val="nil"/>
              <w:bottom w:val="nil"/>
              <w:right w:val="nil"/>
            </w:tcBorders>
            <w:shd w:val="clear" w:color="auto" w:fill="auto"/>
            <w:noWrap/>
            <w:vAlign w:val="bottom"/>
            <w:hideMark/>
          </w:tcPr>
          <w:p w14:paraId="736B0770" w14:textId="60B303DF"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6,131 </w:t>
            </w:r>
          </w:p>
        </w:tc>
        <w:tc>
          <w:tcPr>
            <w:tcW w:w="964" w:type="dxa"/>
            <w:tcBorders>
              <w:top w:val="single" w:sz="4" w:space="0" w:color="auto"/>
              <w:left w:val="nil"/>
              <w:bottom w:val="nil"/>
              <w:right w:val="nil"/>
            </w:tcBorders>
            <w:shd w:val="clear" w:color="auto" w:fill="auto"/>
            <w:noWrap/>
            <w:vAlign w:val="bottom"/>
            <w:hideMark/>
          </w:tcPr>
          <w:p w14:paraId="6C095370" w14:textId="2E177201"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94,791 </w:t>
            </w:r>
          </w:p>
        </w:tc>
        <w:tc>
          <w:tcPr>
            <w:tcW w:w="917" w:type="dxa"/>
            <w:tcBorders>
              <w:top w:val="single" w:sz="4" w:space="0" w:color="auto"/>
              <w:left w:val="nil"/>
              <w:bottom w:val="nil"/>
              <w:right w:val="nil"/>
            </w:tcBorders>
            <w:shd w:val="clear" w:color="auto" w:fill="auto"/>
            <w:noWrap/>
            <w:vAlign w:val="bottom"/>
            <w:hideMark/>
          </w:tcPr>
          <w:p w14:paraId="3CD2E45A" w14:textId="6785FF69"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550 </w:t>
            </w:r>
          </w:p>
        </w:tc>
        <w:tc>
          <w:tcPr>
            <w:tcW w:w="981" w:type="dxa"/>
            <w:tcBorders>
              <w:top w:val="single" w:sz="4" w:space="0" w:color="auto"/>
              <w:left w:val="nil"/>
              <w:bottom w:val="nil"/>
              <w:right w:val="nil"/>
            </w:tcBorders>
            <w:shd w:val="clear" w:color="auto" w:fill="auto"/>
            <w:noWrap/>
            <w:vAlign w:val="bottom"/>
            <w:hideMark/>
          </w:tcPr>
          <w:p w14:paraId="018F237F" w14:textId="2ABD5B1D"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57" w:type="dxa"/>
            <w:tcBorders>
              <w:top w:val="single" w:sz="4" w:space="0" w:color="auto"/>
              <w:left w:val="nil"/>
              <w:bottom w:val="nil"/>
              <w:right w:val="nil"/>
            </w:tcBorders>
            <w:shd w:val="clear" w:color="auto" w:fill="auto"/>
            <w:noWrap/>
            <w:vAlign w:val="bottom"/>
            <w:hideMark/>
          </w:tcPr>
          <w:p w14:paraId="6B516798" w14:textId="3D5714E9"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101,492 </w:t>
            </w:r>
          </w:p>
        </w:tc>
      </w:tr>
      <w:tr w:rsidR="00AC6D33" w:rsidRPr="00C523EE" w14:paraId="1C52BB8F" w14:textId="77777777" w:rsidTr="00363A39">
        <w:trPr>
          <w:trHeight w:val="203"/>
        </w:trPr>
        <w:tc>
          <w:tcPr>
            <w:tcW w:w="2268" w:type="dxa"/>
            <w:tcBorders>
              <w:top w:val="nil"/>
              <w:left w:val="nil"/>
              <w:bottom w:val="nil"/>
              <w:right w:val="nil"/>
            </w:tcBorders>
            <w:shd w:val="clear" w:color="auto" w:fill="auto"/>
            <w:vAlign w:val="bottom"/>
            <w:hideMark/>
          </w:tcPr>
          <w:p w14:paraId="7C19B0D4" w14:textId="77777777" w:rsidR="00AC6D33" w:rsidRPr="00C523EE" w:rsidRDefault="00AC6D33" w:rsidP="00AC6D33">
            <w:pPr>
              <w:spacing w:after="0" w:line="240" w:lineRule="auto"/>
              <w:ind w:left="113"/>
              <w:jc w:val="left"/>
              <w:rPr>
                <w:rFonts w:ascii="Arial" w:hAnsi="Arial" w:cs="Arial"/>
                <w:b/>
                <w:bCs/>
                <w:sz w:val="16"/>
                <w:szCs w:val="16"/>
              </w:rPr>
            </w:pPr>
            <w:r w:rsidRPr="00C523EE">
              <w:rPr>
                <w:rFonts w:ascii="Arial" w:hAnsi="Arial" w:cs="Arial"/>
                <w:b/>
                <w:bCs/>
                <w:sz w:val="16"/>
                <w:szCs w:val="16"/>
              </w:rPr>
              <w:t>Other movements</w:t>
            </w:r>
          </w:p>
        </w:tc>
        <w:tc>
          <w:tcPr>
            <w:tcW w:w="816" w:type="dxa"/>
            <w:tcBorders>
              <w:top w:val="single" w:sz="4" w:space="0" w:color="auto"/>
              <w:left w:val="nil"/>
              <w:bottom w:val="nil"/>
              <w:right w:val="nil"/>
            </w:tcBorders>
            <w:shd w:val="clear" w:color="auto" w:fill="auto"/>
            <w:noWrap/>
            <w:vAlign w:val="bottom"/>
            <w:hideMark/>
          </w:tcPr>
          <w:p w14:paraId="00A19ED2" w14:textId="50CA0017"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w:t>
            </w:r>
          </w:p>
        </w:tc>
        <w:tc>
          <w:tcPr>
            <w:tcW w:w="866" w:type="dxa"/>
            <w:tcBorders>
              <w:top w:val="single" w:sz="4" w:space="0" w:color="auto"/>
              <w:left w:val="nil"/>
              <w:bottom w:val="nil"/>
              <w:right w:val="nil"/>
            </w:tcBorders>
            <w:shd w:val="clear" w:color="auto" w:fill="auto"/>
            <w:noWrap/>
            <w:vAlign w:val="bottom"/>
            <w:hideMark/>
          </w:tcPr>
          <w:p w14:paraId="53567DAF" w14:textId="70725D33"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bottom"/>
            <w:hideMark/>
          </w:tcPr>
          <w:p w14:paraId="38208089" w14:textId="6E6E6E7A"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w:t>
            </w:r>
          </w:p>
        </w:tc>
        <w:tc>
          <w:tcPr>
            <w:tcW w:w="917" w:type="dxa"/>
            <w:tcBorders>
              <w:top w:val="single" w:sz="4" w:space="0" w:color="auto"/>
              <w:left w:val="nil"/>
              <w:bottom w:val="nil"/>
              <w:right w:val="nil"/>
            </w:tcBorders>
            <w:shd w:val="clear" w:color="auto" w:fill="auto"/>
            <w:noWrap/>
            <w:vAlign w:val="bottom"/>
            <w:hideMark/>
          </w:tcPr>
          <w:p w14:paraId="51EFE488" w14:textId="1D912F64"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w:t>
            </w:r>
          </w:p>
        </w:tc>
        <w:tc>
          <w:tcPr>
            <w:tcW w:w="981" w:type="dxa"/>
            <w:tcBorders>
              <w:top w:val="single" w:sz="4" w:space="0" w:color="auto"/>
              <w:left w:val="nil"/>
              <w:bottom w:val="nil"/>
              <w:right w:val="nil"/>
            </w:tcBorders>
            <w:shd w:val="clear" w:color="auto" w:fill="auto"/>
            <w:noWrap/>
            <w:vAlign w:val="bottom"/>
            <w:hideMark/>
          </w:tcPr>
          <w:p w14:paraId="7B1F0A4C" w14:textId="65D3C68C"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w:t>
            </w:r>
          </w:p>
        </w:tc>
        <w:tc>
          <w:tcPr>
            <w:tcW w:w="957" w:type="dxa"/>
            <w:tcBorders>
              <w:top w:val="single" w:sz="4" w:space="0" w:color="auto"/>
              <w:left w:val="nil"/>
              <w:bottom w:val="nil"/>
              <w:right w:val="nil"/>
            </w:tcBorders>
            <w:shd w:val="clear" w:color="auto" w:fill="auto"/>
            <w:noWrap/>
            <w:vAlign w:val="bottom"/>
            <w:hideMark/>
          </w:tcPr>
          <w:p w14:paraId="70DAFE17" w14:textId="0874E40C"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w:t>
            </w:r>
          </w:p>
        </w:tc>
      </w:tr>
      <w:tr w:rsidR="00AC6D33" w:rsidRPr="00C523EE" w14:paraId="1E19D303" w14:textId="77777777" w:rsidTr="00363A39">
        <w:trPr>
          <w:trHeight w:val="203"/>
        </w:trPr>
        <w:tc>
          <w:tcPr>
            <w:tcW w:w="2268" w:type="dxa"/>
            <w:tcBorders>
              <w:top w:val="nil"/>
              <w:left w:val="nil"/>
              <w:bottom w:val="nil"/>
              <w:right w:val="nil"/>
            </w:tcBorders>
            <w:shd w:val="clear" w:color="auto" w:fill="auto"/>
            <w:vAlign w:val="bottom"/>
            <w:hideMark/>
          </w:tcPr>
          <w:p w14:paraId="2CF21286" w14:textId="77777777" w:rsidR="00AC6D33" w:rsidRPr="00C523EE" w:rsidRDefault="00AC6D33" w:rsidP="00AC6D33">
            <w:pPr>
              <w:spacing w:after="0" w:line="240" w:lineRule="auto"/>
              <w:ind w:left="227"/>
              <w:jc w:val="left"/>
              <w:rPr>
                <w:rFonts w:ascii="Arial" w:hAnsi="Arial" w:cs="Arial"/>
                <w:sz w:val="16"/>
                <w:szCs w:val="16"/>
              </w:rPr>
            </w:pPr>
            <w:r w:rsidRPr="00C523EE">
              <w:rPr>
                <w:rFonts w:ascii="Arial" w:hAnsi="Arial" w:cs="Arial"/>
                <w:sz w:val="16"/>
                <w:szCs w:val="16"/>
              </w:rPr>
              <w:t>Depreciation/</w:t>
            </w:r>
            <w:r>
              <w:rPr>
                <w:rFonts w:ascii="Arial" w:hAnsi="Arial" w:cs="Arial"/>
                <w:sz w:val="16"/>
                <w:szCs w:val="16"/>
              </w:rPr>
              <w:t xml:space="preserve"> </w:t>
            </w:r>
            <w:r w:rsidRPr="00C523EE">
              <w:rPr>
                <w:rFonts w:ascii="Arial" w:hAnsi="Arial" w:cs="Arial"/>
                <w:sz w:val="16"/>
                <w:szCs w:val="16"/>
              </w:rPr>
              <w:t>amortisation expense</w:t>
            </w:r>
          </w:p>
        </w:tc>
        <w:tc>
          <w:tcPr>
            <w:tcW w:w="816" w:type="dxa"/>
            <w:tcBorders>
              <w:top w:val="nil"/>
              <w:left w:val="nil"/>
              <w:bottom w:val="nil"/>
              <w:right w:val="nil"/>
            </w:tcBorders>
            <w:shd w:val="clear" w:color="auto" w:fill="auto"/>
            <w:noWrap/>
            <w:vAlign w:val="bottom"/>
            <w:hideMark/>
          </w:tcPr>
          <w:p w14:paraId="5DBD73A6" w14:textId="2032A3C4"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 </w:t>
            </w:r>
          </w:p>
        </w:tc>
        <w:tc>
          <w:tcPr>
            <w:tcW w:w="866" w:type="dxa"/>
            <w:tcBorders>
              <w:top w:val="nil"/>
              <w:left w:val="nil"/>
              <w:bottom w:val="nil"/>
              <w:right w:val="nil"/>
            </w:tcBorders>
            <w:shd w:val="clear" w:color="auto" w:fill="auto"/>
            <w:noWrap/>
            <w:vAlign w:val="bottom"/>
            <w:hideMark/>
          </w:tcPr>
          <w:p w14:paraId="480A8065" w14:textId="7F73A709"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(9,347)</w:t>
            </w:r>
          </w:p>
        </w:tc>
        <w:tc>
          <w:tcPr>
            <w:tcW w:w="964" w:type="dxa"/>
            <w:tcBorders>
              <w:top w:val="nil"/>
              <w:left w:val="nil"/>
              <w:bottom w:val="nil"/>
              <w:right w:val="nil"/>
            </w:tcBorders>
            <w:shd w:val="clear" w:color="auto" w:fill="auto"/>
            <w:noWrap/>
            <w:vAlign w:val="bottom"/>
            <w:hideMark/>
          </w:tcPr>
          <w:p w14:paraId="55EC7B68" w14:textId="1B7C8089"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(35,841)</w:t>
            </w:r>
          </w:p>
        </w:tc>
        <w:tc>
          <w:tcPr>
            <w:tcW w:w="917" w:type="dxa"/>
            <w:tcBorders>
              <w:top w:val="nil"/>
              <w:left w:val="nil"/>
              <w:bottom w:val="nil"/>
              <w:right w:val="nil"/>
            </w:tcBorders>
            <w:shd w:val="clear" w:color="auto" w:fill="auto"/>
            <w:noWrap/>
            <w:vAlign w:val="bottom"/>
            <w:hideMark/>
          </w:tcPr>
          <w:p w14:paraId="6C472104" w14:textId="68BD1CEC"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(2,431)</w:t>
            </w:r>
          </w:p>
        </w:tc>
        <w:tc>
          <w:tcPr>
            <w:tcW w:w="981" w:type="dxa"/>
            <w:tcBorders>
              <w:top w:val="nil"/>
              <w:left w:val="nil"/>
              <w:bottom w:val="nil"/>
              <w:right w:val="nil"/>
            </w:tcBorders>
            <w:shd w:val="clear" w:color="auto" w:fill="auto"/>
            <w:noWrap/>
            <w:vAlign w:val="bottom"/>
            <w:hideMark/>
          </w:tcPr>
          <w:p w14:paraId="7FCA874B" w14:textId="63819E5B"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 </w:t>
            </w:r>
          </w:p>
        </w:tc>
        <w:tc>
          <w:tcPr>
            <w:tcW w:w="957" w:type="dxa"/>
            <w:tcBorders>
              <w:top w:val="nil"/>
              <w:left w:val="nil"/>
              <w:bottom w:val="nil"/>
              <w:right w:val="nil"/>
            </w:tcBorders>
            <w:shd w:val="clear" w:color="auto" w:fill="auto"/>
            <w:noWrap/>
            <w:vAlign w:val="bottom"/>
            <w:hideMark/>
          </w:tcPr>
          <w:p w14:paraId="17B5375E" w14:textId="1830F141"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(47,619)</w:t>
            </w:r>
          </w:p>
        </w:tc>
      </w:tr>
      <w:tr w:rsidR="00AC6D33" w:rsidRPr="00C523EE" w14:paraId="77FF9A03" w14:textId="77777777" w:rsidTr="00363A39">
        <w:trPr>
          <w:trHeight w:val="203"/>
        </w:trPr>
        <w:tc>
          <w:tcPr>
            <w:tcW w:w="2268" w:type="dxa"/>
            <w:tcBorders>
              <w:top w:val="nil"/>
              <w:left w:val="nil"/>
              <w:bottom w:val="nil"/>
              <w:right w:val="nil"/>
            </w:tcBorders>
            <w:shd w:val="clear" w:color="auto" w:fill="auto"/>
            <w:vAlign w:val="bottom"/>
            <w:hideMark/>
          </w:tcPr>
          <w:p w14:paraId="5FC0E6F7" w14:textId="77777777" w:rsidR="00AC6D33" w:rsidRPr="00C523EE" w:rsidRDefault="00AC6D33" w:rsidP="00AC6D33">
            <w:pPr>
              <w:spacing w:after="0" w:line="240" w:lineRule="auto"/>
              <w:ind w:left="113"/>
              <w:jc w:val="left"/>
              <w:rPr>
                <w:rFonts w:ascii="Arial" w:hAnsi="Arial" w:cs="Arial"/>
                <w:b/>
                <w:bCs/>
                <w:sz w:val="16"/>
                <w:szCs w:val="16"/>
              </w:rPr>
            </w:pPr>
            <w:r w:rsidRPr="00C523EE">
              <w:rPr>
                <w:rFonts w:ascii="Arial" w:hAnsi="Arial" w:cs="Arial"/>
                <w:b/>
                <w:bCs/>
                <w:sz w:val="16"/>
                <w:szCs w:val="16"/>
              </w:rPr>
              <w:t>Total other movements</w:t>
            </w:r>
          </w:p>
        </w:tc>
        <w:tc>
          <w:tcPr>
            <w:tcW w:w="816" w:type="dxa"/>
            <w:tcBorders>
              <w:top w:val="single" w:sz="4" w:space="0" w:color="auto"/>
              <w:left w:val="nil"/>
              <w:bottom w:val="single" w:sz="4" w:space="0" w:color="auto"/>
              <w:right w:val="nil"/>
            </w:tcBorders>
            <w:shd w:val="clear" w:color="auto" w:fill="auto"/>
            <w:noWrap/>
            <w:vAlign w:val="bottom"/>
            <w:hideMark/>
          </w:tcPr>
          <w:p w14:paraId="06697983" w14:textId="36ADC626"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866" w:type="dxa"/>
            <w:tcBorders>
              <w:top w:val="single" w:sz="4" w:space="0" w:color="auto"/>
              <w:left w:val="nil"/>
              <w:bottom w:val="single" w:sz="4" w:space="0" w:color="auto"/>
              <w:right w:val="nil"/>
            </w:tcBorders>
            <w:shd w:val="clear" w:color="auto" w:fill="auto"/>
            <w:noWrap/>
            <w:vAlign w:val="bottom"/>
            <w:hideMark/>
          </w:tcPr>
          <w:p w14:paraId="176739A9" w14:textId="23C99022"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(9,347)</w:t>
            </w:r>
          </w:p>
        </w:tc>
        <w:tc>
          <w:tcPr>
            <w:tcW w:w="964" w:type="dxa"/>
            <w:tcBorders>
              <w:top w:val="single" w:sz="4" w:space="0" w:color="auto"/>
              <w:left w:val="nil"/>
              <w:bottom w:val="single" w:sz="4" w:space="0" w:color="auto"/>
              <w:right w:val="nil"/>
            </w:tcBorders>
            <w:shd w:val="clear" w:color="auto" w:fill="auto"/>
            <w:noWrap/>
            <w:vAlign w:val="bottom"/>
            <w:hideMark/>
          </w:tcPr>
          <w:p w14:paraId="6E1BBC2B" w14:textId="7264EB7D"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(35,841)</w:t>
            </w:r>
          </w:p>
        </w:tc>
        <w:tc>
          <w:tcPr>
            <w:tcW w:w="917" w:type="dxa"/>
            <w:tcBorders>
              <w:top w:val="single" w:sz="4" w:space="0" w:color="auto"/>
              <w:left w:val="nil"/>
              <w:bottom w:val="single" w:sz="4" w:space="0" w:color="auto"/>
              <w:right w:val="nil"/>
            </w:tcBorders>
            <w:shd w:val="clear" w:color="auto" w:fill="auto"/>
            <w:noWrap/>
            <w:vAlign w:val="bottom"/>
            <w:hideMark/>
          </w:tcPr>
          <w:p w14:paraId="390EAB2B" w14:textId="5123620F"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(2,431)</w:t>
            </w:r>
          </w:p>
        </w:tc>
        <w:tc>
          <w:tcPr>
            <w:tcW w:w="981" w:type="dxa"/>
            <w:tcBorders>
              <w:top w:val="single" w:sz="4" w:space="0" w:color="auto"/>
              <w:left w:val="nil"/>
              <w:bottom w:val="single" w:sz="4" w:space="0" w:color="auto"/>
              <w:right w:val="nil"/>
            </w:tcBorders>
            <w:shd w:val="clear" w:color="auto" w:fill="auto"/>
            <w:noWrap/>
            <w:vAlign w:val="bottom"/>
            <w:hideMark/>
          </w:tcPr>
          <w:p w14:paraId="02C959AE" w14:textId="22546E10"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57" w:type="dxa"/>
            <w:tcBorders>
              <w:top w:val="single" w:sz="4" w:space="0" w:color="auto"/>
              <w:left w:val="nil"/>
              <w:bottom w:val="single" w:sz="4" w:space="0" w:color="auto"/>
              <w:right w:val="nil"/>
            </w:tcBorders>
            <w:shd w:val="clear" w:color="auto" w:fill="auto"/>
            <w:noWrap/>
            <w:vAlign w:val="bottom"/>
            <w:hideMark/>
          </w:tcPr>
          <w:p w14:paraId="01821F83" w14:textId="09BEB091"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(47,619)</w:t>
            </w:r>
          </w:p>
        </w:tc>
      </w:tr>
      <w:tr w:rsidR="00AC6D33" w:rsidRPr="00C523EE" w14:paraId="3510BEC9" w14:textId="77777777" w:rsidTr="00363A39">
        <w:trPr>
          <w:trHeight w:val="203"/>
        </w:trPr>
        <w:tc>
          <w:tcPr>
            <w:tcW w:w="2268" w:type="dxa"/>
            <w:tcBorders>
              <w:top w:val="nil"/>
              <w:left w:val="nil"/>
              <w:bottom w:val="nil"/>
              <w:right w:val="nil"/>
            </w:tcBorders>
            <w:shd w:val="clear" w:color="auto" w:fill="auto"/>
            <w:vAlign w:val="bottom"/>
            <w:hideMark/>
          </w:tcPr>
          <w:p w14:paraId="23C4697C" w14:textId="346D31A3" w:rsidR="00AC6D33" w:rsidRPr="00C523EE" w:rsidRDefault="00AC6D33" w:rsidP="00AC6D33">
            <w:pPr>
              <w:spacing w:after="0" w:line="240" w:lineRule="auto"/>
              <w:jc w:val="left"/>
              <w:rPr>
                <w:rFonts w:ascii="Arial" w:hAnsi="Arial" w:cs="Arial"/>
                <w:b/>
                <w:bCs/>
                <w:sz w:val="16"/>
                <w:szCs w:val="16"/>
              </w:rPr>
            </w:pPr>
            <w:r>
              <w:rPr>
                <w:rFonts w:ascii="Arial" w:hAnsi="Arial" w:cs="Arial"/>
                <w:b/>
                <w:bCs/>
                <w:sz w:val="16"/>
                <w:szCs w:val="16"/>
              </w:rPr>
              <w:t>As at 30 June 2023</w:t>
            </w:r>
          </w:p>
        </w:tc>
        <w:tc>
          <w:tcPr>
            <w:tcW w:w="816" w:type="dxa"/>
            <w:tcBorders>
              <w:top w:val="nil"/>
              <w:left w:val="nil"/>
              <w:bottom w:val="nil"/>
              <w:right w:val="nil"/>
            </w:tcBorders>
            <w:shd w:val="clear" w:color="auto" w:fill="auto"/>
            <w:noWrap/>
            <w:vAlign w:val="bottom"/>
            <w:hideMark/>
          </w:tcPr>
          <w:p w14:paraId="410F7F35" w14:textId="77777777" w:rsidR="00AC6D33" w:rsidRPr="00722716" w:rsidRDefault="00AC6D33" w:rsidP="00AC6D33">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0A8FE0D6" w14:textId="77777777" w:rsidR="00AC6D33" w:rsidRPr="00722716" w:rsidRDefault="00AC6D33" w:rsidP="00AC6D33">
            <w:pPr>
              <w:spacing w:after="0" w:line="240" w:lineRule="auto"/>
              <w:jc w:val="right"/>
              <w:rPr>
                <w:rFonts w:ascii="Times New Roman" w:hAnsi="Times New Roman"/>
                <w:sz w:val="16"/>
                <w:szCs w:val="16"/>
              </w:rPr>
            </w:pPr>
          </w:p>
        </w:tc>
        <w:tc>
          <w:tcPr>
            <w:tcW w:w="964" w:type="dxa"/>
            <w:tcBorders>
              <w:top w:val="nil"/>
              <w:left w:val="nil"/>
              <w:bottom w:val="nil"/>
              <w:right w:val="nil"/>
            </w:tcBorders>
            <w:shd w:val="clear" w:color="auto" w:fill="auto"/>
            <w:noWrap/>
            <w:vAlign w:val="bottom"/>
            <w:hideMark/>
          </w:tcPr>
          <w:p w14:paraId="4CB11748" w14:textId="77777777" w:rsidR="00AC6D33" w:rsidRPr="00722716" w:rsidRDefault="00AC6D33" w:rsidP="00AC6D33">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noWrap/>
            <w:vAlign w:val="bottom"/>
            <w:hideMark/>
          </w:tcPr>
          <w:p w14:paraId="40D6FF12" w14:textId="77777777" w:rsidR="00AC6D33" w:rsidRPr="00722716" w:rsidRDefault="00AC6D33" w:rsidP="00AC6D33">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13042E2F" w14:textId="77777777" w:rsidR="00AC6D33" w:rsidRPr="00722716" w:rsidRDefault="00AC6D33" w:rsidP="00AC6D33">
            <w:pPr>
              <w:spacing w:after="0" w:line="240" w:lineRule="auto"/>
              <w:jc w:val="right"/>
              <w:rPr>
                <w:rFonts w:ascii="Times New Roman" w:hAnsi="Times New Roman"/>
                <w:sz w:val="16"/>
                <w:szCs w:val="16"/>
              </w:rPr>
            </w:pPr>
          </w:p>
        </w:tc>
        <w:tc>
          <w:tcPr>
            <w:tcW w:w="957" w:type="dxa"/>
            <w:tcBorders>
              <w:top w:val="nil"/>
              <w:left w:val="nil"/>
              <w:bottom w:val="nil"/>
              <w:right w:val="nil"/>
            </w:tcBorders>
            <w:shd w:val="clear" w:color="auto" w:fill="auto"/>
            <w:noWrap/>
            <w:vAlign w:val="bottom"/>
            <w:hideMark/>
          </w:tcPr>
          <w:p w14:paraId="226C6FFB" w14:textId="77777777" w:rsidR="00AC6D33" w:rsidRPr="00722716" w:rsidRDefault="00AC6D33" w:rsidP="00AC6D33">
            <w:pPr>
              <w:spacing w:after="0" w:line="240" w:lineRule="auto"/>
              <w:jc w:val="right"/>
              <w:rPr>
                <w:rFonts w:ascii="Times New Roman" w:hAnsi="Times New Roman"/>
                <w:sz w:val="16"/>
                <w:szCs w:val="16"/>
              </w:rPr>
            </w:pPr>
          </w:p>
        </w:tc>
      </w:tr>
      <w:tr w:rsidR="00AC6D33" w:rsidRPr="00C523EE" w14:paraId="27B63C86" w14:textId="77777777" w:rsidTr="00363A39">
        <w:trPr>
          <w:trHeight w:val="203"/>
        </w:trPr>
        <w:tc>
          <w:tcPr>
            <w:tcW w:w="2268" w:type="dxa"/>
            <w:tcBorders>
              <w:top w:val="nil"/>
              <w:left w:val="nil"/>
              <w:bottom w:val="nil"/>
              <w:right w:val="nil"/>
            </w:tcBorders>
            <w:shd w:val="clear" w:color="auto" w:fill="auto"/>
            <w:vAlign w:val="bottom"/>
            <w:hideMark/>
          </w:tcPr>
          <w:p w14:paraId="5E73ED40" w14:textId="77777777" w:rsidR="00AC6D33" w:rsidRPr="00C523EE" w:rsidRDefault="00AC6D33" w:rsidP="00AC6D33">
            <w:pPr>
              <w:spacing w:after="0" w:line="240" w:lineRule="auto"/>
              <w:ind w:left="113"/>
              <w:jc w:val="left"/>
              <w:rPr>
                <w:rFonts w:ascii="Arial" w:hAnsi="Arial" w:cs="Arial"/>
                <w:sz w:val="16"/>
                <w:szCs w:val="16"/>
              </w:rPr>
            </w:pPr>
            <w:r w:rsidRPr="00C523EE">
              <w:rPr>
                <w:rFonts w:ascii="Arial" w:hAnsi="Arial" w:cs="Arial"/>
                <w:sz w:val="16"/>
                <w:szCs w:val="16"/>
              </w:rPr>
              <w:t>Gross book value</w:t>
            </w:r>
          </w:p>
        </w:tc>
        <w:tc>
          <w:tcPr>
            <w:tcW w:w="816" w:type="dxa"/>
            <w:tcBorders>
              <w:top w:val="nil"/>
              <w:left w:val="nil"/>
              <w:bottom w:val="nil"/>
              <w:right w:val="nil"/>
            </w:tcBorders>
            <w:shd w:val="clear" w:color="auto" w:fill="auto"/>
            <w:noWrap/>
            <w:vAlign w:val="bottom"/>
            <w:hideMark/>
          </w:tcPr>
          <w:p w14:paraId="20618DFD" w14:textId="50BEF948"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66,796 </w:t>
            </w:r>
          </w:p>
        </w:tc>
        <w:tc>
          <w:tcPr>
            <w:tcW w:w="866" w:type="dxa"/>
            <w:tcBorders>
              <w:top w:val="nil"/>
              <w:left w:val="nil"/>
              <w:bottom w:val="nil"/>
              <w:right w:val="nil"/>
            </w:tcBorders>
            <w:shd w:val="clear" w:color="auto" w:fill="auto"/>
            <w:noWrap/>
            <w:vAlign w:val="bottom"/>
            <w:hideMark/>
          </w:tcPr>
          <w:p w14:paraId="5990DF4D" w14:textId="1ECA8B6F"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182,088 </w:t>
            </w:r>
          </w:p>
        </w:tc>
        <w:tc>
          <w:tcPr>
            <w:tcW w:w="964" w:type="dxa"/>
            <w:tcBorders>
              <w:top w:val="nil"/>
              <w:left w:val="nil"/>
              <w:bottom w:val="nil"/>
              <w:right w:val="nil"/>
            </w:tcBorders>
            <w:shd w:val="clear" w:color="auto" w:fill="auto"/>
            <w:noWrap/>
            <w:vAlign w:val="bottom"/>
            <w:hideMark/>
          </w:tcPr>
          <w:p w14:paraId="25D37640" w14:textId="3B64FF25"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680,400 </w:t>
            </w:r>
          </w:p>
        </w:tc>
        <w:tc>
          <w:tcPr>
            <w:tcW w:w="917" w:type="dxa"/>
            <w:tcBorders>
              <w:top w:val="nil"/>
              <w:left w:val="nil"/>
              <w:bottom w:val="nil"/>
              <w:right w:val="nil"/>
            </w:tcBorders>
            <w:shd w:val="clear" w:color="auto" w:fill="auto"/>
            <w:noWrap/>
            <w:vAlign w:val="bottom"/>
            <w:hideMark/>
          </w:tcPr>
          <w:p w14:paraId="3C6C3098" w14:textId="1C9BE321"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180,214 </w:t>
            </w:r>
          </w:p>
        </w:tc>
        <w:tc>
          <w:tcPr>
            <w:tcW w:w="981" w:type="dxa"/>
            <w:tcBorders>
              <w:top w:val="nil"/>
              <w:left w:val="nil"/>
              <w:bottom w:val="nil"/>
              <w:right w:val="nil"/>
            </w:tcBorders>
            <w:shd w:val="clear" w:color="auto" w:fill="auto"/>
            <w:noWrap/>
            <w:vAlign w:val="bottom"/>
            <w:hideMark/>
          </w:tcPr>
          <w:p w14:paraId="1D910BAA" w14:textId="78EAD3EF"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8,097 </w:t>
            </w:r>
          </w:p>
        </w:tc>
        <w:tc>
          <w:tcPr>
            <w:tcW w:w="957" w:type="dxa"/>
            <w:tcBorders>
              <w:top w:val="nil"/>
              <w:left w:val="nil"/>
              <w:bottom w:val="nil"/>
              <w:right w:val="nil"/>
            </w:tcBorders>
            <w:shd w:val="clear" w:color="auto" w:fill="auto"/>
            <w:noWrap/>
            <w:vAlign w:val="bottom"/>
            <w:hideMark/>
          </w:tcPr>
          <w:p w14:paraId="6079476E" w14:textId="75164060"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1,117,595 </w:t>
            </w:r>
          </w:p>
        </w:tc>
      </w:tr>
      <w:tr w:rsidR="00AC6D33" w:rsidRPr="00C523EE" w14:paraId="03CB7E8D" w14:textId="77777777" w:rsidTr="00363A39">
        <w:trPr>
          <w:trHeight w:val="203"/>
        </w:trPr>
        <w:tc>
          <w:tcPr>
            <w:tcW w:w="2268" w:type="dxa"/>
            <w:tcBorders>
              <w:top w:val="nil"/>
              <w:left w:val="nil"/>
              <w:bottom w:val="nil"/>
              <w:right w:val="nil"/>
            </w:tcBorders>
            <w:shd w:val="clear" w:color="auto" w:fill="auto"/>
            <w:vAlign w:val="bottom"/>
            <w:hideMark/>
          </w:tcPr>
          <w:p w14:paraId="153CBA4C" w14:textId="77777777" w:rsidR="00AC6D33" w:rsidRPr="00C523EE" w:rsidRDefault="00AC6D33" w:rsidP="00AC6D33">
            <w:pPr>
              <w:spacing w:after="0" w:line="240" w:lineRule="auto"/>
              <w:ind w:left="113"/>
              <w:jc w:val="left"/>
              <w:rPr>
                <w:rFonts w:ascii="Arial" w:hAnsi="Arial" w:cs="Arial"/>
                <w:sz w:val="16"/>
                <w:szCs w:val="16"/>
              </w:rPr>
            </w:pPr>
            <w:r w:rsidRPr="00C523EE">
              <w:rPr>
                <w:rFonts w:ascii="Arial" w:hAnsi="Arial" w:cs="Arial"/>
                <w:sz w:val="16"/>
                <w:szCs w:val="16"/>
              </w:rPr>
              <w:t>Accumulated depreciation/ amortisation and impairment</w:t>
            </w:r>
          </w:p>
        </w:tc>
        <w:tc>
          <w:tcPr>
            <w:tcW w:w="816" w:type="dxa"/>
            <w:tcBorders>
              <w:top w:val="nil"/>
              <w:left w:val="nil"/>
              <w:bottom w:val="nil"/>
              <w:right w:val="nil"/>
            </w:tcBorders>
            <w:shd w:val="clear" w:color="auto" w:fill="auto"/>
            <w:noWrap/>
            <w:vAlign w:val="bottom"/>
            <w:hideMark/>
          </w:tcPr>
          <w:p w14:paraId="55C3B260" w14:textId="1DD505D0"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 xml:space="preserve">- </w:t>
            </w:r>
          </w:p>
        </w:tc>
        <w:tc>
          <w:tcPr>
            <w:tcW w:w="866" w:type="dxa"/>
            <w:tcBorders>
              <w:top w:val="nil"/>
              <w:left w:val="nil"/>
              <w:bottom w:val="nil"/>
              <w:right w:val="nil"/>
            </w:tcBorders>
            <w:shd w:val="clear" w:color="auto" w:fill="auto"/>
            <w:noWrap/>
            <w:vAlign w:val="bottom"/>
            <w:hideMark/>
          </w:tcPr>
          <w:p w14:paraId="4F9EF2A1" w14:textId="6DAA8C05"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(48,295)</w:t>
            </w:r>
          </w:p>
        </w:tc>
        <w:tc>
          <w:tcPr>
            <w:tcW w:w="964" w:type="dxa"/>
            <w:tcBorders>
              <w:top w:val="nil"/>
              <w:left w:val="nil"/>
              <w:bottom w:val="nil"/>
              <w:right w:val="nil"/>
            </w:tcBorders>
            <w:shd w:val="clear" w:color="auto" w:fill="auto"/>
            <w:noWrap/>
            <w:vAlign w:val="bottom"/>
            <w:hideMark/>
          </w:tcPr>
          <w:p w14:paraId="1FCED797" w14:textId="70438F68"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(170,497)</w:t>
            </w:r>
          </w:p>
        </w:tc>
        <w:tc>
          <w:tcPr>
            <w:tcW w:w="917" w:type="dxa"/>
            <w:tcBorders>
              <w:top w:val="nil"/>
              <w:left w:val="nil"/>
              <w:bottom w:val="nil"/>
              <w:right w:val="nil"/>
            </w:tcBorders>
            <w:shd w:val="clear" w:color="auto" w:fill="auto"/>
            <w:noWrap/>
            <w:vAlign w:val="bottom"/>
            <w:hideMark/>
          </w:tcPr>
          <w:p w14:paraId="5D31922C" w14:textId="69485D9B"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(9,750)</w:t>
            </w:r>
          </w:p>
        </w:tc>
        <w:tc>
          <w:tcPr>
            <w:tcW w:w="981" w:type="dxa"/>
            <w:tcBorders>
              <w:top w:val="nil"/>
              <w:left w:val="nil"/>
              <w:bottom w:val="nil"/>
              <w:right w:val="nil"/>
            </w:tcBorders>
            <w:shd w:val="clear" w:color="auto" w:fill="auto"/>
            <w:noWrap/>
            <w:vAlign w:val="bottom"/>
            <w:hideMark/>
          </w:tcPr>
          <w:p w14:paraId="51C1856A" w14:textId="4D6BB7C9"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(1,348)</w:t>
            </w:r>
          </w:p>
        </w:tc>
        <w:tc>
          <w:tcPr>
            <w:tcW w:w="957" w:type="dxa"/>
            <w:tcBorders>
              <w:top w:val="nil"/>
              <w:left w:val="nil"/>
              <w:bottom w:val="nil"/>
              <w:right w:val="nil"/>
            </w:tcBorders>
            <w:shd w:val="clear" w:color="auto" w:fill="auto"/>
            <w:noWrap/>
            <w:vAlign w:val="bottom"/>
            <w:hideMark/>
          </w:tcPr>
          <w:p w14:paraId="08280EC6" w14:textId="32225DC9" w:rsidR="00AC6D33" w:rsidRPr="00722716" w:rsidRDefault="00AC6D33" w:rsidP="00AC6D33">
            <w:pPr>
              <w:spacing w:after="0" w:line="240" w:lineRule="auto"/>
              <w:jc w:val="right"/>
              <w:rPr>
                <w:rFonts w:ascii="Arial" w:hAnsi="Arial" w:cs="Arial"/>
                <w:sz w:val="16"/>
                <w:szCs w:val="16"/>
              </w:rPr>
            </w:pPr>
            <w:r>
              <w:rPr>
                <w:rFonts w:ascii="Arial" w:hAnsi="Arial" w:cs="Arial"/>
                <w:sz w:val="16"/>
                <w:szCs w:val="16"/>
              </w:rPr>
              <w:t>(229,890)</w:t>
            </w:r>
          </w:p>
        </w:tc>
      </w:tr>
      <w:tr w:rsidR="00AC6D33" w:rsidRPr="00C523EE" w14:paraId="017CEC8E" w14:textId="77777777" w:rsidTr="00363A39">
        <w:trPr>
          <w:trHeight w:val="203"/>
        </w:trPr>
        <w:tc>
          <w:tcPr>
            <w:tcW w:w="2268" w:type="dxa"/>
            <w:tcBorders>
              <w:top w:val="nil"/>
              <w:left w:val="nil"/>
              <w:bottom w:val="single" w:sz="4" w:space="0" w:color="auto"/>
              <w:right w:val="nil"/>
            </w:tcBorders>
            <w:shd w:val="clear" w:color="auto" w:fill="auto"/>
            <w:noWrap/>
            <w:vAlign w:val="bottom"/>
            <w:hideMark/>
          </w:tcPr>
          <w:p w14:paraId="30C298AD" w14:textId="77777777" w:rsidR="00AC6D33" w:rsidRPr="00C523EE" w:rsidRDefault="00AC6D33" w:rsidP="00AC6D33">
            <w:pPr>
              <w:spacing w:after="0" w:line="240" w:lineRule="auto"/>
              <w:jc w:val="left"/>
              <w:rPr>
                <w:rFonts w:ascii="Arial" w:hAnsi="Arial" w:cs="Arial"/>
                <w:b/>
                <w:bCs/>
                <w:sz w:val="16"/>
                <w:szCs w:val="16"/>
              </w:rPr>
            </w:pPr>
            <w:r w:rsidRPr="00C523EE">
              <w:rPr>
                <w:rFonts w:ascii="Arial" w:hAnsi="Arial" w:cs="Arial"/>
                <w:b/>
                <w:bCs/>
                <w:sz w:val="16"/>
                <w:szCs w:val="16"/>
              </w:rPr>
              <w:t>Closing net book balance</w:t>
            </w:r>
          </w:p>
        </w:tc>
        <w:tc>
          <w:tcPr>
            <w:tcW w:w="816" w:type="dxa"/>
            <w:tcBorders>
              <w:top w:val="single" w:sz="4" w:space="0" w:color="auto"/>
              <w:left w:val="nil"/>
              <w:bottom w:val="single" w:sz="4" w:space="0" w:color="auto"/>
              <w:right w:val="nil"/>
            </w:tcBorders>
            <w:shd w:val="clear" w:color="auto" w:fill="auto"/>
            <w:noWrap/>
            <w:vAlign w:val="bottom"/>
            <w:hideMark/>
          </w:tcPr>
          <w:p w14:paraId="3467FA31" w14:textId="78ED6A36"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66,796 </w:t>
            </w:r>
          </w:p>
        </w:tc>
        <w:tc>
          <w:tcPr>
            <w:tcW w:w="866" w:type="dxa"/>
            <w:tcBorders>
              <w:top w:val="single" w:sz="4" w:space="0" w:color="auto"/>
              <w:left w:val="nil"/>
              <w:bottom w:val="single" w:sz="4" w:space="0" w:color="auto"/>
              <w:right w:val="nil"/>
            </w:tcBorders>
            <w:shd w:val="clear" w:color="auto" w:fill="auto"/>
            <w:noWrap/>
            <w:vAlign w:val="bottom"/>
            <w:hideMark/>
          </w:tcPr>
          <w:p w14:paraId="13F5FF5F" w14:textId="62E9DF09"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133,793 </w:t>
            </w:r>
          </w:p>
        </w:tc>
        <w:tc>
          <w:tcPr>
            <w:tcW w:w="964" w:type="dxa"/>
            <w:tcBorders>
              <w:top w:val="single" w:sz="4" w:space="0" w:color="auto"/>
              <w:left w:val="nil"/>
              <w:bottom w:val="single" w:sz="4" w:space="0" w:color="auto"/>
              <w:right w:val="nil"/>
            </w:tcBorders>
            <w:shd w:val="clear" w:color="auto" w:fill="auto"/>
            <w:noWrap/>
            <w:vAlign w:val="bottom"/>
            <w:hideMark/>
          </w:tcPr>
          <w:p w14:paraId="5F52A39F" w14:textId="4008B698"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509,903 </w:t>
            </w:r>
          </w:p>
        </w:tc>
        <w:tc>
          <w:tcPr>
            <w:tcW w:w="917" w:type="dxa"/>
            <w:tcBorders>
              <w:top w:val="single" w:sz="4" w:space="0" w:color="auto"/>
              <w:left w:val="nil"/>
              <w:bottom w:val="single" w:sz="4" w:space="0" w:color="auto"/>
              <w:right w:val="nil"/>
            </w:tcBorders>
            <w:shd w:val="clear" w:color="auto" w:fill="auto"/>
            <w:noWrap/>
            <w:vAlign w:val="bottom"/>
            <w:hideMark/>
          </w:tcPr>
          <w:p w14:paraId="005BE8E0" w14:textId="3E0D6BCA"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170,464 </w:t>
            </w:r>
          </w:p>
        </w:tc>
        <w:tc>
          <w:tcPr>
            <w:tcW w:w="981" w:type="dxa"/>
            <w:tcBorders>
              <w:top w:val="single" w:sz="4" w:space="0" w:color="auto"/>
              <w:left w:val="nil"/>
              <w:bottom w:val="single" w:sz="4" w:space="0" w:color="auto"/>
              <w:right w:val="nil"/>
            </w:tcBorders>
            <w:shd w:val="clear" w:color="auto" w:fill="auto"/>
            <w:noWrap/>
            <w:vAlign w:val="bottom"/>
            <w:hideMark/>
          </w:tcPr>
          <w:p w14:paraId="6101923E" w14:textId="53D959C9"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6,749 </w:t>
            </w:r>
          </w:p>
        </w:tc>
        <w:tc>
          <w:tcPr>
            <w:tcW w:w="957" w:type="dxa"/>
            <w:tcBorders>
              <w:top w:val="single" w:sz="4" w:space="0" w:color="auto"/>
              <w:left w:val="nil"/>
              <w:bottom w:val="single" w:sz="4" w:space="0" w:color="auto"/>
              <w:right w:val="nil"/>
            </w:tcBorders>
            <w:shd w:val="clear" w:color="auto" w:fill="auto"/>
            <w:noWrap/>
            <w:vAlign w:val="bottom"/>
            <w:hideMark/>
          </w:tcPr>
          <w:p w14:paraId="14544F8F" w14:textId="10710604" w:rsidR="00AC6D33" w:rsidRPr="00722716" w:rsidRDefault="00AC6D33" w:rsidP="00AC6D33">
            <w:pPr>
              <w:spacing w:after="0" w:line="240" w:lineRule="auto"/>
              <w:jc w:val="right"/>
              <w:rPr>
                <w:rFonts w:ascii="Arial" w:hAnsi="Arial" w:cs="Arial"/>
                <w:b/>
                <w:bCs/>
                <w:sz w:val="16"/>
                <w:szCs w:val="16"/>
              </w:rPr>
            </w:pPr>
            <w:r>
              <w:rPr>
                <w:rFonts w:ascii="Arial" w:hAnsi="Arial" w:cs="Arial"/>
                <w:b/>
                <w:bCs/>
                <w:sz w:val="16"/>
                <w:szCs w:val="16"/>
              </w:rPr>
              <w:t xml:space="preserve">887,705 </w:t>
            </w:r>
          </w:p>
        </w:tc>
      </w:tr>
    </w:tbl>
    <w:p w14:paraId="3B667686" w14:textId="52EECD8E" w:rsidR="00B91F3E" w:rsidRDefault="00B91F3E" w:rsidP="00C5325F">
      <w:pPr>
        <w:spacing w:before="60" w:after="0"/>
        <w:rPr>
          <w:rFonts w:ascii="Arial" w:hAnsi="Arial" w:cs="Arial"/>
          <w:sz w:val="16"/>
          <w:szCs w:val="16"/>
        </w:rPr>
      </w:pPr>
      <w:r w:rsidRPr="00C523EE">
        <w:rPr>
          <w:rFonts w:ascii="Arial" w:hAnsi="Arial" w:cs="Arial"/>
          <w:sz w:val="16"/>
          <w:szCs w:val="16"/>
        </w:rPr>
        <w:t>Prepared on Austral</w:t>
      </w:r>
      <w:r>
        <w:rPr>
          <w:rFonts w:ascii="Arial" w:hAnsi="Arial" w:cs="Arial"/>
          <w:sz w:val="16"/>
          <w:szCs w:val="16"/>
        </w:rPr>
        <w:t>ian Accounting Standards basis.</w:t>
      </w:r>
      <w:bookmarkEnd w:id="45"/>
      <w:bookmarkEnd w:id="46"/>
    </w:p>
    <w:sectPr w:rsidR="00B91F3E" w:rsidSect="00C5325F">
      <w:headerReference w:type="even" r:id="rId41"/>
      <w:headerReference w:type="default" r:id="rId42"/>
      <w:headerReference w:type="first" r:id="rId43"/>
      <w:footerReference w:type="first" r:id="rId44"/>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852E" w14:textId="5B01BB91" w:rsidR="00A54065" w:rsidRDefault="00A54065" w:rsidP="00B917D6">
    <w:pPr>
      <w:pStyle w:val="FooterOdd"/>
      <w:jc w:val="left"/>
    </w:pPr>
    <w:r w:rsidRPr="00B628E8">
      <w:rPr>
        <w:rStyle w:val="PageNumber"/>
        <w:b/>
        <w:bCs/>
      </w:rPr>
      <w:t xml:space="preserve">Page </w:t>
    </w:r>
    <w:r w:rsidRPr="00807D41">
      <w:rPr>
        <w:b/>
        <w:bCs/>
        <w:sz w:val="20"/>
      </w:rPr>
      <w:fldChar w:fldCharType="begin"/>
    </w:r>
    <w:r w:rsidRPr="00807D41">
      <w:rPr>
        <w:b/>
        <w:bCs/>
        <w:sz w:val="20"/>
      </w:rPr>
      <w:instrText xml:space="preserve"> PAGE   \* MERGEFORMAT </w:instrText>
    </w:r>
    <w:r w:rsidRPr="00807D41">
      <w:rPr>
        <w:b/>
        <w:bCs/>
        <w:sz w:val="20"/>
      </w:rPr>
      <w:fldChar w:fldCharType="separate"/>
    </w:r>
    <w:r w:rsidR="00C5325F">
      <w:rPr>
        <w:b/>
        <w:bCs/>
        <w:noProof/>
        <w:sz w:val="20"/>
      </w:rPr>
      <w:t>92</w:t>
    </w:r>
    <w:r w:rsidRPr="00807D41">
      <w:rPr>
        <w:b/>
        <w:bCs/>
        <w:noProof/>
        <w:sz w:val="20"/>
      </w:rPr>
      <w:fldChar w:fldCharType="end"/>
    </w:r>
    <w:r>
      <w:rPr>
        <w:rStyle w:val="PageNumber"/>
        <w:lang w:val="en-US"/>
      </w:rPr>
      <w:t xml:space="preserve">  </w:t>
    </w:r>
    <w:r w:rsidRPr="00B628E8">
      <w:rPr>
        <w:rStyle w:val="PageNumber"/>
      </w:rPr>
      <w:t>|</w:t>
    </w:r>
    <w:r w:rsidRPr="00504881">
      <w:rPr>
        <w:rStyle w:val="PageNumber"/>
        <w:sz w:val="17"/>
        <w:szCs w:val="17"/>
        <w:lang w:val="en-AU"/>
      </w:rPr>
      <w:t xml:space="preserve"> </w:t>
    </w:r>
    <w:r w:rsidRPr="00504881">
      <w:rPr>
        <w:rStyle w:val="PageNumber"/>
        <w:sz w:val="17"/>
        <w:szCs w:val="17"/>
      </w:rPr>
      <w:t xml:space="preserve"> </w:t>
    </w:r>
    <w:r>
      <w:rPr>
        <w:rStyle w:val="PageNumber"/>
        <w:sz w:val="17"/>
        <w:szCs w:val="17"/>
        <w:lang w:val="en-AU"/>
      </w:rPr>
      <w:t>Department</w:t>
    </w:r>
    <w:r w:rsidRPr="00504881">
      <w:rPr>
        <w:rStyle w:val="PageNumber"/>
        <w:sz w:val="17"/>
        <w:szCs w:val="17"/>
        <w:lang w:val="en-AU"/>
      </w:rPr>
      <w:t xml:space="preserve"> of Infrastructure, Transport, Regional Development and Communications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2723" w14:textId="4536A369" w:rsidR="00A54065" w:rsidRPr="00B628E8" w:rsidRDefault="00A54065" w:rsidP="00F96D8A">
    <w:pPr>
      <w:pStyle w:val="FooterOdd"/>
      <w:rPr>
        <w:rStyle w:val="PageNumber"/>
      </w:rPr>
    </w:pPr>
    <w:r w:rsidRPr="007B6E09">
      <w:rPr>
        <w:rStyle w:val="PageNumber"/>
        <w:sz w:val="17"/>
        <w:szCs w:val="17"/>
      </w:rPr>
      <w:fldChar w:fldCharType="begin"/>
    </w:r>
    <w:r w:rsidRPr="007B6E09">
      <w:rPr>
        <w:rStyle w:val="PageNumber"/>
        <w:sz w:val="17"/>
        <w:szCs w:val="17"/>
      </w:rPr>
      <w:instrText xml:space="preserve"> STYLEREF  "Heading 1"  \* MERGEFORMAT </w:instrText>
    </w:r>
    <w:r w:rsidRPr="007B6E09">
      <w:rPr>
        <w:rStyle w:val="PageNumber"/>
        <w:sz w:val="17"/>
        <w:szCs w:val="17"/>
      </w:rPr>
      <w:fldChar w:fldCharType="separate"/>
    </w:r>
    <w:r w:rsidR="00C5325F">
      <w:rPr>
        <w:rStyle w:val="PageNumber"/>
        <w:noProof/>
        <w:sz w:val="17"/>
        <w:szCs w:val="17"/>
      </w:rPr>
      <w:t>Department of Infrastructure, Transport, Regional Development and Communications</w:t>
    </w:r>
    <w:r w:rsidRPr="007B6E09">
      <w:rPr>
        <w:rStyle w:val="PageNumber"/>
        <w:sz w:val="17"/>
        <w:szCs w:val="17"/>
      </w:rPr>
      <w:fldChar w:fldCharType="end"/>
    </w:r>
    <w:r w:rsidRPr="007B6E09">
      <w:rPr>
        <w:rStyle w:val="PageNumber"/>
        <w:sz w:val="17"/>
        <w:szCs w:val="17"/>
      </w:rPr>
      <w:t xml:space="preserve"> </w:t>
    </w:r>
    <w:r w:rsidRPr="007B6E09">
      <w:rPr>
        <w:rStyle w:val="PageNumber"/>
        <w:sz w:val="17"/>
        <w:szCs w:val="17"/>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5325F">
      <w:rPr>
        <w:rStyle w:val="PageNumber"/>
        <w:b/>
        <w:bCs/>
        <w:noProof/>
      </w:rPr>
      <w:t>97</w:t>
    </w:r>
    <w:r w:rsidRPr="00B628E8">
      <w:rPr>
        <w:rStyle w:val="PageNumber"/>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01012" w14:textId="2D1E285D" w:rsidR="00A54065" w:rsidRPr="00C6681D" w:rsidRDefault="00A54065" w:rsidP="008B2352">
    <w:pPr>
      <w:pStyle w:val="FooterOdd"/>
      <w:rPr>
        <w:rStyle w:val="PageNumber"/>
      </w:rPr>
    </w:pPr>
    <w:r>
      <w:rPr>
        <w:rStyle w:val="PageNumber"/>
        <w:sz w:val="17"/>
        <w:szCs w:val="17"/>
      </w:rPr>
      <w:t>Department</w:t>
    </w:r>
    <w:r w:rsidRPr="00374558">
      <w:rPr>
        <w:rStyle w:val="PageNumber"/>
        <w:sz w:val="17"/>
        <w:szCs w:val="17"/>
      </w:rPr>
      <w:t xml:space="preserve"> of Infrastructure, Transport, Regional Development and Communications</w:t>
    </w:r>
    <w:r>
      <w:rPr>
        <w:rStyle w:val="PageNumber"/>
        <w:b/>
        <w:bCs/>
        <w:lang w:val="en-US"/>
      </w:rPr>
      <w:t xml:space="preserve"> </w:t>
    </w:r>
    <w:r w:rsidRPr="00B628E8">
      <w:rPr>
        <w:rStyle w:val="PageNumber"/>
      </w:rPr>
      <w:t xml:space="preserve"> |</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5325F">
      <w:rPr>
        <w:rStyle w:val="PageNumber"/>
        <w:b/>
        <w:bCs/>
        <w:noProof/>
      </w:rPr>
      <w:t>94</w:t>
    </w:r>
    <w:r w:rsidRPr="00B628E8">
      <w:rPr>
        <w:rStyle w:val="PageNumber"/>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7F3FE303"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C5325F">
      <w:rPr>
        <w:rStyle w:val="PageNumber"/>
        <w:noProof/>
      </w:rPr>
      <w:t>Department of Infrastructure, Transport, Regional Development and Communications</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5325F">
      <w:rPr>
        <w:rStyle w:val="PageNumber"/>
        <w:b/>
        <w:bCs/>
        <w:noProof/>
      </w:rPr>
      <w:t>99</w:t>
    </w:r>
    <w:r w:rsidRPr="00B628E8">
      <w:rPr>
        <w:rStyle w:val="PageNumbe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7086" w14:textId="0312CEA1" w:rsidR="00A54065" w:rsidRDefault="00A54065" w:rsidP="00B917D6">
    <w:pPr>
      <w:pStyle w:val="FooterOdd"/>
    </w:pPr>
    <w:r>
      <w:rPr>
        <w:rStyle w:val="PageNumber"/>
        <w:sz w:val="17"/>
        <w:szCs w:val="17"/>
        <w:lang w:val="en-AU"/>
      </w:rPr>
      <w:t>Department</w:t>
    </w:r>
    <w:r w:rsidRPr="00D6024B">
      <w:rPr>
        <w:rStyle w:val="PageNumber"/>
        <w:sz w:val="17"/>
        <w:szCs w:val="17"/>
        <w:lang w:val="en-AU"/>
      </w:rPr>
      <w:t xml:space="preserve"> of Infrastructure, Transport, Regional Development and Communications</w:t>
    </w:r>
    <w:r w:rsidRPr="00195C74">
      <w:rPr>
        <w:rStyle w:val="PageNumber"/>
      </w:rPr>
      <w:t xml:space="preserve"> </w:t>
    </w:r>
    <w:r w:rsidRPr="00195C74">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917D6">
      <w:rPr>
        <w:b/>
        <w:bCs/>
        <w:sz w:val="20"/>
      </w:rPr>
      <w:fldChar w:fldCharType="begin"/>
    </w:r>
    <w:r w:rsidRPr="00B917D6">
      <w:rPr>
        <w:b/>
        <w:bCs/>
        <w:sz w:val="20"/>
      </w:rPr>
      <w:instrText xml:space="preserve"> PAGE   \* MERGEFORMAT </w:instrText>
    </w:r>
    <w:r w:rsidRPr="00B917D6">
      <w:rPr>
        <w:b/>
        <w:bCs/>
        <w:sz w:val="20"/>
      </w:rPr>
      <w:fldChar w:fldCharType="separate"/>
    </w:r>
    <w:r w:rsidR="00C5325F">
      <w:rPr>
        <w:b/>
        <w:bCs/>
        <w:noProof/>
        <w:sz w:val="20"/>
      </w:rPr>
      <w:t>23</w:t>
    </w:r>
    <w:r w:rsidRPr="00B917D6">
      <w:rPr>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D4A24" w14:textId="77777777" w:rsidR="00A54065" w:rsidRPr="001808A4" w:rsidRDefault="00A54065" w:rsidP="00F96D8A">
    <w:pPr>
      <w:pStyle w:val="FooterBas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486A" w14:textId="65D2B7D9" w:rsidR="00A54065" w:rsidRPr="008B2352" w:rsidRDefault="00A54065" w:rsidP="008B2352">
    <w:pPr>
      <w:pStyle w:val="FooterOdd"/>
      <w:jc w:val="left"/>
    </w:pPr>
    <w:r w:rsidRPr="00B628E8">
      <w:rPr>
        <w:rStyle w:val="PageNumber"/>
        <w:b/>
        <w:bCs/>
      </w:rPr>
      <w:t xml:space="preserve">Page </w:t>
    </w:r>
    <w:r w:rsidRPr="00807D41">
      <w:rPr>
        <w:b/>
        <w:bCs/>
        <w:sz w:val="20"/>
      </w:rPr>
      <w:fldChar w:fldCharType="begin"/>
    </w:r>
    <w:r w:rsidRPr="00807D41">
      <w:rPr>
        <w:b/>
        <w:bCs/>
        <w:sz w:val="20"/>
      </w:rPr>
      <w:instrText xml:space="preserve"> PAGE   \* MERGEFORMAT </w:instrText>
    </w:r>
    <w:r w:rsidRPr="00807D41">
      <w:rPr>
        <w:b/>
        <w:bCs/>
        <w:sz w:val="20"/>
      </w:rPr>
      <w:fldChar w:fldCharType="separate"/>
    </w:r>
    <w:r w:rsidR="00C5325F">
      <w:rPr>
        <w:b/>
        <w:bCs/>
        <w:noProof/>
        <w:sz w:val="20"/>
      </w:rPr>
      <w:t>21</w:t>
    </w:r>
    <w:r w:rsidRPr="00807D41">
      <w:rPr>
        <w:b/>
        <w:bCs/>
        <w:noProof/>
        <w:sz w:val="20"/>
      </w:rPr>
      <w:fldChar w:fldCharType="end"/>
    </w:r>
    <w:r>
      <w:rPr>
        <w:rStyle w:val="PageNumber"/>
        <w:lang w:val="en-US"/>
      </w:rPr>
      <w:t xml:space="preserve">  </w:t>
    </w:r>
    <w:r w:rsidRPr="00B628E8">
      <w:rPr>
        <w:rStyle w:val="PageNumber"/>
      </w:rPr>
      <w:t>|</w:t>
    </w:r>
    <w:r w:rsidRPr="00504881">
      <w:rPr>
        <w:rStyle w:val="PageNumber"/>
        <w:sz w:val="17"/>
        <w:szCs w:val="17"/>
        <w:lang w:val="en-AU"/>
      </w:rPr>
      <w:t xml:space="preserve"> </w:t>
    </w:r>
    <w:r w:rsidRPr="00504881">
      <w:rPr>
        <w:rStyle w:val="PageNumber"/>
        <w:sz w:val="17"/>
        <w:szCs w:val="17"/>
      </w:rPr>
      <w:t xml:space="preserve"> </w:t>
    </w:r>
    <w:r>
      <w:rPr>
        <w:rStyle w:val="PageNumber"/>
        <w:sz w:val="17"/>
        <w:szCs w:val="17"/>
        <w:lang w:val="en-AU"/>
      </w:rPr>
      <w:t>Department</w:t>
    </w:r>
    <w:r w:rsidRPr="00504881">
      <w:rPr>
        <w:rStyle w:val="PageNumber"/>
        <w:sz w:val="17"/>
        <w:szCs w:val="17"/>
        <w:lang w:val="en-AU"/>
      </w:rPr>
      <w:t xml:space="preserve"> of Infrastructure, Transport, Regional Development and Communications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7AD" w14:textId="4C34AC9A" w:rsidR="00A54065" w:rsidRDefault="00A54065" w:rsidP="00F96D8A">
    <w:pPr>
      <w:pStyle w:val="FooterOdd"/>
      <w:rPr>
        <w:rStyle w:val="PageNumber"/>
        <w:b/>
        <w:bCs/>
      </w:rPr>
    </w:pPr>
    <w:r>
      <w:rPr>
        <w:rStyle w:val="PageNumber"/>
        <w:sz w:val="17"/>
        <w:szCs w:val="17"/>
      </w:rPr>
      <w:t>Department</w:t>
    </w:r>
    <w:r w:rsidRPr="00374558">
      <w:rPr>
        <w:rStyle w:val="PageNumber"/>
        <w:sz w:val="17"/>
        <w:szCs w:val="17"/>
      </w:rPr>
      <w:t xml:space="preserve"> of Infrastructure, Transport, Regional Development and Communications</w:t>
    </w:r>
    <w:r>
      <w:rPr>
        <w:rStyle w:val="PageNumber"/>
        <w:lang w:val="en-AU"/>
      </w:rPr>
      <w:t xml:space="preserve"> </w:t>
    </w:r>
    <w:r w:rsidRPr="00B628E8">
      <w:rPr>
        <w:rStyle w:val="PageNumber"/>
      </w:rPr>
      <w:t xml:space="preserve"> |</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5325F">
      <w:rPr>
        <w:rStyle w:val="PageNumber"/>
        <w:b/>
        <w:bCs/>
        <w:noProof/>
      </w:rPr>
      <w:t>91</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83055" w14:textId="59DCC9FF" w:rsidR="00A54065" w:rsidRDefault="00A54065" w:rsidP="00F96D8A">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525</w:t>
    </w:r>
    <w:r>
      <w:rPr>
        <w:rStyle w:val="PageNumber"/>
      </w:rPr>
      <w:fldChar w:fldCharType="end"/>
    </w:r>
  </w:p>
  <w:p w14:paraId="67E305F7" w14:textId="77777777" w:rsidR="00A54065" w:rsidRDefault="00A54065" w:rsidP="00F96D8A">
    <w:pPr>
      <w:pStyle w:val="DLMSecurity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886F" w14:textId="77777777" w:rsidR="00A54065" w:rsidRPr="00D232B7" w:rsidRDefault="00A54065">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6939" w14:textId="566932AF" w:rsidR="00A54065" w:rsidRDefault="00A54065" w:rsidP="00F96D8A">
    <w:pPr>
      <w:pStyle w:val="FooterOdd"/>
      <w:jc w:val="left"/>
      <w:rPr>
        <w:noProof/>
      </w:rPr>
    </w:pPr>
    <w:r w:rsidRPr="007B6E09">
      <w:rPr>
        <w:rStyle w:val="PageNumber"/>
        <w:b/>
        <w:bCs/>
      </w:rPr>
      <w:t xml:space="preserve">Page </w:t>
    </w:r>
    <w:r w:rsidRPr="007B6E09">
      <w:rPr>
        <w:b/>
        <w:bCs/>
        <w:sz w:val="20"/>
      </w:rPr>
      <w:fldChar w:fldCharType="begin"/>
    </w:r>
    <w:r w:rsidRPr="007B6E09">
      <w:rPr>
        <w:b/>
        <w:bCs/>
        <w:sz w:val="20"/>
      </w:rPr>
      <w:instrText xml:space="preserve"> PAGE   \* MERGEFORMAT </w:instrText>
    </w:r>
    <w:r w:rsidRPr="007B6E09">
      <w:rPr>
        <w:b/>
        <w:bCs/>
        <w:sz w:val="20"/>
      </w:rPr>
      <w:fldChar w:fldCharType="separate"/>
    </w:r>
    <w:r w:rsidR="00C5325F">
      <w:rPr>
        <w:b/>
        <w:bCs/>
        <w:noProof/>
        <w:sz w:val="20"/>
      </w:rPr>
      <w:t>93</w:t>
    </w:r>
    <w:r w:rsidRPr="007B6E09">
      <w:rPr>
        <w:b/>
        <w:bCs/>
        <w:noProof/>
        <w:sz w:val="20"/>
      </w:rPr>
      <w:fldChar w:fldCharType="end"/>
    </w:r>
    <w:r>
      <w:rPr>
        <w:rStyle w:val="PageNumber"/>
        <w:lang w:val="en-US"/>
      </w:rPr>
      <w:t xml:space="preserve">  </w:t>
    </w:r>
    <w:r w:rsidRPr="00B628E8">
      <w:rPr>
        <w:rStyle w:val="PageNumber"/>
      </w:rPr>
      <w:t>|</w:t>
    </w:r>
    <w:r w:rsidRPr="00504881">
      <w:rPr>
        <w:rStyle w:val="PageNumber"/>
        <w:sz w:val="17"/>
        <w:szCs w:val="17"/>
        <w:lang w:val="en-AU"/>
      </w:rPr>
      <w:t xml:space="preserve"> </w:t>
    </w:r>
    <w:r w:rsidRPr="00504881">
      <w:rPr>
        <w:rStyle w:val="PageNumber"/>
        <w:sz w:val="17"/>
        <w:szCs w:val="17"/>
      </w:rPr>
      <w:t xml:space="preserve"> </w:t>
    </w:r>
    <w:r>
      <w:rPr>
        <w:rStyle w:val="PageNumber"/>
        <w:sz w:val="17"/>
        <w:szCs w:val="17"/>
        <w:lang w:val="en-AU"/>
      </w:rPr>
      <w:t>Department</w:t>
    </w:r>
    <w:r w:rsidRPr="00504881">
      <w:rPr>
        <w:rStyle w:val="PageNumber"/>
        <w:sz w:val="17"/>
        <w:szCs w:val="17"/>
        <w:lang w:val="en-AU"/>
      </w:rPr>
      <w:t xml:space="preserve"> of Infrastructure, Transport, Regional Development and Communications</w:t>
    </w:r>
  </w:p>
  <w:p w14:paraId="3889B049" w14:textId="77777777" w:rsidR="00A54065" w:rsidRPr="007B6E09" w:rsidRDefault="00A54065" w:rsidP="00F96D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F9D8" w14:textId="3572C7A4" w:rsidR="00A54065" w:rsidRPr="003F0C8B" w:rsidRDefault="00A54065" w:rsidP="00F96D8A">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C5325F">
      <w:rPr>
        <w:rStyle w:val="PageNumber"/>
        <w:b/>
        <w:bCs w:val="0"/>
        <w:noProof/>
      </w:rPr>
      <w:t>98</w:t>
    </w:r>
    <w:r w:rsidRPr="003F0C8B">
      <w:rPr>
        <w:rStyle w:val="PageNumber"/>
        <w:b/>
        <w:bCs w:val="0"/>
      </w:rPr>
      <w:fldChar w:fldCharType="end"/>
    </w:r>
    <w:r w:rsidRPr="003F0C8B">
      <w:rPr>
        <w:rStyle w:val="PageNumber"/>
      </w:rPr>
      <w:t xml:space="preserve"> </w:t>
    </w:r>
    <w:r>
      <w:rPr>
        <w:rStyle w:val="PageNumber"/>
      </w:rPr>
      <w:t xml:space="preserve"> </w:t>
    </w:r>
    <w:r w:rsidRPr="007B6E09">
      <w:rPr>
        <w:rStyle w:val="PageNumber"/>
        <w:sz w:val="17"/>
        <w:szCs w:val="17"/>
      </w:rPr>
      <w:t xml:space="preserve">|  </w:t>
    </w:r>
    <w:r w:rsidRPr="007B6E09">
      <w:rPr>
        <w:rStyle w:val="PageNumber"/>
        <w:sz w:val="17"/>
        <w:szCs w:val="17"/>
      </w:rPr>
      <w:fldChar w:fldCharType="begin"/>
    </w:r>
    <w:r w:rsidRPr="007B6E09">
      <w:rPr>
        <w:rStyle w:val="PageNumber"/>
        <w:sz w:val="17"/>
        <w:szCs w:val="17"/>
      </w:rPr>
      <w:instrText xml:space="preserve"> STYLEREF  "Heading 1"  \* MERGEFORMAT </w:instrText>
    </w:r>
    <w:r w:rsidRPr="007B6E09">
      <w:rPr>
        <w:rStyle w:val="PageNumber"/>
        <w:sz w:val="17"/>
        <w:szCs w:val="17"/>
      </w:rPr>
      <w:fldChar w:fldCharType="separate"/>
    </w:r>
    <w:r w:rsidR="00C5325F">
      <w:rPr>
        <w:rStyle w:val="PageNumber"/>
        <w:noProof/>
        <w:sz w:val="17"/>
        <w:szCs w:val="17"/>
      </w:rPr>
      <w:t>Department of Infrastructure, Transport, Regional Development and Communications</w:t>
    </w:r>
    <w:r w:rsidRPr="007B6E09">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2FBB" w14:textId="1051681D" w:rsidR="00A54065" w:rsidRDefault="00A54065" w:rsidP="00807D41">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656E6DB" wp14:editId="7EE35C29">
          <wp:extent cx="989308" cy="170121"/>
          <wp:effectExtent l="0" t="0" r="1905" b="190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1E13E3D3" w14:textId="77777777" w:rsidR="00A54065" w:rsidRDefault="00A54065" w:rsidP="00807D41">
    <w:pPr>
      <w:pStyle w:val="HeaderOdd"/>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7BD44429" w14:textId="77777777" w:rsidTr="00F96D8A">
      <w:trPr>
        <w:trHeight w:hRule="exact" w:val="340"/>
      </w:trPr>
      <w:tc>
        <w:tcPr>
          <w:tcW w:w="7797" w:type="dxa"/>
        </w:tcPr>
        <w:p w14:paraId="5405C145" w14:textId="2C7BDB6E" w:rsidR="00A54065" w:rsidRDefault="00A54065" w:rsidP="00F96D8A">
          <w:pPr>
            <w:pStyle w:val="HeaderEven"/>
            <w:ind w:left="-113"/>
          </w:pPr>
          <w:r w:rsidRPr="000635BE">
            <w:rPr>
              <w:rFonts w:ascii="Arial Bold" w:hAnsi="Arial Bold"/>
              <w:b/>
              <w:bCs/>
              <w:noProof/>
              <w:position w:val="-10"/>
            </w:rPr>
            <w:drawing>
              <wp:inline distT="0" distB="0" distL="0" distR="0" wp14:anchorId="4EFC3F04" wp14:editId="3E0A5565">
                <wp:extent cx="989308" cy="170121"/>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tc>
    </w:tr>
  </w:tbl>
  <w:p w14:paraId="1947DFC5" w14:textId="77777777" w:rsidR="00A54065" w:rsidRPr="000304FC" w:rsidRDefault="00A54065" w:rsidP="00F96D8A">
    <w:pPr>
      <w:pStyle w:val="HeaderEven"/>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3752E349" w14:textId="77777777" w:rsidTr="00F96D8A">
      <w:trPr>
        <w:trHeight w:hRule="exact" w:val="340"/>
      </w:trPr>
      <w:tc>
        <w:tcPr>
          <w:tcW w:w="7797" w:type="dxa"/>
        </w:tcPr>
        <w:p w14:paraId="07A746C7" w14:textId="12A45B0B" w:rsidR="00A54065" w:rsidRDefault="00A54065" w:rsidP="00F96D8A">
          <w:pPr>
            <w:pStyle w:val="HeaderOdd"/>
          </w:pPr>
          <w:r>
            <w:t xml:space="preserve">Portfolio Budget Statements  |  </w:t>
          </w:r>
          <w:r w:rsidRPr="000635BE">
            <w:rPr>
              <w:rFonts w:ascii="Arial Bold" w:hAnsi="Arial Bold"/>
              <w:b/>
              <w:bCs/>
              <w:noProof/>
              <w:position w:val="-10"/>
            </w:rPr>
            <w:drawing>
              <wp:inline distT="0" distB="0" distL="0" distR="0" wp14:anchorId="2D7ACE79" wp14:editId="5B4FB612">
                <wp:extent cx="989308" cy="170121"/>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E63AB2" w14:textId="77777777" w:rsidR="00A54065" w:rsidRPr="000304FC" w:rsidRDefault="00A54065" w:rsidP="00F96D8A">
    <w:pPr>
      <w:pStyle w:val="HeaderOd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DAEF" w14:textId="72216078" w:rsidR="00A54065" w:rsidRDefault="00A54065" w:rsidP="00F96D8A">
    <w:pPr>
      <w:pStyle w:val="HeaderOdd"/>
    </w:pPr>
    <w:r>
      <w:t xml:space="preserve">Portfolio Budget Statements  |  </w:t>
    </w:r>
    <w:r w:rsidRPr="000635BE">
      <w:rPr>
        <w:rFonts w:ascii="Arial Bold" w:hAnsi="Arial Bold"/>
        <w:b/>
        <w:bCs/>
        <w:noProof/>
        <w:position w:val="-10"/>
      </w:rPr>
      <w:drawing>
        <wp:inline distT="0" distB="0" distL="0" distR="0" wp14:anchorId="1C08C0A2" wp14:editId="16D2D681">
          <wp:extent cx="989308" cy="170121"/>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B0EF8F2" w14:textId="77777777" w:rsidR="00A54065" w:rsidRPr="00EE03B3" w:rsidRDefault="00A54065" w:rsidP="00F96D8A">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74B3E0D1" w14:textId="77777777" w:rsidTr="00F96D8A">
      <w:trPr>
        <w:trHeight w:hRule="exact" w:val="340"/>
      </w:trPr>
      <w:tc>
        <w:tcPr>
          <w:tcW w:w="7797" w:type="dxa"/>
        </w:tcPr>
        <w:p w14:paraId="0CC82158" w14:textId="6962CFC0" w:rsidR="00A54065" w:rsidRDefault="00A54065" w:rsidP="00F96D8A">
          <w:pPr>
            <w:pStyle w:val="HeaderEven"/>
            <w:ind w:left="-113"/>
          </w:pPr>
          <w:bookmarkStart w:id="23" w:name="_Hlk94690506"/>
          <w:r w:rsidRPr="000635BE">
            <w:rPr>
              <w:rFonts w:ascii="Arial Bold" w:hAnsi="Arial Bold"/>
              <w:b/>
              <w:bCs/>
              <w:noProof/>
              <w:position w:val="-10"/>
            </w:rPr>
            <w:drawing>
              <wp:inline distT="0" distB="0" distL="0" distR="0" wp14:anchorId="0CF0E4FA" wp14:editId="108CF455">
                <wp:extent cx="989308" cy="170121"/>
                <wp:effectExtent l="0" t="0" r="1905" b="190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bookmarkEnd w:id="23"/>
  </w:tbl>
  <w:p w14:paraId="33C4A671" w14:textId="77777777" w:rsidR="00A54065" w:rsidRPr="00F00984" w:rsidRDefault="00A54065" w:rsidP="00F96D8A">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68537679" w14:textId="77777777" w:rsidTr="00F96D8A">
      <w:trPr>
        <w:trHeight w:hRule="exact" w:val="340"/>
      </w:trPr>
      <w:tc>
        <w:tcPr>
          <w:tcW w:w="7797" w:type="dxa"/>
        </w:tcPr>
        <w:p w14:paraId="0B801EB7" w14:textId="4D6E2C8C" w:rsidR="00A54065" w:rsidRDefault="00A54065" w:rsidP="00F96D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A862C7C" wp14:editId="58654F16">
                <wp:extent cx="989308" cy="170121"/>
                <wp:effectExtent l="0" t="0" r="1905" b="190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4F4FD29" w14:textId="77777777" w:rsidR="00A54065" w:rsidRDefault="00A54065" w:rsidP="00F96D8A">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52CD" w14:textId="72AC8BC6" w:rsidR="00A54065" w:rsidRDefault="00A54065" w:rsidP="005A5770">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20C27A4" wp14:editId="275975A7">
          <wp:extent cx="989308" cy="170121"/>
          <wp:effectExtent l="0" t="0" r="1905" b="190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2BE66671" w14:textId="77777777" w:rsidR="00A54065" w:rsidRPr="00B4084B" w:rsidRDefault="00A54065" w:rsidP="00F96D8A">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2822D2EC" w14:textId="77777777" w:rsidTr="00F96D8A">
      <w:trPr>
        <w:trHeight w:hRule="exact" w:val="340"/>
      </w:trPr>
      <w:tc>
        <w:tcPr>
          <w:tcW w:w="7797" w:type="dxa"/>
        </w:tcPr>
        <w:p w14:paraId="1DF05613" w14:textId="6DC2C53C" w:rsidR="00A54065" w:rsidRDefault="00A54065" w:rsidP="00F96D8A">
          <w:pPr>
            <w:pStyle w:val="HeaderEven"/>
            <w:ind w:left="-113"/>
          </w:pPr>
          <w:r w:rsidRPr="000635BE">
            <w:rPr>
              <w:rFonts w:ascii="Arial Bold" w:hAnsi="Arial Bold"/>
              <w:b/>
              <w:bCs/>
              <w:noProof/>
              <w:position w:val="-10"/>
            </w:rPr>
            <w:drawing>
              <wp:inline distT="0" distB="0" distL="0" distR="0" wp14:anchorId="4197E81E" wp14:editId="7BB09AAA">
                <wp:extent cx="989308" cy="170121"/>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5B026E2A" w14:textId="77777777" w:rsidR="00A54065" w:rsidRPr="00F00984" w:rsidRDefault="00A54065" w:rsidP="00F96D8A">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6C6876F4" w14:textId="77777777" w:rsidTr="00F96D8A">
      <w:trPr>
        <w:trHeight w:hRule="exact" w:val="340"/>
      </w:trPr>
      <w:tc>
        <w:tcPr>
          <w:tcW w:w="7797" w:type="dxa"/>
        </w:tcPr>
        <w:p w14:paraId="1EE5AE9D" w14:textId="282A7B32" w:rsidR="00A54065" w:rsidRDefault="00A54065" w:rsidP="00F96D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412A6ECF" wp14:editId="13E9C934">
                <wp:extent cx="989308" cy="17012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EA85823" w14:textId="77777777" w:rsidR="00A54065" w:rsidRDefault="00A54065" w:rsidP="00F96D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1C45299" w14:textId="77777777" w:rsidTr="005A5770">
      <w:trPr>
        <w:trHeight w:hRule="exact" w:val="340"/>
      </w:trPr>
      <w:tc>
        <w:tcPr>
          <w:tcW w:w="7797" w:type="dxa"/>
        </w:tcPr>
        <w:p w14:paraId="69573620" w14:textId="214BA74E" w:rsidR="00A54065" w:rsidRDefault="00A54065" w:rsidP="005A5770">
          <w:pPr>
            <w:pStyle w:val="HeaderEven"/>
            <w:ind w:left="-113"/>
          </w:pPr>
          <w:r w:rsidRPr="000635BE">
            <w:rPr>
              <w:rFonts w:ascii="Arial Bold" w:hAnsi="Arial Bold"/>
              <w:b/>
              <w:bCs/>
              <w:noProof/>
              <w:position w:val="-10"/>
            </w:rPr>
            <w:drawing>
              <wp:inline distT="0" distB="0" distL="0" distR="0" wp14:anchorId="0AD886BE" wp14:editId="2FB5D900">
                <wp:extent cx="989308" cy="170121"/>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tc>
    </w:tr>
  </w:tbl>
  <w:p w14:paraId="73A1A3C7" w14:textId="77777777" w:rsidR="00A54065" w:rsidRPr="00F00984" w:rsidRDefault="00A54065" w:rsidP="005A5770">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CDF6" w14:textId="77777777" w:rsidR="00A54065" w:rsidRPr="00850462" w:rsidRDefault="00A54065" w:rsidP="00F96D8A">
    <w:pPr>
      <w:framePr w:w="289" w:h="7663" w:hRule="exact" w:wrap="around" w:vAnchor="page" w:hAnchor="page" w:x="14646" w:y="2093" w:anchorLock="1"/>
      <w:spacing w:line="276" w:lineRule="auto"/>
      <w:jc w:val="left"/>
      <w:textDirection w:val="tbRl"/>
      <w:rPr>
        <w:rStyle w:val="FramedHeader"/>
      </w:rPr>
    </w:pPr>
    <w:r w:rsidRPr="00850462">
      <w:rPr>
        <w:rStyle w:val="FramedHeader"/>
      </w:rPr>
      <w:t xml:space="preserve"> [</w:t>
    </w:r>
    <w:r w:rsidRPr="00850462">
      <w:rPr>
        <w:rStyle w:val="FramedHeader"/>
      </w:rPr>
      <w:fldChar w:fldCharType="begin"/>
    </w:r>
    <w:r w:rsidRPr="00850462">
      <w:rPr>
        <w:rStyle w:val="FramedHeader"/>
      </w:rPr>
      <w:instrText xml:space="preserve"> MACROBUTTON  AcceptAllChangesInDoc Department abbreviation </w:instrText>
    </w:r>
    <w:r w:rsidRPr="00850462">
      <w:rPr>
        <w:rStyle w:val="FramedHeader"/>
      </w:rPr>
      <w:fldChar w:fldCharType="end"/>
    </w:r>
    <w:r w:rsidRPr="00850462">
      <w:rPr>
        <w:rStyle w:val="FramedHeader"/>
      </w:rPr>
      <w:t xml:space="preserve">] Budget Statements </w:t>
    </w:r>
  </w:p>
  <w:p w14:paraId="66011442" w14:textId="77777777" w:rsidR="00A54065" w:rsidRPr="003364C1" w:rsidRDefault="00A54065" w:rsidP="00F96D8A">
    <w:pPr>
      <w:pStyle w:val="Header"/>
    </w:pPr>
    <w:r>
      <w:rPr>
        <w:noProof/>
        <w:lang w:val="en-AU"/>
      </w:rPr>
      <mc:AlternateContent>
        <mc:Choice Requires="wps">
          <w:drawing>
            <wp:anchor distT="0" distB="0" distL="114300" distR="114300" simplePos="0" relativeHeight="251729408" behindDoc="0" locked="0" layoutInCell="1" allowOverlap="1" wp14:anchorId="6E52B4C1" wp14:editId="75ED558F">
              <wp:simplePos x="0" y="0"/>
              <wp:positionH relativeFrom="page">
                <wp:posOffset>129309</wp:posOffset>
              </wp:positionH>
              <wp:positionV relativeFrom="page">
                <wp:posOffset>1385454</wp:posOffset>
              </wp:positionV>
              <wp:extent cx="942975" cy="5006109"/>
              <wp:effectExtent l="0" t="0" r="9525" b="4445"/>
              <wp:wrapNone/>
              <wp:docPr id="156"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C54B2" w14:textId="77777777" w:rsidR="00A54065" w:rsidRDefault="00A54065" w:rsidP="00F96D8A">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2B4C1" id="_x0000_t202" coordsize="21600,21600" o:spt="202" path="m,l,21600r21600,l21600,xe">
              <v:stroke joinstyle="miter"/>
              <v:path gradientshapeok="t" o:connecttype="rect"/>
            </v:shapetype>
            <v:shape id="Text Box 6" o:spid="_x0000_s1026" type="#_x0000_t202" alt="Landscape Classification Footer" style="position:absolute;margin-left:10.2pt;margin-top:109.1pt;width:74.25pt;height:394.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" stroked="f">
              <v:textbox style="layout-flow:vertical">
                <w:txbxContent>
                  <w:p w14:paraId="37BC54B2" w14:textId="77777777" w:rsidR="00A54065" w:rsidRDefault="00A54065" w:rsidP="00F96D8A">
                    <w:pPr>
                      <w:pStyle w:val="FileProperties"/>
                      <w:tabs>
                        <w:tab w:val="right" w:pos="7711"/>
                      </w:tabs>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3E46" w14:textId="77777777" w:rsidR="00A54065" w:rsidRDefault="00A54065" w:rsidP="00F96D8A">
    <w:pPr>
      <w:pStyle w:val="HeaderEven"/>
    </w:pPr>
    <w:r w:rsidRPr="005E792C">
      <w:rPr>
        <w:noProof/>
        <w:sz w:val="2"/>
        <w:szCs w:val="2"/>
      </w:rPr>
      <mc:AlternateContent>
        <mc:Choice Requires="wps">
          <w:drawing>
            <wp:anchor distT="0" distB="0" distL="114300" distR="114300" simplePos="0" relativeHeight="251731456" behindDoc="0" locked="0" layoutInCell="1" allowOverlap="1" wp14:anchorId="2CF83C1F" wp14:editId="4A273DC3">
              <wp:simplePos x="0" y="0"/>
              <wp:positionH relativeFrom="column">
                <wp:posOffset>-541020</wp:posOffset>
              </wp:positionH>
              <wp:positionV relativeFrom="margin">
                <wp:posOffset>0</wp:posOffset>
              </wp:positionV>
              <wp:extent cx="399600" cy="4896000"/>
              <wp:effectExtent l="0" t="0" r="635" b="0"/>
              <wp:wrapNone/>
              <wp:docPr id="15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F0A09D4" w14:textId="6A9F2D36" w:rsidR="00A54065" w:rsidRDefault="00C5325F" w:rsidP="00F96D8A">
                          <w:pPr>
                            <w:pStyle w:val="FooterOdd"/>
                          </w:pPr>
                          <w:r>
                            <w:fldChar w:fldCharType="begin"/>
                          </w:r>
                          <w:r>
                            <w:instrText xml:space="preserve"> STYLEREF  "Heading 1"  \* MERGEFORMAT </w:instrText>
                          </w:r>
                          <w:r>
                            <w:fldChar w:fldCharType="separate"/>
                          </w:r>
                          <w:r w:rsidR="00A54065">
                            <w:rPr>
                              <w:noProof/>
                            </w:rPr>
                            <w:t>Department of Infrastructure, Transport, Regional Development and Communications</w:t>
                          </w:r>
                          <w:r>
                            <w:rPr>
                              <w:noProof/>
                            </w:rPr>
                            <w:fldChar w:fldCharType="end"/>
                          </w:r>
                          <w:r w:rsidR="00A54065" w:rsidRPr="00B3705D">
                            <w:t xml:space="preserve">  |  </w:t>
                          </w:r>
                          <w:r w:rsidR="00A54065" w:rsidRPr="00B3705D">
                            <w:rPr>
                              <w:b/>
                              <w:bCs/>
                            </w:rPr>
                            <w:t xml:space="preserve">Page </w:t>
                          </w:r>
                          <w:r w:rsidR="00A54065" w:rsidRPr="00B3705D">
                            <w:rPr>
                              <w:b/>
                              <w:bCs/>
                            </w:rPr>
                            <w:fldChar w:fldCharType="begin"/>
                          </w:r>
                          <w:r w:rsidR="00A54065" w:rsidRPr="00B3705D">
                            <w:rPr>
                              <w:b/>
                              <w:bCs/>
                            </w:rPr>
                            <w:instrText xml:space="preserve"> PAGE  \* Arabic  \* MERGEFORMAT </w:instrText>
                          </w:r>
                          <w:r w:rsidR="00A54065" w:rsidRPr="00B3705D">
                            <w:rPr>
                              <w:b/>
                              <w:bCs/>
                            </w:rPr>
                            <w:fldChar w:fldCharType="separate"/>
                          </w:r>
                          <w:r w:rsidR="00A54065">
                            <w:rPr>
                              <w:b/>
                              <w:bCs/>
                              <w:noProof/>
                            </w:rPr>
                            <w:t>525</w:t>
                          </w:r>
                          <w:r w:rsidR="00A54065"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3C1F" id="_x0000_t202" coordsize="21600,21600" o:spt="202" path="m,l,21600r21600,l21600,xe">
              <v:stroke joinstyle="miter"/>
              <v:path gradientshapeok="t" o:connecttype="rect"/>
            </v:shapetype>
            <v:shape id="Text Box 7" o:spid="_x0000_s1027" type="#_x0000_t202" alt="Landscape Page Number" style="position:absolute;margin-left:-42.6pt;margin-top:0;width:31.45pt;height:38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" stroked="f">
              <v:textbox style="layout-flow:vertical" inset="0,0,0,0">
                <w:txbxContent>
                  <w:p w14:paraId="4F0A09D4" w14:textId="6A9F2D36" w:rsidR="00A54065" w:rsidRDefault="00C5325F" w:rsidP="00F96D8A">
                    <w:pPr>
                      <w:pStyle w:val="FooterOdd"/>
                    </w:pPr>
                    <w:r>
                      <w:fldChar w:fldCharType="begin"/>
                    </w:r>
                    <w:r>
                      <w:instrText xml:space="preserve"> STYLEREF  "Heading 1"  \* MERGEFORMAT </w:instrText>
                    </w:r>
                    <w:r>
                      <w:fldChar w:fldCharType="separate"/>
                    </w:r>
                    <w:r w:rsidR="00A54065">
                      <w:rPr>
                        <w:noProof/>
                      </w:rPr>
                      <w:t>Department of Infrastructure, Transport, Regional Development and Communications</w:t>
                    </w:r>
                    <w:r>
                      <w:rPr>
                        <w:noProof/>
                      </w:rPr>
                      <w:fldChar w:fldCharType="end"/>
                    </w:r>
                    <w:r w:rsidR="00A54065" w:rsidRPr="00B3705D">
                      <w:t xml:space="preserve">  |  </w:t>
                    </w:r>
                    <w:r w:rsidR="00A54065" w:rsidRPr="00B3705D">
                      <w:rPr>
                        <w:b/>
                        <w:bCs/>
                      </w:rPr>
                      <w:t xml:space="preserve">Page </w:t>
                    </w:r>
                    <w:r w:rsidR="00A54065" w:rsidRPr="00B3705D">
                      <w:rPr>
                        <w:b/>
                        <w:bCs/>
                      </w:rPr>
                      <w:fldChar w:fldCharType="begin"/>
                    </w:r>
                    <w:r w:rsidR="00A54065" w:rsidRPr="00B3705D">
                      <w:rPr>
                        <w:b/>
                        <w:bCs/>
                      </w:rPr>
                      <w:instrText xml:space="preserve"> PAGE  \* Arabic  \* MERGEFORMAT </w:instrText>
                    </w:r>
                    <w:r w:rsidR="00A54065" w:rsidRPr="00B3705D">
                      <w:rPr>
                        <w:b/>
                        <w:bCs/>
                      </w:rPr>
                      <w:fldChar w:fldCharType="separate"/>
                    </w:r>
                    <w:r w:rsidR="00A54065">
                      <w:rPr>
                        <w:b/>
                        <w:bCs/>
                        <w:noProof/>
                      </w:rPr>
                      <w:t>525</w:t>
                    </w:r>
                    <w:r w:rsidR="00A54065" w:rsidRPr="00B3705D">
                      <w:rPr>
                        <w:b/>
                        <w:bCs/>
                      </w:rPr>
                      <w:fldChar w:fldCharType="end"/>
                    </w:r>
                  </w:p>
                </w:txbxContent>
              </v:textbox>
              <w10:wrap anchory="margin"/>
            </v:shape>
          </w:pict>
        </mc:Fallback>
      </mc:AlternateContent>
    </w:r>
    <w:r w:rsidRPr="0097580B">
      <w:rPr>
        <w:noProof/>
        <w:sz w:val="32"/>
        <w:szCs w:val="32"/>
      </w:rPr>
      <mc:AlternateContent>
        <mc:Choice Requires="wps">
          <w:drawing>
            <wp:anchor distT="0" distB="0" distL="114300" distR="114300" simplePos="0" relativeHeight="251730432" behindDoc="0" locked="0" layoutInCell="1" allowOverlap="1" wp14:anchorId="5E794D23" wp14:editId="6E9115BF">
              <wp:simplePos x="0" y="0"/>
              <wp:positionH relativeFrom="column">
                <wp:posOffset>7560945</wp:posOffset>
              </wp:positionH>
              <wp:positionV relativeFrom="margin">
                <wp:posOffset>0</wp:posOffset>
              </wp:positionV>
              <wp:extent cx="399600" cy="4896000"/>
              <wp:effectExtent l="0" t="0" r="635" b="0"/>
              <wp:wrapNone/>
              <wp:docPr id="1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7E9B3" w14:textId="0077DA73" w:rsidR="00A54065" w:rsidRPr="00137C7E" w:rsidRDefault="00A54065" w:rsidP="00F96D8A">
                          <w:pPr>
                            <w:pStyle w:val="HeaderOdd"/>
                          </w:pPr>
                          <w:r>
                            <w:rPr>
                              <w:position w:val="-2"/>
                            </w:rPr>
                            <w:t>Portfolio</w:t>
                          </w:r>
                          <w:r w:rsidRPr="004D660D">
                            <w:rPr>
                              <w:position w:val="-2"/>
                            </w:rPr>
                            <w:t xml:space="preserve"> Budget Statements  |</w:t>
                          </w:r>
                          <w:r>
                            <w:t xml:space="preserve">  </w:t>
                          </w:r>
                          <w:r w:rsidRPr="000635BE">
                            <w:rPr>
                              <w:rFonts w:ascii="Arial Bold" w:hAnsi="Arial Bold"/>
                              <w:b/>
                              <w:bCs/>
                              <w:noProof/>
                              <w:position w:val="-10"/>
                            </w:rPr>
                            <w:drawing>
                              <wp:inline distT="0" distB="0" distL="0" distR="0" wp14:anchorId="493D5025" wp14:editId="5038664B">
                                <wp:extent cx="1000760" cy="172091"/>
                                <wp:effectExtent l="0" t="4763" r="4128" b="4127"/>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94D23" id="_x0000_s1028" type="#_x0000_t202" alt="Landscape Odd Header" style="position:absolute;margin-left:595.35pt;margin-top:0;width:31.45pt;height:38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" stroked="f">
              <v:textbox style="layout-flow:vertical" inset="0,0,0,.2mm">
                <w:txbxContent>
                  <w:p w14:paraId="4F27E9B3" w14:textId="0077DA73" w:rsidR="00A54065" w:rsidRPr="00137C7E" w:rsidRDefault="00A54065" w:rsidP="00F96D8A">
                    <w:pPr>
                      <w:pStyle w:val="HeaderOdd"/>
                    </w:pPr>
                    <w:r>
                      <w:rPr>
                        <w:position w:val="-2"/>
                      </w:rPr>
                      <w:t>Portfolio</w:t>
                    </w:r>
                    <w:r w:rsidRPr="004D660D">
                      <w:rPr>
                        <w:position w:val="-2"/>
                      </w:rPr>
                      <w:t xml:space="preserve"> Budget Statements  |</w:t>
                    </w:r>
                    <w:r>
                      <w:t xml:space="preserve">  </w:t>
                    </w:r>
                    <w:r w:rsidRPr="000635BE">
                      <w:rPr>
                        <w:rFonts w:ascii="Arial Bold" w:hAnsi="Arial Bold"/>
                        <w:b/>
                        <w:bCs/>
                        <w:noProof/>
                        <w:position w:val="-10"/>
                      </w:rPr>
                      <w:drawing>
                        <wp:inline distT="0" distB="0" distL="0" distR="0" wp14:anchorId="493D5025" wp14:editId="5038664B">
                          <wp:extent cx="1000760" cy="172091"/>
                          <wp:effectExtent l="0" t="4763" r="4128" b="4127"/>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25F"/>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investment.infrastructure.gov.au/files/roads_to_recovery_funding_conditions/R2R_Funding" TargetMode="External"/><Relationship Id="rId26" Type="http://schemas.openxmlformats.org/officeDocument/2006/relationships/header" Target="head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s://www.infrastructure.gov.au/department/annual_report" TargetMode="External"/><Relationship Id="rId34" Type="http://schemas.openxmlformats.org/officeDocument/2006/relationships/footer" Target="footer8.xml"/><Relationship Id="rId42" Type="http://schemas.openxmlformats.org/officeDocument/2006/relationships/header" Target="header1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budget.gov.au/2022-23/content/bp3/index.htm" TargetMode="Externa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hyperlink" Target="https://budget.gov.au/2022-23/content/bp3/index.htm" TargetMode="External"/><Relationship Id="rId31" Type="http://schemas.openxmlformats.org/officeDocument/2006/relationships/header" Target="header9.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7f038680-7400-4805-8f95-861f74a21749"/>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D94E5E-0C0A-41FB-A45C-65973589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22244</Words>
  <Characters>140167</Characters>
  <Application>Microsoft Office Word</Application>
  <DocSecurity>0</DocSecurity>
  <Lines>1168</Lines>
  <Paragraphs>324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162087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2022-03-27T06:53:00Z</dcterms:created>
  <dcterms:modified xsi:type="dcterms:W3CDTF">2022-03-27T06:53:00Z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