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8099" w14:textId="77777777" w:rsidR="00E603BC" w:rsidRDefault="0007055D" w:rsidP="00E603BC">
      <w:pPr>
        <w:pStyle w:val="PartHeading"/>
        <w:spacing w:before="240"/>
      </w:pPr>
      <w:bookmarkStart w:id="0" w:name="_Toc210646446"/>
      <w:bookmarkStart w:id="1" w:name="_Toc210698425"/>
      <w:r>
        <w:t xml:space="preserve">Department of Infrastructure, Transport, Regional Development, Communications and the Arts </w:t>
      </w:r>
    </w:p>
    <w:p w14:paraId="57CA7B82" w14:textId="70504945" w:rsidR="00D86294" w:rsidRDefault="0007055D" w:rsidP="00E603BC">
      <w:pPr>
        <w:pStyle w:val="PartHeading"/>
        <w:spacing w:before="240"/>
      </w:pPr>
      <w:r>
        <w:t>Additional Estimates Statements</w:t>
      </w:r>
    </w:p>
    <w:p w14:paraId="5317E004" w14:textId="77777777" w:rsidR="00D86294" w:rsidRDefault="00D86294">
      <w:pPr>
        <w:spacing w:after="0" w:line="240" w:lineRule="auto"/>
        <w:rPr>
          <w:rFonts w:ascii="Arial Bold" w:hAnsi="Arial Bold" w:cs="Arial"/>
          <w:b/>
          <w:bCs/>
          <w:kern w:val="28"/>
          <w:sz w:val="52"/>
          <w:szCs w:val="32"/>
        </w:rPr>
      </w:pPr>
      <w:r>
        <w:br w:type="page"/>
      </w:r>
    </w:p>
    <w:p w14:paraId="15581CA9" w14:textId="77777777" w:rsidR="0007055D" w:rsidRDefault="0007055D" w:rsidP="00E603BC">
      <w:pPr>
        <w:pStyle w:val="PartHeading"/>
        <w:spacing w:before="240"/>
      </w:pPr>
    </w:p>
    <w:p w14:paraId="75A4B6CC" w14:textId="77777777" w:rsidR="005E5A5B" w:rsidRPr="00BE17E5" w:rsidRDefault="005E5A5B" w:rsidP="00BE17E5"/>
    <w:p w14:paraId="4B05B22F" w14:textId="77777777" w:rsidR="005E5A5B" w:rsidRPr="00BE17E5" w:rsidRDefault="005E5A5B" w:rsidP="00BE17E5">
      <w:pPr>
        <w:sectPr w:rsidR="005E5A5B" w:rsidRPr="00BE17E5" w:rsidSect="00E603BC">
          <w:type w:val="oddPage"/>
          <w:pgSz w:w="11907" w:h="16840" w:code="9"/>
          <w:pgMar w:top="2835" w:right="2098" w:bottom="2466" w:left="2098" w:header="1814" w:footer="1814" w:gutter="0"/>
          <w:cols w:space="720"/>
          <w:vAlign w:val="center"/>
          <w:titlePg/>
        </w:sectPr>
      </w:pPr>
    </w:p>
    <w:bookmarkEnd w:id="0"/>
    <w:bookmarkEnd w:id="1"/>
    <w:p w14:paraId="32B6F6C7" w14:textId="77777777" w:rsidR="00B51411" w:rsidRDefault="0007055D" w:rsidP="00B51411">
      <w:pPr>
        <w:pStyle w:val="Heading1-NoTOC"/>
        <w:spacing w:before="40"/>
        <w:rPr>
          <w:noProof/>
        </w:rPr>
      </w:pPr>
      <w:r>
        <w:lastRenderedPageBreak/>
        <w:t>Department of Infrastructure, Transport, Regional Development, Communications and the Arts</w:t>
      </w:r>
      <w:bookmarkStart w:id="2" w:name="_Toc23559338"/>
      <w:bookmarkStart w:id="3" w:name="_Toc23559372"/>
      <w:bookmarkStart w:id="4" w:name="_Toc23559663"/>
      <w:bookmarkStart w:id="5" w:name="_Toc23560126"/>
      <w:bookmarkStart w:id="6" w:name="_Toc23563421"/>
      <w:bookmarkStart w:id="7" w:name="_Toc77998675"/>
      <w:bookmarkStart w:id="8" w:name="_Toc436624136"/>
      <w:bookmarkStart w:id="9" w:name="_Toc436625437"/>
      <w:bookmarkStart w:id="10" w:name="_Toc449255757"/>
      <w:r w:rsidR="00134A80">
        <w:fldChar w:fldCharType="begin"/>
      </w:r>
      <w:r w:rsidR="00134A80">
        <w:instrText xml:space="preserve"> TOC \f \h \z \t "Heading 3,1" </w:instrText>
      </w:r>
      <w:r w:rsidR="00134A80">
        <w:fldChar w:fldCharType="separate"/>
      </w:r>
    </w:p>
    <w:p w14:paraId="3E374DD6" w14:textId="34722256" w:rsidR="00B51411" w:rsidRDefault="00BA3DA3" w:rsidP="00B51411">
      <w:pPr>
        <w:pStyle w:val="TOC1"/>
        <w:spacing w:before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11732" w:history="1">
        <w:r w:rsidR="00B51411" w:rsidRPr="003B1AB6">
          <w:rPr>
            <w:rStyle w:val="Hyperlink"/>
            <w:noProof/>
          </w:rPr>
          <w:t>Overview of additional appropriations</w:t>
        </w:r>
        <w:r w:rsidR="00B51411">
          <w:rPr>
            <w:noProof/>
            <w:webHidden/>
          </w:rPr>
          <w:tab/>
        </w:r>
        <w:r w:rsidR="00B51411">
          <w:rPr>
            <w:noProof/>
            <w:webHidden/>
          </w:rPr>
          <w:fldChar w:fldCharType="begin"/>
        </w:r>
        <w:r w:rsidR="00B51411">
          <w:rPr>
            <w:noProof/>
            <w:webHidden/>
          </w:rPr>
          <w:instrText xml:space="preserve"> PAGEREF _Toc133911732 \h </w:instrText>
        </w:r>
        <w:r w:rsidR="00B51411">
          <w:rPr>
            <w:noProof/>
            <w:webHidden/>
          </w:rPr>
        </w:r>
        <w:r w:rsidR="00B51411">
          <w:rPr>
            <w:noProof/>
            <w:webHidden/>
          </w:rPr>
          <w:fldChar w:fldCharType="separate"/>
        </w:r>
        <w:r w:rsidR="00306FB0">
          <w:rPr>
            <w:noProof/>
            <w:webHidden/>
          </w:rPr>
          <w:t>15</w:t>
        </w:r>
        <w:r w:rsidR="00B51411">
          <w:rPr>
            <w:noProof/>
            <w:webHidden/>
          </w:rPr>
          <w:fldChar w:fldCharType="end"/>
        </w:r>
      </w:hyperlink>
    </w:p>
    <w:p w14:paraId="6AB1D119" w14:textId="67E3C6FB" w:rsidR="00B51411" w:rsidRDefault="00BA3DA3" w:rsidP="00B51411">
      <w:pPr>
        <w:pStyle w:val="TOC1"/>
        <w:spacing w:before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11733" w:history="1">
        <w:r w:rsidR="00B51411" w:rsidRPr="003B1AB6">
          <w:rPr>
            <w:rStyle w:val="Hyperlink"/>
            <w:noProof/>
          </w:rPr>
          <w:t>Entity measures table</w:t>
        </w:r>
        <w:r w:rsidR="00B51411">
          <w:rPr>
            <w:noProof/>
            <w:webHidden/>
          </w:rPr>
          <w:tab/>
        </w:r>
        <w:r w:rsidR="00B51411">
          <w:rPr>
            <w:noProof/>
            <w:webHidden/>
          </w:rPr>
          <w:fldChar w:fldCharType="begin"/>
        </w:r>
        <w:r w:rsidR="00B51411">
          <w:rPr>
            <w:noProof/>
            <w:webHidden/>
          </w:rPr>
          <w:instrText xml:space="preserve"> PAGEREF _Toc133911733 \h </w:instrText>
        </w:r>
        <w:r w:rsidR="00B51411">
          <w:rPr>
            <w:noProof/>
            <w:webHidden/>
          </w:rPr>
        </w:r>
        <w:r w:rsidR="00B51411">
          <w:rPr>
            <w:noProof/>
            <w:webHidden/>
          </w:rPr>
          <w:fldChar w:fldCharType="separate"/>
        </w:r>
        <w:r w:rsidR="00306FB0">
          <w:rPr>
            <w:noProof/>
            <w:webHidden/>
          </w:rPr>
          <w:t>16</w:t>
        </w:r>
        <w:r w:rsidR="00B51411">
          <w:rPr>
            <w:noProof/>
            <w:webHidden/>
          </w:rPr>
          <w:fldChar w:fldCharType="end"/>
        </w:r>
      </w:hyperlink>
    </w:p>
    <w:p w14:paraId="42AF9B6D" w14:textId="55EFBFAE" w:rsidR="00B51411" w:rsidRDefault="00BA3DA3" w:rsidP="00B51411">
      <w:pPr>
        <w:pStyle w:val="TOC1"/>
        <w:spacing w:before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11734" w:history="1">
        <w:r w:rsidR="00B51411" w:rsidRPr="003B1AB6">
          <w:rPr>
            <w:rStyle w:val="Hyperlink"/>
            <w:noProof/>
          </w:rPr>
          <w:t>Additional estimates and variations</w:t>
        </w:r>
        <w:r w:rsidR="00B51411">
          <w:rPr>
            <w:noProof/>
            <w:webHidden/>
          </w:rPr>
          <w:tab/>
        </w:r>
        <w:r w:rsidR="00B51411">
          <w:rPr>
            <w:noProof/>
            <w:webHidden/>
          </w:rPr>
          <w:fldChar w:fldCharType="begin"/>
        </w:r>
        <w:r w:rsidR="00B51411">
          <w:rPr>
            <w:noProof/>
            <w:webHidden/>
          </w:rPr>
          <w:instrText xml:space="preserve"> PAGEREF _Toc133911734 \h </w:instrText>
        </w:r>
        <w:r w:rsidR="00B51411">
          <w:rPr>
            <w:noProof/>
            <w:webHidden/>
          </w:rPr>
        </w:r>
        <w:r w:rsidR="00B51411">
          <w:rPr>
            <w:noProof/>
            <w:webHidden/>
          </w:rPr>
          <w:fldChar w:fldCharType="separate"/>
        </w:r>
        <w:r w:rsidR="00306FB0">
          <w:rPr>
            <w:noProof/>
            <w:webHidden/>
          </w:rPr>
          <w:t>17</w:t>
        </w:r>
        <w:r w:rsidR="00B51411">
          <w:rPr>
            <w:noProof/>
            <w:webHidden/>
          </w:rPr>
          <w:fldChar w:fldCharType="end"/>
        </w:r>
      </w:hyperlink>
    </w:p>
    <w:p w14:paraId="65EA7B4A" w14:textId="4A99D634" w:rsidR="00B51411" w:rsidRDefault="00BA3DA3" w:rsidP="00B51411">
      <w:pPr>
        <w:pStyle w:val="TOC1"/>
        <w:spacing w:before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11735" w:history="1">
        <w:r w:rsidR="00B51411" w:rsidRPr="003B1AB6">
          <w:rPr>
            <w:rStyle w:val="Hyperlink"/>
            <w:noProof/>
          </w:rPr>
          <w:t>Breakdown of additional estimates by appropriation bill</w:t>
        </w:r>
        <w:r w:rsidR="00B51411">
          <w:rPr>
            <w:noProof/>
            <w:webHidden/>
          </w:rPr>
          <w:tab/>
        </w:r>
        <w:r w:rsidR="00B51411">
          <w:rPr>
            <w:noProof/>
            <w:webHidden/>
          </w:rPr>
          <w:fldChar w:fldCharType="begin"/>
        </w:r>
        <w:r w:rsidR="00B51411">
          <w:rPr>
            <w:noProof/>
            <w:webHidden/>
          </w:rPr>
          <w:instrText xml:space="preserve"> PAGEREF _Toc133911735 \h </w:instrText>
        </w:r>
        <w:r w:rsidR="00B51411">
          <w:rPr>
            <w:noProof/>
            <w:webHidden/>
          </w:rPr>
        </w:r>
        <w:r w:rsidR="00B51411">
          <w:rPr>
            <w:noProof/>
            <w:webHidden/>
          </w:rPr>
          <w:fldChar w:fldCharType="separate"/>
        </w:r>
        <w:r w:rsidR="00306FB0">
          <w:rPr>
            <w:noProof/>
            <w:webHidden/>
          </w:rPr>
          <w:t>19</w:t>
        </w:r>
        <w:r w:rsidR="00B51411">
          <w:rPr>
            <w:noProof/>
            <w:webHidden/>
          </w:rPr>
          <w:fldChar w:fldCharType="end"/>
        </w:r>
      </w:hyperlink>
    </w:p>
    <w:p w14:paraId="3E7995D7" w14:textId="1651B89C" w:rsidR="001E4BE6" w:rsidRDefault="00134A80" w:rsidP="00134A80">
      <w:pPr>
        <w:pStyle w:val="TOC1"/>
      </w:pPr>
      <w:r>
        <w:fldChar w:fldCharType="end"/>
      </w:r>
      <w:r w:rsidR="00514EB2">
        <w:br w:type="page"/>
      </w:r>
    </w:p>
    <w:p w14:paraId="349886F7" w14:textId="77777777" w:rsidR="0000493A" w:rsidRDefault="0000493A" w:rsidP="0000493A"/>
    <w:p w14:paraId="62DD4EB1" w14:textId="6497F4D5" w:rsidR="0000493A" w:rsidRDefault="0000493A" w:rsidP="0000493A">
      <w:pPr>
        <w:sectPr w:rsidR="0000493A" w:rsidSect="00E603B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1907" w:h="16840" w:code="9"/>
          <w:pgMar w:top="2835" w:right="2098" w:bottom="2466" w:left="2098" w:header="1814" w:footer="1814" w:gutter="0"/>
          <w:cols w:space="708"/>
          <w:titlePg/>
          <w:docGrid w:linePitch="360"/>
        </w:sectPr>
      </w:pPr>
    </w:p>
    <w:p w14:paraId="6E5AC7B4" w14:textId="4243ADA1" w:rsidR="00F51DAC" w:rsidRPr="00BE17E5" w:rsidRDefault="0007055D">
      <w:pPr>
        <w:pStyle w:val="Heading1"/>
      </w:pPr>
      <w:bookmarkStart w:id="11" w:name="_Toc134177320"/>
      <w:bookmarkStart w:id="12" w:name="OLE_LINK12"/>
      <w:bookmarkStart w:id="13" w:name="OLE_LINK13"/>
      <w:bookmarkStart w:id="14" w:name="_GoBack"/>
      <w:bookmarkEnd w:id="2"/>
      <w:bookmarkEnd w:id="3"/>
      <w:bookmarkEnd w:id="4"/>
      <w:bookmarkEnd w:id="5"/>
      <w:bookmarkEnd w:id="6"/>
      <w:bookmarkEnd w:id="7"/>
      <w:r>
        <w:lastRenderedPageBreak/>
        <w:t xml:space="preserve">Department </w:t>
      </w:r>
      <w:bookmarkEnd w:id="14"/>
      <w:r>
        <w:t>of Infrastructure, Transport, Regional Development, Communications and the Arts</w:t>
      </w:r>
      <w:bookmarkEnd w:id="11"/>
    </w:p>
    <w:p w14:paraId="2BAC41E6" w14:textId="243C0E40" w:rsidR="00F51DAC" w:rsidRPr="00D30908" w:rsidRDefault="00153750" w:rsidP="00D30908">
      <w:pPr>
        <w:pStyle w:val="Heading3"/>
        <w:rPr>
          <w:sz w:val="26"/>
          <w:szCs w:val="26"/>
        </w:rPr>
      </w:pPr>
      <w:bookmarkStart w:id="15" w:name="_Toc490972399"/>
      <w:bookmarkStart w:id="16" w:name="_Toc491014616"/>
      <w:bookmarkStart w:id="17" w:name="_Toc491014758"/>
      <w:bookmarkStart w:id="18" w:name="_Toc491014938"/>
      <w:bookmarkStart w:id="19" w:name="_Toc491015085"/>
      <w:bookmarkStart w:id="20" w:name="_Toc491029232"/>
      <w:bookmarkStart w:id="21" w:name="_Toc491030321"/>
      <w:bookmarkStart w:id="22" w:name="_Toc491030781"/>
      <w:bookmarkStart w:id="23" w:name="_Toc491031344"/>
      <w:bookmarkStart w:id="24" w:name="_Toc491031931"/>
      <w:bookmarkStart w:id="25" w:name="_Toc491032101"/>
      <w:bookmarkStart w:id="26" w:name="_Toc491032212"/>
      <w:bookmarkStart w:id="27" w:name="_Toc491032319"/>
      <w:bookmarkStart w:id="28" w:name="_Toc491771706"/>
      <w:bookmarkStart w:id="29" w:name="_Toc491773281"/>
      <w:bookmarkStart w:id="30" w:name="_Toc23559340"/>
      <w:bookmarkStart w:id="31" w:name="_Toc23559374"/>
      <w:bookmarkStart w:id="32" w:name="_Toc23559665"/>
      <w:bookmarkStart w:id="33" w:name="_Toc23560128"/>
      <w:bookmarkStart w:id="34" w:name="_Toc23563423"/>
      <w:bookmarkStart w:id="35" w:name="_Toc77998677"/>
      <w:bookmarkStart w:id="36" w:name="_Toc79399716"/>
      <w:bookmarkStart w:id="37" w:name="_Toc112211956"/>
      <w:bookmarkStart w:id="38" w:name="_Toc112212050"/>
      <w:bookmarkStart w:id="39" w:name="_Toc112137868"/>
      <w:bookmarkStart w:id="40" w:name="_Toc112137890"/>
      <w:bookmarkStart w:id="41" w:name="_Toc210646448"/>
      <w:bookmarkStart w:id="42" w:name="_Toc210698427"/>
      <w:bookmarkStart w:id="43" w:name="_Toc210703208"/>
      <w:bookmarkStart w:id="44" w:name="_Toc446237031"/>
      <w:bookmarkStart w:id="45" w:name="_Toc449255758"/>
      <w:bookmarkStart w:id="46" w:name="_Toc403120005"/>
      <w:bookmarkStart w:id="47" w:name="_Toc132982312"/>
      <w:bookmarkStart w:id="48" w:name="_Toc133910741"/>
      <w:bookmarkStart w:id="49" w:name="_Toc133911732"/>
      <w:bookmarkEnd w:id="8"/>
      <w:bookmarkEnd w:id="9"/>
      <w:bookmarkEnd w:id="10"/>
      <w:r w:rsidRPr="00D30908">
        <w:rPr>
          <w:sz w:val="26"/>
          <w:szCs w:val="26"/>
        </w:rPr>
        <w:t>O</w:t>
      </w:r>
      <w:r w:rsidR="00F51DAC" w:rsidRPr="00D30908">
        <w:rPr>
          <w:sz w:val="26"/>
          <w:szCs w:val="26"/>
        </w:rPr>
        <w:t xml:space="preserve">verview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D30908">
        <w:rPr>
          <w:sz w:val="26"/>
          <w:szCs w:val="26"/>
        </w:rPr>
        <w:t>of additional appropriations</w:t>
      </w:r>
      <w:bookmarkEnd w:id="46"/>
      <w:bookmarkEnd w:id="47"/>
      <w:bookmarkEnd w:id="48"/>
      <w:bookmarkEnd w:id="49"/>
    </w:p>
    <w:p w14:paraId="6A276ADD" w14:textId="7F4A13D8" w:rsidR="00B20415" w:rsidRPr="00B20415" w:rsidRDefault="00B20415" w:rsidP="003D3FA8">
      <w:pPr>
        <w:spacing w:line="240" w:lineRule="auto"/>
        <w:rPr>
          <w:sz w:val="20"/>
        </w:rPr>
      </w:pPr>
      <w:bookmarkStart w:id="50" w:name="_Toc490972403"/>
      <w:bookmarkStart w:id="51" w:name="_Toc491014620"/>
      <w:bookmarkStart w:id="52" w:name="_Toc491014762"/>
      <w:bookmarkStart w:id="53" w:name="_Toc491014942"/>
      <w:bookmarkStart w:id="54" w:name="_Toc491015089"/>
      <w:bookmarkStart w:id="55" w:name="_Toc491032105"/>
      <w:bookmarkEnd w:id="12"/>
      <w:bookmarkEnd w:id="13"/>
      <w:r w:rsidRPr="00B20415">
        <w:rPr>
          <w:sz w:val="20"/>
        </w:rPr>
        <w:t xml:space="preserve">Departmental funding for the Department of Infrastructure, Transport, Regional Development, Communications and the Arts has increased by $30.2 million in 2022-23 since the October 2022-23 Budget. The increase includes $27.1 million in </w:t>
      </w:r>
      <w:r w:rsidR="00F16934">
        <w:rPr>
          <w:sz w:val="20"/>
        </w:rPr>
        <w:t>departmental</w:t>
      </w:r>
      <w:r w:rsidRPr="00B20415">
        <w:rPr>
          <w:sz w:val="20"/>
        </w:rPr>
        <w:t xml:space="preserve"> appropriation and $3.0 million in </w:t>
      </w:r>
      <w:r w:rsidR="00F712C8">
        <w:rPr>
          <w:sz w:val="20"/>
        </w:rPr>
        <w:t>administered</w:t>
      </w:r>
      <w:r w:rsidRPr="00B20415">
        <w:rPr>
          <w:sz w:val="20"/>
        </w:rPr>
        <w:t xml:space="preserve"> appropriation, predominately relating to the new measures </w:t>
      </w:r>
      <w:r w:rsidRPr="00B34BCE">
        <w:rPr>
          <w:iCs/>
          <w:sz w:val="20"/>
        </w:rPr>
        <w:t>Reducing Transport Emissions</w:t>
      </w:r>
      <w:r w:rsidRPr="00B34BCE">
        <w:rPr>
          <w:sz w:val="20"/>
        </w:rPr>
        <w:t xml:space="preserve">, </w:t>
      </w:r>
      <w:r w:rsidRPr="00B34BCE">
        <w:rPr>
          <w:iCs/>
          <w:sz w:val="20"/>
        </w:rPr>
        <w:t>Supporting Transport Priorities</w:t>
      </w:r>
      <w:r w:rsidRPr="00B34BCE">
        <w:rPr>
          <w:sz w:val="20"/>
        </w:rPr>
        <w:t xml:space="preserve"> and </w:t>
      </w:r>
      <w:r w:rsidRPr="00B34BCE">
        <w:rPr>
          <w:iCs/>
          <w:sz w:val="20"/>
        </w:rPr>
        <w:t>Revive – National Cultural Policy</w:t>
      </w:r>
      <w:r w:rsidR="003206C3">
        <w:rPr>
          <w:iCs/>
          <w:sz w:val="20"/>
        </w:rPr>
        <w:t xml:space="preserve"> and Location Incentive</w:t>
      </w:r>
      <w:r w:rsidRPr="00B20415">
        <w:rPr>
          <w:sz w:val="20"/>
        </w:rPr>
        <w:t>.</w:t>
      </w:r>
    </w:p>
    <w:p w14:paraId="77617058" w14:textId="4581B66B" w:rsidR="007D1D52" w:rsidRPr="005D0D07" w:rsidRDefault="007D1D52" w:rsidP="00B20415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Further details on the Department</w:t>
      </w:r>
      <w:r w:rsidR="004912E9">
        <w:rPr>
          <w:color w:val="000000"/>
          <w:sz w:val="20"/>
        </w:rPr>
        <w:t>’</w:t>
      </w:r>
      <w:r>
        <w:rPr>
          <w:color w:val="000000"/>
          <w:sz w:val="20"/>
        </w:rPr>
        <w:t xml:space="preserve">s strategic direction can be found in the Infrastructure, Transport, Regional Development, Communications and the Arts </w:t>
      </w:r>
      <w:r w:rsidR="00856582">
        <w:rPr>
          <w:color w:val="000000"/>
          <w:sz w:val="20"/>
        </w:rPr>
        <w:br/>
      </w:r>
      <w:r w:rsidR="00714046">
        <w:rPr>
          <w:color w:val="000000"/>
          <w:sz w:val="20"/>
        </w:rPr>
        <w:t xml:space="preserve">2023-24 </w:t>
      </w:r>
      <w:r>
        <w:rPr>
          <w:color w:val="000000"/>
          <w:sz w:val="20"/>
        </w:rPr>
        <w:t>Portfolio Budget Statement</w:t>
      </w:r>
      <w:r w:rsidR="00714046">
        <w:rPr>
          <w:color w:val="000000"/>
          <w:sz w:val="20"/>
        </w:rPr>
        <w:t>s</w:t>
      </w:r>
      <w:r>
        <w:rPr>
          <w:color w:val="000000"/>
          <w:sz w:val="20"/>
        </w:rPr>
        <w:t>.</w:t>
      </w:r>
    </w:p>
    <w:p w14:paraId="5C587A7C" w14:textId="7B70FE0F" w:rsidR="00F51DAC" w:rsidRPr="00C24F05" w:rsidRDefault="00F51DAC" w:rsidP="00C24F05">
      <w:pPr>
        <w:pStyle w:val="Heading3"/>
      </w:pPr>
      <w:r>
        <w:br w:type="page"/>
      </w:r>
      <w:bookmarkStart w:id="56" w:name="_Toc403120006"/>
      <w:bookmarkStart w:id="57" w:name="_Toc132982313"/>
      <w:bookmarkStart w:id="58" w:name="_Toc133910742"/>
      <w:bookmarkStart w:id="59" w:name="_Toc133911733"/>
      <w:bookmarkStart w:id="60" w:name="OLE_LINK14"/>
      <w:bookmarkStart w:id="61" w:name="OLE_LINK15"/>
      <w:r w:rsidR="006370AB">
        <w:lastRenderedPageBreak/>
        <w:t>Entity</w:t>
      </w:r>
      <w:r w:rsidR="00F318FA" w:rsidRPr="00C24F05">
        <w:t xml:space="preserve"> </w:t>
      </w:r>
      <w:r w:rsidR="00D610A3" w:rsidRPr="00C24F05">
        <w:t>m</w:t>
      </w:r>
      <w:r w:rsidR="00E15CF3" w:rsidRPr="00C24F05">
        <w:t>easures t</w:t>
      </w:r>
      <w:r w:rsidRPr="00C24F05">
        <w:t>able</w:t>
      </w:r>
      <w:bookmarkEnd w:id="56"/>
      <w:bookmarkEnd w:id="57"/>
      <w:bookmarkEnd w:id="58"/>
      <w:bookmarkEnd w:id="59"/>
    </w:p>
    <w:p w14:paraId="495FBD97" w14:textId="2C74261B" w:rsidR="00F51DAC" w:rsidRPr="00856582" w:rsidRDefault="00F51DAC" w:rsidP="003D3FA8">
      <w:pPr>
        <w:tabs>
          <w:tab w:val="left" w:pos="2552"/>
        </w:tabs>
        <w:rPr>
          <w:sz w:val="20"/>
        </w:rPr>
      </w:pPr>
      <w:r w:rsidRPr="00856582">
        <w:rPr>
          <w:sz w:val="20"/>
        </w:rPr>
        <w:t>Table 1.</w:t>
      </w:r>
      <w:r w:rsidR="00931128" w:rsidRPr="00856582">
        <w:rPr>
          <w:sz w:val="20"/>
        </w:rPr>
        <w:t>1</w:t>
      </w:r>
      <w:r w:rsidRPr="00856582">
        <w:rPr>
          <w:sz w:val="20"/>
        </w:rPr>
        <w:t xml:space="preserve"> summarises new Government measures taken since the </w:t>
      </w:r>
      <w:r w:rsidR="005E192A" w:rsidRPr="00856582">
        <w:rPr>
          <w:sz w:val="20"/>
        </w:rPr>
        <w:t>2022</w:t>
      </w:r>
      <w:r w:rsidR="00FE2D74" w:rsidRPr="00856582">
        <w:rPr>
          <w:sz w:val="20"/>
        </w:rPr>
        <w:t>–</w:t>
      </w:r>
      <w:r w:rsidR="005E192A" w:rsidRPr="00856582">
        <w:rPr>
          <w:sz w:val="20"/>
        </w:rPr>
        <w:t xml:space="preserve">23 </w:t>
      </w:r>
      <w:r w:rsidR="00AB3EB2" w:rsidRPr="00856582">
        <w:rPr>
          <w:sz w:val="20"/>
        </w:rPr>
        <w:t>October Budget</w:t>
      </w:r>
      <w:r w:rsidR="00E15CF3" w:rsidRPr="00856582">
        <w:rPr>
          <w:sz w:val="20"/>
        </w:rPr>
        <w:t xml:space="preserve">. </w:t>
      </w:r>
      <w:r w:rsidR="005866E1" w:rsidRPr="00856582">
        <w:rPr>
          <w:sz w:val="20"/>
        </w:rPr>
        <w:t xml:space="preserve">The table is </w:t>
      </w:r>
      <w:r w:rsidRPr="00856582">
        <w:rPr>
          <w:sz w:val="20"/>
        </w:rPr>
        <w:t xml:space="preserve">split into </w:t>
      </w:r>
      <w:r w:rsidR="00AB3EB2" w:rsidRPr="00856582">
        <w:rPr>
          <w:sz w:val="20"/>
        </w:rPr>
        <w:t>receipt and</w:t>
      </w:r>
      <w:r w:rsidRPr="00856582">
        <w:rPr>
          <w:sz w:val="20"/>
        </w:rPr>
        <w:t xml:space="preserve"> </w:t>
      </w:r>
      <w:r w:rsidR="00AB3EB2" w:rsidRPr="00856582">
        <w:rPr>
          <w:sz w:val="20"/>
        </w:rPr>
        <w:t>payment</w:t>
      </w:r>
      <w:r w:rsidRPr="00856582">
        <w:rPr>
          <w:sz w:val="20"/>
        </w:rPr>
        <w:t xml:space="preserve"> measures, with the affected program identified</w:t>
      </w:r>
      <w:r w:rsidR="003D3FA8" w:rsidRPr="00856582">
        <w:rPr>
          <w:sz w:val="20"/>
        </w:rPr>
        <w:t>, which impact on the 2022-23 year</w:t>
      </w:r>
      <w:r w:rsidRPr="00856582">
        <w:rPr>
          <w:sz w:val="20"/>
        </w:rPr>
        <w:t>.</w:t>
      </w:r>
    </w:p>
    <w:p w14:paraId="78F91BD3" w14:textId="2DBE82D0" w:rsidR="00751195" w:rsidRDefault="00CD0F9D" w:rsidP="00726041">
      <w:pPr>
        <w:pStyle w:val="TableHeading"/>
        <w:rPr>
          <w:rStyle w:val="CommentReference"/>
          <w:rFonts w:ascii="Book Antiqua" w:hAnsi="Book Antiqua"/>
          <w:b w:val="0"/>
        </w:rPr>
      </w:pPr>
      <w:r>
        <w:t>Table 1.1</w:t>
      </w:r>
      <w:r w:rsidR="00EC1ECB">
        <w:t>:</w:t>
      </w:r>
      <w:r>
        <w:t xml:space="preserve"> </w:t>
      </w:r>
      <w:r w:rsidR="00726041">
        <w:t>Department of Infrastructure, Transport, Regional Development, Communications and the Arts</w:t>
      </w:r>
      <w:r>
        <w:t xml:space="preserve"> </w:t>
      </w:r>
      <w:r w:rsidR="005E192A">
        <w:t>2022</w:t>
      </w:r>
      <w:r w:rsidR="00FE2D74">
        <w:t>–</w:t>
      </w:r>
      <w:r w:rsidR="005E192A">
        <w:t xml:space="preserve">23 </w:t>
      </w:r>
      <w:r w:rsidR="00FA52B5">
        <w:t>additional</w:t>
      </w:r>
      <w:r w:rsidR="00D40FB7">
        <w:t xml:space="preserve"> estimates measures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4"/>
        <w:gridCol w:w="830"/>
        <w:gridCol w:w="867"/>
        <w:gridCol w:w="867"/>
        <w:gridCol w:w="861"/>
        <w:gridCol w:w="867"/>
        <w:gridCol w:w="865"/>
      </w:tblGrid>
      <w:tr w:rsidR="009A71AA" w:rsidRPr="00A13E75" w14:paraId="30EF7247" w14:textId="4ABEFFA2" w:rsidTr="009A71AA">
        <w:trPr>
          <w:trHeight w:val="408"/>
        </w:trPr>
        <w:tc>
          <w:tcPr>
            <w:tcW w:w="1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172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D788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Program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0F916370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2022-23</w:t>
            </w:r>
            <w:r w:rsidRPr="00A13E75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069DF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2023-24</w:t>
            </w:r>
            <w:r w:rsidRPr="00A13E75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400A73F7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2024-25</w:t>
            </w:r>
            <w:r w:rsidRPr="00A13E75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FB068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2025-26</w:t>
            </w:r>
            <w:r w:rsidRPr="00A13E75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C61D90C" w14:textId="539ED3F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2026</w:t>
            </w:r>
            <w:r>
              <w:rPr>
                <w:rFonts w:ascii="Arial" w:hAnsi="Arial" w:cs="Arial"/>
                <w:sz w:val="16"/>
                <w:szCs w:val="16"/>
              </w:rPr>
              <w:t>-27</w:t>
            </w:r>
            <w:r w:rsidRPr="00A13E75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9A71AA" w:rsidRPr="00A13E75" w14:paraId="1216028B" w14:textId="70D06A1D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E83B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Payment measures</w:t>
            </w:r>
            <w:r w:rsidRPr="00A13E75">
              <w:rPr>
                <w:rFonts w:ascii="Arial" w:hAnsi="Arial" w:cs="Arial"/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27D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6D55458" w14:textId="21F53822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9322" w14:textId="57773463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A4626B1" w14:textId="1321911C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715A5" w14:textId="09C89C2B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683C2B0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1AA" w:rsidRPr="00A13E75" w14:paraId="4D6F13ED" w14:textId="07D0A000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550A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Reducing Transport Emissions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4E37" w14:textId="77777777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75073AB" w14:textId="701BCB8D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18E0" w14:textId="755CC752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831143B" w14:textId="03579299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E085" w14:textId="519FAA28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996CD1B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1AA" w:rsidRPr="00A13E75" w14:paraId="52EA6F73" w14:textId="59476BFC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B1F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Departmental payments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EDCE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F33ADA3" w14:textId="21A8581B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09B9" w14:textId="31A6C9F9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6,333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616F14C" w14:textId="33638A63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4,452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3CA72" w14:textId="420DF856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3,244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40680F5" w14:textId="2073121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1,190</w:t>
            </w:r>
          </w:p>
        </w:tc>
      </w:tr>
      <w:tr w:rsidR="009A71AA" w:rsidRPr="00A13E75" w14:paraId="22DEEF56" w14:textId="288E0BC0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6852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C796" w14:textId="77777777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67DAF5E" w14:textId="7F3F8565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75F3" w14:textId="512A5321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6,333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562CC15" w14:textId="1453700F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4,452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C358A" w14:textId="185C3439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3,244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C6588EF" w14:textId="625C21A2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1,190</w:t>
            </w:r>
          </w:p>
        </w:tc>
      </w:tr>
      <w:tr w:rsidR="009A71AA" w:rsidRPr="00A13E75" w14:paraId="615EA338" w14:textId="0E431DE8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253" w14:textId="77777777" w:rsidR="009A71AA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Revive - National Cultural Policy</w:t>
            </w:r>
          </w:p>
          <w:p w14:paraId="5D9087EA" w14:textId="4440F574" w:rsidR="009A71AA" w:rsidRPr="009A71AA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1AA">
              <w:rPr>
                <w:rFonts w:ascii="Arial" w:hAnsi="Arial" w:cs="Arial"/>
                <w:sz w:val="16"/>
                <w:szCs w:val="16"/>
              </w:rPr>
              <w:t>and Location Incentive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F567" w14:textId="77777777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6.1, 6.2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B651847" w14:textId="244C286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4DE8" w14:textId="18B6CC0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FF6AFB2" w14:textId="37BD6BB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F2798" w14:textId="78D99F58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FDF021B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1AA" w:rsidRPr="00A13E75" w14:paraId="39D0688C" w14:textId="6960A1D1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939C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Administered payments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693E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B593163" w14:textId="2F9DE44A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(43,017)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6FD8" w14:textId="29196D38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(8,631)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F7772E1" w14:textId="21C5D4BD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12,411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1189" w14:textId="15FBC1DE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(23,126)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B2CD13A" w14:textId="2A7ED9C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(57,126)</w:t>
            </w:r>
          </w:p>
        </w:tc>
      </w:tr>
      <w:tr w:rsidR="009A71AA" w:rsidRPr="00A13E75" w14:paraId="4AF2DF57" w14:textId="4163730A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8A0B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Departmental payments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90E7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5CEBDA5" w14:textId="08AEB113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209B" w14:textId="69D7BA86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A13E75">
              <w:rPr>
                <w:rFonts w:ascii="Arial" w:hAnsi="Arial" w:cs="Arial"/>
                <w:sz w:val="16"/>
                <w:szCs w:val="16"/>
              </w:rPr>
              <w:t>,108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B45C6F4" w14:textId="7A41603C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4,073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6703" w14:textId="63CE2F4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2,955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F411FBA" w14:textId="6BA700E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2,956</w:t>
            </w:r>
          </w:p>
        </w:tc>
      </w:tr>
      <w:tr w:rsidR="009A71AA" w:rsidRPr="00A13E75" w14:paraId="30E5C3A3" w14:textId="206AD4ED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F32E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F19" w14:textId="77777777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2D9F7CB" w14:textId="69CF0BDB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(42,190)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0E4C" w14:textId="3D97EAF1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9A55480" w14:textId="100DCC9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16,484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772A4" w14:textId="1859F215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(20,171)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D773DF9" w14:textId="76221C8B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(54,170)</w:t>
            </w:r>
          </w:p>
        </w:tc>
      </w:tr>
      <w:tr w:rsidR="009A71AA" w:rsidRPr="00A13E75" w14:paraId="59905F69" w14:textId="229143F0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F17AF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Supporting Transport Priorities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8C7BC1" w14:textId="08C4FAB9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1.2, 2.1,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3E75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574533D" w14:textId="4DA8DA7B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0082" w14:textId="61D28C21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6E26D26" w14:textId="6556B9F5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374C" w14:textId="4B28E26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9E816CB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1AA" w:rsidRPr="00A13E75" w14:paraId="4EE89C36" w14:textId="17BF43F6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2247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Administered payments</w:t>
            </w:r>
          </w:p>
        </w:tc>
        <w:tc>
          <w:tcPr>
            <w:tcW w:w="5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BD2E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E2A812D" w14:textId="2E3A5E4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(5,000)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A71BD" w14:textId="7CA30E6F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5,160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8DA4A0F" w14:textId="5488A48B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18,970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F897" w14:textId="117800A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31,180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F9F0285" w14:textId="2E1AD985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8,390</w:t>
            </w:r>
          </w:p>
        </w:tc>
      </w:tr>
      <w:tr w:rsidR="009A71AA" w:rsidRPr="00A13E75" w14:paraId="0C9CC107" w14:textId="32306D1A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97E9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Departmental payments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CC0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6E4F2D3" w14:textId="465B88A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14,913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487E1" w14:textId="6A2279B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43,984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81DAD11" w14:textId="00FA863A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13,226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0EFC" w14:textId="32B2E673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11,104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6D64E8C" w14:textId="1726BCC9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3,752</w:t>
            </w:r>
          </w:p>
        </w:tc>
      </w:tr>
      <w:tr w:rsidR="009A71AA" w:rsidRPr="00A13E75" w14:paraId="22E021B0" w14:textId="66900B00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D72C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A494" w14:textId="77777777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6828354" w14:textId="3B401DAA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9,913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504E3" w14:textId="7B9ACB86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49,144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DC92400" w14:textId="62FAB8AF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32,196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DBEF" w14:textId="326E985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42,284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F02FD68" w14:textId="7AC22E2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12,142</w:t>
            </w:r>
          </w:p>
        </w:tc>
      </w:tr>
      <w:tr w:rsidR="009A71AA" w:rsidRPr="00A13E75" w14:paraId="23884DF7" w14:textId="70C042AA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9D1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Total payment measures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F857" w14:textId="77777777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154EB0A" w14:textId="57D61259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926A" w14:textId="4A8ABFA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D028D54" w14:textId="47E6D23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986C" w14:textId="7D1B6770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ACA6354" w14:textId="77777777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1AA" w:rsidRPr="00A13E75" w14:paraId="533A8FBD" w14:textId="615152D3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155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Administered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0FC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89C3BD9" w14:textId="7F1267F6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(48,017)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0C7AD" w14:textId="084E9588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(3,471)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4E91B82" w14:textId="755AB75F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31,381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0EDAA" w14:textId="39B1C973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8,054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7E3432B" w14:textId="78A411F2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(48,736)</w:t>
            </w:r>
          </w:p>
        </w:tc>
      </w:tr>
      <w:tr w:rsidR="009A71AA" w:rsidRPr="00A13E75" w14:paraId="0678F9C4" w14:textId="34948C48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1E9B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Departmental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4B9" w14:textId="77777777" w:rsidR="009A71AA" w:rsidRPr="00A13E75" w:rsidRDefault="009A71AA" w:rsidP="00A13E75">
            <w:pPr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412D1AF" w14:textId="1679549D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16,265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316AA" w14:textId="48F33CCE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A13E75">
              <w:rPr>
                <w:rFonts w:ascii="Arial" w:hAnsi="Arial" w:cs="Arial"/>
                <w:sz w:val="16"/>
                <w:szCs w:val="16"/>
              </w:rPr>
              <w:t>,425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E896DC6" w14:textId="26E030B1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21,751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4FBB4" w14:textId="6F605508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E75">
              <w:rPr>
                <w:rFonts w:ascii="Arial" w:hAnsi="Arial" w:cs="Arial"/>
                <w:sz w:val="16"/>
                <w:szCs w:val="16"/>
              </w:rPr>
              <w:t>17,303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1D680D2" w14:textId="07FCFCCF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7,888</w:t>
            </w:r>
          </w:p>
        </w:tc>
      </w:tr>
      <w:tr w:rsidR="009A71AA" w:rsidRPr="00A13E75" w14:paraId="28223CF0" w14:textId="5D18C9E2" w:rsidTr="009A71AA">
        <w:trPr>
          <w:trHeight w:val="204"/>
        </w:trPr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91B8" w14:textId="77777777" w:rsidR="009A71AA" w:rsidRPr="00A13E75" w:rsidRDefault="009A71AA" w:rsidP="00A13E7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D1E8D" w14:textId="48C647B0" w:rsidR="009A71AA" w:rsidRPr="00A13E75" w:rsidRDefault="009A71AA" w:rsidP="00A13E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639F7D7" w14:textId="6CF695AB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(31,752)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5CD2C" w14:textId="4BA1AE3A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,954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2FCD133" w14:textId="0A0A8DAE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53,132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25E8D" w14:textId="3359C11C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bCs/>
                <w:sz w:val="16"/>
                <w:szCs w:val="16"/>
              </w:rPr>
              <w:t>25,357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1B05DBE3" w14:textId="7A106A44" w:rsidR="009A71AA" w:rsidRPr="00A13E75" w:rsidRDefault="009A71AA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(40,838)</w:t>
            </w:r>
          </w:p>
        </w:tc>
      </w:tr>
    </w:tbl>
    <w:p w14:paraId="4059F8A8" w14:textId="51B756DD" w:rsidR="009208D1" w:rsidRDefault="008F177A" w:rsidP="00F265BD">
      <w:pPr>
        <w:pStyle w:val="ChartandTableFootnote"/>
        <w:spacing w:before="60"/>
      </w:pPr>
      <w:r>
        <w:t>P</w:t>
      </w:r>
      <w:r w:rsidR="004455D3" w:rsidRPr="004455D3">
        <w:t>repared on a Government Finance Statistics (fiscal) basis</w:t>
      </w:r>
      <w:r w:rsidR="008513FD">
        <w:t xml:space="preserve">. </w:t>
      </w:r>
      <w:r w:rsidR="009208D1">
        <w:t>Figures displayed as a negative (-) represent a decrease in funds and a positive (+) represent an increase in funds.</w:t>
      </w:r>
    </w:p>
    <w:p w14:paraId="018C4BEF" w14:textId="17170AA6" w:rsidR="00A13E75" w:rsidRDefault="003D3FA8" w:rsidP="009A71AA">
      <w:pPr>
        <w:pStyle w:val="ListParagraph"/>
        <w:numPr>
          <w:ilvl w:val="0"/>
          <w:numId w:val="45"/>
        </w:numPr>
        <w:spacing w:before="20" w:after="0" w:line="24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Only positive impacts of measures are appropriated through Appropriation Bill (No. 3) 2022-23. </w:t>
      </w:r>
      <w:r w:rsidR="00A13E75" w:rsidRPr="00A13E75">
        <w:rPr>
          <w:rFonts w:ascii="Arial" w:hAnsi="Arial" w:cs="Arial"/>
          <w:sz w:val="16"/>
          <w:szCs w:val="16"/>
        </w:rPr>
        <w:t xml:space="preserve">The impact of these measures </w:t>
      </w:r>
      <w:r>
        <w:rPr>
          <w:rFonts w:ascii="Arial" w:hAnsi="Arial" w:cs="Arial"/>
          <w:sz w:val="16"/>
          <w:szCs w:val="16"/>
        </w:rPr>
        <w:t>on</w:t>
      </w:r>
      <w:r w:rsidR="00A13E75" w:rsidRPr="00A13E75">
        <w:rPr>
          <w:rFonts w:ascii="Arial" w:hAnsi="Arial" w:cs="Arial"/>
          <w:sz w:val="16"/>
          <w:szCs w:val="16"/>
        </w:rPr>
        <w:t xml:space="preserve"> Appropriation Bill (No. 3) 2022-23 </w:t>
      </w:r>
      <w:r w:rsidR="00714046">
        <w:rPr>
          <w:rFonts w:ascii="Arial" w:hAnsi="Arial" w:cs="Arial"/>
          <w:sz w:val="16"/>
          <w:szCs w:val="16"/>
        </w:rPr>
        <w:t>are</w:t>
      </w:r>
      <w:r w:rsidR="00A13E75" w:rsidRPr="00A13E75">
        <w:rPr>
          <w:rFonts w:ascii="Arial" w:hAnsi="Arial" w:cs="Arial"/>
          <w:sz w:val="16"/>
          <w:szCs w:val="16"/>
        </w:rPr>
        <w:t xml:space="preserve"> identified in Table 1.2</w:t>
      </w:r>
      <w:r w:rsidR="00A13E75">
        <w:rPr>
          <w:rFonts w:ascii="Arial" w:hAnsi="Arial" w:cs="Arial"/>
          <w:sz w:val="16"/>
          <w:szCs w:val="16"/>
        </w:rPr>
        <w:t>.</w:t>
      </w:r>
    </w:p>
    <w:p w14:paraId="6A004DC1" w14:textId="661278DA" w:rsidR="00D15757" w:rsidRPr="00A13E75" w:rsidRDefault="00D15757" w:rsidP="009A71AA">
      <w:pPr>
        <w:pStyle w:val="ListParagraph"/>
        <w:numPr>
          <w:ilvl w:val="0"/>
          <w:numId w:val="45"/>
        </w:numPr>
        <w:spacing w:before="20" w:after="0" w:line="24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Total includes $5.0 million provisioned in the Contingency Reserve.</w:t>
      </w:r>
    </w:p>
    <w:p w14:paraId="5B080317" w14:textId="7EE44C78" w:rsidR="00122258" w:rsidRPr="00122258" w:rsidRDefault="00122258" w:rsidP="00726041">
      <w:pPr>
        <w:pStyle w:val="ChartandTableFootnoteAlpha"/>
        <w:numPr>
          <w:ilvl w:val="0"/>
          <w:numId w:val="0"/>
        </w:numPr>
        <w:ind w:left="284" w:hanging="284"/>
      </w:pPr>
    </w:p>
    <w:p w14:paraId="025C5EFE" w14:textId="2B3F65A4" w:rsidR="00F51DAC" w:rsidRPr="00C24F05" w:rsidRDefault="00F51DAC" w:rsidP="00C24F05">
      <w:pPr>
        <w:pStyle w:val="Heading3"/>
      </w:pPr>
      <w:r>
        <w:br w:type="page"/>
      </w:r>
      <w:bookmarkStart w:id="62" w:name="_Toc403120007"/>
      <w:bookmarkStart w:id="63" w:name="_Toc132982314"/>
      <w:bookmarkStart w:id="64" w:name="_Toc133910743"/>
      <w:bookmarkStart w:id="65" w:name="_Toc133911734"/>
      <w:r w:rsidR="000B5844" w:rsidRPr="00C24F05">
        <w:lastRenderedPageBreak/>
        <w:t xml:space="preserve">Additional </w:t>
      </w:r>
      <w:r w:rsidR="004B1C06" w:rsidRPr="00C24F05">
        <w:t>e</w:t>
      </w:r>
      <w:r w:rsidR="000B5844" w:rsidRPr="00C24F05">
        <w:t>stimates and v</w:t>
      </w:r>
      <w:r w:rsidRPr="00C24F05">
        <w:t>ariations</w:t>
      </w:r>
      <w:bookmarkEnd w:id="62"/>
      <w:bookmarkEnd w:id="63"/>
      <w:bookmarkEnd w:id="64"/>
      <w:bookmarkEnd w:id="65"/>
    </w:p>
    <w:p w14:paraId="2CB4E6C1" w14:textId="0A088F72" w:rsidR="00F51DAC" w:rsidRPr="00856582" w:rsidRDefault="00F51DAC" w:rsidP="003D3FA8">
      <w:pPr>
        <w:rPr>
          <w:sz w:val="20"/>
        </w:rPr>
      </w:pPr>
      <w:r w:rsidRPr="00856582">
        <w:rPr>
          <w:sz w:val="20"/>
        </w:rPr>
        <w:t>The following table detail</w:t>
      </w:r>
      <w:r w:rsidR="003A6E11" w:rsidRPr="00856582">
        <w:rPr>
          <w:sz w:val="20"/>
        </w:rPr>
        <w:t>s</w:t>
      </w:r>
      <w:r w:rsidRPr="00856582">
        <w:rPr>
          <w:sz w:val="20"/>
        </w:rPr>
        <w:t xml:space="preserve"> the changes to the resourcing for </w:t>
      </w:r>
      <w:r w:rsidR="0007055D" w:rsidRPr="00856582">
        <w:rPr>
          <w:sz w:val="20"/>
        </w:rPr>
        <w:t xml:space="preserve">the Department </w:t>
      </w:r>
      <w:r w:rsidRPr="00856582">
        <w:rPr>
          <w:sz w:val="20"/>
        </w:rPr>
        <w:t xml:space="preserve">at </w:t>
      </w:r>
      <w:r w:rsidR="002D3D3A" w:rsidRPr="00856582">
        <w:rPr>
          <w:sz w:val="20"/>
        </w:rPr>
        <w:t xml:space="preserve">Additional </w:t>
      </w:r>
      <w:r w:rsidRPr="00856582">
        <w:rPr>
          <w:sz w:val="20"/>
        </w:rPr>
        <w:t>Estimates, by outcome</w:t>
      </w:r>
      <w:r w:rsidR="00E15CF3" w:rsidRPr="00856582">
        <w:rPr>
          <w:sz w:val="20"/>
        </w:rPr>
        <w:t xml:space="preserve">. </w:t>
      </w:r>
      <w:r w:rsidR="00435111" w:rsidRPr="00856582">
        <w:rPr>
          <w:sz w:val="20"/>
        </w:rPr>
        <w:t xml:space="preserve">The </w:t>
      </w:r>
      <w:r w:rsidR="00182555" w:rsidRPr="00856582">
        <w:rPr>
          <w:sz w:val="20"/>
        </w:rPr>
        <w:t xml:space="preserve">following </w:t>
      </w:r>
      <w:r w:rsidR="00435111" w:rsidRPr="00856582">
        <w:rPr>
          <w:sz w:val="20"/>
        </w:rPr>
        <w:t xml:space="preserve">table </w:t>
      </w:r>
      <w:r w:rsidRPr="00856582">
        <w:rPr>
          <w:sz w:val="20"/>
        </w:rPr>
        <w:t xml:space="preserve">details the </w:t>
      </w:r>
      <w:r w:rsidR="00CB6CC7" w:rsidRPr="00856582">
        <w:rPr>
          <w:sz w:val="20"/>
        </w:rPr>
        <w:t xml:space="preserve">estimates </w:t>
      </w:r>
      <w:r w:rsidRPr="00856582">
        <w:rPr>
          <w:sz w:val="20"/>
        </w:rPr>
        <w:t xml:space="preserve">and variations resulting from new measures </w:t>
      </w:r>
      <w:r w:rsidR="00CC1479" w:rsidRPr="00856582">
        <w:rPr>
          <w:sz w:val="20"/>
        </w:rPr>
        <w:t xml:space="preserve">and any other variations </w:t>
      </w:r>
      <w:r w:rsidRPr="00856582">
        <w:rPr>
          <w:sz w:val="20"/>
        </w:rPr>
        <w:t xml:space="preserve">since the </w:t>
      </w:r>
      <w:r w:rsidR="005E192A" w:rsidRPr="00856582">
        <w:rPr>
          <w:sz w:val="20"/>
        </w:rPr>
        <w:t>2022</w:t>
      </w:r>
      <w:r w:rsidR="00FE2D74" w:rsidRPr="00856582">
        <w:rPr>
          <w:sz w:val="20"/>
        </w:rPr>
        <w:t>–</w:t>
      </w:r>
      <w:r w:rsidR="005E192A" w:rsidRPr="00856582">
        <w:rPr>
          <w:sz w:val="20"/>
        </w:rPr>
        <w:t xml:space="preserve">23 </w:t>
      </w:r>
      <w:r w:rsidR="00CB1BE0" w:rsidRPr="00856582">
        <w:rPr>
          <w:sz w:val="20"/>
        </w:rPr>
        <w:t xml:space="preserve">October Budget </w:t>
      </w:r>
      <w:r w:rsidRPr="00856582">
        <w:rPr>
          <w:sz w:val="20"/>
        </w:rPr>
        <w:t xml:space="preserve">in Appropriation </w:t>
      </w:r>
      <w:r w:rsidR="002D3D3A" w:rsidRPr="00856582">
        <w:rPr>
          <w:sz w:val="20"/>
        </w:rPr>
        <w:t xml:space="preserve">Bill No. </w:t>
      </w:r>
      <w:r w:rsidR="00FB51D7" w:rsidRPr="00856582">
        <w:rPr>
          <w:sz w:val="20"/>
        </w:rPr>
        <w:t>3</w:t>
      </w:r>
      <w:r w:rsidR="003D3FA8" w:rsidRPr="00856582">
        <w:rPr>
          <w:sz w:val="20"/>
        </w:rPr>
        <w:t xml:space="preserve"> 2022-23</w:t>
      </w:r>
      <w:r w:rsidR="002D3D3A" w:rsidRPr="00856582">
        <w:rPr>
          <w:sz w:val="20"/>
        </w:rPr>
        <w:t>.</w:t>
      </w:r>
    </w:p>
    <w:p w14:paraId="33054199" w14:textId="2E587BFD" w:rsidR="006E5F7E" w:rsidRDefault="00CD0F9D" w:rsidP="006E5F7E">
      <w:pPr>
        <w:pStyle w:val="TableHeading"/>
      </w:pPr>
      <w:r>
        <w:t>Table 1.2</w:t>
      </w:r>
      <w:r w:rsidR="00EC1ECB">
        <w:t>:</w:t>
      </w:r>
      <w:r>
        <w:t xml:space="preserve"> </w:t>
      </w:r>
      <w:r w:rsidR="008E2FC7">
        <w:t xml:space="preserve">Additional </w:t>
      </w:r>
      <w:r>
        <w:t>estimates and variations to outcomes from measures and other variations</w:t>
      </w:r>
      <w:bookmarkEnd w:id="50"/>
      <w:bookmarkEnd w:id="51"/>
      <w:bookmarkEnd w:id="52"/>
      <w:bookmarkEnd w:id="53"/>
      <w:bookmarkEnd w:id="54"/>
      <w:bookmarkEnd w:id="55"/>
      <w:bookmarkEnd w:id="60"/>
      <w:bookmarkEnd w:id="61"/>
    </w:p>
    <w:tbl>
      <w:tblPr>
        <w:tblW w:w="5000" w:type="pct"/>
        <w:tblLook w:val="04A0" w:firstRow="1" w:lastRow="0" w:firstColumn="1" w:lastColumn="0" w:noHBand="0" w:noVBand="1"/>
      </w:tblPr>
      <w:tblGrid>
        <w:gridCol w:w="3403"/>
        <w:gridCol w:w="861"/>
        <w:gridCol w:w="861"/>
        <w:gridCol w:w="864"/>
        <w:gridCol w:w="865"/>
        <w:gridCol w:w="857"/>
      </w:tblGrid>
      <w:tr w:rsidR="00BF37BF" w:rsidRPr="00BF37BF" w14:paraId="43C12F8F" w14:textId="77777777" w:rsidTr="003D3FA8">
        <w:trPr>
          <w:trHeight w:val="204"/>
        </w:trPr>
        <w:tc>
          <w:tcPr>
            <w:tcW w:w="2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D288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D6519" w14:textId="77777777" w:rsidR="00BF37BF" w:rsidRPr="00BF37BF" w:rsidRDefault="00BF37BF" w:rsidP="00BF37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7AEC6B09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2022-23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14:paraId="5AD33B51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2023-24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786C9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2024-25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1AD097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2025-26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BF37BF" w:rsidRPr="00BF37BF" w14:paraId="1694629C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60C8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BEB5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6F40EBA" w14:textId="0EB4ABEC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1D8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100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AC6B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F37BF" w:rsidRPr="00BF37BF" w14:paraId="2BCBA63B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7B710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Departmental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CA16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4938FB2" w14:textId="4434473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A78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E2B6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0FEC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F37BF" w:rsidRPr="00BF37BF" w14:paraId="1E3B5AED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E293" w14:textId="77777777" w:rsidR="00BF37BF" w:rsidRPr="00BF37BF" w:rsidRDefault="00BF37BF" w:rsidP="00F169BA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03A2" w14:textId="17ACDA0F" w:rsidR="00BF37BF" w:rsidRPr="00A13E75" w:rsidRDefault="00A13E75" w:rsidP="00BF37BF">
            <w:pPr>
              <w:spacing w:after="0" w:line="240" w:lineRule="auto"/>
              <w:ind w:firstLineChars="200" w:firstLine="3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A493CB7" w14:textId="249CD19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A4F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A85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7A4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F37BF" w:rsidRPr="00637EA1" w14:paraId="64C5FB30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0299" w14:textId="77777777" w:rsidR="00BF37BF" w:rsidRPr="00BF37BF" w:rsidRDefault="00BF37BF" w:rsidP="00F169BA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Estimates variations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2E1" w14:textId="77777777" w:rsidR="00BF37BF" w:rsidRPr="00BF37BF" w:rsidRDefault="00BF37BF" w:rsidP="00F169BA">
            <w:pPr>
              <w:spacing w:after="0" w:line="240" w:lineRule="auto"/>
              <w:ind w:left="340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0BB9FC7" w14:textId="7C06B79F" w:rsidR="00BF37BF" w:rsidRPr="00BF37BF" w:rsidRDefault="00BF37BF" w:rsidP="0064251F">
            <w:pPr>
              <w:spacing w:after="0" w:line="240" w:lineRule="auto"/>
              <w:ind w:left="3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4732" w14:textId="453A8A32" w:rsidR="00BF37BF" w:rsidRPr="00BF37BF" w:rsidRDefault="00A13E75" w:rsidP="0064251F">
            <w:pPr>
              <w:spacing w:after="0" w:line="240" w:lineRule="auto"/>
              <w:ind w:left="3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21F5" w14:textId="5571E520" w:rsidR="00BF37BF" w:rsidRPr="00BF37BF" w:rsidRDefault="00A13E75" w:rsidP="0064251F">
            <w:pPr>
              <w:spacing w:after="0" w:line="240" w:lineRule="auto"/>
              <w:ind w:left="3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0D8" w14:textId="6A95A0E0" w:rsidR="00BF37BF" w:rsidRPr="00637EA1" w:rsidRDefault="00BF37BF" w:rsidP="0064251F">
            <w:pPr>
              <w:spacing w:after="0" w:line="240" w:lineRule="auto"/>
              <w:ind w:left="34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37EA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A13E75" w:rsidRPr="00BF37BF" w14:paraId="612BE5DD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4FDC" w14:textId="77DBDB3E" w:rsidR="00A13E75" w:rsidRPr="00BF37BF" w:rsidRDefault="00A13E75" w:rsidP="00A13E75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 Outcome 1 (departmental)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6237" w14:textId="77777777" w:rsidR="00A13E75" w:rsidRPr="00BF37BF" w:rsidRDefault="00A13E75" w:rsidP="00A13E75">
            <w:pPr>
              <w:spacing w:after="0" w:line="240" w:lineRule="auto"/>
              <w:ind w:left="34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60ADA22" w14:textId="0949A3A5" w:rsidR="00A13E75" w:rsidRPr="00BF37BF" w:rsidRDefault="00A13E75" w:rsidP="00A13E75">
            <w:pPr>
              <w:spacing w:after="0" w:line="240" w:lineRule="auto"/>
              <w:ind w:left="34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1176" w14:textId="41AA6E8F" w:rsidR="00A13E75" w:rsidRPr="00BF37BF" w:rsidRDefault="00A13E75" w:rsidP="00A13E75">
            <w:pPr>
              <w:spacing w:after="0" w:line="240" w:lineRule="auto"/>
              <w:ind w:left="34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9DCE" w14:textId="01B37A1C" w:rsidR="00A13E75" w:rsidRPr="00BF37BF" w:rsidRDefault="00A13E75" w:rsidP="00A13E75">
            <w:pPr>
              <w:spacing w:after="0" w:line="240" w:lineRule="auto"/>
              <w:ind w:left="34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BBBAE" w14:textId="4F88A9E0" w:rsidR="00A13E75" w:rsidRPr="00BF37BF" w:rsidRDefault="00A13E75" w:rsidP="00A13E75">
            <w:pPr>
              <w:spacing w:after="0" w:line="240" w:lineRule="auto"/>
              <w:ind w:left="34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7EA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A13E75" w:rsidRPr="00BF37BF" w14:paraId="5FF6BA66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E3F73" w14:textId="3F34626D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impact on appropriations for Outcome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51BC2" w14:textId="679459E4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AB6BA6B" w14:textId="41496E7F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A65A6" w14:textId="4E0C568B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A75C8" w14:textId="0182E600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69BF" w14:textId="3BFFF83B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7EA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BF37BF" w:rsidRPr="00BF37BF" w14:paraId="7519C98D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59B832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C012C" w14:textId="35D430E3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5D8DD" w14:textId="28643461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D74FF" w14:textId="273A44C2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E24E3" w14:textId="016C7FF3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A18E4" w14:textId="3A754CF8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37BF" w:rsidRPr="00BF37BF" w14:paraId="164DB2A3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78C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137A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75025A1" w14:textId="411688B5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A7F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1176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C836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F37BF" w:rsidRPr="00BF37BF" w14:paraId="17D09553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AC3CC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Departmental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45DF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F7350E8" w14:textId="1887590E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668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9A42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B7A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F37BF" w:rsidRPr="00BF37BF" w14:paraId="0511AB17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4800" w14:textId="77777777" w:rsidR="00BF37BF" w:rsidRPr="00BF37BF" w:rsidRDefault="00BF37BF" w:rsidP="00F169BA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Annual appropriations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058" w14:textId="77777777" w:rsidR="00BF37BF" w:rsidRPr="00BF37BF" w:rsidRDefault="00BF37BF" w:rsidP="00BF37BF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2D9E95E" w14:textId="1B7024A3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73DE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8BF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93EC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F37BF" w:rsidRPr="00BF37BF" w14:paraId="79812B22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49A1" w14:textId="65E8336A" w:rsidR="00BF37BF" w:rsidRPr="00BF37BF" w:rsidRDefault="00BF37BF" w:rsidP="00F169BA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Reducing Transport Emissions</w:t>
            </w:r>
            <w:r w:rsidR="003D3FA8">
              <w:rPr>
                <w:rFonts w:ascii="Arial" w:hAnsi="Arial" w:cs="Arial"/>
                <w:color w:val="000000"/>
                <w:sz w:val="16"/>
                <w:szCs w:val="16"/>
              </w:rPr>
              <w:t xml:space="preserve"> measure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68C5" w14:textId="034A29D6" w:rsidR="00BF37BF" w:rsidRPr="00BF37BF" w:rsidRDefault="00A13E75" w:rsidP="00BF37BF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DE6521D" w14:textId="1F03E418" w:rsidR="00BF37BF" w:rsidRPr="00637EA1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EA1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8D1" w14:textId="05E6AF55" w:rsidR="00BF37BF" w:rsidRPr="00637EA1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EB14" w14:textId="73DC6EB3" w:rsidR="00BF37BF" w:rsidRPr="00637EA1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3E19" w14:textId="668D0572" w:rsidR="00BF37BF" w:rsidRPr="00637EA1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3E75" w:rsidRPr="00BF37BF" w14:paraId="2F7BE898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0FB7" w14:textId="4312F8A8" w:rsidR="00A13E75" w:rsidRPr="00BF37BF" w:rsidRDefault="00A13E75" w:rsidP="00A13E75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Supporting Transport Priorities</w:t>
            </w:r>
            <w:r w:rsidR="003D3FA8">
              <w:rPr>
                <w:rFonts w:ascii="Arial" w:hAnsi="Arial" w:cs="Arial"/>
                <w:color w:val="000000"/>
                <w:sz w:val="16"/>
                <w:szCs w:val="16"/>
              </w:rPr>
              <w:t xml:space="preserve"> measure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8252" w14:textId="208F1B8B" w:rsidR="00A13E75" w:rsidRPr="00A13E75" w:rsidRDefault="00A13E75" w:rsidP="00A13E75">
            <w:pPr>
              <w:spacing w:after="0" w:line="240" w:lineRule="auto"/>
              <w:ind w:firstLineChars="200" w:firstLine="3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1286F63" w14:textId="6029EB11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14,913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FC83" w14:textId="740761E0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55F" w14:textId="5A42B241" w:rsidR="00A13E75" w:rsidRPr="00637EA1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17CD" w14:textId="4BBD4666" w:rsidR="00A13E75" w:rsidRPr="00637EA1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3E75" w:rsidRPr="00BF37BF" w14:paraId="728F3085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DD2F" w14:textId="0B6EEB2C" w:rsidR="00A13E75" w:rsidRPr="00BF37BF" w:rsidRDefault="00A13E75" w:rsidP="00A13E7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4AD6" w14:textId="77777777" w:rsidR="00A13E75" w:rsidRPr="00BF37BF" w:rsidRDefault="00A13E75" w:rsidP="00A13E75">
            <w:pPr>
              <w:spacing w:after="0" w:line="240" w:lineRule="auto"/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</w:tcPr>
          <w:p w14:paraId="0817C9C3" w14:textId="77777777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0566" w14:textId="77777777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DF71" w14:textId="77777777" w:rsidR="00A13E75" w:rsidRPr="00637EA1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BAD2B" w14:textId="77777777" w:rsidR="00A13E75" w:rsidRPr="00637EA1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3E75" w:rsidRPr="00BF37BF" w14:paraId="7C7DA6AE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CFE2" w14:textId="77777777" w:rsidR="00A13E75" w:rsidRPr="00BF37BF" w:rsidRDefault="00A13E75" w:rsidP="00A13E75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Estimates variations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E194" w14:textId="56320E0C" w:rsidR="00A13E75" w:rsidRPr="00BF37BF" w:rsidRDefault="00A13E75" w:rsidP="00A13E75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E27A164" w14:textId="3AB96A58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EA1">
              <w:rPr>
                <w:rFonts w:ascii="Arial" w:hAnsi="Arial" w:cs="Arial"/>
                <w:sz w:val="16"/>
                <w:szCs w:val="16"/>
              </w:rPr>
              <w:t>3,695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3CC3" w14:textId="08FC5CCA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F0F7" w14:textId="5DDDAFC1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B67" w14:textId="1DB49998" w:rsidR="00A13E75" w:rsidRPr="00637EA1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3E75" w:rsidRPr="00BF37BF" w14:paraId="30E943B6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0605C" w14:textId="2B61E500" w:rsidR="00A13E75" w:rsidRPr="00BF37BF" w:rsidRDefault="00A13E75" w:rsidP="00A13E75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 Outcome 2 (departmental)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311" w14:textId="77777777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713B6093" w14:textId="3B10002B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4D999" w14:textId="2E5E5A77" w:rsidR="00A13E75" w:rsidRPr="00A13E75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C6F2B" w14:textId="3A457ABF" w:rsidR="00A13E75" w:rsidRPr="00A13E75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7B04" w14:textId="3087DB17" w:rsidR="00A13E75" w:rsidRPr="00A13E75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A13E75" w:rsidRPr="00BF37BF" w14:paraId="1FA2116A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76F3C" w14:textId="1A0A6F82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impact on appropriations for Outcome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35400" w14:textId="1F8049F5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744A3992" w14:textId="17A20AFB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F915F" w14:textId="576C20FC" w:rsidR="00A13E75" w:rsidRPr="00A13E75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C2C0" w14:textId="5B3463E3" w:rsidR="00A13E75" w:rsidRPr="00A13E75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42666" w14:textId="1B032CB2" w:rsidR="00A13E75" w:rsidRPr="00A13E75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A13E75" w:rsidRPr="00BF37BF" w14:paraId="4BA2C3D1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2DABD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4638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8D012" w14:textId="48580F89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33ACC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39268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61A5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3E75" w:rsidRPr="00BF37BF" w14:paraId="7F212A1D" w14:textId="77777777" w:rsidTr="003D3FA8">
        <w:trPr>
          <w:trHeight w:val="204"/>
        </w:trPr>
        <w:tc>
          <w:tcPr>
            <w:tcW w:w="2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0B4" w14:textId="77777777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92D3" w14:textId="77777777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DBD5C6E" w14:textId="7558E889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F25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759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10F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3E75" w:rsidRPr="00BF37BF" w14:paraId="675E4B92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9872F" w14:textId="77777777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Departmental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F2A" w14:textId="77777777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31AF6F9" w14:textId="6EDDD3F1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8AB2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925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E90C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3E75" w:rsidRPr="00BF37BF" w14:paraId="29AF7635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48E" w14:textId="77777777" w:rsidR="00A13E75" w:rsidRPr="00BF37BF" w:rsidRDefault="00A13E75" w:rsidP="00A13E7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05E" w14:textId="77777777" w:rsidR="00A13E75" w:rsidRPr="00BF37BF" w:rsidRDefault="00A13E75" w:rsidP="00A13E75">
            <w:pPr>
              <w:spacing w:after="0" w:line="240" w:lineRule="auto"/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54B1C9B" w14:textId="4F18AE46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6D2E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5C0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90FF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3E75" w:rsidRPr="00BF37BF" w14:paraId="2DF24124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9490" w14:textId="77777777" w:rsidR="00A13E75" w:rsidRPr="00BF37BF" w:rsidRDefault="00A13E75" w:rsidP="00A13E75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Estimates variations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32D3" w14:textId="3A9D195D" w:rsidR="00A13E75" w:rsidRPr="00BF37BF" w:rsidRDefault="00A13E75" w:rsidP="00A13E75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140B2AE" w14:textId="10FA994F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4,513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7182" w14:textId="5F5A8025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030" w14:textId="66D1A5D5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3EF" w14:textId="0D4F86DE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3E75" w:rsidRPr="00BF37BF" w14:paraId="62A54BE3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9C956" w14:textId="52CC02A8" w:rsidR="00A13E75" w:rsidRPr="00BF37BF" w:rsidRDefault="00A13E75" w:rsidP="00A13E75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 Outcome 3 (departmental)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B81E" w14:textId="77777777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7F3D227F" w14:textId="0B766333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16CE7" w14:textId="37BEF70D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BC30B" w14:textId="27F96052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650C4" w14:textId="4925B733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A13E75" w:rsidRPr="00BF37BF" w14:paraId="667E12C1" w14:textId="77777777" w:rsidTr="003D3FA8">
        <w:trPr>
          <w:trHeight w:val="204"/>
        </w:trPr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D37C0" w14:textId="2C014E16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impact on appropriations for Outcome 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0BD5B" w14:textId="57C84BEE" w:rsidR="00A13E75" w:rsidRPr="00BF37BF" w:rsidRDefault="00A13E75" w:rsidP="00A13E7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9DD2899" w14:textId="3A15D057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3592" w14:textId="5AF05A19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0086" w14:textId="66630C3B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7F065" w14:textId="25D89A52" w:rsidR="00A13E75" w:rsidRPr="00BF37BF" w:rsidRDefault="00A13E75" w:rsidP="00A13E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3E7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</w:tbl>
    <w:p w14:paraId="0BC0953B" w14:textId="23CD320D" w:rsidR="00F169BA" w:rsidRDefault="00F169BA" w:rsidP="00F265BD">
      <w:pPr>
        <w:spacing w:before="60"/>
        <w:rPr>
          <w:rFonts w:ascii="Arial" w:hAnsi="Arial" w:cs="Arial"/>
          <w:sz w:val="16"/>
          <w:szCs w:val="16"/>
        </w:rPr>
      </w:pPr>
      <w:r w:rsidRPr="00F169BA">
        <w:rPr>
          <w:rFonts w:ascii="Arial" w:hAnsi="Arial" w:cs="Arial"/>
          <w:sz w:val="16"/>
          <w:szCs w:val="16"/>
        </w:rPr>
        <w:br w:type="page"/>
      </w:r>
    </w:p>
    <w:p w14:paraId="7F2EEED6" w14:textId="77777777" w:rsidR="00F169BA" w:rsidRDefault="00F169BA" w:rsidP="00F169BA">
      <w:pPr>
        <w:pStyle w:val="TableHeadingcontinued"/>
        <w:rPr>
          <w:i/>
        </w:rPr>
      </w:pPr>
      <w:r>
        <w:lastRenderedPageBreak/>
        <w:t>Table 1.2: Additional estimates and variations to outcomes from measures and other variations (continued)</w:t>
      </w:r>
      <w:r w:rsidRPr="00F34955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838"/>
        <w:gridCol w:w="839"/>
        <w:gridCol w:w="842"/>
        <w:gridCol w:w="842"/>
        <w:gridCol w:w="840"/>
      </w:tblGrid>
      <w:tr w:rsidR="009A71AA" w:rsidRPr="00BF37BF" w14:paraId="07B91A46" w14:textId="77777777" w:rsidTr="003D3FA8">
        <w:trPr>
          <w:trHeight w:val="204"/>
        </w:trPr>
        <w:tc>
          <w:tcPr>
            <w:tcW w:w="2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FD2" w14:textId="77777777" w:rsidR="00F169BA" w:rsidRPr="00BF37BF" w:rsidRDefault="00F169BA" w:rsidP="00FB5DB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9B61A" w14:textId="77777777" w:rsidR="00F169BA" w:rsidRPr="00BF37BF" w:rsidRDefault="00F169BA" w:rsidP="00FB5D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71CBE2FA" w14:textId="77777777" w:rsidR="00F169BA" w:rsidRPr="00BF37BF" w:rsidRDefault="00F169BA" w:rsidP="00FB5DB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2022-23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14:paraId="35CF815D" w14:textId="77777777" w:rsidR="00F169BA" w:rsidRPr="00BF37BF" w:rsidRDefault="00F169BA" w:rsidP="00FB5DB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2023-24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A2A007" w14:textId="77777777" w:rsidR="00F169BA" w:rsidRPr="00BF37BF" w:rsidRDefault="00F169BA" w:rsidP="00FB5DB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2024-25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E2252E" w14:textId="77777777" w:rsidR="00F169BA" w:rsidRPr="00BF37BF" w:rsidRDefault="00F169BA" w:rsidP="00FB5DB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2025-26</w:t>
            </w:r>
            <w:r w:rsidRPr="00BF37BF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9A71AA" w:rsidRPr="00BF37BF" w14:paraId="635B517D" w14:textId="77777777" w:rsidTr="003D3FA8">
        <w:trPr>
          <w:trHeight w:val="204"/>
        </w:trPr>
        <w:tc>
          <w:tcPr>
            <w:tcW w:w="2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A87C" w14:textId="471BACCA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5192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657348B" w14:textId="2D69B64F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7E8D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10F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BD69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4B88C7DE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B47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Administered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37BB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87FB89A" w14:textId="4B83B776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EA93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E259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14BF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57A55BE0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64D7" w14:textId="77777777" w:rsidR="00BF37BF" w:rsidRPr="00BF37BF" w:rsidRDefault="00BF37BF" w:rsidP="00F169BA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A1A" w14:textId="77777777" w:rsidR="00BF37BF" w:rsidRPr="00BF37BF" w:rsidRDefault="00BF37BF" w:rsidP="00BF37BF">
            <w:pPr>
              <w:spacing w:after="0" w:line="240" w:lineRule="auto"/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EE603CD" w14:textId="1721FDA4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8679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FDF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3587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2E87D82A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66D" w14:textId="77777777" w:rsidR="00BF37BF" w:rsidRPr="00BF37BF" w:rsidRDefault="00BF37BF" w:rsidP="00F169BA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Estimates variations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C93" w14:textId="00456007" w:rsidR="00BF37BF" w:rsidRPr="00BF37BF" w:rsidRDefault="00A13E75" w:rsidP="00BF37BF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09F8950" w14:textId="52547594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1,063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8799" w14:textId="04CFAFDE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C1A3" w14:textId="29903026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F37BF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267E0" w14:textId="1B93F74D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F37BF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9A71AA" w:rsidRPr="00BF37BF" w14:paraId="204748EC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7C8A4B" w14:textId="23C17B32" w:rsidR="00BF37BF" w:rsidRPr="00BF37BF" w:rsidRDefault="00BF37BF" w:rsidP="00F169BA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 Outcome 4 (administered)</w:t>
            </w: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A37" w14:textId="1683021E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74487F2" w14:textId="3AF4F4C4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3231" w14:textId="14975FEE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757E" w14:textId="6D135800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227A2" w14:textId="1A23F030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A71AA" w:rsidRPr="00BF37BF" w14:paraId="586103C5" w14:textId="77777777" w:rsidTr="003D3FA8">
        <w:trPr>
          <w:trHeight w:val="204"/>
        </w:trPr>
        <w:tc>
          <w:tcPr>
            <w:tcW w:w="22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53BC1" w14:textId="5A14279E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Departmental </w:t>
            </w:r>
          </w:p>
        </w:tc>
        <w:tc>
          <w:tcPr>
            <w:tcW w:w="5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9E4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F8F668E" w14:textId="6FC22266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308D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5855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76D1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5D036CA2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039" w14:textId="77777777" w:rsidR="00BF37BF" w:rsidRPr="00BF37BF" w:rsidRDefault="00BF37BF" w:rsidP="00032D0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484" w14:textId="77777777" w:rsidR="00BF37BF" w:rsidRPr="00BF37BF" w:rsidRDefault="00BF37BF" w:rsidP="00BF37BF">
            <w:pPr>
              <w:spacing w:after="0" w:line="240" w:lineRule="auto"/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4667C36" w14:textId="05AE8F68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D632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06F1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3007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7B0E1F9A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78DD" w14:textId="77777777" w:rsidR="00BF37BF" w:rsidRPr="00BF37BF" w:rsidRDefault="00BF37BF" w:rsidP="00032D01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Estimates variations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359" w14:textId="4C3E2B99" w:rsidR="00BF37BF" w:rsidRPr="00BF37BF" w:rsidRDefault="00A13E75" w:rsidP="00BF37BF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10987BC" w14:textId="6BF5E1C9" w:rsidR="00BF37BF" w:rsidRPr="00637EA1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EA1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F4C" w14:textId="46CC61C3" w:rsidR="00BF37BF" w:rsidRPr="00637EA1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4F3" w14:textId="458DA46F" w:rsidR="00BF37BF" w:rsidRPr="00637EA1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5B1" w14:textId="522C6868" w:rsidR="00BF37BF" w:rsidRPr="00637EA1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7E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A71AA" w:rsidRPr="00BF37BF" w14:paraId="1540ADF9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6203" w14:textId="54AC8327" w:rsidR="00BF37BF" w:rsidRPr="00BF37BF" w:rsidRDefault="00BF37BF" w:rsidP="00032D01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 Outcome 4 (departmental)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BB9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00C301DC" w14:textId="0CAE3C7E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B0CE4" w14:textId="27789FE9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A7AF9" w14:textId="4EB1622E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C4FDD" w14:textId="5375E6E2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A71AA" w:rsidRPr="00BF37BF" w14:paraId="6B53A96B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5EF761" w14:textId="60C1E4A6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impact on appropriations for Outcome 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40D7" w14:textId="6D275F7D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ED57B01" w14:textId="1A873420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BBCA" w14:textId="2CC29451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D19D6" w14:textId="4D7AF762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FE7B" w14:textId="1BADAA2C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F37BF" w:rsidRPr="00BF37BF" w14:paraId="3527FAB3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76DED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0E0E8" w14:textId="77777777" w:rsidR="00BF37BF" w:rsidRPr="00BF37BF" w:rsidRDefault="00BF37BF" w:rsidP="00BF37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0CE2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80375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72AE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12226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29C8BE56" w14:textId="77777777" w:rsidTr="003D3FA8">
        <w:trPr>
          <w:trHeight w:val="204"/>
        </w:trPr>
        <w:tc>
          <w:tcPr>
            <w:tcW w:w="2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7845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E7B4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D20A8CD" w14:textId="7066207D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9417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2B78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0C3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6EEEAA23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A663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Departmental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DFD6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D50CD3D" w14:textId="18F958B1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7559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F85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E247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0BD9765A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394" w14:textId="77777777" w:rsidR="00BF37BF" w:rsidRPr="00BF37BF" w:rsidRDefault="00BF37BF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6023" w14:textId="77777777" w:rsidR="00BF37BF" w:rsidRPr="00BF37BF" w:rsidRDefault="00BF37BF" w:rsidP="00BF37BF">
            <w:pPr>
              <w:spacing w:after="0" w:line="240" w:lineRule="auto"/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87703B8" w14:textId="30CC4CC1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DFC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C13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4BD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2E1180AE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D4F" w14:textId="77777777" w:rsidR="00BF37BF" w:rsidRPr="00BF37BF" w:rsidRDefault="00BF37BF" w:rsidP="00FB5DB1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Estimates variations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3C87" w14:textId="464BB998" w:rsidR="00BF37BF" w:rsidRPr="00BF37BF" w:rsidRDefault="00A13E75" w:rsidP="00BF37BF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839D3A9" w14:textId="6FB2F2B4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2,207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6A3" w14:textId="4E4723FD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668D" w14:textId="73DBEF70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192B" w14:textId="461FD5A0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9A71AA" w:rsidRPr="00BF37BF" w14:paraId="2E8AB62D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26900" w14:textId="110BA091" w:rsidR="00BF37BF" w:rsidRPr="00BF37BF" w:rsidRDefault="00BF37BF" w:rsidP="00FB5DB1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 Outcome 5 (departmental)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2461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1976EFC" w14:textId="4E532321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2,207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999E8" w14:textId="3991B142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2362" w14:textId="09EE6340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5917" w14:textId="09D0AC2B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A71AA" w:rsidRPr="00BF37BF" w14:paraId="2247B722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BA8B4" w14:textId="0762A73A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impact on appropriations for Outcome 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3B864" w14:textId="2569B388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AC5943E" w14:textId="63192DF0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2,207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E60B" w14:textId="588C3B6D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9ED77" w14:textId="7A6DE1FE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D448" w14:textId="1190D7E2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F37BF" w:rsidRPr="00BF37BF" w14:paraId="6192317E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95930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F4500" w14:textId="77777777" w:rsidR="00BF37BF" w:rsidRPr="00BF37BF" w:rsidRDefault="00BF37BF" w:rsidP="00BF37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7048B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5FF92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4AEC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92A22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5C554331" w14:textId="77777777" w:rsidTr="003D3FA8">
        <w:trPr>
          <w:trHeight w:val="204"/>
        </w:trPr>
        <w:tc>
          <w:tcPr>
            <w:tcW w:w="2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9221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D048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0764142" w14:textId="7CB6C021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86B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D9BC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B78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79ABCD82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E85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Administered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277C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A04B1B7" w14:textId="09F5B9B0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8204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8055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583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13EF1CB6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C25" w14:textId="77777777" w:rsidR="00BF37BF" w:rsidRPr="00BF37BF" w:rsidRDefault="00BF37BF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Annual appropriations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0477" w14:textId="77777777" w:rsidR="00BF37BF" w:rsidRPr="00BF37BF" w:rsidRDefault="00BF37BF" w:rsidP="00BF37BF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86507B8" w14:textId="32E1469E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A6A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5EB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0F1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4F6FFA18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3FD1" w14:textId="77777777" w:rsidR="00BF37BF" w:rsidRPr="00BF37BF" w:rsidRDefault="00BF37BF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CA0" w14:textId="77777777" w:rsidR="00BF37BF" w:rsidRPr="00BF37BF" w:rsidRDefault="00BF37BF" w:rsidP="00BF37BF">
            <w:pPr>
              <w:spacing w:after="0" w:line="240" w:lineRule="auto"/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5B50EF3" w14:textId="075EDF4A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E9C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7AD0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4605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1DB4B350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76FF" w14:textId="77777777" w:rsidR="009A71AA" w:rsidRDefault="00A13E75" w:rsidP="00FB5DB1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Revive - </w:t>
            </w:r>
            <w:r w:rsidR="00BF37BF" w:rsidRPr="00BF37BF">
              <w:rPr>
                <w:rFonts w:ascii="Arial" w:hAnsi="Arial" w:cs="Arial"/>
                <w:color w:val="000000"/>
                <w:sz w:val="16"/>
                <w:szCs w:val="16"/>
              </w:rPr>
              <w:t>National Cultural Policy</w:t>
            </w:r>
            <w:r w:rsidR="003D3F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5DA411D" w14:textId="7F0FE698" w:rsidR="00BF37BF" w:rsidRPr="00BF37BF" w:rsidRDefault="009A71AA" w:rsidP="00FB5DB1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and Location Incentive </w:t>
            </w:r>
            <w:r w:rsidR="003D3FA8">
              <w:rPr>
                <w:rFonts w:ascii="Arial" w:hAnsi="Arial" w:cs="Arial"/>
                <w:color w:val="000000"/>
                <w:sz w:val="16"/>
                <w:szCs w:val="16"/>
              </w:rPr>
              <w:t>measure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B991" w14:textId="507A4D9E" w:rsidR="00BF37BF" w:rsidRPr="00BF37BF" w:rsidRDefault="00A13E75" w:rsidP="00BF37BF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3DBED2E" w14:textId="5ED1E921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1,983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E124" w14:textId="1BD48C55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FD57" w14:textId="76BD133B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ED596" w14:textId="2E15602C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71AA" w:rsidRPr="00BF37BF" w14:paraId="6A910B74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4FB30B" w14:textId="7AE8273D" w:rsidR="00BF37BF" w:rsidRPr="00BF37BF" w:rsidRDefault="00BF37BF" w:rsidP="00FB5DB1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 Outcome 6 (administered)</w:t>
            </w: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8290" w14:textId="7F480C7A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3061B8C9" w14:textId="0A13A414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1,983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AD521" w14:textId="2CBA4FAD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F3239" w14:textId="11B375C9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68960" w14:textId="0B63E0CB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71AA" w:rsidRPr="00BF37BF" w14:paraId="1FD29A6C" w14:textId="77777777" w:rsidTr="003D3FA8">
        <w:trPr>
          <w:trHeight w:val="204"/>
        </w:trPr>
        <w:tc>
          <w:tcPr>
            <w:tcW w:w="22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14A57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Departmental </w:t>
            </w:r>
          </w:p>
        </w:tc>
        <w:tc>
          <w:tcPr>
            <w:tcW w:w="5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C657" w14:textId="77777777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EEEF688" w14:textId="1E06AAE5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413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E942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7733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7EB03EA7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F23B" w14:textId="31C117E0" w:rsidR="00BF37BF" w:rsidRPr="00BF37BF" w:rsidRDefault="00BF37BF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Annual appropriations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A8D6" w14:textId="77777777" w:rsidR="00BF37BF" w:rsidRPr="00BF37BF" w:rsidRDefault="00BF37BF" w:rsidP="00BF37BF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478E6B1" w14:textId="00D6CE1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030B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8D2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261" w14:textId="77777777" w:rsidR="00BF37BF" w:rsidRPr="00BF37BF" w:rsidRDefault="00BF37BF" w:rsidP="006425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A71AA" w:rsidRPr="00BF37BF" w14:paraId="64DD5DAC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D3D67" w14:textId="77777777" w:rsidR="003206C3" w:rsidRDefault="003206C3" w:rsidP="003206C3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Revive - </w:t>
            </w:r>
            <w:r w:rsidRPr="00BF37BF">
              <w:rPr>
                <w:rFonts w:ascii="Arial" w:hAnsi="Arial" w:cs="Arial"/>
                <w:color w:val="000000"/>
                <w:sz w:val="16"/>
                <w:szCs w:val="16"/>
              </w:rPr>
              <w:t>National Cultural Policy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A608E72" w14:textId="71094F7D" w:rsidR="00BF37BF" w:rsidRPr="00BF37BF" w:rsidRDefault="003206C3" w:rsidP="003206C3">
            <w:p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 Location Incentive measure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5F7" w14:textId="0359B399" w:rsidR="00BF37BF" w:rsidRPr="00BF37BF" w:rsidRDefault="00A13E75" w:rsidP="00BF37BF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4CB7AAC" w14:textId="69C58897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7BF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C85E" w14:textId="07C42830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43F" w14:textId="0DC755F5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445" w14:textId="723786F4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71AA" w:rsidRPr="00BF37BF" w14:paraId="5775C497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F6AD3" w14:textId="2A68F6A1" w:rsidR="00BF37BF" w:rsidRPr="00BF37BF" w:rsidRDefault="00BF37BF" w:rsidP="00FB5DB1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</w:t>
            </w:r>
            <w:r w:rsid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6 (departmental)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E43D" w14:textId="77777777" w:rsidR="00BF37BF" w:rsidRPr="00BF37BF" w:rsidRDefault="00BF37BF" w:rsidP="00BF37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5EDCBDC" w14:textId="35C98CA3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6646" w14:textId="79BC2692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A83D6" w14:textId="170AF334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0A4FA" w14:textId="55BDCDC3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A71AA" w:rsidRPr="00BF37BF" w14:paraId="4F76FB2E" w14:textId="77777777" w:rsidTr="003D3FA8">
        <w:trPr>
          <w:trHeight w:val="204"/>
        </w:trPr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3B06B" w14:textId="02D7C64A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impact on appropriations for Outcome 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D15D" w14:textId="50C15D40" w:rsidR="00BF37BF" w:rsidRPr="00BF37BF" w:rsidRDefault="00BF37BF" w:rsidP="00BF37B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05D3A41F" w14:textId="2523452E" w:rsidR="00BF37BF" w:rsidRPr="00BF37BF" w:rsidRDefault="00BF37BF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7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E9BE" w14:textId="50135ACD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2E582" w14:textId="40463897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B6AA5" w14:textId="3791F644" w:rsidR="00BF37BF" w:rsidRPr="00BF37BF" w:rsidRDefault="00A13E75" w:rsidP="006425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794A6BDB" w14:textId="4249157F" w:rsidR="003E4A7B" w:rsidRPr="000305FD" w:rsidRDefault="003E4A7B" w:rsidP="000305FD">
      <w:pPr>
        <w:pStyle w:val="ExampleText"/>
        <w:spacing w:before="60" w:after="0"/>
        <w:rPr>
          <w:rFonts w:ascii="Arial" w:hAnsi="Arial"/>
          <w:i w:val="0"/>
          <w:color w:val="000000"/>
          <w:sz w:val="16"/>
        </w:rPr>
      </w:pPr>
      <w:bookmarkStart w:id="66" w:name="_Toc403120008"/>
      <w:bookmarkStart w:id="67" w:name="_Toc490972407"/>
      <w:bookmarkStart w:id="68" w:name="_Toc491014627"/>
      <w:bookmarkStart w:id="69" w:name="_Toc491014769"/>
      <w:bookmarkStart w:id="70" w:name="_Toc491014949"/>
      <w:bookmarkStart w:id="71" w:name="_Toc491015096"/>
      <w:bookmarkStart w:id="72" w:name="_Toc491029237"/>
      <w:bookmarkStart w:id="73" w:name="_Toc491030326"/>
      <w:bookmarkStart w:id="74" w:name="_Toc491030786"/>
      <w:bookmarkStart w:id="75" w:name="_Toc491031349"/>
      <w:bookmarkStart w:id="76" w:name="_Toc491031936"/>
      <w:bookmarkStart w:id="77" w:name="_Toc491032108"/>
      <w:bookmarkStart w:id="78" w:name="_Toc491032217"/>
      <w:bookmarkStart w:id="79" w:name="_Toc491032324"/>
      <w:bookmarkStart w:id="80" w:name="_Toc491771712"/>
      <w:bookmarkStart w:id="81" w:name="_Toc491773287"/>
      <w:bookmarkStart w:id="82" w:name="_Toc23559345"/>
      <w:bookmarkStart w:id="83" w:name="_Toc23559379"/>
      <w:bookmarkStart w:id="84" w:name="_Toc23559670"/>
      <w:bookmarkStart w:id="85" w:name="_Toc23560134"/>
      <w:bookmarkStart w:id="86" w:name="_Toc23563428"/>
      <w:bookmarkStart w:id="87" w:name="_Toc77998681"/>
      <w:bookmarkStart w:id="88" w:name="_Toc79406110"/>
      <w:bookmarkStart w:id="89" w:name="_Toc79467812"/>
      <w:bookmarkStart w:id="90" w:name="_Toc112211960"/>
      <w:bookmarkStart w:id="91" w:name="_Toc112212054"/>
      <w:bookmarkStart w:id="92" w:name="_Toc112137872"/>
      <w:bookmarkStart w:id="93" w:name="_Toc112137894"/>
      <w:bookmarkStart w:id="94" w:name="_Toc210646451"/>
      <w:bookmarkStart w:id="95" w:name="_Toc210698430"/>
      <w:bookmarkStart w:id="96" w:name="_Toc210703213"/>
      <w:r w:rsidRPr="000305FD">
        <w:rPr>
          <w:rFonts w:ascii="Arial" w:hAnsi="Arial"/>
          <w:i w:val="0"/>
          <w:color w:val="000000"/>
          <w:sz w:val="16"/>
        </w:rPr>
        <w:t>Note: this table only reflects movements in Appropriation Bill (No. 3) 2022-23.</w:t>
      </w:r>
    </w:p>
    <w:p w14:paraId="078B979A" w14:textId="47DCB64C" w:rsidR="00751195" w:rsidRPr="00C24F05" w:rsidRDefault="005D586A" w:rsidP="004D4DD4">
      <w:pPr>
        <w:pStyle w:val="ExampleText"/>
      </w:pPr>
      <w:r>
        <w:rPr>
          <w:b/>
        </w:rPr>
        <w:br w:type="page"/>
      </w:r>
      <w:bookmarkEnd w:id="66"/>
    </w:p>
    <w:p w14:paraId="31FFF91B" w14:textId="494B4FCD" w:rsidR="00D30908" w:rsidRPr="00C24F05" w:rsidRDefault="00D30908" w:rsidP="00D30908">
      <w:pPr>
        <w:pStyle w:val="Heading3"/>
      </w:pPr>
      <w:bookmarkStart w:id="97" w:name="_Toc133910744"/>
      <w:bookmarkStart w:id="98" w:name="_Toc133911735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lastRenderedPageBreak/>
        <w:t>Breakdown of additional estimates by appropriation bill</w:t>
      </w:r>
      <w:bookmarkEnd w:id="97"/>
      <w:bookmarkEnd w:id="98"/>
    </w:p>
    <w:p w14:paraId="1143B083" w14:textId="1633573A" w:rsidR="00F51DAC" w:rsidRPr="00F80EB6" w:rsidRDefault="00F51DAC" w:rsidP="008162C3">
      <w:pPr>
        <w:rPr>
          <w:sz w:val="20"/>
        </w:rPr>
      </w:pPr>
      <w:r w:rsidRPr="00F80EB6">
        <w:rPr>
          <w:sz w:val="20"/>
        </w:rPr>
        <w:t>The following table detail</w:t>
      </w:r>
      <w:r w:rsidR="003D3FA8" w:rsidRPr="00F80EB6">
        <w:rPr>
          <w:sz w:val="20"/>
        </w:rPr>
        <w:t>s</w:t>
      </w:r>
      <w:r w:rsidRPr="00F80EB6">
        <w:rPr>
          <w:sz w:val="20"/>
        </w:rPr>
        <w:t xml:space="preserve"> the </w:t>
      </w:r>
      <w:r w:rsidR="009F4AAB" w:rsidRPr="00F80EB6">
        <w:rPr>
          <w:sz w:val="20"/>
        </w:rPr>
        <w:t>Additional</w:t>
      </w:r>
      <w:r w:rsidRPr="00F80EB6">
        <w:rPr>
          <w:sz w:val="20"/>
        </w:rPr>
        <w:t xml:space="preserve"> Estimates sought for </w:t>
      </w:r>
      <w:r w:rsidR="0007055D" w:rsidRPr="00F80EB6">
        <w:rPr>
          <w:sz w:val="20"/>
        </w:rPr>
        <w:t xml:space="preserve">the Department </w:t>
      </w:r>
      <w:r w:rsidRPr="00F80EB6">
        <w:rPr>
          <w:sz w:val="20"/>
        </w:rPr>
        <w:t xml:space="preserve">through </w:t>
      </w:r>
      <w:r w:rsidR="009F4AAB" w:rsidRPr="00F80EB6">
        <w:rPr>
          <w:sz w:val="20"/>
        </w:rPr>
        <w:t xml:space="preserve">Appropriation Bill No. </w:t>
      </w:r>
      <w:r w:rsidR="00FB51D7" w:rsidRPr="00F80EB6">
        <w:rPr>
          <w:sz w:val="20"/>
        </w:rPr>
        <w:t>3</w:t>
      </w:r>
      <w:r w:rsidRPr="00F80EB6">
        <w:rPr>
          <w:sz w:val="20"/>
        </w:rPr>
        <w:t>.</w:t>
      </w:r>
    </w:p>
    <w:p w14:paraId="231390BE" w14:textId="6C482CC7" w:rsidR="007D6EBF" w:rsidRPr="007D6EBF" w:rsidRDefault="00CD0F9D" w:rsidP="00F464CA">
      <w:pPr>
        <w:pStyle w:val="TableHeading"/>
        <w:rPr>
          <w:lang w:val="en-GB"/>
        </w:rPr>
      </w:pPr>
      <w:r>
        <w:rPr>
          <w:lang w:val="en-GB"/>
        </w:rPr>
        <w:t>Table 1.</w:t>
      </w:r>
      <w:r w:rsidR="00CB6CC7">
        <w:rPr>
          <w:lang w:val="en-GB"/>
        </w:rPr>
        <w:t>3</w:t>
      </w:r>
      <w:r w:rsidR="00BC3AB7">
        <w:rPr>
          <w:lang w:val="en-GB"/>
        </w:rPr>
        <w:t>:</w:t>
      </w:r>
      <w:r>
        <w:rPr>
          <w:lang w:val="en-GB"/>
        </w:rPr>
        <w:t xml:space="preserve"> </w:t>
      </w:r>
      <w:r w:rsidR="001B0283">
        <w:rPr>
          <w:lang w:val="en-GB"/>
        </w:rPr>
        <w:t xml:space="preserve">Appropriation Bill (No. </w:t>
      </w:r>
      <w:r w:rsidR="00FB51D7">
        <w:rPr>
          <w:lang w:val="en-GB"/>
        </w:rPr>
        <w:t>3</w:t>
      </w:r>
      <w:r w:rsidR="001B0283">
        <w:rPr>
          <w:lang w:val="en-GB"/>
        </w:rPr>
        <w:t xml:space="preserve">) </w:t>
      </w:r>
      <w:r w:rsidR="005E192A">
        <w:rPr>
          <w:lang w:val="en-GB"/>
        </w:rPr>
        <w:t>2022</w:t>
      </w:r>
      <w:r w:rsidR="00FE2D74">
        <w:rPr>
          <w:lang w:val="en-GB"/>
        </w:rPr>
        <w:t>–</w:t>
      </w:r>
      <w:r w:rsidR="005E192A">
        <w:rPr>
          <w:lang w:val="en-GB"/>
        </w:rPr>
        <w:t>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16"/>
        <w:gridCol w:w="1043"/>
        <w:gridCol w:w="987"/>
        <w:gridCol w:w="989"/>
        <w:gridCol w:w="989"/>
        <w:gridCol w:w="987"/>
      </w:tblGrid>
      <w:tr w:rsidR="00FB5DB1" w:rsidRPr="00FB5DB1" w14:paraId="04C6354B" w14:textId="77777777" w:rsidTr="00B25561">
        <w:trPr>
          <w:trHeight w:val="204"/>
        </w:trPr>
        <w:tc>
          <w:tcPr>
            <w:tcW w:w="1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3B94" w14:textId="77777777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CA8A2D" w14:textId="77777777" w:rsidR="00F22300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2021-22</w:t>
            </w: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br/>
              <w:t>Available</w:t>
            </w: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  <w:vertAlign w:val="superscript"/>
              </w:rPr>
              <w:t>(a)</w:t>
            </w: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br/>
            </w:r>
          </w:p>
          <w:p w14:paraId="665F6778" w14:textId="443D0A8D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1441A" w14:textId="7777777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Budget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(b)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6E8DA9" w14:textId="7777777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Revised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(c)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hideMark/>
          </w:tcPr>
          <w:p w14:paraId="563D5BBE" w14:textId="7777777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Additional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Estimates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hideMark/>
          </w:tcPr>
          <w:p w14:paraId="5D1539B3" w14:textId="77777777" w:rsid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Additional</w:t>
            </w:r>
          </w:p>
          <w:p w14:paraId="10D14C79" w14:textId="77777777" w:rsid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Estimates</w:t>
            </w:r>
          </w:p>
          <w:p w14:paraId="0AF56F94" w14:textId="1E1B1A6B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Reduction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FB5DB1" w:rsidRPr="00FB5DB1" w14:paraId="7E73774D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E63" w14:textId="77777777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Administered items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2206" w14:textId="77777777" w:rsidR="00FB5DB1" w:rsidRPr="0016212A" w:rsidRDefault="00FB5DB1" w:rsidP="00FB5D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13A6" w14:textId="77777777" w:rsidR="00FB5DB1" w:rsidRPr="00FB5DB1" w:rsidRDefault="00FB5DB1" w:rsidP="00FB5D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AE7C" w14:textId="77777777" w:rsidR="00FB5DB1" w:rsidRPr="00FB5DB1" w:rsidRDefault="00FB5DB1" w:rsidP="00FB5D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14:paraId="0CF3832C" w14:textId="77777777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14:paraId="74FBE455" w14:textId="77777777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B5DB1" w:rsidRPr="00FB5DB1" w14:paraId="311B34B8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C1F1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2EB4D0DD" w14:textId="7593BEC7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4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Good governance and service delivery in the Australian territories including through the maintenance and improvement of the laws and services for non-self-governing territories, and the overarching legislative framework for self-governing territories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8CEB" w14:textId="2398ED8E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233,625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FD06" w14:textId="3CDE1B41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283,317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8701" w14:textId="2FC86F12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284,380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EADF133" w14:textId="3759D2F1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1,063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20B2870" w14:textId="0BFE3362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0E749FEB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43B6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7BC23D33" w14:textId="33B91FFB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6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Participation in, and access to, Australia's arts and culture through developing and supporting cultural expression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BCDE" w14:textId="3205E32F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480,476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8DDB" w14:textId="26E95ED6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296,608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20A" w14:textId="61E80CA2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298,591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F00AE69" w14:textId="1E399B5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1,983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82FD7BF" w14:textId="23090F15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27D15BFC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B292" w14:textId="77777777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administered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FA475C" w14:textId="2D944E21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714,101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90505E" w14:textId="2D8615FD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579,925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7E59C" w14:textId="0C066820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582,971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center"/>
            <w:hideMark/>
          </w:tcPr>
          <w:p w14:paraId="73E08C1A" w14:textId="6CD5459A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3,046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center"/>
            <w:hideMark/>
          </w:tcPr>
          <w:p w14:paraId="086BBA29" w14:textId="4CDC04B4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58AF86F6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A904" w14:textId="789F29B1" w:rsidR="00FB5DB1" w:rsidRPr="00A55ABE" w:rsidRDefault="00FB5DB1" w:rsidP="00FB5D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Departmental programs</w:t>
            </w:r>
            <w:r w:rsidR="00A55A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(d)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C975" w14:textId="77777777" w:rsidR="00FB5DB1" w:rsidRPr="0016212A" w:rsidRDefault="00FB5DB1" w:rsidP="00FB5D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6086" w14:textId="77777777" w:rsidR="00FB5DB1" w:rsidRPr="00FB5DB1" w:rsidRDefault="00FB5DB1" w:rsidP="00FB5D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D869" w14:textId="77777777" w:rsidR="00FB5DB1" w:rsidRPr="00FB5DB1" w:rsidRDefault="00FB5DB1" w:rsidP="00FB5D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14:paraId="233904EB" w14:textId="2FAD4CA0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14:paraId="5D7E7DDE" w14:textId="26616ACC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5DB1" w:rsidRPr="00FB5DB1" w14:paraId="01382334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8CAF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60D978FC" w14:textId="355034E9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1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Improved infrastructure across Australia through investment in and coordination of transport and other infrastructure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51C9" w14:textId="024AD154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20,448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57A0" w14:textId="0B4D465B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87,530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532A" w14:textId="2E90C570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87,807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8865B62" w14:textId="02F322E3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56C9260" w14:textId="448E1473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7A474D86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2FDC6F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61AB2973" w14:textId="47A691B0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2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An efficient, sustainable, competitive, safe and secure transport system for all transport users through regulation, financial assistance and safety investigations</w:t>
            </w:r>
          </w:p>
        </w:tc>
        <w:tc>
          <w:tcPr>
            <w:tcW w:w="6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D61" w14:textId="19B367E5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230,401</w:t>
            </w: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088" w14:textId="12A5826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84,737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B27C" w14:textId="72886475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103,870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48617EA" w14:textId="7582E1CC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7502FD2" w14:textId="391D54B5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3635C4A6" w14:textId="77777777" w:rsidTr="00B25561">
        <w:trPr>
          <w:trHeight w:val="204"/>
        </w:trPr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236FA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1C75FD66" w14:textId="4C39D160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3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Strengthening the sustainability, capacity and diversity of Australia's cities and regions including northern Australia, including through facilitating local partnerships between all levels of government and local communities; through investment in infrastructure and measures that stimulate economic growth; and providing grants and financial assistance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054C" w14:textId="35477880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52,449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32D3E" w14:textId="11E68AB0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75,420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8E72" w14:textId="546340A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79,933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0AA48CF9" w14:textId="7EB421C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4,513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65C0F2F6" w14:textId="5F80CAB3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4F90AA2C" w14:textId="246DAF6B" w:rsidR="00FB5DB1" w:rsidRDefault="00FB5DB1" w:rsidP="00F265BD">
      <w:pPr>
        <w:spacing w:before="60"/>
      </w:pPr>
      <w:r>
        <w:br w:type="page"/>
      </w:r>
    </w:p>
    <w:p w14:paraId="1087204C" w14:textId="35BFED9C" w:rsidR="00FA25AC" w:rsidRPr="007D6EBF" w:rsidRDefault="00FA25AC" w:rsidP="00FA25AC">
      <w:pPr>
        <w:pStyle w:val="TableHeading"/>
        <w:rPr>
          <w:lang w:val="en-GB"/>
        </w:rPr>
      </w:pPr>
      <w:r>
        <w:rPr>
          <w:lang w:val="en-GB"/>
        </w:rPr>
        <w:lastRenderedPageBreak/>
        <w:t>Table 1.3: Appropriation Bill (No. 3) 2022–2023 (continued)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16"/>
        <w:gridCol w:w="1043"/>
        <w:gridCol w:w="987"/>
        <w:gridCol w:w="989"/>
        <w:gridCol w:w="989"/>
        <w:gridCol w:w="987"/>
      </w:tblGrid>
      <w:tr w:rsidR="00FB5DB1" w:rsidRPr="00FB5DB1" w14:paraId="0D7A0678" w14:textId="77777777" w:rsidTr="003D3FA8">
        <w:trPr>
          <w:trHeight w:val="204"/>
        </w:trPr>
        <w:tc>
          <w:tcPr>
            <w:tcW w:w="1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2A8C" w14:textId="77777777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8F3BA8" w14:textId="77777777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2021-22</w:t>
            </w: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br/>
              <w:t>Available</w:t>
            </w: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  <w:vertAlign w:val="superscript"/>
              </w:rPr>
              <w:t>(a)</w:t>
            </w: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br/>
            </w:r>
          </w:p>
          <w:p w14:paraId="52E2FB0D" w14:textId="0564C2BB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5F26B" w14:textId="7777777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Budget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(b)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1E4C4" w14:textId="7777777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Revised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(c)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bottom"/>
            <w:hideMark/>
          </w:tcPr>
          <w:p w14:paraId="36E1EA47" w14:textId="7777777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Additional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Estimates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bottom"/>
            <w:hideMark/>
          </w:tcPr>
          <w:p w14:paraId="13E56CAE" w14:textId="77777777" w:rsid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Additional</w:t>
            </w:r>
          </w:p>
          <w:p w14:paraId="6386FC3E" w14:textId="77777777" w:rsid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Estimates</w:t>
            </w:r>
          </w:p>
          <w:p w14:paraId="4C87B6BB" w14:textId="7777777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Reduction</w:t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FB5DB1" w:rsidRPr="00FB5DB1" w14:paraId="208F2241" w14:textId="77777777" w:rsidTr="003D3FA8">
        <w:trPr>
          <w:trHeight w:val="204"/>
        </w:trPr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898B0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47C5E2C1" w14:textId="36D81A60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4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Good governance and service delivery in the Australian territories including through the maintenance and improvement of the laws and services for non-self-governing territories, and the overarching legislative framework for self-governing territories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E6C6" w14:textId="6AED1528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2,378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F98B" w14:textId="2451A175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32,410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B80" w14:textId="6AABDE24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32,599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B5CBDD1" w14:textId="5E7606B5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FEADF8D" w14:textId="70EC42B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52CEB6E3" w14:textId="77777777" w:rsidTr="003D3FA8">
        <w:trPr>
          <w:trHeight w:val="204"/>
        </w:trPr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3BC2A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2E21DF2C" w14:textId="51B426DD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5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Promote an innovative and competitive communications sector, through policy development, advice and program delivery, so all Australians can realise the full potential of digital technologies and communications services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05E" w14:textId="32C85513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99,948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7A1" w14:textId="4A7497A3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80,470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2165" w14:textId="75EA2AF8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82,677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962D45D" w14:textId="337F555E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2,207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F79E83A" w14:textId="36FAD8EE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02E00A0B" w14:textId="77777777" w:rsidTr="003D3FA8">
        <w:trPr>
          <w:trHeight w:val="204"/>
        </w:trPr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CD1D" w14:textId="77777777" w:rsidR="005875E5" w:rsidRPr="005875E5" w:rsidRDefault="005875E5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5F4AF6AF" w14:textId="48E2E44A" w:rsidR="00FB5DB1" w:rsidRPr="00FB5DB1" w:rsidRDefault="00FB5DB1" w:rsidP="00FB5DB1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6</w:t>
            </w: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Participation in, and access to, Australia's arts and culture through developing and supporting cultural expression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7B5" w14:textId="5060FDDF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28,070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650" w14:textId="33F844EE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53,099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99EA" w14:textId="56792E09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53,926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7B093C8" w14:textId="01E7E55E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C22172E" w14:textId="3856EF50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49338602" w14:textId="77777777" w:rsidTr="003D3FA8">
        <w:trPr>
          <w:trHeight w:val="204"/>
        </w:trPr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02AA" w14:textId="77777777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departmental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91638" w14:textId="7A279153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433,694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62062" w14:textId="5AFF1603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413,666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1538B9" w14:textId="06FC4A7C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440,812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782E0B69" w14:textId="17C21EE9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27,146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1978C53D" w14:textId="0D289C6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DB1" w:rsidRPr="00FB5DB1" w14:paraId="14F2D9A3" w14:textId="77777777" w:rsidTr="003D3FA8">
        <w:trPr>
          <w:trHeight w:val="204"/>
        </w:trPr>
        <w:tc>
          <w:tcPr>
            <w:tcW w:w="17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A8D431" w14:textId="0F03F5E6" w:rsidR="00FB5DB1" w:rsidRPr="00FB5DB1" w:rsidRDefault="00FB5DB1" w:rsidP="00FB5D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administered and departmental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130FE" w14:textId="6A04C108" w:rsidR="00FB5DB1" w:rsidRPr="0016212A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16212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1,147,795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216E44" w14:textId="536E30CA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993,591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0196B" w14:textId="455289E7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1,023,783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412BFB3B" w14:textId="0A813891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30,192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4F51ECB6" w14:textId="1A63B765" w:rsidR="00FB5DB1" w:rsidRPr="00FB5DB1" w:rsidRDefault="00FB5DB1" w:rsidP="00FB5D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5B8AF140" w14:textId="00969693" w:rsidR="00FB5DB1" w:rsidRDefault="003D3FA8" w:rsidP="00F265BD">
      <w:pPr>
        <w:pStyle w:val="ExampleText"/>
        <w:numPr>
          <w:ilvl w:val="0"/>
          <w:numId w:val="43"/>
        </w:numPr>
        <w:spacing w:before="60" w:after="0" w:line="160" w:lineRule="exact"/>
        <w:ind w:left="360"/>
        <w:rPr>
          <w:rFonts w:ascii="Arial" w:hAnsi="Arial" w:cs="Arial"/>
          <w:i w:val="0"/>
          <w:color w:val="auto"/>
          <w:sz w:val="16"/>
          <w:szCs w:val="16"/>
        </w:rPr>
      </w:pPr>
      <w:r w:rsidRPr="003D3FA8">
        <w:rPr>
          <w:rFonts w:ascii="Arial" w:hAnsi="Arial" w:cs="Arial"/>
          <w:i w:val="0"/>
          <w:color w:val="auto"/>
          <w:sz w:val="16"/>
          <w:szCs w:val="16"/>
        </w:rPr>
        <w:t>2021-22 available appropriation is included to allow a comparison of this year's</w:t>
      </w:r>
      <w:r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Pr="003D3FA8">
        <w:rPr>
          <w:rFonts w:ascii="Arial" w:hAnsi="Arial" w:cs="Arial"/>
          <w:i w:val="0"/>
          <w:color w:val="auto"/>
          <w:sz w:val="16"/>
          <w:szCs w:val="16"/>
        </w:rPr>
        <w:t>appropriation with what was made available for use in the previous year.</w:t>
      </w:r>
      <w:r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Pr="003D3FA8">
        <w:rPr>
          <w:rFonts w:ascii="Arial" w:hAnsi="Arial" w:cs="Arial"/>
          <w:i w:val="0"/>
          <w:color w:val="auto"/>
          <w:sz w:val="16"/>
          <w:szCs w:val="16"/>
        </w:rPr>
        <w:t>Available appropriation is the amount available to be drawn down, and is equal to:</w:t>
      </w:r>
      <w:r w:rsidR="0016212A"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="0016212A" w:rsidRPr="0016212A">
        <w:rPr>
          <w:rFonts w:ascii="Arial" w:hAnsi="Arial" w:cs="Arial"/>
          <w:i w:val="0"/>
          <w:color w:val="auto"/>
          <w:sz w:val="16"/>
          <w:szCs w:val="16"/>
        </w:rPr>
        <w:t>Budget Appropriation + Additional Estimates Appropriation + AFM - section 51</w:t>
      </w:r>
      <w:r w:rsidR="0016212A"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="0016212A" w:rsidRPr="0016212A">
        <w:rPr>
          <w:rFonts w:ascii="Arial" w:hAnsi="Arial" w:cs="Arial"/>
          <w:i w:val="0"/>
          <w:color w:val="auto"/>
          <w:sz w:val="16"/>
          <w:szCs w:val="16"/>
        </w:rPr>
        <w:t>withholdings - administrative quarantines +/- Machinery of Government transfers</w:t>
      </w:r>
      <w:r w:rsidR="0016212A">
        <w:rPr>
          <w:rFonts w:ascii="Arial" w:hAnsi="Arial" w:cs="Arial"/>
          <w:i w:val="0"/>
          <w:color w:val="auto"/>
          <w:sz w:val="16"/>
          <w:szCs w:val="16"/>
        </w:rPr>
        <w:t>.</w:t>
      </w:r>
    </w:p>
    <w:p w14:paraId="7134BA3C" w14:textId="3FFFA57F" w:rsidR="00E24260" w:rsidRDefault="0016212A" w:rsidP="00E24260">
      <w:pPr>
        <w:pStyle w:val="ExampleText"/>
        <w:numPr>
          <w:ilvl w:val="0"/>
          <w:numId w:val="43"/>
        </w:numPr>
        <w:spacing w:before="20" w:after="0" w:line="160" w:lineRule="exact"/>
        <w:ind w:left="360"/>
        <w:rPr>
          <w:rFonts w:ascii="Arial" w:hAnsi="Arial" w:cs="Arial"/>
          <w:i w:val="0"/>
          <w:color w:val="auto"/>
          <w:sz w:val="16"/>
          <w:szCs w:val="16"/>
        </w:rPr>
      </w:pPr>
      <w:r w:rsidRPr="0016212A">
        <w:rPr>
          <w:rFonts w:ascii="Arial" w:hAnsi="Arial" w:cs="Arial"/>
          <w:i w:val="0"/>
          <w:color w:val="auto"/>
          <w:sz w:val="16"/>
          <w:szCs w:val="16"/>
        </w:rPr>
        <w:t xml:space="preserve">The 2022-23 Budget appropriation excludes amounts </w:t>
      </w:r>
      <w:r w:rsidR="00740563" w:rsidRPr="0016212A">
        <w:rPr>
          <w:rFonts w:ascii="Arial" w:hAnsi="Arial" w:cs="Arial"/>
          <w:i w:val="0"/>
          <w:color w:val="auto"/>
          <w:sz w:val="16"/>
          <w:szCs w:val="16"/>
        </w:rPr>
        <w:t>quarantine</w:t>
      </w:r>
      <w:r w:rsidR="00386572">
        <w:rPr>
          <w:rFonts w:ascii="Arial" w:hAnsi="Arial" w:cs="Arial"/>
          <w:i w:val="0"/>
          <w:color w:val="auto"/>
          <w:sz w:val="16"/>
          <w:szCs w:val="16"/>
        </w:rPr>
        <w:t>d</w:t>
      </w:r>
      <w:r w:rsidRPr="0016212A">
        <w:rPr>
          <w:rFonts w:ascii="Arial" w:hAnsi="Arial" w:cs="Arial"/>
          <w:i w:val="0"/>
          <w:color w:val="auto"/>
          <w:sz w:val="16"/>
          <w:szCs w:val="16"/>
        </w:rPr>
        <w:t xml:space="preserve"> by the Finance Minister under s51</w:t>
      </w:r>
      <w:r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Pr="0016212A">
        <w:rPr>
          <w:rFonts w:ascii="Arial" w:hAnsi="Arial" w:cs="Arial"/>
          <w:i w:val="0"/>
          <w:color w:val="auto"/>
          <w:sz w:val="16"/>
          <w:szCs w:val="16"/>
        </w:rPr>
        <w:t>of the PGPA Act</w:t>
      </w:r>
      <w:r w:rsidR="00386572">
        <w:rPr>
          <w:rFonts w:ascii="Arial" w:hAnsi="Arial" w:cs="Arial"/>
          <w:i w:val="0"/>
          <w:color w:val="auto"/>
          <w:sz w:val="16"/>
          <w:szCs w:val="16"/>
        </w:rPr>
        <w:t>.</w:t>
      </w:r>
    </w:p>
    <w:p w14:paraId="24D2D373" w14:textId="4DD566D4" w:rsidR="00E24260" w:rsidRDefault="0016212A" w:rsidP="00E24260">
      <w:pPr>
        <w:pStyle w:val="ExampleText"/>
        <w:numPr>
          <w:ilvl w:val="0"/>
          <w:numId w:val="43"/>
        </w:numPr>
        <w:spacing w:before="20" w:after="0" w:line="160" w:lineRule="exact"/>
        <w:ind w:left="360"/>
        <w:rPr>
          <w:rFonts w:ascii="Arial" w:hAnsi="Arial" w:cs="Arial"/>
          <w:i w:val="0"/>
          <w:color w:val="auto"/>
          <w:sz w:val="16"/>
          <w:szCs w:val="16"/>
        </w:rPr>
      </w:pPr>
      <w:r w:rsidRPr="0016212A">
        <w:rPr>
          <w:rFonts w:ascii="Arial" w:hAnsi="Arial" w:cs="Arial"/>
          <w:i w:val="0"/>
          <w:color w:val="auto"/>
          <w:sz w:val="16"/>
          <w:szCs w:val="16"/>
        </w:rPr>
        <w:t>The 2022-23 revised appropriation is made up of Additional Estimates Appropriation + AFM - section 51 withholdings - administrative quarantines +/- Machinery of Government transfers</w:t>
      </w:r>
      <w:r w:rsidR="00E24260" w:rsidRPr="00E24260">
        <w:rPr>
          <w:rFonts w:ascii="Arial" w:hAnsi="Arial" w:cs="Arial"/>
          <w:i w:val="0"/>
          <w:color w:val="auto"/>
          <w:sz w:val="16"/>
          <w:szCs w:val="16"/>
        </w:rPr>
        <w:t>.</w:t>
      </w:r>
    </w:p>
    <w:p w14:paraId="1145E453" w14:textId="3B9FD2CE" w:rsidR="006C76FE" w:rsidRPr="00C500CB" w:rsidRDefault="0016212A" w:rsidP="00E24260">
      <w:pPr>
        <w:pStyle w:val="ExampleText"/>
        <w:numPr>
          <w:ilvl w:val="0"/>
          <w:numId w:val="43"/>
        </w:numPr>
        <w:spacing w:before="20" w:after="0" w:line="160" w:lineRule="exact"/>
        <w:ind w:left="360"/>
        <w:rPr>
          <w:rFonts w:ascii="Arial" w:hAnsi="Arial" w:cs="Arial"/>
          <w:i w:val="0"/>
          <w:color w:val="auto"/>
          <w:sz w:val="16"/>
          <w:szCs w:val="16"/>
        </w:rPr>
      </w:pPr>
      <w:r w:rsidRPr="0016212A">
        <w:rPr>
          <w:rStyle w:val="ui-provider"/>
          <w:rFonts w:ascii="Arial" w:hAnsi="Arial" w:cs="Arial"/>
          <w:i w:val="0"/>
          <w:color w:val="auto"/>
          <w:sz w:val="16"/>
          <w:szCs w:val="16"/>
        </w:rPr>
        <w:t>Departmental appropriation splits and totals are indicative estimates and may change in the course of</w:t>
      </w:r>
      <w:r>
        <w:rPr>
          <w:rStyle w:val="ui-provider"/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="00F712C8" w:rsidRPr="00F712C8">
        <w:rPr>
          <w:rStyle w:val="ui-provider"/>
          <w:rFonts w:ascii="Arial" w:hAnsi="Arial" w:cs="Arial"/>
          <w:i w:val="0"/>
          <w:color w:val="auto"/>
          <w:sz w:val="16"/>
          <w:szCs w:val="16"/>
        </w:rPr>
        <w:t>the budget year as government priorities change</w:t>
      </w:r>
      <w:r w:rsidR="00C500CB" w:rsidRPr="00C500CB">
        <w:rPr>
          <w:rStyle w:val="ui-provider"/>
          <w:rFonts w:ascii="Arial" w:hAnsi="Arial" w:cs="Arial"/>
          <w:i w:val="0"/>
          <w:color w:val="auto"/>
          <w:sz w:val="16"/>
          <w:szCs w:val="16"/>
        </w:rPr>
        <w:t>.</w:t>
      </w:r>
    </w:p>
    <w:p w14:paraId="4ADC7699" w14:textId="156B5C9C" w:rsidR="00A13E75" w:rsidRDefault="00A13E75" w:rsidP="00702A36">
      <w:pPr>
        <w:pStyle w:val="TableHeading"/>
        <w:spacing w:before="240" w:after="120"/>
        <w:rPr>
          <w:lang w:val="en-GB"/>
        </w:rPr>
      </w:pPr>
      <w:r>
        <w:rPr>
          <w:lang w:val="en-GB"/>
        </w:rPr>
        <w:t>Table 1.4: Appropriation Bill (No. 4) 2022–2023</w:t>
      </w:r>
    </w:p>
    <w:p w14:paraId="62E5FD63" w14:textId="5D5513D2" w:rsidR="003E4A7B" w:rsidRPr="008162C3" w:rsidRDefault="003E4A7B" w:rsidP="003E4A7B">
      <w:pPr>
        <w:rPr>
          <w:sz w:val="20"/>
          <w:lang w:val="en-GB"/>
        </w:rPr>
      </w:pPr>
      <w:r w:rsidRPr="008162C3">
        <w:rPr>
          <w:sz w:val="20"/>
          <w:lang w:val="en-GB"/>
        </w:rPr>
        <w:t xml:space="preserve">This table is not required. </w:t>
      </w:r>
    </w:p>
    <w:sectPr w:rsidR="003E4A7B" w:rsidRPr="008162C3" w:rsidSect="00BA3DA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2835" w:right="2098" w:bottom="2466" w:left="2098" w:header="1814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F211" w14:textId="77777777" w:rsidR="00386572" w:rsidRDefault="00386572" w:rsidP="00F51DAC">
      <w:pPr>
        <w:spacing w:after="0" w:line="240" w:lineRule="auto"/>
      </w:pPr>
      <w:r>
        <w:separator/>
      </w:r>
    </w:p>
  </w:endnote>
  <w:endnote w:type="continuationSeparator" w:id="0">
    <w:p w14:paraId="127BE906" w14:textId="77777777" w:rsidR="00386572" w:rsidRDefault="00386572" w:rsidP="00F51DAC">
      <w:pPr>
        <w:spacing w:after="0" w:line="240" w:lineRule="auto"/>
      </w:pPr>
      <w:r>
        <w:continuationSeparator/>
      </w:r>
    </w:p>
  </w:endnote>
  <w:endnote w:type="continuationNotice" w:id="1">
    <w:p w14:paraId="48D0C811" w14:textId="77777777" w:rsidR="00386572" w:rsidRDefault="00386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EB57" w14:textId="04BEDC9A" w:rsidR="00386572" w:rsidRPr="00DA2F12" w:rsidRDefault="00386572" w:rsidP="00DA2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1A6A" w14:textId="0E075192" w:rsidR="00386572" w:rsidRPr="00DE119E" w:rsidRDefault="00386572" w:rsidP="00FC4C71">
    <w:pPr>
      <w:pStyle w:val="FooterOdd"/>
      <w:rPr>
        <w:sz w:val="16"/>
        <w:szCs w:val="16"/>
      </w:rPr>
    </w:pPr>
    <w:r w:rsidRPr="00DE119E">
      <w:rPr>
        <w:sz w:val="16"/>
        <w:szCs w:val="16"/>
      </w:rPr>
      <w:fldChar w:fldCharType="begin"/>
    </w:r>
    <w:r w:rsidRPr="00DE119E">
      <w:rPr>
        <w:sz w:val="16"/>
        <w:szCs w:val="16"/>
      </w:rPr>
      <w:instrText>STYLEREF  "Heading 1"  \* MERGEFORMAT</w:instrText>
    </w:r>
    <w:r w:rsidRPr="00DE119E">
      <w:rPr>
        <w:sz w:val="16"/>
        <w:szCs w:val="16"/>
      </w:rPr>
      <w:fldChar w:fldCharType="separate"/>
    </w:r>
    <w:r w:rsidR="00BA3DA3">
      <w:rPr>
        <w:noProof/>
        <w:sz w:val="16"/>
        <w:szCs w:val="16"/>
      </w:rPr>
      <w:t>Department of Infrastructure, Transport, Regional Development, Communications and the Arts</w:t>
    </w:r>
    <w:r w:rsidRPr="00DE119E">
      <w:rPr>
        <w:noProof/>
        <w:sz w:val="16"/>
        <w:szCs w:val="16"/>
      </w:rPr>
      <w:fldChar w:fldCharType="end"/>
    </w:r>
    <w:r w:rsidRPr="00DE119E">
      <w:rPr>
        <w:sz w:val="16"/>
        <w:szCs w:val="16"/>
      </w:rPr>
      <w:t xml:space="preserve"> | </w:t>
    </w:r>
    <w:r w:rsidRPr="00DE119E">
      <w:rPr>
        <w:b/>
        <w:bCs/>
        <w:sz w:val="16"/>
        <w:szCs w:val="16"/>
      </w:rPr>
      <w:t xml:space="preserve">Page </w:t>
    </w:r>
    <w:r w:rsidRPr="00DE119E">
      <w:rPr>
        <w:b/>
        <w:bCs/>
        <w:sz w:val="16"/>
        <w:szCs w:val="16"/>
      </w:rPr>
      <w:fldChar w:fldCharType="begin"/>
    </w:r>
    <w:r w:rsidRPr="00DE119E">
      <w:rPr>
        <w:b/>
        <w:bCs/>
        <w:sz w:val="16"/>
        <w:szCs w:val="16"/>
      </w:rPr>
      <w:instrText xml:space="preserve"> PAGE   \* MERGEFORMAT </w:instrText>
    </w:r>
    <w:r w:rsidRPr="00DE119E">
      <w:rPr>
        <w:b/>
        <w:bCs/>
        <w:sz w:val="16"/>
        <w:szCs w:val="16"/>
      </w:rPr>
      <w:fldChar w:fldCharType="separate"/>
    </w:r>
    <w:r w:rsidRPr="00DE119E">
      <w:rPr>
        <w:b/>
        <w:bCs/>
        <w:sz w:val="16"/>
        <w:szCs w:val="16"/>
      </w:rPr>
      <w:t>1</w:t>
    </w:r>
    <w:r w:rsidRPr="00DE119E">
      <w:rPr>
        <w:b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E9F8" w14:textId="325089D7" w:rsidR="00386572" w:rsidRPr="00DE119E" w:rsidRDefault="00386572" w:rsidP="00FC4C71">
    <w:pPr>
      <w:pStyle w:val="FooterOdd"/>
      <w:rPr>
        <w:sz w:val="16"/>
        <w:szCs w:val="16"/>
      </w:rPr>
    </w:pPr>
    <w:r>
      <w:rPr>
        <w:sz w:val="16"/>
        <w:szCs w:val="16"/>
      </w:rPr>
      <w:t>Department of Infrastructure, Transport, Regional Development, Communications and the Arts</w:t>
    </w:r>
    <w:r w:rsidRPr="00DE119E">
      <w:rPr>
        <w:sz w:val="16"/>
        <w:szCs w:val="16"/>
      </w:rPr>
      <w:t xml:space="preserve"> | </w:t>
    </w:r>
    <w:r w:rsidRPr="00DE119E">
      <w:rPr>
        <w:b/>
        <w:bCs/>
        <w:sz w:val="16"/>
        <w:szCs w:val="16"/>
      </w:rPr>
      <w:t xml:space="preserve">Page </w:t>
    </w:r>
    <w:r w:rsidRPr="00DE119E">
      <w:rPr>
        <w:b/>
        <w:bCs/>
        <w:sz w:val="16"/>
        <w:szCs w:val="16"/>
      </w:rPr>
      <w:fldChar w:fldCharType="begin"/>
    </w:r>
    <w:r w:rsidRPr="00DE119E">
      <w:rPr>
        <w:b/>
        <w:bCs/>
        <w:sz w:val="16"/>
        <w:szCs w:val="16"/>
      </w:rPr>
      <w:instrText xml:space="preserve"> PAGE   \* MERGEFORMAT </w:instrText>
    </w:r>
    <w:r w:rsidRPr="00DE119E">
      <w:rPr>
        <w:b/>
        <w:bCs/>
        <w:sz w:val="16"/>
        <w:szCs w:val="16"/>
      </w:rPr>
      <w:fldChar w:fldCharType="separate"/>
    </w:r>
    <w:r w:rsidRPr="00DE119E">
      <w:rPr>
        <w:b/>
        <w:bCs/>
        <w:sz w:val="16"/>
        <w:szCs w:val="16"/>
      </w:rPr>
      <w:t>xiii</w:t>
    </w:r>
    <w:r w:rsidRPr="00DE119E">
      <w:rPr>
        <w:b/>
        <w:bCs/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3D988" w14:textId="6DB0A133" w:rsidR="00386572" w:rsidRPr="00AD7ECD" w:rsidRDefault="00386572" w:rsidP="003A07D3">
    <w:pPr>
      <w:pStyle w:val="FooterEven"/>
      <w:rPr>
        <w:sz w:val="16"/>
        <w:szCs w:val="16"/>
      </w:rPr>
    </w:pPr>
    <w:r w:rsidRPr="00AD7ECD">
      <w:rPr>
        <w:b/>
        <w:sz w:val="16"/>
        <w:szCs w:val="16"/>
      </w:rPr>
      <w:t xml:space="preserve">Page </w:t>
    </w:r>
    <w:r w:rsidRPr="00AD7ECD">
      <w:rPr>
        <w:b/>
        <w:bCs/>
        <w:sz w:val="16"/>
        <w:szCs w:val="16"/>
      </w:rPr>
      <w:fldChar w:fldCharType="begin"/>
    </w:r>
    <w:r w:rsidRPr="00AD7ECD">
      <w:rPr>
        <w:b/>
        <w:sz w:val="16"/>
        <w:szCs w:val="16"/>
      </w:rPr>
      <w:instrText xml:space="preserve"> PAGE   \* MERGEFORMAT </w:instrText>
    </w:r>
    <w:r w:rsidRPr="00AD7ECD">
      <w:rPr>
        <w:b/>
        <w:bCs/>
        <w:sz w:val="16"/>
        <w:szCs w:val="16"/>
      </w:rPr>
      <w:fldChar w:fldCharType="separate"/>
    </w:r>
    <w:r w:rsidRPr="00AD7ECD">
      <w:rPr>
        <w:b/>
        <w:bCs/>
        <w:sz w:val="16"/>
        <w:szCs w:val="16"/>
      </w:rPr>
      <w:t>4</w:t>
    </w:r>
    <w:r w:rsidRPr="00AD7ECD">
      <w:rPr>
        <w:b/>
        <w:bCs/>
        <w:noProof/>
        <w:sz w:val="16"/>
        <w:szCs w:val="16"/>
      </w:rPr>
      <w:fldChar w:fldCharType="end"/>
    </w:r>
    <w:r w:rsidRPr="00AD7ECD">
      <w:rPr>
        <w:noProof/>
        <w:sz w:val="16"/>
        <w:szCs w:val="16"/>
      </w:rPr>
      <w:t xml:space="preserve"> | </w:t>
    </w:r>
    <w:r w:rsidR="00AD7ECD" w:rsidRPr="00AD7ECD">
      <w:rPr>
        <w:sz w:val="16"/>
        <w:szCs w:val="16"/>
      </w:rPr>
      <w:fldChar w:fldCharType="begin"/>
    </w:r>
    <w:r w:rsidR="00AD7ECD" w:rsidRPr="00AD7ECD">
      <w:rPr>
        <w:sz w:val="16"/>
        <w:szCs w:val="16"/>
      </w:rPr>
      <w:instrText xml:space="preserve"> STYLEREF  "Heading 1 - No TOC"  \* MERGEFORMAT </w:instrText>
    </w:r>
    <w:r w:rsidR="00AD7ECD" w:rsidRPr="00AD7ECD">
      <w:rPr>
        <w:sz w:val="16"/>
        <w:szCs w:val="16"/>
      </w:rPr>
      <w:fldChar w:fldCharType="separate"/>
    </w:r>
    <w:r w:rsidR="00BA3DA3">
      <w:rPr>
        <w:noProof/>
        <w:sz w:val="16"/>
        <w:szCs w:val="16"/>
      </w:rPr>
      <w:t>Department of Infrastructure, Transport, Regional Development, Communications and the Arts</w:t>
    </w:r>
    <w:r w:rsidR="00AD7ECD" w:rsidRPr="00AD7ECD">
      <w:rPr>
        <w:noProof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03CD" w14:textId="2B2047F2" w:rsidR="00386572" w:rsidRPr="00AD7ECD" w:rsidRDefault="00386572" w:rsidP="00FC4C71">
    <w:pPr>
      <w:pStyle w:val="FooterOdd"/>
      <w:rPr>
        <w:sz w:val="16"/>
        <w:szCs w:val="16"/>
      </w:rPr>
    </w:pPr>
    <w:r w:rsidRPr="00AD7ECD">
      <w:rPr>
        <w:sz w:val="16"/>
        <w:szCs w:val="16"/>
      </w:rPr>
      <w:fldChar w:fldCharType="begin"/>
    </w:r>
    <w:r w:rsidRPr="00AD7ECD">
      <w:rPr>
        <w:sz w:val="16"/>
        <w:szCs w:val="16"/>
      </w:rPr>
      <w:instrText>STYLEREF  "Heading 1"  \* MERGEFORMAT</w:instrText>
    </w:r>
    <w:r w:rsidRPr="00AD7ECD">
      <w:rPr>
        <w:sz w:val="16"/>
        <w:szCs w:val="16"/>
      </w:rPr>
      <w:fldChar w:fldCharType="separate"/>
    </w:r>
    <w:r w:rsidR="00BA3DA3">
      <w:rPr>
        <w:noProof/>
        <w:sz w:val="16"/>
        <w:szCs w:val="16"/>
      </w:rPr>
      <w:t>Department of Infrastructure, Transport, Regional Development, Communications and the Arts</w:t>
    </w:r>
    <w:r w:rsidRPr="00AD7ECD">
      <w:rPr>
        <w:noProof/>
        <w:sz w:val="16"/>
        <w:szCs w:val="16"/>
      </w:rPr>
      <w:fldChar w:fldCharType="end"/>
    </w:r>
    <w:r w:rsidRPr="00AD7ECD">
      <w:rPr>
        <w:sz w:val="16"/>
        <w:szCs w:val="16"/>
      </w:rPr>
      <w:t xml:space="preserve"> | </w:t>
    </w:r>
    <w:r w:rsidRPr="00AD7ECD">
      <w:rPr>
        <w:b/>
        <w:bCs/>
        <w:sz w:val="16"/>
        <w:szCs w:val="16"/>
      </w:rPr>
      <w:t xml:space="preserve">Page </w:t>
    </w:r>
    <w:r w:rsidRPr="00AD7ECD">
      <w:rPr>
        <w:b/>
        <w:bCs/>
        <w:sz w:val="16"/>
        <w:szCs w:val="16"/>
      </w:rPr>
      <w:fldChar w:fldCharType="begin"/>
    </w:r>
    <w:r w:rsidRPr="00AD7ECD">
      <w:rPr>
        <w:b/>
        <w:bCs/>
        <w:sz w:val="16"/>
        <w:szCs w:val="16"/>
      </w:rPr>
      <w:instrText xml:space="preserve"> PAGE   \* MERGEFORMAT </w:instrText>
    </w:r>
    <w:r w:rsidRPr="00AD7ECD">
      <w:rPr>
        <w:b/>
        <w:bCs/>
        <w:sz w:val="16"/>
        <w:szCs w:val="16"/>
      </w:rPr>
      <w:fldChar w:fldCharType="separate"/>
    </w:r>
    <w:r w:rsidRPr="00AD7ECD">
      <w:rPr>
        <w:b/>
        <w:bCs/>
        <w:sz w:val="16"/>
        <w:szCs w:val="16"/>
      </w:rPr>
      <w:t>1</w:t>
    </w:r>
    <w:r w:rsidRPr="00AD7ECD">
      <w:rPr>
        <w:b/>
        <w:bCs/>
        <w:noProof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519D" w14:textId="1D654D67" w:rsidR="00386572" w:rsidRPr="00AD7ECD" w:rsidRDefault="00AD7ECD" w:rsidP="00AD7ECD">
    <w:pPr>
      <w:pStyle w:val="FooterEven"/>
      <w:jc w:val="right"/>
      <w:rPr>
        <w:sz w:val="16"/>
        <w:szCs w:val="16"/>
      </w:rPr>
    </w:pPr>
    <w:r w:rsidRPr="00AD7ECD">
      <w:rPr>
        <w:sz w:val="16"/>
        <w:szCs w:val="16"/>
      </w:rPr>
      <w:fldChar w:fldCharType="begin"/>
    </w:r>
    <w:r w:rsidRPr="00AD7ECD">
      <w:rPr>
        <w:sz w:val="16"/>
        <w:szCs w:val="16"/>
      </w:rPr>
      <w:instrText xml:space="preserve"> STYLEREF  "Heading 1 - No TOC"  \* MERGEFORMAT </w:instrText>
    </w:r>
    <w:r w:rsidRPr="00AD7ECD">
      <w:rPr>
        <w:sz w:val="16"/>
        <w:szCs w:val="16"/>
      </w:rPr>
      <w:fldChar w:fldCharType="separate"/>
    </w:r>
    <w:r w:rsidR="00BA3DA3">
      <w:rPr>
        <w:noProof/>
        <w:sz w:val="16"/>
        <w:szCs w:val="16"/>
      </w:rPr>
      <w:t>Department of Infrastructure, Transport, Regional Development, Communications and the Arts</w:t>
    </w:r>
    <w:r w:rsidRPr="00AD7ECD">
      <w:rPr>
        <w:noProof/>
        <w:sz w:val="16"/>
        <w:szCs w:val="16"/>
      </w:rPr>
      <w:fldChar w:fldCharType="end"/>
    </w:r>
    <w:r w:rsidRPr="00AD7ECD">
      <w:rPr>
        <w:bCs/>
        <w:sz w:val="16"/>
        <w:szCs w:val="16"/>
      </w:rPr>
      <w:t xml:space="preserve"> </w:t>
    </w:r>
    <w:r w:rsidR="00386572" w:rsidRPr="00AD7ECD">
      <w:rPr>
        <w:bCs/>
        <w:sz w:val="16"/>
        <w:szCs w:val="16"/>
      </w:rPr>
      <w:t xml:space="preserve">| </w:t>
    </w:r>
    <w:r w:rsidR="00386572" w:rsidRPr="00AD7ECD">
      <w:rPr>
        <w:b/>
        <w:bCs/>
        <w:sz w:val="16"/>
        <w:szCs w:val="16"/>
      </w:rPr>
      <w:t xml:space="preserve">Page </w:t>
    </w:r>
    <w:r w:rsidR="00386572" w:rsidRPr="00AD7ECD">
      <w:rPr>
        <w:b/>
        <w:bCs/>
        <w:sz w:val="16"/>
        <w:szCs w:val="16"/>
      </w:rPr>
      <w:fldChar w:fldCharType="begin"/>
    </w:r>
    <w:r w:rsidR="00386572" w:rsidRPr="00AD7ECD">
      <w:rPr>
        <w:b/>
        <w:bCs/>
        <w:sz w:val="16"/>
        <w:szCs w:val="16"/>
      </w:rPr>
      <w:instrText xml:space="preserve"> PAGE   \* MERGEFORMAT </w:instrText>
    </w:r>
    <w:r w:rsidR="00386572" w:rsidRPr="00AD7ECD">
      <w:rPr>
        <w:b/>
        <w:bCs/>
        <w:sz w:val="16"/>
        <w:szCs w:val="16"/>
      </w:rPr>
      <w:fldChar w:fldCharType="separate"/>
    </w:r>
    <w:r w:rsidR="00386572" w:rsidRPr="00AD7ECD">
      <w:rPr>
        <w:b/>
        <w:bCs/>
        <w:noProof/>
        <w:sz w:val="16"/>
        <w:szCs w:val="16"/>
      </w:rPr>
      <w:t>7</w:t>
    </w:r>
    <w:r w:rsidR="00386572" w:rsidRPr="00AD7ECD">
      <w:rPr>
        <w:b/>
        <w:bCs/>
        <w:noProof/>
        <w:sz w:val="16"/>
        <w:szCs w:val="16"/>
      </w:rPr>
      <w:fldChar w:fldCharType="end"/>
    </w:r>
    <w:bookmarkStart w:id="99" w:name="_Toc491014608"/>
    <w:bookmarkStart w:id="100" w:name="_Toc491014750"/>
    <w:bookmarkStart w:id="101" w:name="_Toc491031921"/>
    <w:bookmarkEnd w:id="99"/>
    <w:bookmarkEnd w:id="100"/>
    <w:bookmarkEnd w:id="10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D5DA" w14:textId="77777777" w:rsidR="00386572" w:rsidRDefault="00386572" w:rsidP="00F51DAC">
      <w:pPr>
        <w:spacing w:after="0" w:line="240" w:lineRule="auto"/>
      </w:pPr>
      <w:r>
        <w:separator/>
      </w:r>
    </w:p>
  </w:footnote>
  <w:footnote w:type="continuationSeparator" w:id="0">
    <w:p w14:paraId="61719AB6" w14:textId="77777777" w:rsidR="00386572" w:rsidRDefault="00386572" w:rsidP="00F51DAC">
      <w:pPr>
        <w:spacing w:after="0" w:line="240" w:lineRule="auto"/>
      </w:pPr>
      <w:r>
        <w:continuationSeparator/>
      </w:r>
    </w:p>
  </w:footnote>
  <w:footnote w:type="continuationNotice" w:id="1">
    <w:p w14:paraId="3567E87C" w14:textId="77777777" w:rsidR="00386572" w:rsidRDefault="00386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2EB9" w14:textId="5DD7D30D" w:rsidR="00386572" w:rsidRPr="0000493A" w:rsidRDefault="00386572" w:rsidP="00004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1F9B" w14:textId="0C5976B4" w:rsidR="00386572" w:rsidRPr="001257A7" w:rsidRDefault="00386572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386572" w14:paraId="0A333DB0" w14:textId="77777777" w:rsidTr="00FC4C71">
      <w:trPr>
        <w:trHeight w:hRule="exact" w:val="340"/>
      </w:trPr>
      <w:tc>
        <w:tcPr>
          <w:tcW w:w="8223" w:type="dxa"/>
        </w:tcPr>
        <w:p w14:paraId="38E37CB0" w14:textId="40041939" w:rsidR="00386572" w:rsidRDefault="00386572" w:rsidP="0094347A">
          <w:pPr>
            <w:pStyle w:val="HeaderOdd"/>
          </w:pPr>
          <w:r>
            <w:fldChar w:fldCharType="begin"/>
          </w:r>
          <w:r>
            <w:instrText xml:space="preserve"> STYLEREF  "TP Heading 1" </w:instrText>
          </w:r>
          <w:r>
            <w:fldChar w:fldCharType="separate"/>
          </w:r>
          <w:r w:rsidR="00BA3DA3"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>TITLE</w:instrText>
          </w:r>
          <w:r>
            <w:fldChar w:fldCharType="separate"/>
          </w:r>
          <w:r w:rsidR="00BA3DA3">
            <w:t>Portfolio Additional Estimates Statements</w:t>
          </w:r>
          <w:r>
            <w:fldChar w:fldCharType="end"/>
          </w:r>
          <w:r>
            <w:t xml:space="preserve">  |  </w:t>
          </w:r>
          <w:r w:rsidRPr="00D47C6E">
            <w:rPr>
              <w:noProof/>
              <w:position w:val="-6"/>
            </w:rPr>
            <w:drawing>
              <wp:inline distT="0" distB="0" distL="0" distR="0" wp14:anchorId="1F5E94EE" wp14:editId="0A843AAB">
                <wp:extent cx="1350000" cy="169200"/>
                <wp:effectExtent l="0" t="0" r="3175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568BF0" w14:textId="6AD242EE" w:rsidR="00386572" w:rsidRPr="00CB6CC7" w:rsidRDefault="00386572" w:rsidP="007157BD">
    <w:pPr>
      <w:pStyle w:val="HeaderOdd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4454" w14:textId="77777777" w:rsidR="00386572" w:rsidRPr="001257A7" w:rsidRDefault="00386572" w:rsidP="001F0D87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386572" w14:paraId="2C1FA6BC" w14:textId="77777777" w:rsidTr="0064251F">
      <w:trPr>
        <w:trHeight w:hRule="exact" w:val="340"/>
      </w:trPr>
      <w:tc>
        <w:tcPr>
          <w:tcW w:w="8223" w:type="dxa"/>
        </w:tcPr>
        <w:p w14:paraId="0D7712FA" w14:textId="73FFE1EE" w:rsidR="00386572" w:rsidRDefault="00386572" w:rsidP="001F0D87">
          <w:pPr>
            <w:pStyle w:val="HeaderOdd"/>
          </w:pPr>
          <w:r>
            <w:fldChar w:fldCharType="begin"/>
          </w:r>
          <w:r>
            <w:instrText>TITLE</w:instrText>
          </w:r>
          <w:r>
            <w:fldChar w:fldCharType="separate"/>
          </w:r>
          <w:r w:rsidR="00BA3DA3">
            <w:t>Portfolio Additional Estimates Statements</w:t>
          </w:r>
          <w:r>
            <w:fldChar w:fldCharType="end"/>
          </w:r>
          <w:r>
            <w:t xml:space="preserve">  |  </w:t>
          </w:r>
          <w:r w:rsidRPr="00D47C6E">
            <w:rPr>
              <w:noProof/>
              <w:position w:val="-6"/>
            </w:rPr>
            <w:drawing>
              <wp:inline distT="0" distB="0" distL="0" distR="0" wp14:anchorId="554C50B0" wp14:editId="6BC05A55">
                <wp:extent cx="1350000" cy="169200"/>
                <wp:effectExtent l="0" t="0" r="3175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885199" w14:textId="77777777" w:rsidR="00386572" w:rsidRPr="00484CB3" w:rsidRDefault="00386572" w:rsidP="007157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0A15" w14:textId="0FEF83B3" w:rsidR="00386572" w:rsidRPr="003A07D3" w:rsidRDefault="00386572" w:rsidP="003A07D3">
    <w:pPr>
      <w:pStyle w:val="Header"/>
    </w:pPr>
    <w:r w:rsidRPr="00D47C6E">
      <w:rPr>
        <w:noProof/>
        <w:position w:val="-6"/>
      </w:rPr>
      <w:drawing>
        <wp:inline distT="0" distB="0" distL="0" distR="0" wp14:anchorId="59FEE76F" wp14:editId="23016418">
          <wp:extent cx="1350000" cy="169200"/>
          <wp:effectExtent l="0" t="0" r="3175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|  </w:t>
    </w:r>
    <w:r>
      <w:fldChar w:fldCharType="begin"/>
    </w:r>
    <w:r>
      <w:instrText>TITLE</w:instrText>
    </w:r>
    <w:r>
      <w:fldChar w:fldCharType="separate"/>
    </w:r>
    <w:r w:rsidR="00BA3DA3">
      <w:t>Portfolio Additional Estimates Statements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ACBD" w14:textId="77777777" w:rsidR="00386572" w:rsidRPr="001257A7" w:rsidRDefault="00386572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386572" w14:paraId="131090F8" w14:textId="77777777" w:rsidTr="00FC4C71">
      <w:trPr>
        <w:trHeight w:hRule="exact" w:val="340"/>
      </w:trPr>
      <w:tc>
        <w:tcPr>
          <w:tcW w:w="8223" w:type="dxa"/>
        </w:tcPr>
        <w:p w14:paraId="7733A367" w14:textId="6ADF8720" w:rsidR="00386572" w:rsidRDefault="00386572" w:rsidP="0094347A">
          <w:pPr>
            <w:pStyle w:val="HeaderOdd"/>
          </w:pPr>
          <w:r>
            <w:fldChar w:fldCharType="begin"/>
          </w:r>
          <w:r>
            <w:instrText>TITLE</w:instrText>
          </w:r>
          <w:r>
            <w:fldChar w:fldCharType="separate"/>
          </w:r>
          <w:r w:rsidR="00BA3DA3">
            <w:t>Portfolio Additional Estimates Statements</w:t>
          </w:r>
          <w:r>
            <w:fldChar w:fldCharType="end"/>
          </w:r>
          <w:r>
            <w:t xml:space="preserve">  |  </w:t>
          </w:r>
          <w:r w:rsidRPr="00D47C6E">
            <w:rPr>
              <w:noProof/>
              <w:position w:val="-6"/>
            </w:rPr>
            <w:drawing>
              <wp:inline distT="0" distB="0" distL="0" distR="0" wp14:anchorId="0713F80F" wp14:editId="241FFE0A">
                <wp:extent cx="1350000" cy="169200"/>
                <wp:effectExtent l="0" t="0" r="3175" b="254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638F5" w14:textId="77777777" w:rsidR="00386572" w:rsidRPr="00CB6CC7" w:rsidRDefault="00386572" w:rsidP="00C24F05">
    <w:pPr>
      <w:pStyle w:val="HeaderOd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4801" w14:textId="355B6A44" w:rsidR="00386572" w:rsidRDefault="00386572" w:rsidP="003A07D3">
    <w:pPr>
      <w:pStyle w:val="Header"/>
      <w:jc w:val="right"/>
    </w:pPr>
    <w:r>
      <w:fldChar w:fldCharType="begin"/>
    </w:r>
    <w:r>
      <w:instrText>TITLE</w:instrText>
    </w:r>
    <w:r>
      <w:fldChar w:fldCharType="separate"/>
    </w:r>
    <w:r w:rsidR="00BA3DA3">
      <w:t>Portfolio Additional Estimates Statements</w:t>
    </w:r>
    <w:r>
      <w:fldChar w:fldCharType="end"/>
    </w:r>
    <w:r>
      <w:t xml:space="preserve">  |  </w:t>
    </w:r>
    <w:r w:rsidRPr="00D47C6E">
      <w:rPr>
        <w:noProof/>
        <w:position w:val="-6"/>
      </w:rPr>
      <w:drawing>
        <wp:inline distT="0" distB="0" distL="0" distR="0" wp14:anchorId="74B1B23F" wp14:editId="60100821">
          <wp:extent cx="1350000" cy="169200"/>
          <wp:effectExtent l="0" t="0" r="3175" b="254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9F5"/>
    <w:multiLevelType w:val="hybridMultilevel"/>
    <w:tmpl w:val="DBC49872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3861"/>
    <w:multiLevelType w:val="hybridMultilevel"/>
    <w:tmpl w:val="42DC47C0"/>
    <w:lvl w:ilvl="0" w:tplc="0A6A0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3FC7"/>
    <w:multiLevelType w:val="multilevel"/>
    <w:tmpl w:val="F8BE2F7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D46785C"/>
    <w:multiLevelType w:val="hybridMultilevel"/>
    <w:tmpl w:val="208E52F0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7EF"/>
    <w:multiLevelType w:val="hybridMultilevel"/>
    <w:tmpl w:val="966E9A78"/>
    <w:lvl w:ilvl="0" w:tplc="7A64E2E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7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8" w15:restartNumberingAfterBreak="0">
    <w:nsid w:val="13BB16CC"/>
    <w:multiLevelType w:val="hybridMultilevel"/>
    <w:tmpl w:val="9D98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2760"/>
    <w:multiLevelType w:val="hybridMultilevel"/>
    <w:tmpl w:val="966E9A78"/>
    <w:lvl w:ilvl="0" w:tplc="7A64E2E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5843"/>
    <w:multiLevelType w:val="multilevel"/>
    <w:tmpl w:val="71D0949A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FF705CC"/>
    <w:multiLevelType w:val="singleLevel"/>
    <w:tmpl w:val="2806F6F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23424EAF"/>
    <w:multiLevelType w:val="hybridMultilevel"/>
    <w:tmpl w:val="C9B0E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2E4E"/>
    <w:multiLevelType w:val="hybridMultilevel"/>
    <w:tmpl w:val="0526C918"/>
    <w:lvl w:ilvl="0" w:tplc="4A340E24">
      <w:start w:val="1"/>
      <w:numFmt w:val="bullet"/>
      <w:pStyle w:val="ChartandTableFootnoteAlpha-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7035C5D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6" w15:restartNumberingAfterBreak="0">
    <w:nsid w:val="316C2C4D"/>
    <w:multiLevelType w:val="multilevel"/>
    <w:tmpl w:val="53041CA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7B010C"/>
    <w:multiLevelType w:val="hybridMultilevel"/>
    <w:tmpl w:val="A084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3610E"/>
    <w:multiLevelType w:val="hybridMultilevel"/>
    <w:tmpl w:val="1168016C"/>
    <w:lvl w:ilvl="0" w:tplc="9C84F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9AC"/>
    <w:multiLevelType w:val="singleLevel"/>
    <w:tmpl w:val="F99465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20" w15:restartNumberingAfterBreak="0">
    <w:nsid w:val="3D7567C1"/>
    <w:multiLevelType w:val="hybridMultilevel"/>
    <w:tmpl w:val="7E62D462"/>
    <w:lvl w:ilvl="0" w:tplc="0A6A0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CB2"/>
    <w:multiLevelType w:val="hybridMultilevel"/>
    <w:tmpl w:val="300CC43C"/>
    <w:lvl w:ilvl="0" w:tplc="D48EDBDE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3" w15:restartNumberingAfterBreak="0">
    <w:nsid w:val="45F34343"/>
    <w:multiLevelType w:val="multilevel"/>
    <w:tmpl w:val="EA00A7B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073F3D"/>
    <w:multiLevelType w:val="hybridMultilevel"/>
    <w:tmpl w:val="99166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1827"/>
    <w:multiLevelType w:val="multilevel"/>
    <w:tmpl w:val="072C6E5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6" w15:restartNumberingAfterBreak="0">
    <w:nsid w:val="61152A06"/>
    <w:multiLevelType w:val="hybridMultilevel"/>
    <w:tmpl w:val="AA0061C0"/>
    <w:lvl w:ilvl="0" w:tplc="F0CA3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3C7B"/>
    <w:multiLevelType w:val="hybridMultilevel"/>
    <w:tmpl w:val="2D244216"/>
    <w:lvl w:ilvl="0" w:tplc="402AF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77EA1"/>
    <w:multiLevelType w:val="hybridMultilevel"/>
    <w:tmpl w:val="B28C1314"/>
    <w:lvl w:ilvl="0" w:tplc="D5F4A84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40F34"/>
    <w:multiLevelType w:val="hybridMultilevel"/>
    <w:tmpl w:val="CD70ED1A"/>
    <w:lvl w:ilvl="0" w:tplc="0F58153A">
      <w:start w:val="1"/>
      <w:numFmt w:val="lowerLetter"/>
      <w:lvlText w:val="(%1)"/>
      <w:lvlJc w:val="left"/>
      <w:pPr>
        <w:ind w:left="7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B6D6C"/>
    <w:multiLevelType w:val="hybridMultilevel"/>
    <w:tmpl w:val="06E28836"/>
    <w:lvl w:ilvl="0" w:tplc="0EA420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F92054F"/>
    <w:multiLevelType w:val="multilevel"/>
    <w:tmpl w:val="A8683E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94B006B"/>
    <w:multiLevelType w:val="hybridMultilevel"/>
    <w:tmpl w:val="F9B42166"/>
    <w:lvl w:ilvl="0" w:tplc="9C84F49E">
      <w:start w:val="1"/>
      <w:numFmt w:val="lowerLetter"/>
      <w:lvlText w:val="(%1)"/>
      <w:lvlJc w:val="left"/>
      <w:pPr>
        <w:ind w:left="7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3" w:hanging="360"/>
      </w:pPr>
    </w:lvl>
    <w:lvl w:ilvl="2" w:tplc="0C09001B" w:tentative="1">
      <w:start w:val="1"/>
      <w:numFmt w:val="lowerRoman"/>
      <w:lvlText w:val="%3."/>
      <w:lvlJc w:val="right"/>
      <w:pPr>
        <w:ind w:left="2203" w:hanging="180"/>
      </w:pPr>
    </w:lvl>
    <w:lvl w:ilvl="3" w:tplc="0C09000F" w:tentative="1">
      <w:start w:val="1"/>
      <w:numFmt w:val="decimal"/>
      <w:lvlText w:val="%4."/>
      <w:lvlJc w:val="left"/>
      <w:pPr>
        <w:ind w:left="2923" w:hanging="360"/>
      </w:pPr>
    </w:lvl>
    <w:lvl w:ilvl="4" w:tplc="0C090019" w:tentative="1">
      <w:start w:val="1"/>
      <w:numFmt w:val="lowerLetter"/>
      <w:lvlText w:val="%5."/>
      <w:lvlJc w:val="left"/>
      <w:pPr>
        <w:ind w:left="3643" w:hanging="360"/>
      </w:pPr>
    </w:lvl>
    <w:lvl w:ilvl="5" w:tplc="0C09001B" w:tentative="1">
      <w:start w:val="1"/>
      <w:numFmt w:val="lowerRoman"/>
      <w:lvlText w:val="%6."/>
      <w:lvlJc w:val="right"/>
      <w:pPr>
        <w:ind w:left="4363" w:hanging="180"/>
      </w:pPr>
    </w:lvl>
    <w:lvl w:ilvl="6" w:tplc="0C09000F" w:tentative="1">
      <w:start w:val="1"/>
      <w:numFmt w:val="decimal"/>
      <w:lvlText w:val="%7."/>
      <w:lvlJc w:val="left"/>
      <w:pPr>
        <w:ind w:left="5083" w:hanging="360"/>
      </w:pPr>
    </w:lvl>
    <w:lvl w:ilvl="7" w:tplc="0C090019" w:tentative="1">
      <w:start w:val="1"/>
      <w:numFmt w:val="lowerLetter"/>
      <w:lvlText w:val="%8."/>
      <w:lvlJc w:val="left"/>
      <w:pPr>
        <w:ind w:left="5803" w:hanging="360"/>
      </w:pPr>
    </w:lvl>
    <w:lvl w:ilvl="8" w:tplc="0C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8"/>
  </w:num>
  <w:num w:numId="7">
    <w:abstractNumId w:val="16"/>
  </w:num>
  <w:num w:numId="8">
    <w:abstractNumId w:val="2"/>
  </w:num>
  <w:num w:numId="9">
    <w:abstractNumId w:val="23"/>
  </w:num>
  <w:num w:numId="10">
    <w:abstractNumId w:val="18"/>
  </w:num>
  <w:num w:numId="11">
    <w:abstractNumId w:val="12"/>
  </w:num>
  <w:num w:numId="12">
    <w:abstractNumId w:val="27"/>
  </w:num>
  <w:num w:numId="13">
    <w:abstractNumId w:val="14"/>
  </w:num>
  <w:num w:numId="14">
    <w:abstractNumId w:val="0"/>
  </w:num>
  <w:num w:numId="15">
    <w:abstractNumId w:val="21"/>
  </w:num>
  <w:num w:numId="16">
    <w:abstractNumId w:val="3"/>
  </w:num>
  <w:num w:numId="17">
    <w:abstractNumId w:val="21"/>
    <w:lvlOverride w:ilvl="0">
      <w:startOverride w:val="1"/>
    </w:lvlOverride>
  </w:num>
  <w:num w:numId="18">
    <w:abstractNumId w:val="30"/>
  </w:num>
  <w:num w:numId="19">
    <w:abstractNumId w:val="21"/>
    <w:lvlOverride w:ilvl="0">
      <w:startOverride w:val="1"/>
    </w:lvlOverride>
  </w:num>
  <w:num w:numId="20">
    <w:abstractNumId w:val="4"/>
  </w:num>
  <w:num w:numId="21">
    <w:abstractNumId w:val="28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22"/>
  </w:num>
  <w:num w:numId="31">
    <w:abstractNumId w:val="7"/>
  </w:num>
  <w:num w:numId="32">
    <w:abstractNumId w:val="25"/>
  </w:num>
  <w:num w:numId="33">
    <w:abstractNumId w:val="10"/>
  </w:num>
  <w:num w:numId="34">
    <w:abstractNumId w:val="13"/>
  </w:num>
  <w:num w:numId="35">
    <w:abstractNumId w:val="6"/>
  </w:num>
  <w:num w:numId="36">
    <w:abstractNumId w:val="15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7"/>
  </w:num>
  <w:num w:numId="43">
    <w:abstractNumId w:val="1"/>
  </w:num>
  <w:num w:numId="44">
    <w:abstractNumId w:val="20"/>
  </w:num>
  <w:num w:numId="45">
    <w:abstractNumId w:val="26"/>
  </w:num>
  <w:num w:numId="46">
    <w:abstractNumId w:val="32"/>
  </w:num>
  <w:num w:numId="47">
    <w:abstractNumId w:val="29"/>
  </w:num>
  <w:num w:numId="48">
    <w:abstractNumId w:val="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C"/>
    <w:rsid w:val="000032D9"/>
    <w:rsid w:val="0000493A"/>
    <w:rsid w:val="00006BE0"/>
    <w:rsid w:val="000136BB"/>
    <w:rsid w:val="00014563"/>
    <w:rsid w:val="0001543B"/>
    <w:rsid w:val="00020262"/>
    <w:rsid w:val="00022836"/>
    <w:rsid w:val="00023988"/>
    <w:rsid w:val="000305FD"/>
    <w:rsid w:val="000318CE"/>
    <w:rsid w:val="00032D01"/>
    <w:rsid w:val="00033660"/>
    <w:rsid w:val="000351D1"/>
    <w:rsid w:val="00035B3B"/>
    <w:rsid w:val="00042A35"/>
    <w:rsid w:val="00045AD1"/>
    <w:rsid w:val="00045FE9"/>
    <w:rsid w:val="000508A8"/>
    <w:rsid w:val="0005309B"/>
    <w:rsid w:val="000540F8"/>
    <w:rsid w:val="000608ED"/>
    <w:rsid w:val="000613D5"/>
    <w:rsid w:val="00065897"/>
    <w:rsid w:val="000663E4"/>
    <w:rsid w:val="0007006A"/>
    <w:rsid w:val="0007032D"/>
    <w:rsid w:val="0007055D"/>
    <w:rsid w:val="000729FF"/>
    <w:rsid w:val="00072E56"/>
    <w:rsid w:val="0007721A"/>
    <w:rsid w:val="0008084B"/>
    <w:rsid w:val="00081FBD"/>
    <w:rsid w:val="0008572A"/>
    <w:rsid w:val="00092221"/>
    <w:rsid w:val="000A0136"/>
    <w:rsid w:val="000A10EF"/>
    <w:rsid w:val="000A164A"/>
    <w:rsid w:val="000A1CE0"/>
    <w:rsid w:val="000B1403"/>
    <w:rsid w:val="000B5844"/>
    <w:rsid w:val="000B6964"/>
    <w:rsid w:val="000C0079"/>
    <w:rsid w:val="000C0433"/>
    <w:rsid w:val="000C28E6"/>
    <w:rsid w:val="000C6C2D"/>
    <w:rsid w:val="000D14BB"/>
    <w:rsid w:val="000D7280"/>
    <w:rsid w:val="000E0E80"/>
    <w:rsid w:val="000E2FF2"/>
    <w:rsid w:val="000E7532"/>
    <w:rsid w:val="000E78E3"/>
    <w:rsid w:val="000F017E"/>
    <w:rsid w:val="000F0C8E"/>
    <w:rsid w:val="000F1713"/>
    <w:rsid w:val="000F1842"/>
    <w:rsid w:val="000F344D"/>
    <w:rsid w:val="000F615A"/>
    <w:rsid w:val="00100AD2"/>
    <w:rsid w:val="001048FB"/>
    <w:rsid w:val="00111789"/>
    <w:rsid w:val="001118EA"/>
    <w:rsid w:val="001130AC"/>
    <w:rsid w:val="001137DB"/>
    <w:rsid w:val="00116A54"/>
    <w:rsid w:val="00117D52"/>
    <w:rsid w:val="00121536"/>
    <w:rsid w:val="00122258"/>
    <w:rsid w:val="00126251"/>
    <w:rsid w:val="001268F7"/>
    <w:rsid w:val="00130ED3"/>
    <w:rsid w:val="00133E22"/>
    <w:rsid w:val="00133E2E"/>
    <w:rsid w:val="00134A80"/>
    <w:rsid w:val="00143446"/>
    <w:rsid w:val="00144D8E"/>
    <w:rsid w:val="0014708C"/>
    <w:rsid w:val="00150B54"/>
    <w:rsid w:val="00153750"/>
    <w:rsid w:val="00154892"/>
    <w:rsid w:val="00156F20"/>
    <w:rsid w:val="001572F0"/>
    <w:rsid w:val="0016212A"/>
    <w:rsid w:val="00163465"/>
    <w:rsid w:val="0016377A"/>
    <w:rsid w:val="00172064"/>
    <w:rsid w:val="00180710"/>
    <w:rsid w:val="00182555"/>
    <w:rsid w:val="00186D28"/>
    <w:rsid w:val="00187151"/>
    <w:rsid w:val="00195563"/>
    <w:rsid w:val="00195D4E"/>
    <w:rsid w:val="00197A5E"/>
    <w:rsid w:val="001B0283"/>
    <w:rsid w:val="001B0815"/>
    <w:rsid w:val="001B1E37"/>
    <w:rsid w:val="001B1F55"/>
    <w:rsid w:val="001C0865"/>
    <w:rsid w:val="001C4240"/>
    <w:rsid w:val="001C4D3B"/>
    <w:rsid w:val="001C4E82"/>
    <w:rsid w:val="001C534C"/>
    <w:rsid w:val="001C570B"/>
    <w:rsid w:val="001C6EA7"/>
    <w:rsid w:val="001C7715"/>
    <w:rsid w:val="001D4BC4"/>
    <w:rsid w:val="001D728B"/>
    <w:rsid w:val="001E0283"/>
    <w:rsid w:val="001E2260"/>
    <w:rsid w:val="001E4BE6"/>
    <w:rsid w:val="001F07C1"/>
    <w:rsid w:val="001F0D87"/>
    <w:rsid w:val="001F408C"/>
    <w:rsid w:val="001F4517"/>
    <w:rsid w:val="00200D94"/>
    <w:rsid w:val="00202A4E"/>
    <w:rsid w:val="00205725"/>
    <w:rsid w:val="00222C81"/>
    <w:rsid w:val="0022327D"/>
    <w:rsid w:val="00224654"/>
    <w:rsid w:val="00226F42"/>
    <w:rsid w:val="00227C12"/>
    <w:rsid w:val="00230083"/>
    <w:rsid w:val="00230E23"/>
    <w:rsid w:val="00233AE8"/>
    <w:rsid w:val="00234D2E"/>
    <w:rsid w:val="002354AC"/>
    <w:rsid w:val="00236C57"/>
    <w:rsid w:val="002419C2"/>
    <w:rsid w:val="0024247A"/>
    <w:rsid w:val="00244E40"/>
    <w:rsid w:val="002525BE"/>
    <w:rsid w:val="00252DC2"/>
    <w:rsid w:val="00264541"/>
    <w:rsid w:val="00267011"/>
    <w:rsid w:val="00267839"/>
    <w:rsid w:val="00271D4B"/>
    <w:rsid w:val="00274EB3"/>
    <w:rsid w:val="0027743F"/>
    <w:rsid w:val="00282E06"/>
    <w:rsid w:val="002926B4"/>
    <w:rsid w:val="00294BCA"/>
    <w:rsid w:val="00296C9A"/>
    <w:rsid w:val="00297B71"/>
    <w:rsid w:val="002A1FA1"/>
    <w:rsid w:val="002A43D9"/>
    <w:rsid w:val="002A6D95"/>
    <w:rsid w:val="002B20B2"/>
    <w:rsid w:val="002B2275"/>
    <w:rsid w:val="002B3AF5"/>
    <w:rsid w:val="002B7234"/>
    <w:rsid w:val="002C4033"/>
    <w:rsid w:val="002C48C5"/>
    <w:rsid w:val="002C7D2C"/>
    <w:rsid w:val="002D098C"/>
    <w:rsid w:val="002D0CA6"/>
    <w:rsid w:val="002D1CF8"/>
    <w:rsid w:val="002D2195"/>
    <w:rsid w:val="002D3414"/>
    <w:rsid w:val="002D3D3A"/>
    <w:rsid w:val="002D71DE"/>
    <w:rsid w:val="002E5E71"/>
    <w:rsid w:val="002E74E7"/>
    <w:rsid w:val="002F0DFB"/>
    <w:rsid w:val="002F7877"/>
    <w:rsid w:val="002F795C"/>
    <w:rsid w:val="00302FA9"/>
    <w:rsid w:val="00304DF1"/>
    <w:rsid w:val="00306FB0"/>
    <w:rsid w:val="00306FF4"/>
    <w:rsid w:val="0031586B"/>
    <w:rsid w:val="003206C3"/>
    <w:rsid w:val="00322E09"/>
    <w:rsid w:val="003236DE"/>
    <w:rsid w:val="00326AA2"/>
    <w:rsid w:val="003270F6"/>
    <w:rsid w:val="003334D7"/>
    <w:rsid w:val="00334E99"/>
    <w:rsid w:val="00337118"/>
    <w:rsid w:val="003415CF"/>
    <w:rsid w:val="00342A6F"/>
    <w:rsid w:val="0034347C"/>
    <w:rsid w:val="00345F9C"/>
    <w:rsid w:val="00350671"/>
    <w:rsid w:val="00351A20"/>
    <w:rsid w:val="003553EB"/>
    <w:rsid w:val="0035693E"/>
    <w:rsid w:val="0036637F"/>
    <w:rsid w:val="00374C3A"/>
    <w:rsid w:val="003827D8"/>
    <w:rsid w:val="003829CC"/>
    <w:rsid w:val="00384A2D"/>
    <w:rsid w:val="00386572"/>
    <w:rsid w:val="0039044E"/>
    <w:rsid w:val="0039171B"/>
    <w:rsid w:val="003922D6"/>
    <w:rsid w:val="00395A33"/>
    <w:rsid w:val="003A07D3"/>
    <w:rsid w:val="003A180D"/>
    <w:rsid w:val="003A3C40"/>
    <w:rsid w:val="003A6E11"/>
    <w:rsid w:val="003C0F6D"/>
    <w:rsid w:val="003C255D"/>
    <w:rsid w:val="003C5C6A"/>
    <w:rsid w:val="003C5FDE"/>
    <w:rsid w:val="003D36A0"/>
    <w:rsid w:val="003D3FA8"/>
    <w:rsid w:val="003D436A"/>
    <w:rsid w:val="003E4A7B"/>
    <w:rsid w:val="003E6480"/>
    <w:rsid w:val="003F058F"/>
    <w:rsid w:val="003F191C"/>
    <w:rsid w:val="003F33CC"/>
    <w:rsid w:val="003F385A"/>
    <w:rsid w:val="003F3E69"/>
    <w:rsid w:val="003F48E0"/>
    <w:rsid w:val="003F7560"/>
    <w:rsid w:val="00400166"/>
    <w:rsid w:val="00401D29"/>
    <w:rsid w:val="004033BC"/>
    <w:rsid w:val="0040646E"/>
    <w:rsid w:val="004130FC"/>
    <w:rsid w:val="00414081"/>
    <w:rsid w:val="004242E7"/>
    <w:rsid w:val="00426B96"/>
    <w:rsid w:val="004278B3"/>
    <w:rsid w:val="0043355F"/>
    <w:rsid w:val="00435111"/>
    <w:rsid w:val="00435A18"/>
    <w:rsid w:val="00440B84"/>
    <w:rsid w:val="004432F5"/>
    <w:rsid w:val="00444714"/>
    <w:rsid w:val="004455D3"/>
    <w:rsid w:val="00455407"/>
    <w:rsid w:val="00460D82"/>
    <w:rsid w:val="004629F7"/>
    <w:rsid w:val="0047332B"/>
    <w:rsid w:val="00474C07"/>
    <w:rsid w:val="00474E36"/>
    <w:rsid w:val="00484CB3"/>
    <w:rsid w:val="004878DC"/>
    <w:rsid w:val="004912E9"/>
    <w:rsid w:val="004937EE"/>
    <w:rsid w:val="00495F72"/>
    <w:rsid w:val="004A4958"/>
    <w:rsid w:val="004A5D4C"/>
    <w:rsid w:val="004B0858"/>
    <w:rsid w:val="004B1C06"/>
    <w:rsid w:val="004B279D"/>
    <w:rsid w:val="004B31C5"/>
    <w:rsid w:val="004B3765"/>
    <w:rsid w:val="004C04CB"/>
    <w:rsid w:val="004C4C3E"/>
    <w:rsid w:val="004C6EA9"/>
    <w:rsid w:val="004D2FE3"/>
    <w:rsid w:val="004D4DD4"/>
    <w:rsid w:val="004D5B00"/>
    <w:rsid w:val="004D70FE"/>
    <w:rsid w:val="004D710C"/>
    <w:rsid w:val="004E00DF"/>
    <w:rsid w:val="004E2230"/>
    <w:rsid w:val="004E7B9B"/>
    <w:rsid w:val="004F10A0"/>
    <w:rsid w:val="004F14E4"/>
    <w:rsid w:val="004F155F"/>
    <w:rsid w:val="004F6E11"/>
    <w:rsid w:val="005042C7"/>
    <w:rsid w:val="00507AC4"/>
    <w:rsid w:val="005126FD"/>
    <w:rsid w:val="00514EB2"/>
    <w:rsid w:val="005151B0"/>
    <w:rsid w:val="00515EFA"/>
    <w:rsid w:val="00517B0E"/>
    <w:rsid w:val="00520898"/>
    <w:rsid w:val="005313C2"/>
    <w:rsid w:val="00531673"/>
    <w:rsid w:val="00536B94"/>
    <w:rsid w:val="00536F78"/>
    <w:rsid w:val="00537372"/>
    <w:rsid w:val="00540CEB"/>
    <w:rsid w:val="00542A5D"/>
    <w:rsid w:val="0054368A"/>
    <w:rsid w:val="00547951"/>
    <w:rsid w:val="00552B73"/>
    <w:rsid w:val="00552C1A"/>
    <w:rsid w:val="00557667"/>
    <w:rsid w:val="00563E7D"/>
    <w:rsid w:val="0056681A"/>
    <w:rsid w:val="00566E54"/>
    <w:rsid w:val="0057531F"/>
    <w:rsid w:val="00575FE1"/>
    <w:rsid w:val="00576269"/>
    <w:rsid w:val="005817D0"/>
    <w:rsid w:val="005866E1"/>
    <w:rsid w:val="005875E5"/>
    <w:rsid w:val="00590246"/>
    <w:rsid w:val="00590DD7"/>
    <w:rsid w:val="00593B0B"/>
    <w:rsid w:val="005A1E02"/>
    <w:rsid w:val="005A64D2"/>
    <w:rsid w:val="005A69B2"/>
    <w:rsid w:val="005A7F70"/>
    <w:rsid w:val="005B2FBA"/>
    <w:rsid w:val="005B3016"/>
    <w:rsid w:val="005B3AE2"/>
    <w:rsid w:val="005B3EA0"/>
    <w:rsid w:val="005C1D10"/>
    <w:rsid w:val="005C22B9"/>
    <w:rsid w:val="005C3607"/>
    <w:rsid w:val="005C4E89"/>
    <w:rsid w:val="005D0D07"/>
    <w:rsid w:val="005D586A"/>
    <w:rsid w:val="005E0128"/>
    <w:rsid w:val="005E192A"/>
    <w:rsid w:val="005E5A5B"/>
    <w:rsid w:val="005F22A1"/>
    <w:rsid w:val="005F384B"/>
    <w:rsid w:val="005F3DC1"/>
    <w:rsid w:val="005F40EE"/>
    <w:rsid w:val="005F5A6C"/>
    <w:rsid w:val="005F6330"/>
    <w:rsid w:val="00600967"/>
    <w:rsid w:val="00605A32"/>
    <w:rsid w:val="00606D16"/>
    <w:rsid w:val="00607CCB"/>
    <w:rsid w:val="006118F8"/>
    <w:rsid w:val="0061382F"/>
    <w:rsid w:val="006206DD"/>
    <w:rsid w:val="0062220B"/>
    <w:rsid w:val="00622325"/>
    <w:rsid w:val="00623807"/>
    <w:rsid w:val="00624561"/>
    <w:rsid w:val="00624C4B"/>
    <w:rsid w:val="00625DBE"/>
    <w:rsid w:val="00626AFD"/>
    <w:rsid w:val="006277BB"/>
    <w:rsid w:val="00627E40"/>
    <w:rsid w:val="00630950"/>
    <w:rsid w:val="00632453"/>
    <w:rsid w:val="006370AB"/>
    <w:rsid w:val="00637EA1"/>
    <w:rsid w:val="0064251F"/>
    <w:rsid w:val="006443D2"/>
    <w:rsid w:val="0064534F"/>
    <w:rsid w:val="0065064F"/>
    <w:rsid w:val="006563A5"/>
    <w:rsid w:val="0065680F"/>
    <w:rsid w:val="00657664"/>
    <w:rsid w:val="006637CB"/>
    <w:rsid w:val="006709FD"/>
    <w:rsid w:val="00671C88"/>
    <w:rsid w:val="00671E37"/>
    <w:rsid w:val="00673E39"/>
    <w:rsid w:val="00674FF1"/>
    <w:rsid w:val="006763BA"/>
    <w:rsid w:val="00677E9C"/>
    <w:rsid w:val="00680918"/>
    <w:rsid w:val="00682961"/>
    <w:rsid w:val="00686E4E"/>
    <w:rsid w:val="00687F52"/>
    <w:rsid w:val="006920C2"/>
    <w:rsid w:val="006A7788"/>
    <w:rsid w:val="006B3AC7"/>
    <w:rsid w:val="006C3FF1"/>
    <w:rsid w:val="006C4FA0"/>
    <w:rsid w:val="006C6E04"/>
    <w:rsid w:val="006C76FE"/>
    <w:rsid w:val="006D031A"/>
    <w:rsid w:val="006D2685"/>
    <w:rsid w:val="006D602B"/>
    <w:rsid w:val="006E0497"/>
    <w:rsid w:val="006E16F2"/>
    <w:rsid w:val="006E4EAB"/>
    <w:rsid w:val="006E5F7E"/>
    <w:rsid w:val="006E677B"/>
    <w:rsid w:val="006E7940"/>
    <w:rsid w:val="006F21AE"/>
    <w:rsid w:val="006F259A"/>
    <w:rsid w:val="006F46CA"/>
    <w:rsid w:val="00700A3A"/>
    <w:rsid w:val="00702A36"/>
    <w:rsid w:val="00707BE6"/>
    <w:rsid w:val="0071086F"/>
    <w:rsid w:val="0071206A"/>
    <w:rsid w:val="00714046"/>
    <w:rsid w:val="007157BD"/>
    <w:rsid w:val="00720C4E"/>
    <w:rsid w:val="0072420F"/>
    <w:rsid w:val="00724AAC"/>
    <w:rsid w:val="00726041"/>
    <w:rsid w:val="00733403"/>
    <w:rsid w:val="00735136"/>
    <w:rsid w:val="00740563"/>
    <w:rsid w:val="0074217E"/>
    <w:rsid w:val="00742EE8"/>
    <w:rsid w:val="00744E1A"/>
    <w:rsid w:val="007472BF"/>
    <w:rsid w:val="00747FBE"/>
    <w:rsid w:val="00751195"/>
    <w:rsid w:val="007515FA"/>
    <w:rsid w:val="00752094"/>
    <w:rsid w:val="00753D1C"/>
    <w:rsid w:val="00757870"/>
    <w:rsid w:val="0076188E"/>
    <w:rsid w:val="00767CEE"/>
    <w:rsid w:val="00771830"/>
    <w:rsid w:val="00774C62"/>
    <w:rsid w:val="00781798"/>
    <w:rsid w:val="007820FB"/>
    <w:rsid w:val="00782F57"/>
    <w:rsid w:val="007A0793"/>
    <w:rsid w:val="007A3C38"/>
    <w:rsid w:val="007B038B"/>
    <w:rsid w:val="007B1DF7"/>
    <w:rsid w:val="007C3C7E"/>
    <w:rsid w:val="007C699D"/>
    <w:rsid w:val="007D1649"/>
    <w:rsid w:val="007D1D52"/>
    <w:rsid w:val="007D3DB1"/>
    <w:rsid w:val="007D4598"/>
    <w:rsid w:val="007D6EBF"/>
    <w:rsid w:val="007D7FB7"/>
    <w:rsid w:val="007E01EC"/>
    <w:rsid w:val="007E214E"/>
    <w:rsid w:val="007E22E8"/>
    <w:rsid w:val="007E3929"/>
    <w:rsid w:val="007E5C94"/>
    <w:rsid w:val="007E6D70"/>
    <w:rsid w:val="007F0EEF"/>
    <w:rsid w:val="00800CFE"/>
    <w:rsid w:val="00803FFF"/>
    <w:rsid w:val="0080509C"/>
    <w:rsid w:val="00805AE8"/>
    <w:rsid w:val="00807C17"/>
    <w:rsid w:val="00815915"/>
    <w:rsid w:val="00815F9B"/>
    <w:rsid w:val="008162C3"/>
    <w:rsid w:val="00821089"/>
    <w:rsid w:val="00827287"/>
    <w:rsid w:val="008308BA"/>
    <w:rsid w:val="008317AD"/>
    <w:rsid w:val="0083328B"/>
    <w:rsid w:val="00835DDC"/>
    <w:rsid w:val="008431AB"/>
    <w:rsid w:val="00843A13"/>
    <w:rsid w:val="008444E8"/>
    <w:rsid w:val="008464AE"/>
    <w:rsid w:val="008467CB"/>
    <w:rsid w:val="00846923"/>
    <w:rsid w:val="0085098A"/>
    <w:rsid w:val="008513FD"/>
    <w:rsid w:val="00851875"/>
    <w:rsid w:val="00856582"/>
    <w:rsid w:val="0086263D"/>
    <w:rsid w:val="00863373"/>
    <w:rsid w:val="008643FE"/>
    <w:rsid w:val="00866C72"/>
    <w:rsid w:val="008718CC"/>
    <w:rsid w:val="0087439B"/>
    <w:rsid w:val="0088060A"/>
    <w:rsid w:val="00881130"/>
    <w:rsid w:val="00881D5B"/>
    <w:rsid w:val="00882915"/>
    <w:rsid w:val="0088479B"/>
    <w:rsid w:val="008849E4"/>
    <w:rsid w:val="0088582E"/>
    <w:rsid w:val="00887CB6"/>
    <w:rsid w:val="00892D63"/>
    <w:rsid w:val="00893283"/>
    <w:rsid w:val="008A09D8"/>
    <w:rsid w:val="008A7AB4"/>
    <w:rsid w:val="008A7F7B"/>
    <w:rsid w:val="008B238C"/>
    <w:rsid w:val="008B4EE7"/>
    <w:rsid w:val="008B4F6E"/>
    <w:rsid w:val="008B6455"/>
    <w:rsid w:val="008C1571"/>
    <w:rsid w:val="008C39FE"/>
    <w:rsid w:val="008C4A9A"/>
    <w:rsid w:val="008C521E"/>
    <w:rsid w:val="008C7336"/>
    <w:rsid w:val="008C7A54"/>
    <w:rsid w:val="008D54E8"/>
    <w:rsid w:val="008D771A"/>
    <w:rsid w:val="008E2FC7"/>
    <w:rsid w:val="008E724B"/>
    <w:rsid w:val="008F05ED"/>
    <w:rsid w:val="008F177A"/>
    <w:rsid w:val="008F4D70"/>
    <w:rsid w:val="008F547B"/>
    <w:rsid w:val="00900674"/>
    <w:rsid w:val="00904122"/>
    <w:rsid w:val="0090678E"/>
    <w:rsid w:val="00907DCC"/>
    <w:rsid w:val="009125B1"/>
    <w:rsid w:val="009131F9"/>
    <w:rsid w:val="009143B4"/>
    <w:rsid w:val="00914D93"/>
    <w:rsid w:val="009168A1"/>
    <w:rsid w:val="009208D1"/>
    <w:rsid w:val="009223F8"/>
    <w:rsid w:val="00922B4D"/>
    <w:rsid w:val="00926677"/>
    <w:rsid w:val="00931128"/>
    <w:rsid w:val="00932042"/>
    <w:rsid w:val="009419A5"/>
    <w:rsid w:val="00942439"/>
    <w:rsid w:val="0094347A"/>
    <w:rsid w:val="00953259"/>
    <w:rsid w:val="0095412D"/>
    <w:rsid w:val="00960353"/>
    <w:rsid w:val="00966B3E"/>
    <w:rsid w:val="0096764F"/>
    <w:rsid w:val="00974603"/>
    <w:rsid w:val="009758F8"/>
    <w:rsid w:val="00980B2C"/>
    <w:rsid w:val="009816D8"/>
    <w:rsid w:val="00981B07"/>
    <w:rsid w:val="009878C6"/>
    <w:rsid w:val="00992DB9"/>
    <w:rsid w:val="00994F47"/>
    <w:rsid w:val="0099606A"/>
    <w:rsid w:val="00996AB4"/>
    <w:rsid w:val="009A71AA"/>
    <w:rsid w:val="009A7941"/>
    <w:rsid w:val="009D0A22"/>
    <w:rsid w:val="009E50AA"/>
    <w:rsid w:val="009E6607"/>
    <w:rsid w:val="009F1F55"/>
    <w:rsid w:val="009F40F3"/>
    <w:rsid w:val="009F4AAB"/>
    <w:rsid w:val="009F7645"/>
    <w:rsid w:val="009F76B8"/>
    <w:rsid w:val="00A000D9"/>
    <w:rsid w:val="00A0269B"/>
    <w:rsid w:val="00A03840"/>
    <w:rsid w:val="00A110CB"/>
    <w:rsid w:val="00A13E75"/>
    <w:rsid w:val="00A1665B"/>
    <w:rsid w:val="00A23A02"/>
    <w:rsid w:val="00A2629C"/>
    <w:rsid w:val="00A32D7C"/>
    <w:rsid w:val="00A33BBA"/>
    <w:rsid w:val="00A400AD"/>
    <w:rsid w:val="00A40956"/>
    <w:rsid w:val="00A40EBD"/>
    <w:rsid w:val="00A44473"/>
    <w:rsid w:val="00A46DDB"/>
    <w:rsid w:val="00A53555"/>
    <w:rsid w:val="00A55ABE"/>
    <w:rsid w:val="00A57726"/>
    <w:rsid w:val="00A711CB"/>
    <w:rsid w:val="00A71226"/>
    <w:rsid w:val="00A71B28"/>
    <w:rsid w:val="00A80644"/>
    <w:rsid w:val="00A83414"/>
    <w:rsid w:val="00A83E3F"/>
    <w:rsid w:val="00A8676C"/>
    <w:rsid w:val="00A9394D"/>
    <w:rsid w:val="00A943EB"/>
    <w:rsid w:val="00AA09EE"/>
    <w:rsid w:val="00AA4567"/>
    <w:rsid w:val="00AA5656"/>
    <w:rsid w:val="00AB06B8"/>
    <w:rsid w:val="00AB3EB2"/>
    <w:rsid w:val="00AB685D"/>
    <w:rsid w:val="00AB7DEA"/>
    <w:rsid w:val="00AC3863"/>
    <w:rsid w:val="00AC57E5"/>
    <w:rsid w:val="00AC77C0"/>
    <w:rsid w:val="00AD1826"/>
    <w:rsid w:val="00AD2EFF"/>
    <w:rsid w:val="00AD3F1A"/>
    <w:rsid w:val="00AD4A53"/>
    <w:rsid w:val="00AD6943"/>
    <w:rsid w:val="00AD7ECD"/>
    <w:rsid w:val="00AE0544"/>
    <w:rsid w:val="00AE443C"/>
    <w:rsid w:val="00AE4B20"/>
    <w:rsid w:val="00AE55C6"/>
    <w:rsid w:val="00AE57C9"/>
    <w:rsid w:val="00AF049A"/>
    <w:rsid w:val="00AF049F"/>
    <w:rsid w:val="00AF0F16"/>
    <w:rsid w:val="00AF29AD"/>
    <w:rsid w:val="00B06FD9"/>
    <w:rsid w:val="00B11797"/>
    <w:rsid w:val="00B13C6E"/>
    <w:rsid w:val="00B16240"/>
    <w:rsid w:val="00B20415"/>
    <w:rsid w:val="00B21677"/>
    <w:rsid w:val="00B249DE"/>
    <w:rsid w:val="00B25351"/>
    <w:rsid w:val="00B25561"/>
    <w:rsid w:val="00B277C2"/>
    <w:rsid w:val="00B31E5A"/>
    <w:rsid w:val="00B34BCE"/>
    <w:rsid w:val="00B36320"/>
    <w:rsid w:val="00B42467"/>
    <w:rsid w:val="00B471C4"/>
    <w:rsid w:val="00B47B23"/>
    <w:rsid w:val="00B50A80"/>
    <w:rsid w:val="00B51411"/>
    <w:rsid w:val="00B55E67"/>
    <w:rsid w:val="00B55F87"/>
    <w:rsid w:val="00B60759"/>
    <w:rsid w:val="00B613EB"/>
    <w:rsid w:val="00B647AB"/>
    <w:rsid w:val="00B6756A"/>
    <w:rsid w:val="00B72B38"/>
    <w:rsid w:val="00B80993"/>
    <w:rsid w:val="00B84032"/>
    <w:rsid w:val="00B908BF"/>
    <w:rsid w:val="00B945E2"/>
    <w:rsid w:val="00B96D47"/>
    <w:rsid w:val="00BA1371"/>
    <w:rsid w:val="00BA3DA3"/>
    <w:rsid w:val="00BB0B86"/>
    <w:rsid w:val="00BB0D21"/>
    <w:rsid w:val="00BB7979"/>
    <w:rsid w:val="00BC1309"/>
    <w:rsid w:val="00BC3AB7"/>
    <w:rsid w:val="00BC3F8B"/>
    <w:rsid w:val="00BD2EE2"/>
    <w:rsid w:val="00BD2F34"/>
    <w:rsid w:val="00BD42F1"/>
    <w:rsid w:val="00BE0283"/>
    <w:rsid w:val="00BE17E5"/>
    <w:rsid w:val="00BE4B8C"/>
    <w:rsid w:val="00BE5979"/>
    <w:rsid w:val="00BE6D9D"/>
    <w:rsid w:val="00BE73CE"/>
    <w:rsid w:val="00BE796F"/>
    <w:rsid w:val="00BF0FE1"/>
    <w:rsid w:val="00BF253A"/>
    <w:rsid w:val="00BF37BF"/>
    <w:rsid w:val="00BF5E8A"/>
    <w:rsid w:val="00C0306E"/>
    <w:rsid w:val="00C068BD"/>
    <w:rsid w:val="00C11326"/>
    <w:rsid w:val="00C12CE2"/>
    <w:rsid w:val="00C14C61"/>
    <w:rsid w:val="00C16324"/>
    <w:rsid w:val="00C16590"/>
    <w:rsid w:val="00C200D3"/>
    <w:rsid w:val="00C2155E"/>
    <w:rsid w:val="00C228BA"/>
    <w:rsid w:val="00C22EF2"/>
    <w:rsid w:val="00C23315"/>
    <w:rsid w:val="00C24F05"/>
    <w:rsid w:val="00C268EB"/>
    <w:rsid w:val="00C334DC"/>
    <w:rsid w:val="00C33583"/>
    <w:rsid w:val="00C35854"/>
    <w:rsid w:val="00C35F22"/>
    <w:rsid w:val="00C3681B"/>
    <w:rsid w:val="00C407A2"/>
    <w:rsid w:val="00C4272C"/>
    <w:rsid w:val="00C42B88"/>
    <w:rsid w:val="00C4390F"/>
    <w:rsid w:val="00C45975"/>
    <w:rsid w:val="00C500CB"/>
    <w:rsid w:val="00C52431"/>
    <w:rsid w:val="00C56835"/>
    <w:rsid w:val="00C60344"/>
    <w:rsid w:val="00C64142"/>
    <w:rsid w:val="00C722F2"/>
    <w:rsid w:val="00C72463"/>
    <w:rsid w:val="00C77AD6"/>
    <w:rsid w:val="00C83C26"/>
    <w:rsid w:val="00C86C73"/>
    <w:rsid w:val="00C872C0"/>
    <w:rsid w:val="00C95AA7"/>
    <w:rsid w:val="00C96EC7"/>
    <w:rsid w:val="00C97848"/>
    <w:rsid w:val="00C97D14"/>
    <w:rsid w:val="00CA324E"/>
    <w:rsid w:val="00CA4241"/>
    <w:rsid w:val="00CB0C07"/>
    <w:rsid w:val="00CB15E6"/>
    <w:rsid w:val="00CB1BE0"/>
    <w:rsid w:val="00CB2DED"/>
    <w:rsid w:val="00CB3C5B"/>
    <w:rsid w:val="00CB5CD9"/>
    <w:rsid w:val="00CB6CC7"/>
    <w:rsid w:val="00CB7B1E"/>
    <w:rsid w:val="00CC08C2"/>
    <w:rsid w:val="00CC0FA2"/>
    <w:rsid w:val="00CC1479"/>
    <w:rsid w:val="00CC6258"/>
    <w:rsid w:val="00CC7D3C"/>
    <w:rsid w:val="00CD0F9D"/>
    <w:rsid w:val="00CD7ECD"/>
    <w:rsid w:val="00CE22DC"/>
    <w:rsid w:val="00CE24E6"/>
    <w:rsid w:val="00CE2575"/>
    <w:rsid w:val="00CE5BE1"/>
    <w:rsid w:val="00CE67EE"/>
    <w:rsid w:val="00CF11CC"/>
    <w:rsid w:val="00CF5B63"/>
    <w:rsid w:val="00CF5C29"/>
    <w:rsid w:val="00D069F4"/>
    <w:rsid w:val="00D140D4"/>
    <w:rsid w:val="00D15757"/>
    <w:rsid w:val="00D16CDD"/>
    <w:rsid w:val="00D21206"/>
    <w:rsid w:val="00D23795"/>
    <w:rsid w:val="00D30908"/>
    <w:rsid w:val="00D32B3F"/>
    <w:rsid w:val="00D32CBA"/>
    <w:rsid w:val="00D33049"/>
    <w:rsid w:val="00D335E0"/>
    <w:rsid w:val="00D3500A"/>
    <w:rsid w:val="00D36C98"/>
    <w:rsid w:val="00D408C4"/>
    <w:rsid w:val="00D40FB7"/>
    <w:rsid w:val="00D44649"/>
    <w:rsid w:val="00D44CF6"/>
    <w:rsid w:val="00D53337"/>
    <w:rsid w:val="00D541EE"/>
    <w:rsid w:val="00D5449D"/>
    <w:rsid w:val="00D56513"/>
    <w:rsid w:val="00D57020"/>
    <w:rsid w:val="00D610A3"/>
    <w:rsid w:val="00D61E88"/>
    <w:rsid w:val="00D62BC6"/>
    <w:rsid w:val="00D63728"/>
    <w:rsid w:val="00D6501D"/>
    <w:rsid w:val="00D66AFE"/>
    <w:rsid w:val="00D704BD"/>
    <w:rsid w:val="00D71547"/>
    <w:rsid w:val="00D74F7A"/>
    <w:rsid w:val="00D77AD7"/>
    <w:rsid w:val="00D80C47"/>
    <w:rsid w:val="00D828CA"/>
    <w:rsid w:val="00D86294"/>
    <w:rsid w:val="00D8648D"/>
    <w:rsid w:val="00D91547"/>
    <w:rsid w:val="00D91B08"/>
    <w:rsid w:val="00DA2F12"/>
    <w:rsid w:val="00DA537A"/>
    <w:rsid w:val="00DB60BB"/>
    <w:rsid w:val="00DC61A0"/>
    <w:rsid w:val="00DC68E9"/>
    <w:rsid w:val="00DD2B04"/>
    <w:rsid w:val="00DD37A6"/>
    <w:rsid w:val="00DD3FDE"/>
    <w:rsid w:val="00DD430B"/>
    <w:rsid w:val="00DD667D"/>
    <w:rsid w:val="00DE119E"/>
    <w:rsid w:val="00DE4759"/>
    <w:rsid w:val="00DF3F8A"/>
    <w:rsid w:val="00E01983"/>
    <w:rsid w:val="00E0279B"/>
    <w:rsid w:val="00E040C1"/>
    <w:rsid w:val="00E05D6F"/>
    <w:rsid w:val="00E05D93"/>
    <w:rsid w:val="00E15CF3"/>
    <w:rsid w:val="00E16CBF"/>
    <w:rsid w:val="00E17193"/>
    <w:rsid w:val="00E2105B"/>
    <w:rsid w:val="00E24260"/>
    <w:rsid w:val="00E279F7"/>
    <w:rsid w:val="00E27D71"/>
    <w:rsid w:val="00E31903"/>
    <w:rsid w:val="00E32AE7"/>
    <w:rsid w:val="00E350A5"/>
    <w:rsid w:val="00E37137"/>
    <w:rsid w:val="00E4192B"/>
    <w:rsid w:val="00E41987"/>
    <w:rsid w:val="00E42367"/>
    <w:rsid w:val="00E42BE5"/>
    <w:rsid w:val="00E42E47"/>
    <w:rsid w:val="00E55F84"/>
    <w:rsid w:val="00E603BC"/>
    <w:rsid w:val="00E64B25"/>
    <w:rsid w:val="00E65603"/>
    <w:rsid w:val="00E65AAB"/>
    <w:rsid w:val="00E67873"/>
    <w:rsid w:val="00E81CE6"/>
    <w:rsid w:val="00E85B43"/>
    <w:rsid w:val="00E907CE"/>
    <w:rsid w:val="00E91033"/>
    <w:rsid w:val="00E93D80"/>
    <w:rsid w:val="00E977F4"/>
    <w:rsid w:val="00EA1E22"/>
    <w:rsid w:val="00EA64B7"/>
    <w:rsid w:val="00EA6744"/>
    <w:rsid w:val="00EB1BED"/>
    <w:rsid w:val="00EB52E7"/>
    <w:rsid w:val="00EC0A4D"/>
    <w:rsid w:val="00EC1538"/>
    <w:rsid w:val="00EC17F1"/>
    <w:rsid w:val="00EC1ECB"/>
    <w:rsid w:val="00EC427E"/>
    <w:rsid w:val="00ED0AA7"/>
    <w:rsid w:val="00ED11EE"/>
    <w:rsid w:val="00ED3C4B"/>
    <w:rsid w:val="00ED6EF9"/>
    <w:rsid w:val="00ED6F58"/>
    <w:rsid w:val="00ED6F60"/>
    <w:rsid w:val="00ED705D"/>
    <w:rsid w:val="00EE6A72"/>
    <w:rsid w:val="00EF7787"/>
    <w:rsid w:val="00EF77A6"/>
    <w:rsid w:val="00F02FF6"/>
    <w:rsid w:val="00F04522"/>
    <w:rsid w:val="00F06EFB"/>
    <w:rsid w:val="00F11B7A"/>
    <w:rsid w:val="00F15325"/>
    <w:rsid w:val="00F16849"/>
    <w:rsid w:val="00F16934"/>
    <w:rsid w:val="00F169BA"/>
    <w:rsid w:val="00F16D8A"/>
    <w:rsid w:val="00F17F5A"/>
    <w:rsid w:val="00F21007"/>
    <w:rsid w:val="00F21894"/>
    <w:rsid w:val="00F22300"/>
    <w:rsid w:val="00F265BD"/>
    <w:rsid w:val="00F318FA"/>
    <w:rsid w:val="00F34955"/>
    <w:rsid w:val="00F37AD1"/>
    <w:rsid w:val="00F40D25"/>
    <w:rsid w:val="00F43089"/>
    <w:rsid w:val="00F464CA"/>
    <w:rsid w:val="00F50B89"/>
    <w:rsid w:val="00F51DAC"/>
    <w:rsid w:val="00F712C8"/>
    <w:rsid w:val="00F75DC7"/>
    <w:rsid w:val="00F800B5"/>
    <w:rsid w:val="00F80EB6"/>
    <w:rsid w:val="00F81273"/>
    <w:rsid w:val="00F81419"/>
    <w:rsid w:val="00F826E2"/>
    <w:rsid w:val="00F82DCE"/>
    <w:rsid w:val="00F90167"/>
    <w:rsid w:val="00F90875"/>
    <w:rsid w:val="00F919A6"/>
    <w:rsid w:val="00F92E1E"/>
    <w:rsid w:val="00F93CB9"/>
    <w:rsid w:val="00F97141"/>
    <w:rsid w:val="00F97B23"/>
    <w:rsid w:val="00FA25AC"/>
    <w:rsid w:val="00FA2F34"/>
    <w:rsid w:val="00FA4915"/>
    <w:rsid w:val="00FA4A6F"/>
    <w:rsid w:val="00FA52B5"/>
    <w:rsid w:val="00FA5E4A"/>
    <w:rsid w:val="00FB48A2"/>
    <w:rsid w:val="00FB51D7"/>
    <w:rsid w:val="00FB5DB1"/>
    <w:rsid w:val="00FC4C71"/>
    <w:rsid w:val="00FC5CDE"/>
    <w:rsid w:val="00FD0B96"/>
    <w:rsid w:val="00FD1569"/>
    <w:rsid w:val="00FD19EA"/>
    <w:rsid w:val="00FD351B"/>
    <w:rsid w:val="00FE1178"/>
    <w:rsid w:val="00FE1B29"/>
    <w:rsid w:val="00FE2D74"/>
    <w:rsid w:val="00FE3173"/>
    <w:rsid w:val="0DDDB3F2"/>
    <w:rsid w:val="156D94DD"/>
    <w:rsid w:val="16780480"/>
    <w:rsid w:val="479CF7FA"/>
    <w:rsid w:val="5DCE935E"/>
    <w:rsid w:val="62E49394"/>
    <w:rsid w:val="66ACA1A0"/>
    <w:rsid w:val="71CB8481"/>
    <w:rsid w:val="752E9342"/>
    <w:rsid w:val="7AA1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73CF3"/>
  <w15:chartTrackingRefBased/>
  <w15:docId w15:val="{0FBD2D0B-8BDB-468B-AB6B-45A5141C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8C2"/>
    <w:pPr>
      <w:spacing w:after="240" w:line="240" w:lineRule="exact"/>
    </w:pPr>
    <w:rPr>
      <w:rFonts w:ascii="Book Antiqua" w:hAnsi="Book Antiqua"/>
      <w:sz w:val="19"/>
    </w:rPr>
  </w:style>
  <w:style w:type="paragraph" w:styleId="Heading1">
    <w:name w:val="heading 1"/>
    <w:basedOn w:val="HeadingBase"/>
    <w:next w:val="Normal"/>
    <w:link w:val="Heading1Char"/>
    <w:qFormat/>
    <w:rsid w:val="00CC08C2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CC08C2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CC08C2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CC08C2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CC08C2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CC08C2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CC08C2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CC08C2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08C2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TableColumnHeadingBase"/>
    <w:next w:val="Normal"/>
    <w:rsid w:val="00CC08C2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CC08C2"/>
  </w:style>
  <w:style w:type="paragraph" w:customStyle="1" w:styleId="TableColumnHeadingRight">
    <w:name w:val="Table Column Heading Right"/>
    <w:basedOn w:val="TableColumnHeadingBase"/>
    <w:next w:val="Normal"/>
    <w:link w:val="TableColumnHeadingRightChar"/>
    <w:rsid w:val="00CC08C2"/>
    <w:pPr>
      <w:jc w:val="right"/>
    </w:pPr>
  </w:style>
  <w:style w:type="character" w:customStyle="1" w:styleId="TableColumnHeadingRightChar">
    <w:name w:val="Table Column Heading Right Char"/>
    <w:link w:val="TableColumnHeadingRight"/>
    <w:rsid w:val="00CC08C2"/>
    <w:rPr>
      <w:rFonts w:ascii="Arial Bold" w:hAnsi="Arial Bold"/>
      <w:b/>
      <w:sz w:val="16"/>
    </w:rPr>
  </w:style>
  <w:style w:type="paragraph" w:customStyle="1" w:styleId="Heading3ptafter">
    <w:name w:val="Heading 3 pt after"/>
    <w:basedOn w:val="Heading6"/>
    <w:rsid w:val="00CC08C2"/>
    <w:pPr>
      <w:spacing w:after="60"/>
    </w:pPr>
    <w:rPr>
      <w:bCs w:val="0"/>
      <w:i/>
      <w:iCs/>
    </w:rPr>
  </w:style>
  <w:style w:type="character" w:customStyle="1" w:styleId="Heading6Char">
    <w:name w:val="Heading 6 Char"/>
    <w:basedOn w:val="DefaultParagraphFont"/>
    <w:link w:val="Heading6"/>
    <w:rsid w:val="00CC08C2"/>
    <w:rPr>
      <w:rFonts w:ascii="Arial" w:hAnsi="Arial"/>
      <w:bCs/>
      <w:szCs w:val="22"/>
    </w:rPr>
  </w:style>
  <w:style w:type="paragraph" w:customStyle="1" w:styleId="ChartandTableFootnoteAlpha">
    <w:name w:val="Chart and Table Footnote Alpha"/>
    <w:basedOn w:val="HeadingBase"/>
    <w:next w:val="Normal"/>
    <w:rsid w:val="00CC08C2"/>
    <w:pPr>
      <w:keepNext w:val="0"/>
      <w:numPr>
        <w:numId w:val="37"/>
      </w:numPr>
      <w:spacing w:before="30"/>
    </w:pPr>
    <w:rPr>
      <w:color w:val="000000"/>
      <w:sz w:val="16"/>
    </w:rPr>
  </w:style>
  <w:style w:type="paragraph" w:styleId="Title">
    <w:name w:val="Title"/>
    <w:basedOn w:val="Normal"/>
    <w:link w:val="TitleChar"/>
    <w:qFormat/>
    <w:rsid w:val="00CC08C2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CC08C2"/>
    <w:rPr>
      <w:rFonts w:ascii="Arial" w:hAnsi="Arial"/>
      <w:b/>
      <w:bCs/>
      <w:caps/>
      <w:kern w:val="28"/>
      <w:sz w:val="52"/>
      <w:szCs w:val="32"/>
      <w:lang w:val="x-none"/>
    </w:rPr>
  </w:style>
  <w:style w:type="paragraph" w:customStyle="1" w:styleId="Department">
    <w:name w:val="Department"/>
    <w:basedOn w:val="Normal"/>
    <w:rsid w:val="00CC08C2"/>
    <w:pPr>
      <w:spacing w:after="0" w:line="240" w:lineRule="auto"/>
      <w:jc w:val="center"/>
    </w:pPr>
    <w:rPr>
      <w:rFonts w:ascii="Arial" w:hAnsi="Arial"/>
      <w:b/>
      <w:sz w:val="52"/>
    </w:rPr>
  </w:style>
  <w:style w:type="character" w:customStyle="1" w:styleId="Heading1Char">
    <w:name w:val="Heading 1 Char"/>
    <w:basedOn w:val="DefaultParagraphFont"/>
    <w:link w:val="Heading1"/>
    <w:rsid w:val="00CC08C2"/>
    <w:rPr>
      <w:rFonts w:ascii="Arial Bold" w:hAnsi="Arial Bold"/>
      <w:b/>
      <w:kern w:val="34"/>
      <w:sz w:val="36"/>
    </w:rPr>
  </w:style>
  <w:style w:type="character" w:customStyle="1" w:styleId="Heading2Char">
    <w:name w:val="Heading 2 Char"/>
    <w:basedOn w:val="DefaultParagraphFont"/>
    <w:link w:val="Heading2"/>
    <w:rsid w:val="00CC08C2"/>
    <w:rPr>
      <w:rFonts w:ascii="Arial Bold" w:hAnsi="Arial Bold"/>
      <w:b/>
      <w:sz w:val="26"/>
    </w:rPr>
  </w:style>
  <w:style w:type="character" w:customStyle="1" w:styleId="Heading3Char">
    <w:name w:val="Heading 3 Char"/>
    <w:basedOn w:val="DefaultParagraphFont"/>
    <w:link w:val="Heading3"/>
    <w:rsid w:val="00CC08C2"/>
    <w:rPr>
      <w:rFonts w:ascii="Arial Bold" w:hAnsi="Arial Bold"/>
      <w:b/>
      <w:sz w:val="22"/>
    </w:rPr>
  </w:style>
  <w:style w:type="character" w:customStyle="1" w:styleId="Heading4Char">
    <w:name w:val="Heading 4 Char"/>
    <w:basedOn w:val="DefaultParagraphFont"/>
    <w:link w:val="Heading4"/>
    <w:rsid w:val="00CC08C2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rsid w:val="00CC08C2"/>
    <w:rPr>
      <w:rFonts w:ascii="Arial" w:hAnsi="Arial"/>
      <w:bCs/>
      <w:i/>
      <w:iCs/>
      <w:szCs w:val="26"/>
    </w:rPr>
  </w:style>
  <w:style w:type="paragraph" w:styleId="TOC2">
    <w:name w:val="toc 2"/>
    <w:basedOn w:val="HeadingBase"/>
    <w:next w:val="Normal"/>
    <w:uiPriority w:val="39"/>
    <w:rsid w:val="00CC08C2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customStyle="1" w:styleId="ChartGraphic">
    <w:name w:val="Chart Graphic"/>
    <w:basedOn w:val="HeadingBase"/>
    <w:rsid w:val="00CC08C2"/>
    <w:pPr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qFormat/>
    <w:rsid w:val="00CC08C2"/>
    <w:pPr>
      <w:spacing w:before="120" w:after="20"/>
    </w:pPr>
    <w:rPr>
      <w:b/>
      <w:sz w:val="20"/>
    </w:rPr>
  </w:style>
  <w:style w:type="paragraph" w:styleId="TOC1">
    <w:name w:val="toc 1"/>
    <w:basedOn w:val="HeaderBase"/>
    <w:next w:val="Normal"/>
    <w:uiPriority w:val="39"/>
    <w:rsid w:val="00134A80"/>
    <w:pPr>
      <w:keepNext/>
      <w:tabs>
        <w:tab w:val="right" w:leader="dot" w:pos="7700"/>
      </w:tabs>
      <w:spacing w:before="240"/>
      <w:ind w:right="851"/>
    </w:pPr>
    <w:rPr>
      <w:color w:val="auto"/>
      <w:sz w:val="20"/>
    </w:rPr>
  </w:style>
  <w:style w:type="paragraph" w:styleId="Header">
    <w:name w:val="header"/>
    <w:basedOn w:val="HeaderBase"/>
    <w:link w:val="HeaderChar"/>
    <w:qFormat/>
    <w:rsid w:val="00CC08C2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CC08C2"/>
    <w:rPr>
      <w:rFonts w:ascii="Arial" w:hAnsi="Arial"/>
      <w:sz w:val="18"/>
    </w:rPr>
  </w:style>
  <w:style w:type="paragraph" w:styleId="Footer">
    <w:name w:val="footer"/>
    <w:basedOn w:val="FooterBase"/>
    <w:link w:val="FooterChar"/>
    <w:rsid w:val="00CC08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08C2"/>
    <w:rPr>
      <w:rFonts w:ascii="Arial" w:hAnsi="Arial"/>
      <w:color w:val="000000" w:themeColor="text1"/>
    </w:rPr>
  </w:style>
  <w:style w:type="character" w:styleId="PageNumber">
    <w:name w:val="page number"/>
    <w:basedOn w:val="DefaultParagraphFont"/>
    <w:rsid w:val="00CC08C2"/>
    <w:rPr>
      <w:rFonts w:ascii="Arial" w:hAnsi="Arial" w:cs="Arial"/>
      <w:color w:val="auto"/>
    </w:rPr>
  </w:style>
  <w:style w:type="paragraph" w:customStyle="1" w:styleId="ContentsHeading">
    <w:name w:val="Contents Heading"/>
    <w:basedOn w:val="HeadingBase"/>
    <w:next w:val="Normal"/>
    <w:rsid w:val="00CC08C2"/>
    <w:pPr>
      <w:spacing w:after="720"/>
    </w:pPr>
    <w:rPr>
      <w:b/>
      <w:bCs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14081"/>
    <w:rPr>
      <w:color w:val="954F72" w:themeColor="followedHyperlink"/>
      <w:u w:val="single"/>
    </w:rPr>
  </w:style>
  <w:style w:type="paragraph" w:customStyle="1" w:styleId="ExampleText">
    <w:name w:val="Example Text"/>
    <w:basedOn w:val="Normal"/>
    <w:rsid w:val="00CC08C2"/>
    <w:rPr>
      <w:i/>
      <w:color w:val="FF0000"/>
    </w:rPr>
  </w:style>
  <w:style w:type="paragraph" w:customStyle="1" w:styleId="HeaderEven">
    <w:name w:val="Header Even"/>
    <w:basedOn w:val="HeaderBase"/>
    <w:rsid w:val="00CC08C2"/>
    <w:rPr>
      <w:color w:val="auto"/>
    </w:rPr>
  </w:style>
  <w:style w:type="paragraph" w:customStyle="1" w:styleId="HeaderOdd">
    <w:name w:val="Header Odd"/>
    <w:basedOn w:val="HeaderBase"/>
    <w:rsid w:val="00CC08C2"/>
    <w:pPr>
      <w:jc w:val="right"/>
    </w:pPr>
    <w:rPr>
      <w:color w:val="000000" w:themeColor="text1"/>
    </w:rPr>
  </w:style>
  <w:style w:type="paragraph" w:customStyle="1" w:styleId="OverviewParagraph">
    <w:name w:val="Overview Paragraph"/>
    <w:basedOn w:val="Normal"/>
    <w:link w:val="OverviewParagraphChar"/>
    <w:rsid w:val="00CC08C2"/>
    <w:pPr>
      <w:spacing w:before="120" w:after="120" w:line="240" w:lineRule="auto"/>
    </w:pPr>
  </w:style>
  <w:style w:type="paragraph" w:customStyle="1" w:styleId="SingleParagraph">
    <w:name w:val="Single Paragraph"/>
    <w:basedOn w:val="Normal"/>
    <w:rsid w:val="00CC08C2"/>
    <w:pPr>
      <w:spacing w:after="0" w:line="240" w:lineRule="auto"/>
    </w:pPr>
  </w:style>
  <w:style w:type="paragraph" w:customStyle="1" w:styleId="PartHeading">
    <w:name w:val="Part Heading"/>
    <w:basedOn w:val="Title"/>
    <w:next w:val="Normal"/>
    <w:rsid w:val="00CC08C2"/>
    <w:pPr>
      <w:spacing w:after="480" w:line="240" w:lineRule="auto"/>
      <w:outlineLvl w:val="9"/>
    </w:pPr>
    <w:rPr>
      <w:rFonts w:ascii="Arial Bold" w:hAnsi="Arial Bold" w:cs="Arial"/>
      <w:caps w:val="0"/>
      <w:lang w:val="en-AU"/>
    </w:rPr>
  </w:style>
  <w:style w:type="paragraph" w:customStyle="1" w:styleId="Tabletextjustified">
    <w:name w:val="Table text justified"/>
    <w:basedOn w:val="Normal"/>
    <w:semiHidden/>
    <w:rsid w:val="00CC08C2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CC08C2"/>
    <w:pPr>
      <w:spacing w:before="120" w:after="120" w:line="240" w:lineRule="auto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CC08C2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rsid w:val="00CC08C2"/>
    <w:rPr>
      <w:rFonts w:ascii="Book Antiqua" w:hAnsi="Book Antiqua"/>
      <w:sz w:val="19"/>
    </w:rPr>
  </w:style>
  <w:style w:type="paragraph" w:customStyle="1" w:styleId="Area">
    <w:name w:val="Area"/>
    <w:basedOn w:val="Normal"/>
    <w:rsid w:val="00CC08C2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CC08C2"/>
    <w:pPr>
      <w:tabs>
        <w:tab w:val="right" w:pos="9639"/>
      </w:tabs>
      <w:spacing w:before="60" w:after="60"/>
      <w:jc w:val="right"/>
    </w:pPr>
    <w:rPr>
      <w:rFonts w:ascii="Times New Roman" w:hAnsi="Times New Roman"/>
      <w:b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CC08C2"/>
    <w:pPr>
      <w:spacing w:after="0" w:line="240" w:lineRule="auto"/>
      <w:ind w:right="-113"/>
    </w:pPr>
  </w:style>
  <w:style w:type="paragraph" w:customStyle="1" w:styleId="Exampletext0">
    <w:name w:val="Example text"/>
    <w:basedOn w:val="Normal"/>
    <w:link w:val="ExampletextCharChar"/>
    <w:rsid w:val="00CC08C2"/>
    <w:rPr>
      <w:i/>
      <w:color w:val="FF0000"/>
      <w:lang w:val="x-none"/>
    </w:rPr>
  </w:style>
  <w:style w:type="character" w:customStyle="1" w:styleId="ExampletextCharChar">
    <w:name w:val="Example text Char Char"/>
    <w:link w:val="Exampletext0"/>
    <w:rsid w:val="00CC08C2"/>
    <w:rPr>
      <w:rFonts w:ascii="Book Antiqua" w:hAnsi="Book Antiqua"/>
      <w:i/>
      <w:color w:val="FF0000"/>
      <w:sz w:val="19"/>
      <w:lang w:val="x-none"/>
    </w:rPr>
  </w:style>
  <w:style w:type="paragraph" w:customStyle="1" w:styleId="Source">
    <w:name w:val="Source"/>
    <w:basedOn w:val="Normal"/>
    <w:rsid w:val="00CC08C2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FigureHeading">
    <w:name w:val="Figure Heading"/>
    <w:basedOn w:val="HeadingBase"/>
    <w:next w:val="ChartGraphic"/>
    <w:rsid w:val="00CC08C2"/>
    <w:pPr>
      <w:spacing w:before="120" w:after="20"/>
    </w:pPr>
    <w:rPr>
      <w:b/>
      <w:sz w:val="20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CC08C2"/>
    <w:pPr>
      <w:keepNext w:val="0"/>
      <w:tabs>
        <w:tab w:val="left" w:pos="709"/>
      </w:tabs>
      <w:spacing w:before="30"/>
    </w:pPr>
    <w:rPr>
      <w:color w:val="000000"/>
      <w:sz w:val="16"/>
    </w:rPr>
  </w:style>
  <w:style w:type="character" w:customStyle="1" w:styleId="TableHeadingChar">
    <w:name w:val="Table Heading Char"/>
    <w:link w:val="TableHeading"/>
    <w:rsid w:val="00CC08C2"/>
    <w:rPr>
      <w:rFonts w:ascii="Arial" w:hAnsi="Arial"/>
      <w:b/>
    </w:rPr>
  </w:style>
  <w:style w:type="paragraph" w:customStyle="1" w:styleId="TPHeading1">
    <w:name w:val="TP Heading 1"/>
    <w:basedOn w:val="HeadingBase"/>
    <w:rsid w:val="00CC08C2"/>
    <w:pPr>
      <w:spacing w:before="60" w:after="60"/>
      <w:ind w:left="851"/>
    </w:pPr>
    <w:rPr>
      <w:caps/>
      <w:spacing w:val="-10"/>
      <w:sz w:val="28"/>
    </w:rPr>
  </w:style>
  <w:style w:type="paragraph" w:customStyle="1" w:styleId="TPHeading3">
    <w:name w:val="TP Heading 3"/>
    <w:basedOn w:val="HeadingBase"/>
    <w:rsid w:val="00CC08C2"/>
    <w:pPr>
      <w:ind w:left="851"/>
    </w:pPr>
    <w:rPr>
      <w:caps/>
      <w:spacing w:val="-10"/>
    </w:rPr>
  </w:style>
  <w:style w:type="paragraph" w:customStyle="1" w:styleId="TPHeading2">
    <w:name w:val="TP Heading 2"/>
    <w:basedOn w:val="HeadingBase"/>
    <w:rsid w:val="00CC08C2"/>
    <w:pPr>
      <w:ind w:left="851"/>
    </w:pPr>
    <w:rPr>
      <w:b/>
      <w:caps/>
      <w:spacing w:val="-1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C08C2"/>
    <w:rPr>
      <w:rFonts w:ascii="Tahoma" w:hAnsi="Tahoma"/>
      <w:sz w:val="16"/>
      <w:szCs w:val="16"/>
      <w:lang w:val="x-none"/>
    </w:rPr>
  </w:style>
  <w:style w:type="paragraph" w:styleId="TOC3">
    <w:name w:val="toc 3"/>
    <w:basedOn w:val="HeadingBase"/>
    <w:next w:val="Normal"/>
    <w:uiPriority w:val="39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customStyle="1" w:styleId="Outcomeheading">
    <w:name w:val="Outcome heading"/>
    <w:basedOn w:val="Heading3"/>
    <w:qFormat/>
    <w:rsid w:val="00CC08C2"/>
  </w:style>
  <w:style w:type="paragraph" w:customStyle="1" w:styleId="Title2ndLevel">
    <w:name w:val="Title 2nd Level"/>
    <w:basedOn w:val="Normal"/>
    <w:rsid w:val="00F16D8A"/>
    <w:pPr>
      <w:spacing w:after="0" w:line="240" w:lineRule="auto"/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CC08C2"/>
    <w:rPr>
      <w:b w:val="0"/>
      <w:color w:val="auto"/>
      <w:u w:val="single"/>
    </w:rPr>
  </w:style>
  <w:style w:type="character" w:customStyle="1" w:styleId="A5">
    <w:name w:val="A5"/>
    <w:uiPriority w:val="99"/>
    <w:rsid w:val="00CC08C2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CC08C2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qFormat/>
    <w:rsid w:val="00CC08C2"/>
    <w:pPr>
      <w:numPr>
        <w:numId w:val="35"/>
      </w:numPr>
      <w:spacing w:after="160"/>
    </w:pPr>
  </w:style>
  <w:style w:type="character" w:customStyle="1" w:styleId="BulletChar">
    <w:name w:val="Bullet Char"/>
    <w:link w:val="Bullet"/>
    <w:rsid w:val="00CC08C2"/>
    <w:rPr>
      <w:rFonts w:ascii="Book Antiqua" w:hAnsi="Book Antiqua"/>
      <w:sz w:val="19"/>
    </w:rPr>
  </w:style>
  <w:style w:type="paragraph" w:customStyle="1" w:styleId="Dash">
    <w:name w:val="Dash"/>
    <w:basedOn w:val="Normal"/>
    <w:link w:val="DashChar"/>
    <w:qFormat/>
    <w:rsid w:val="00DC68E9"/>
    <w:pPr>
      <w:numPr>
        <w:ilvl w:val="1"/>
        <w:numId w:val="35"/>
      </w:numPr>
      <w:tabs>
        <w:tab w:val="left" w:pos="567"/>
      </w:tabs>
      <w:spacing w:after="160"/>
      <w:ind w:left="568"/>
    </w:pPr>
  </w:style>
  <w:style w:type="character" w:customStyle="1" w:styleId="DashChar">
    <w:name w:val="Dash Char"/>
    <w:link w:val="Dash"/>
    <w:rsid w:val="00DC68E9"/>
    <w:rPr>
      <w:rFonts w:ascii="Book Antiqua" w:hAnsi="Book Antiqua"/>
      <w:sz w:val="19"/>
    </w:rPr>
  </w:style>
  <w:style w:type="paragraph" w:customStyle="1" w:styleId="DoubleDot">
    <w:name w:val="Double Dot"/>
    <w:basedOn w:val="Normal"/>
    <w:link w:val="DoubleDotChar"/>
    <w:rsid w:val="00DC68E9"/>
    <w:pPr>
      <w:numPr>
        <w:ilvl w:val="2"/>
        <w:numId w:val="35"/>
      </w:numPr>
      <w:spacing w:after="160"/>
      <w:ind w:left="851" w:hanging="284"/>
    </w:pPr>
    <w:rPr>
      <w:lang w:val="x-none"/>
    </w:rPr>
  </w:style>
  <w:style w:type="character" w:customStyle="1" w:styleId="DoubleDotChar">
    <w:name w:val="Double Dot Char"/>
    <w:link w:val="DoubleDot"/>
    <w:rsid w:val="00DC68E9"/>
    <w:rPr>
      <w:rFonts w:ascii="Book Antiqua" w:hAnsi="Book Antiqua"/>
      <w:sz w:val="19"/>
      <w:lang w:val="x-none"/>
    </w:rPr>
  </w:style>
  <w:style w:type="paragraph" w:styleId="NormalWeb">
    <w:name w:val="Normal (Web)"/>
    <w:basedOn w:val="Normal"/>
    <w:uiPriority w:val="99"/>
    <w:semiHidden/>
    <w:unhideWhenUsed/>
    <w:rsid w:val="00B06FD9"/>
    <w:rPr>
      <w:rFonts w:ascii="Times New Roman" w:hAnsi="Times New Roman"/>
      <w:sz w:val="24"/>
      <w:szCs w:val="24"/>
    </w:rPr>
  </w:style>
  <w:style w:type="paragraph" w:customStyle="1" w:styleId="BoxText">
    <w:name w:val="Box Text"/>
    <w:basedOn w:val="Normal"/>
    <w:qFormat/>
    <w:rsid w:val="00CC08C2"/>
    <w:pPr>
      <w:spacing w:before="120" w:after="120" w:line="240" w:lineRule="auto"/>
    </w:pPr>
  </w:style>
  <w:style w:type="paragraph" w:customStyle="1" w:styleId="TableMainHeading">
    <w:name w:val="Table Main Heading"/>
    <w:basedOn w:val="Normal"/>
    <w:next w:val="Normal"/>
    <w:rsid w:val="00B36320"/>
    <w:pPr>
      <w:keepNext/>
    </w:pPr>
    <w:rPr>
      <w:rFonts w:ascii="Cambria" w:hAnsi="Cambria"/>
      <w:b/>
      <w:color w:val="FFFFFF"/>
    </w:rPr>
  </w:style>
  <w:style w:type="paragraph" w:customStyle="1" w:styleId="TableTextLeft">
    <w:name w:val="Table Text Left"/>
    <w:basedOn w:val="TableTextBase"/>
    <w:link w:val="TableTextLeftChar"/>
    <w:rsid w:val="00CC08C2"/>
  </w:style>
  <w:style w:type="paragraph" w:customStyle="1" w:styleId="BoxBullet">
    <w:name w:val="Box Bullet"/>
    <w:basedOn w:val="BoxText"/>
    <w:rsid w:val="00CC08C2"/>
    <w:pPr>
      <w:numPr>
        <w:numId w:val="31"/>
      </w:numPr>
    </w:pPr>
  </w:style>
  <w:style w:type="paragraph" w:customStyle="1" w:styleId="legcohead1">
    <w:name w:val="legcohead1"/>
    <w:basedOn w:val="Heading1"/>
    <w:semiHidden/>
    <w:rsid w:val="00B36320"/>
    <w:pPr>
      <w:pBdr>
        <w:bottom w:val="single" w:sz="6" w:space="12" w:color="auto"/>
      </w:pBdr>
      <w:spacing w:before="120" w:after="120"/>
    </w:pPr>
    <w:rPr>
      <w:rFonts w:ascii="Times New Roman" w:hAnsi="Times New Roman"/>
      <w:cap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4C"/>
    <w:pPr>
      <w:spacing w:before="960" w:after="960" w:line="240" w:lineRule="auto"/>
      <w:jc w:val="center"/>
    </w:pPr>
    <w:rPr>
      <w:rFonts w:ascii="Garamond" w:hAnsi="Garamond"/>
      <w:sz w:val="36"/>
      <w:szCs w:val="36"/>
    </w:rPr>
  </w:style>
  <w:style w:type="character" w:customStyle="1" w:styleId="SubtitleChar">
    <w:name w:val="Subtitle Char"/>
    <w:link w:val="Subtitle"/>
    <w:uiPriority w:val="11"/>
    <w:rsid w:val="001C534C"/>
    <w:rPr>
      <w:rFonts w:ascii="Garamond" w:hAnsi="Garamond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36320"/>
    <w:pPr>
      <w:ind w:left="567"/>
    </w:pPr>
    <w:rPr>
      <w:rFonts w:ascii="Calibri" w:hAnsi="Calibri"/>
      <w:iCs/>
      <w:color w:val="000000"/>
      <w:sz w:val="24"/>
      <w:lang w:val="x-none"/>
    </w:rPr>
  </w:style>
  <w:style w:type="character" w:customStyle="1" w:styleId="QuoteChar">
    <w:name w:val="Quote Char"/>
    <w:link w:val="Quote"/>
    <w:uiPriority w:val="29"/>
    <w:rsid w:val="00B36320"/>
    <w:rPr>
      <w:rFonts w:cs="Times New Roman"/>
      <w:iCs/>
      <w:color w:val="000000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CC0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8C2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C08C2"/>
    <w:rPr>
      <w:rFonts w:ascii="Book Antiqua" w:hAnsi="Book Antiqua"/>
      <w:sz w:val="19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08C2"/>
    <w:rPr>
      <w:rFonts w:ascii="Book Antiqua" w:hAnsi="Book Antiqua"/>
      <w:b/>
      <w:bCs/>
      <w:sz w:val="19"/>
      <w:lang w:val="x-none" w:eastAsia="x-none"/>
    </w:rPr>
  </w:style>
  <w:style w:type="character" w:customStyle="1" w:styleId="ChartandTableFootnoteChar">
    <w:name w:val="Chart and Table Footnote Char"/>
    <w:link w:val="ChartandTableFootnote"/>
    <w:rsid w:val="00CC08C2"/>
    <w:rPr>
      <w:rFonts w:ascii="Arial" w:hAnsi="Arial"/>
      <w:color w:val="000000"/>
      <w:sz w:val="16"/>
    </w:rPr>
  </w:style>
  <w:style w:type="paragraph" w:styleId="BodyText">
    <w:name w:val="Body Text"/>
    <w:basedOn w:val="Normal"/>
    <w:link w:val="BodyTextChar"/>
    <w:qFormat/>
    <w:rsid w:val="00CC08C2"/>
    <w:pPr>
      <w:spacing w:after="120" w:line="240" w:lineRule="auto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CC08C2"/>
    <w:rPr>
      <w:rFonts w:ascii="Cambria" w:eastAsia="Cambria" w:hAnsi="Cambria"/>
      <w:sz w:val="22"/>
      <w:szCs w:val="22"/>
      <w:lang w:val="x-none" w:eastAsia="en-US"/>
    </w:rPr>
  </w:style>
  <w:style w:type="paragraph" w:customStyle="1" w:styleId="TableTextBullet">
    <w:name w:val="Table Text Bullet"/>
    <w:basedOn w:val="TableTextBase"/>
    <w:rsid w:val="00CC08C2"/>
    <w:pPr>
      <w:numPr>
        <w:numId w:val="36"/>
      </w:numPr>
    </w:pPr>
  </w:style>
  <w:style w:type="paragraph" w:customStyle="1" w:styleId="Heading2-NoTOC">
    <w:name w:val="Heading 2 - No TOC"/>
    <w:rsid w:val="00CC08C2"/>
    <w:pPr>
      <w:spacing w:before="240" w:after="240"/>
    </w:pPr>
    <w:rPr>
      <w:rFonts w:ascii="Arial" w:hAnsi="Arial"/>
      <w:b/>
      <w:sz w:val="26"/>
    </w:rPr>
  </w:style>
  <w:style w:type="paragraph" w:styleId="TOC4">
    <w:name w:val="toc 4"/>
    <w:basedOn w:val="HeadingBase"/>
    <w:next w:val="Normal"/>
    <w:uiPriority w:val="39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Revision">
    <w:name w:val="Revision"/>
    <w:hidden/>
    <w:uiPriority w:val="99"/>
    <w:semiHidden/>
    <w:rsid w:val="00CC08C2"/>
    <w:rPr>
      <w:rFonts w:ascii="Book Antiqua" w:hAnsi="Book Antiqua"/>
    </w:rPr>
  </w:style>
  <w:style w:type="paragraph" w:customStyle="1" w:styleId="TableTextBase">
    <w:name w:val="Table Text Base"/>
    <w:basedOn w:val="Normal"/>
    <w:link w:val="TableTextBaseChar"/>
    <w:rsid w:val="00CC08C2"/>
    <w:pPr>
      <w:spacing w:before="20" w:after="20" w:line="240" w:lineRule="auto"/>
    </w:pPr>
    <w:rPr>
      <w:rFonts w:ascii="Arial" w:hAnsi="Arial"/>
      <w:sz w:val="16"/>
    </w:rPr>
  </w:style>
  <w:style w:type="character" w:customStyle="1" w:styleId="TableTextBaseChar">
    <w:name w:val="Table Text Base Char"/>
    <w:link w:val="TableTextBase"/>
    <w:rsid w:val="00CC08C2"/>
    <w:rPr>
      <w:rFonts w:ascii="Arial" w:hAnsi="Arial"/>
      <w:sz w:val="16"/>
    </w:rPr>
  </w:style>
  <w:style w:type="character" w:customStyle="1" w:styleId="TableTextLeftChar">
    <w:name w:val="Table Text Left Char"/>
    <w:link w:val="TableTextLeft"/>
    <w:rsid w:val="00CC08C2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rsid w:val="00CC08C2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CC08C2"/>
    <w:rPr>
      <w:rFonts w:ascii="Times New Roman" w:hAnsi="Times New Roman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C08C2"/>
    <w:rPr>
      <w:rFonts w:ascii="Cambria" w:hAnsi="Cambria"/>
      <w:sz w:val="22"/>
      <w:szCs w:val="22"/>
    </w:rPr>
  </w:style>
  <w:style w:type="paragraph" w:styleId="NoSpacing">
    <w:name w:val="No Spacing"/>
    <w:uiPriority w:val="1"/>
    <w:qFormat/>
    <w:rsid w:val="00CC08C2"/>
    <w:rPr>
      <w:rFonts w:ascii="Book Antiqua" w:hAnsi="Book Antiqua"/>
      <w:sz w:val="19"/>
    </w:rPr>
  </w:style>
  <w:style w:type="paragraph" w:customStyle="1" w:styleId="Default">
    <w:name w:val="Default"/>
    <w:basedOn w:val="Normal"/>
    <w:rsid w:val="00CC08C2"/>
    <w:pPr>
      <w:autoSpaceDE w:val="0"/>
      <w:autoSpaceDN w:val="0"/>
      <w:spacing w:after="0" w:line="240" w:lineRule="auto"/>
    </w:pPr>
    <w:rPr>
      <w:rFonts w:ascii="Cambria" w:eastAsia="Calibri" w:hAnsi="Cambria"/>
      <w:color w:val="000000"/>
      <w:sz w:val="24"/>
      <w:szCs w:val="24"/>
      <w:lang w:eastAsia="en-US"/>
    </w:rPr>
  </w:style>
  <w:style w:type="paragraph" w:customStyle="1" w:styleId="TableHeadingcontinued">
    <w:name w:val="Table Heading (continued)"/>
    <w:basedOn w:val="TableHeading"/>
    <w:rsid w:val="00CC08C2"/>
    <w:rPr>
      <w:snapToGrid w:val="0"/>
    </w:rPr>
  </w:style>
  <w:style w:type="paragraph" w:customStyle="1" w:styleId="Heading1-NoTOC">
    <w:name w:val="Heading 1 - No TOC"/>
    <w:basedOn w:val="Heading1"/>
    <w:rsid w:val="00CC08C2"/>
    <w:pPr>
      <w:outlineLvl w:val="9"/>
    </w:pPr>
  </w:style>
  <w:style w:type="paragraph" w:customStyle="1" w:styleId="PartHeading-NoTOC">
    <w:name w:val="Part Heading - No TOC"/>
    <w:basedOn w:val="PartHeading"/>
    <w:rsid w:val="00CC08C2"/>
  </w:style>
  <w:style w:type="paragraph" w:customStyle="1" w:styleId="FooterOdd">
    <w:name w:val="Footer Odd"/>
    <w:basedOn w:val="Footer"/>
    <w:qFormat/>
    <w:rsid w:val="00CC08C2"/>
    <w:pPr>
      <w:pBdr>
        <w:top w:val="single" w:sz="4" w:space="10" w:color="000000" w:themeColor="text1"/>
      </w:pBdr>
      <w:jc w:val="right"/>
    </w:pPr>
    <w:rPr>
      <w:sz w:val="18"/>
    </w:rPr>
  </w:style>
  <w:style w:type="paragraph" w:customStyle="1" w:styleId="FooterEven">
    <w:name w:val="Footer Even"/>
    <w:basedOn w:val="Footer"/>
    <w:qFormat/>
    <w:rsid w:val="00CC08C2"/>
    <w:pPr>
      <w:pBdr>
        <w:top w:val="single" w:sz="4" w:space="10" w:color="000000" w:themeColor="text1"/>
      </w:pBdr>
      <w:jc w:val="left"/>
    </w:pPr>
    <w:rPr>
      <w:color w:val="auto"/>
      <w:sz w:val="18"/>
    </w:rPr>
  </w:style>
  <w:style w:type="table" w:styleId="TableGrid">
    <w:name w:val="Table Grid"/>
    <w:basedOn w:val="TableNormal"/>
    <w:rsid w:val="00CC08C2"/>
    <w:pPr>
      <w:spacing w:after="240" w:line="2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Paragraph">
    <w:name w:val="Alpha Paragraph"/>
    <w:basedOn w:val="Normal"/>
    <w:rsid w:val="00CC08C2"/>
    <w:pPr>
      <w:numPr>
        <w:numId w:val="30"/>
      </w:numPr>
      <w:tabs>
        <w:tab w:val="clear" w:pos="567"/>
        <w:tab w:val="num" w:pos="360"/>
      </w:tabs>
    </w:pPr>
  </w:style>
  <w:style w:type="paragraph" w:customStyle="1" w:styleId="HeadingBase">
    <w:name w:val="Heading Base"/>
    <w:link w:val="HeadingBaseChar"/>
    <w:rsid w:val="00CC08C2"/>
    <w:pPr>
      <w:keepNext/>
    </w:pPr>
    <w:rPr>
      <w:rFonts w:ascii="Arial" w:hAnsi="Arial"/>
      <w:sz w:val="24"/>
    </w:rPr>
  </w:style>
  <w:style w:type="character" w:customStyle="1" w:styleId="HeadingBaseChar">
    <w:name w:val="Heading Base Char"/>
    <w:link w:val="HeadingBase"/>
    <w:rsid w:val="00CC08C2"/>
    <w:rPr>
      <w:rFonts w:ascii="Arial" w:hAnsi="Arial"/>
      <w:sz w:val="24"/>
    </w:rPr>
  </w:style>
  <w:style w:type="paragraph" w:customStyle="1" w:styleId="AppendixHeading">
    <w:name w:val="Appendix Heading"/>
    <w:basedOn w:val="HeadingBase"/>
    <w:semiHidden/>
    <w:rsid w:val="00CC08C2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Dash">
    <w:name w:val="Box Dash"/>
    <w:basedOn w:val="Normal"/>
    <w:rsid w:val="00CC08C2"/>
    <w:pPr>
      <w:numPr>
        <w:ilvl w:val="1"/>
        <w:numId w:val="32"/>
      </w:numPr>
    </w:pPr>
    <w:rPr>
      <w:color w:val="000000"/>
    </w:rPr>
  </w:style>
  <w:style w:type="paragraph" w:customStyle="1" w:styleId="BoxTextBase">
    <w:name w:val="Box Text Base"/>
    <w:basedOn w:val="Normal"/>
    <w:rsid w:val="00CC08C2"/>
    <w:pPr>
      <w:spacing w:after="120"/>
    </w:pPr>
    <w:rPr>
      <w:color w:val="000000"/>
    </w:rPr>
  </w:style>
  <w:style w:type="paragraph" w:customStyle="1" w:styleId="BoxDoubleDot">
    <w:name w:val="Box Double Dot"/>
    <w:basedOn w:val="BoxTextBase"/>
    <w:rsid w:val="00CC08C2"/>
    <w:pPr>
      <w:numPr>
        <w:ilvl w:val="2"/>
        <w:numId w:val="32"/>
      </w:numPr>
    </w:pPr>
  </w:style>
  <w:style w:type="paragraph" w:customStyle="1" w:styleId="BoxHeading">
    <w:name w:val="Box Heading"/>
    <w:basedOn w:val="HeadingBase"/>
    <w:next w:val="BoxText"/>
    <w:rsid w:val="00CC08C2"/>
    <w:pPr>
      <w:spacing w:before="120" w:after="120"/>
    </w:pPr>
    <w:rPr>
      <w:b/>
      <w:sz w:val="20"/>
    </w:rPr>
  </w:style>
  <w:style w:type="character" w:customStyle="1" w:styleId="BoxHeading-Continued">
    <w:name w:val="Box Heading - Continued"/>
    <w:uiPriority w:val="1"/>
    <w:qFormat/>
    <w:rsid w:val="00CC08C2"/>
    <w:rPr>
      <w:sz w:val="22"/>
    </w:rPr>
  </w:style>
  <w:style w:type="paragraph" w:customStyle="1" w:styleId="BoxSubHeading">
    <w:name w:val="Box Sub Heading"/>
    <w:basedOn w:val="Heading6"/>
    <w:rsid w:val="00CC08C2"/>
    <w:pPr>
      <w:spacing w:before="120" w:after="40"/>
    </w:pPr>
  </w:style>
  <w:style w:type="paragraph" w:customStyle="1" w:styleId="ChartandTableFootnoteAlpha-Bullet">
    <w:name w:val="Chart and Table Footnote Alpha - Bullet"/>
    <w:basedOn w:val="ChartandTableFootnoteAlpha"/>
    <w:rsid w:val="00CC08C2"/>
    <w:pPr>
      <w:numPr>
        <w:numId w:val="34"/>
      </w:numPr>
      <w:tabs>
        <w:tab w:val="left" w:pos="454"/>
      </w:tabs>
    </w:pPr>
    <w:rPr>
      <w:rFonts w:cs="Arial"/>
      <w:szCs w:val="16"/>
    </w:rPr>
  </w:style>
  <w:style w:type="paragraph" w:customStyle="1" w:styleId="ChartHeading">
    <w:name w:val="Chart Heading"/>
    <w:basedOn w:val="HeadingBase"/>
    <w:next w:val="ChartGraphic"/>
    <w:qFormat/>
    <w:rsid w:val="00CC08C2"/>
    <w:pPr>
      <w:spacing w:before="120" w:after="20"/>
    </w:pPr>
    <w:rPr>
      <w:b/>
      <w:sz w:val="20"/>
    </w:rPr>
  </w:style>
  <w:style w:type="paragraph" w:customStyle="1" w:styleId="ChartLine">
    <w:name w:val="Chart Line"/>
    <w:basedOn w:val="NoSpacing"/>
    <w:autoRedefine/>
    <w:qFormat/>
    <w:rsid w:val="00CC08C2"/>
    <w:pPr>
      <w:pBdr>
        <w:bottom w:val="single" w:sz="4" w:space="2" w:color="D0CECE" w:themeColor="background2" w:themeShade="E6"/>
      </w:pBdr>
      <w:spacing w:after="240"/>
    </w:pPr>
    <w:rPr>
      <w:rFonts w:asciiTheme="minorHAnsi" w:hAnsiTheme="minorHAnsi"/>
      <w:noProof/>
      <w:sz w:val="4"/>
      <w:szCs w:val="4"/>
    </w:rPr>
  </w:style>
  <w:style w:type="paragraph" w:customStyle="1" w:styleId="ChartMainHeading">
    <w:name w:val="Chart Main Heading"/>
    <w:basedOn w:val="ChartHeading"/>
    <w:next w:val="ChartGraphic"/>
    <w:rsid w:val="00CC08C2"/>
  </w:style>
  <w:style w:type="paragraph" w:customStyle="1" w:styleId="ChartSecondHeading">
    <w:name w:val="Chart Second Heading"/>
    <w:basedOn w:val="HeadingBase"/>
    <w:next w:val="ChartGraphic"/>
    <w:rsid w:val="00CC08C2"/>
    <w:pPr>
      <w:spacing w:after="60"/>
    </w:pPr>
    <w:rPr>
      <w:sz w:val="19"/>
    </w:rPr>
  </w:style>
  <w:style w:type="paragraph" w:customStyle="1" w:styleId="DepartmentSubtitle">
    <w:name w:val="Department Subtitle"/>
    <w:basedOn w:val="Department"/>
    <w:rsid w:val="00CC08C2"/>
    <w:rPr>
      <w:sz w:val="44"/>
    </w:rPr>
  </w:style>
  <w:style w:type="paragraph" w:customStyle="1" w:styleId="FileProperties">
    <w:name w:val="File Properties"/>
    <w:basedOn w:val="Normal"/>
    <w:rsid w:val="00CC08C2"/>
    <w:rPr>
      <w:i/>
    </w:rPr>
  </w:style>
  <w:style w:type="paragraph" w:customStyle="1" w:styleId="FooterBase">
    <w:name w:val="Footer Base"/>
    <w:rsid w:val="00CC08C2"/>
    <w:pPr>
      <w:jc w:val="center"/>
    </w:pPr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rsid w:val="00CC08C2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CC08C2"/>
    <w:rPr>
      <w:rFonts w:ascii="Book Antiqua" w:hAnsi="Book Antiqua"/>
      <w:sz w:val="18"/>
    </w:rPr>
  </w:style>
  <w:style w:type="character" w:customStyle="1" w:styleId="FramedHeader">
    <w:name w:val="Framed Header"/>
    <w:basedOn w:val="DefaultParagraphFont"/>
    <w:rsid w:val="00CC08C2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CC08C2"/>
    <w:rPr>
      <w:rFonts w:ascii="Arial" w:hAnsi="Arial"/>
      <w:color w:val="44546A" w:themeColor="text2"/>
      <w:sz w:val="18"/>
    </w:rPr>
  </w:style>
  <w:style w:type="paragraph" w:customStyle="1" w:styleId="Heading3noTOC">
    <w:name w:val="Heading 3 no TOC"/>
    <w:basedOn w:val="Heading3"/>
    <w:rsid w:val="00CC08C2"/>
    <w:pPr>
      <w:outlineLvl w:val="9"/>
    </w:pPr>
  </w:style>
  <w:style w:type="paragraph" w:styleId="ListParagraph">
    <w:name w:val="List Paragraph"/>
    <w:basedOn w:val="Normal"/>
    <w:qFormat/>
    <w:rsid w:val="00CC0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Indent">
    <w:name w:val="Normal Indent"/>
    <w:basedOn w:val="Normal"/>
    <w:rsid w:val="00CC08C2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CC08C2"/>
  </w:style>
  <w:style w:type="character" w:customStyle="1" w:styleId="NoteHeadingChar">
    <w:name w:val="Note Heading Char"/>
    <w:basedOn w:val="DefaultParagraphFont"/>
    <w:link w:val="NoteHeading"/>
    <w:rsid w:val="00CC08C2"/>
    <w:rPr>
      <w:rFonts w:ascii="Book Antiqua" w:hAnsi="Book Antiqua"/>
      <w:sz w:val="19"/>
    </w:rPr>
  </w:style>
  <w:style w:type="paragraph" w:customStyle="1" w:styleId="NoteTableHeading">
    <w:name w:val="Note Table Heading"/>
    <w:basedOn w:val="HeadingBase"/>
    <w:next w:val="Normal"/>
    <w:rsid w:val="00CC08C2"/>
    <w:pPr>
      <w:spacing w:before="240"/>
    </w:pPr>
    <w:rPr>
      <w:b/>
      <w:sz w:val="20"/>
    </w:rPr>
  </w:style>
  <w:style w:type="paragraph" w:customStyle="1" w:styleId="Outcome">
    <w:name w:val="Outcome"/>
    <w:basedOn w:val="Normal"/>
    <w:rsid w:val="00CC08C2"/>
    <w:pPr>
      <w:spacing w:before="120" w:after="120"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CC08C2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CC08C2"/>
  </w:style>
  <w:style w:type="paragraph" w:customStyle="1" w:styleId="Statement">
    <w:name w:val="Statement"/>
    <w:basedOn w:val="Normal"/>
    <w:autoRedefine/>
    <w:qFormat/>
    <w:rsid w:val="00CC08C2"/>
    <w:pPr>
      <w:textboxTightWrap w:val="firstAndLastLine"/>
    </w:pPr>
    <w:rPr>
      <w:rFonts w:cstheme="minorHAnsi"/>
      <w:kern w:val="18"/>
      <w:sz w:val="18"/>
    </w:rPr>
  </w:style>
  <w:style w:type="paragraph" w:customStyle="1" w:styleId="Statement-Bullet">
    <w:name w:val="Statement - Bullet"/>
    <w:basedOn w:val="Bullet"/>
    <w:qFormat/>
    <w:rsid w:val="00CC08C2"/>
    <w:pPr>
      <w:ind w:left="284" w:hanging="284"/>
    </w:pPr>
  </w:style>
  <w:style w:type="paragraph" w:customStyle="1" w:styleId="TableColumnHeadingBase">
    <w:name w:val="Table Column Heading Base"/>
    <w:basedOn w:val="Normal"/>
    <w:rsid w:val="00CC08C2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OutgroupHeading">
    <w:name w:val="Table Column Outgroup Heading"/>
    <w:basedOn w:val="Normal"/>
    <w:rsid w:val="00CC08C2"/>
    <w:pPr>
      <w:spacing w:before="60" w:after="120" w:line="240" w:lineRule="auto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CC08C2"/>
    <w:pPr>
      <w:spacing w:before="60" w:after="120" w:line="240" w:lineRule="auto"/>
      <w:jc w:val="center"/>
    </w:pPr>
  </w:style>
  <w:style w:type="paragraph" w:customStyle="1" w:styleId="TableHeadingNoTable">
    <w:name w:val="Table Heading No Table"/>
    <w:basedOn w:val="TableHeading"/>
    <w:next w:val="Normal"/>
    <w:rsid w:val="00CC08C2"/>
    <w:pPr>
      <w:spacing w:after="240"/>
    </w:pPr>
  </w:style>
  <w:style w:type="paragraph" w:customStyle="1" w:styleId="TableLine">
    <w:name w:val="Table Line"/>
    <w:basedOn w:val="Normal"/>
    <w:next w:val="Normal"/>
    <w:autoRedefine/>
    <w:rsid w:val="00CC08C2"/>
    <w:pPr>
      <w:pBdr>
        <w:bottom w:val="single" w:sz="4" w:space="2" w:color="D0CECE" w:themeColor="background2" w:themeShade="E6"/>
      </w:pBdr>
      <w:spacing w:line="240" w:lineRule="auto"/>
    </w:pPr>
    <w:rPr>
      <w:noProof/>
      <w:sz w:val="4"/>
      <w:szCs w:val="4"/>
    </w:rPr>
  </w:style>
  <w:style w:type="paragraph" w:customStyle="1" w:styleId="TableTextCentred">
    <w:name w:val="Table Text Centred"/>
    <w:basedOn w:val="TableTextBase"/>
    <w:rsid w:val="00CC08C2"/>
    <w:pPr>
      <w:jc w:val="center"/>
    </w:pPr>
  </w:style>
  <w:style w:type="paragraph" w:customStyle="1" w:styleId="TableTextDash">
    <w:name w:val="Table Text Dash"/>
    <w:basedOn w:val="TableTextBase"/>
    <w:rsid w:val="00CC08C2"/>
    <w:pPr>
      <w:numPr>
        <w:ilvl w:val="1"/>
        <w:numId w:val="36"/>
      </w:numPr>
    </w:pPr>
  </w:style>
  <w:style w:type="paragraph" w:customStyle="1" w:styleId="TableTextIndented">
    <w:name w:val="Table Text Indented"/>
    <w:basedOn w:val="TableTextBase"/>
    <w:rsid w:val="00CC08C2"/>
    <w:pPr>
      <w:ind w:left="284"/>
    </w:pPr>
  </w:style>
  <w:style w:type="paragraph" w:customStyle="1" w:styleId="TableTextJustified0">
    <w:name w:val="Table Text Justified"/>
    <w:basedOn w:val="TableTextBase"/>
    <w:rsid w:val="00CC08C2"/>
    <w:pPr>
      <w:jc w:val="both"/>
    </w:pPr>
  </w:style>
  <w:style w:type="paragraph" w:customStyle="1" w:styleId="TableTextRight">
    <w:name w:val="Table Text Right"/>
    <w:basedOn w:val="TableTextBase"/>
    <w:rsid w:val="00CC08C2"/>
    <w:pPr>
      <w:jc w:val="right"/>
    </w:pPr>
  </w:style>
  <w:style w:type="paragraph" w:customStyle="1" w:styleId="TPHeading3bold">
    <w:name w:val="TP Heading 3 bold"/>
    <w:basedOn w:val="TPHeading3"/>
    <w:semiHidden/>
    <w:rsid w:val="00CC08C2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CC08C2"/>
    <w:pPr>
      <w:spacing w:after="120"/>
    </w:pPr>
  </w:style>
  <w:style w:type="paragraph" w:customStyle="1" w:styleId="TPHEADING3space">
    <w:name w:val="TP HEADING 3 space"/>
    <w:basedOn w:val="TPHeading3"/>
    <w:semiHidden/>
    <w:rsid w:val="00CC08C2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CC08C2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08C2"/>
    <w:rPr>
      <w:color w:val="605E5C"/>
      <w:shd w:val="clear" w:color="auto" w:fill="E1DFDD"/>
    </w:rPr>
  </w:style>
  <w:style w:type="paragraph" w:customStyle="1" w:styleId="CreativeCommons">
    <w:name w:val="Creative Commons"/>
    <w:basedOn w:val="Normal"/>
    <w:qFormat/>
    <w:rsid w:val="00C0306E"/>
    <w:pPr>
      <w:spacing w:before="120" w:after="120" w:line="220" w:lineRule="exact"/>
    </w:pPr>
    <w:rPr>
      <w:sz w:val="17"/>
    </w:rPr>
  </w:style>
  <w:style w:type="character" w:customStyle="1" w:styleId="ui-provider">
    <w:name w:val="ui-provider"/>
    <w:basedOn w:val="DefaultParagraphFont"/>
    <w:rsid w:val="005042C7"/>
  </w:style>
  <w:style w:type="paragraph" w:styleId="TOCHeading">
    <w:name w:val="TOC Heading"/>
    <w:basedOn w:val="Heading1"/>
    <w:next w:val="Normal"/>
    <w:uiPriority w:val="39"/>
    <w:unhideWhenUsed/>
    <w:qFormat/>
    <w:rsid w:val="00ED11EE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Box-continuedon">
    <w:name w:val="Box - continued on"/>
    <w:basedOn w:val="Normal"/>
    <w:uiPriority w:val="99"/>
    <w:qFormat/>
    <w:rsid w:val="0007055D"/>
    <w:pPr>
      <w:spacing w:after="0"/>
      <w:jc w:val="right"/>
    </w:pPr>
    <w:rPr>
      <w:rFonts w:ascii="Calibri Light" w:hAnsi="Calibri Light" w:cs="Calibri Light"/>
      <w:i/>
      <w:iCs/>
      <w:sz w:val="22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334D7"/>
    <w:pPr>
      <w:spacing w:after="100"/>
      <w:ind w:left="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PA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8F7CFF9272C47D4280006CCC81AF3990" ma:contentTypeVersion="28" ma:contentTypeDescription="Create a new document." ma:contentTypeScope="" ma:versionID="baa09545c6f06cf17fd8bbf3a98cc2fb">
  <xsd:schema xmlns:xsd="http://www.w3.org/2001/XMLSchema" xmlns:xs="http://www.w3.org/2001/XMLSchema" xmlns:p="http://schemas.microsoft.com/office/2006/metadata/properties" xmlns:ns2="a334ba3b-e131-42d3-95f3-2728f5a41884" xmlns:ns3="e39afc8f-a215-4bb1-9caf-c1c5d2f63d8a" xmlns:ns4="6a7e9632-768a-49bf-85ac-c69233ab2a52" targetNamespace="http://schemas.microsoft.com/office/2006/metadata/properties" ma:root="true" ma:fieldsID="183602ebd4ff217dc17333b2be51ca2a" ns2:_="" ns3:_="" ns4:_="">
    <xsd:import namespace="a334ba3b-e131-42d3-95f3-2728f5a41884"/>
    <xsd:import namespace="e39afc8f-a215-4bb1-9caf-c1c5d2f63d8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4c189e6-c560-40fe-97d1-6662c6a9f50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ccounting FW and Capability Support|17de058c-12f7-44f2-8e7d-03ff49305e52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4c189e6-c560-40fe-97d1-6662c6a9f50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fc8f-a215-4bb1-9caf-c1c5d2f63d8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34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FIN33506-1566835604-280032</_dlc_DocId>
    <_dlc_DocIdUrl xmlns="6a7e9632-768a-49bf-85ac-c69233ab2a52">
      <Url>https://financegovau.sharepoint.com/sites/M365_DoF_50033506/_layouts/15/DocIdRedir.aspx?ID=FIN33506-1566835604-280032</Url>
      <Description>FIN33506-1566835604-280032</Description>
    </_dlc_DocIdUrl>
    <SharedWithUsers xmlns="6a7e9632-768a-49bf-85ac-c69233ab2a52">
      <UserInfo>
        <DisplayName>Kim, Marina</DisplayName>
        <AccountId>211</AccountId>
        <AccountType/>
      </UserInfo>
      <UserInfo>
        <DisplayName>Holland, Natalie</DisplayName>
        <AccountId>159</AccountId>
        <AccountType/>
      </UserInfo>
      <UserInfo>
        <DisplayName>Naylor, Fiona</DisplayName>
        <AccountId>166</AccountId>
        <AccountType/>
      </UserInfo>
      <UserInfo>
        <DisplayName>Saywell, David</DisplayName>
        <AccountId>175</AccountId>
        <AccountType/>
      </UserInfo>
      <UserInfo>
        <DisplayName>Sartore, Louise</DisplayName>
        <AccountId>47</AccountId>
        <AccountType/>
      </UserInfo>
    </SharedWithUsers>
    <lcf76f155ced4ddcb4097134ff3c332f xmlns="e39afc8f-a215-4bb1-9caf-c1c5d2f63d8a">
      <Terms xmlns="http://schemas.microsoft.com/office/infopath/2007/PartnerControls"/>
    </lcf76f155ced4ddcb4097134ff3c332f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49BA-09AB-4B43-85A6-C95400C0A7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110108B-67EC-4BE2-BF86-6DA665B78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BB9210-0FF8-4CB5-AD3E-E3B535B6AE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23F8D9-491C-4C02-9608-B380A659A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e39afc8f-a215-4bb1-9caf-c1c5d2f63d8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426558-DA99-4E2D-B561-5DD2FBB51E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FAB006-7221-4DA3-96D5-1F4C1F2B61C2}">
  <ds:schemaRefs>
    <ds:schemaRef ds:uri="http://schemas.microsoft.com/office/2006/metadata/properties"/>
    <ds:schemaRef ds:uri="6a7e9632-768a-49bf-85ac-c69233ab2a52"/>
    <ds:schemaRef ds:uri="e39afc8f-a215-4bb1-9caf-c1c5d2f63d8a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334ba3b-e131-42d3-95f3-2728f5a41884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C88A4652-7CD1-4866-8A9C-CF70F184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PAES Template.dotx</Template>
  <TotalTime>144</TotalTime>
  <Pages>10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Additional Estimates Statements</vt:lpstr>
    </vt:vector>
  </TitlesOfParts>
  <Company>Australian Government - The Treasury</Company>
  <LinksUpToDate>false</LinksUpToDate>
  <CharactersWithSpaces>9504</CharactersWithSpaces>
  <SharedDoc>false</SharedDoc>
  <HLinks>
    <vt:vector size="84" baseType="variant">
      <vt:variant>
        <vt:i4>2686977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_Toc2349743</vt:lpwstr>
      </vt:variant>
      <vt:variant>
        <vt:i4>2686977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_Toc2349742</vt:lpwstr>
      </vt:variant>
      <vt:variant>
        <vt:i4>2686977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_Toc2349741</vt:lpwstr>
      </vt:variant>
      <vt:variant>
        <vt:i4>2686977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_Toc2349740</vt:lpwstr>
      </vt:variant>
      <vt:variant>
        <vt:i4>3014657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_Toc2349739</vt:lpwstr>
      </vt:variant>
      <vt:variant>
        <vt:i4>2752521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_Toc2588303</vt:lpwstr>
      </vt:variant>
      <vt:variant>
        <vt:i4>2752521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_Toc2588302</vt:lpwstr>
      </vt:variant>
      <vt:variant>
        <vt:i4>2818054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_Toc2349064</vt:lpwstr>
      </vt:variant>
      <vt:variant>
        <vt:i4>2818054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_Toc2349063</vt:lpwstr>
      </vt:variant>
      <vt:variant>
        <vt:i4>2818054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_Toc2349062</vt:lpwstr>
      </vt:variant>
      <vt:variant>
        <vt:i4>2818054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_Toc2349061</vt:lpwstr>
      </vt:variant>
      <vt:variant>
        <vt:i4>5374022</vt:i4>
      </vt:variant>
      <vt:variant>
        <vt:i4>50</vt:i4>
      </vt:variant>
      <vt:variant>
        <vt:i4>0</vt:i4>
      </vt:variant>
      <vt:variant>
        <vt:i4>5</vt:i4>
      </vt:variant>
      <vt:variant>
        <vt:lpwstr>http://www.budget.gov.au/</vt:lpwstr>
      </vt:variant>
      <vt:variant>
        <vt:lpwstr/>
      </vt:variant>
      <vt:variant>
        <vt:i4>65560</vt:i4>
      </vt:variant>
      <vt:variant>
        <vt:i4>33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Additional Estimates Statements</dc:title>
  <dc:subject/>
  <dc:creator>Kim, Marina</dc:creator>
  <cp:keywords>[SEC=OFFICIAL]</cp:keywords>
  <dc:description>Department of xxxxx</dc:description>
  <cp:lastModifiedBy>KEEN Julie</cp:lastModifiedBy>
  <cp:revision>28</cp:revision>
  <cp:lastPrinted>2023-05-06T02:00:00Z</cp:lastPrinted>
  <dcterms:created xsi:type="dcterms:W3CDTF">2023-05-05T02:37:00Z</dcterms:created>
  <dcterms:modified xsi:type="dcterms:W3CDTF">2023-05-09T05:22:00Z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0x010100B7B479F47583304BA8B631462CC772D7008F7CFF9272C47D4280006CCC81AF3990</vt:lpwstr>
  </property>
  <property fmtid="{D5CDD505-2E9C-101B-9397-08002B2CF9AE}" pid="3" name="_NewReviewCycle">
    <vt:lpwstr/>
  </property>
  <property fmtid="{D5CDD505-2E9C-101B-9397-08002B2CF9AE}" pid="4" name="_dlc_DocIdItemGuid">
    <vt:lpwstr>6a3f4d5d-1224-4449-bda4-f8fef691659b</vt:lpwstr>
  </property>
  <property fmtid="{D5CDD505-2E9C-101B-9397-08002B2CF9AE}" pid="5" name="TSYRecordClass">
    <vt:lpwstr>75;#AE-20337-Destroy 7 years after action completed|668ae28e-5138-4c7c-82db-1c8c6afc81a6</vt:lpwstr>
  </property>
  <property fmtid="{D5CDD505-2E9C-101B-9397-08002B2CF9AE}" pid="6" name="_dlc_DocId">
    <vt:lpwstr>FIN33506-1658115890-277376</vt:lpwstr>
  </property>
  <property fmtid="{D5CDD505-2E9C-101B-9397-08002B2CF9AE}" pid="7" name="_dlc_DocIdUrl">
    <vt:lpwstr>https://financegovau.sharepoint.com/sites/M365_DoF_50033506/_layouts/15/DocIdRedir.aspx?ID=FIN33506-1658115890-277376, FIN33506-1658115890-277376</vt:lpwstr>
  </property>
  <property fmtid="{D5CDD505-2E9C-101B-9397-08002B2CF9AE}" pid="8" name="lb508a4dc5e84436a0fe496b536466aa">
    <vt:lpwstr>AE-20337-Destroy 7 years after action completed|668ae28e-5138-4c7c-82db-1c8c6afc81a6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{99b38aed-0d05-42dc-bdc8-5883331978a3}</vt:lpwstr>
  </property>
  <property fmtid="{D5CDD505-2E9C-101B-9397-08002B2CF9AE}" pid="11" name="RecordPoint_SubmissionCompleted">
    <vt:lpwstr>2019-03-04T13:17:48.6583490+11:00</vt:lpwstr>
  </property>
  <property fmtid="{D5CDD505-2E9C-101B-9397-08002B2CF9AE}" pid="12" name="RecordPoint_ActiveItemSiteId">
    <vt:lpwstr>{de902461-0703-410e-906b-a2e3a4f5dd57}</vt:lpwstr>
  </property>
  <property fmtid="{D5CDD505-2E9C-101B-9397-08002B2CF9AE}" pid="13" name="RecordPoint_ActiveItemListId">
    <vt:lpwstr>{917c6d10-7849-4e91-b555-256976c549b5}</vt:lpwstr>
  </property>
  <property fmtid="{D5CDD505-2E9C-101B-9397-08002B2CF9AE}" pid="14" name="RecordPoint_ActiveItemWebId">
    <vt:lpwstr>{e237d495-0881-4849-ae62-ddc8a8132df5}</vt:lpwstr>
  </property>
  <property fmtid="{D5CDD505-2E9C-101B-9397-08002B2CF9AE}" pid="15" name="RecordPoint_RecordNumberSubmitted">
    <vt:lpwstr>R0002013166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iee44f6412bf40639855518abb1a08cc">
    <vt:lpwstr>Agency Accounting and Budget Framework|17de058c-12f7-44f2-8e7d-03ff49305e52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kb73b3df24114868a21db4ce3ca83710">
    <vt:lpwstr>Department of Finance|fd660e8f-8f31-49bd-92a3-d31d4da31afe</vt:lpwstr>
  </property>
  <property fmtid="{D5CDD505-2E9C-101B-9397-08002B2CF9AE}" pid="22" name="TaxKeyword">
    <vt:lpwstr>34;#[SEC=OFFICIAL]|07351cc0-de73-4913-be2f-56f124cbf8bb</vt:lpwstr>
  </property>
  <property fmtid="{D5CDD505-2E9C-101B-9397-08002B2CF9AE}" pid="23" name="k90b8697a98d4606834ec03f7c33303a">
    <vt:lpwstr/>
  </property>
  <property fmtid="{D5CDD505-2E9C-101B-9397-08002B2CF9AE}" pid="24" name="AbtEntity">
    <vt:lpwstr>2;#Department of Finance|fd660e8f-8f31-49bd-92a3-d31d4da31afe</vt:lpwstr>
  </property>
  <property fmtid="{D5CDD505-2E9C-101B-9397-08002B2CF9AE}" pid="25" name="Function and Activity">
    <vt:lpwstr/>
  </property>
  <property fmtid="{D5CDD505-2E9C-101B-9397-08002B2CF9AE}" pid="26" name="OrgUnit">
    <vt:lpwstr>1;#Agency Accounting and Budget Framework|17de058c-12f7-44f2-8e7d-03ff49305e52</vt:lpwstr>
  </property>
  <property fmtid="{D5CDD505-2E9C-101B-9397-08002B2CF9AE}" pid="27" name="k710d1823c744f64b20abec111d3c509">
    <vt:lpwstr>Department of Finance|fd660e8f-8f31-49bd-92a3-d31d4da31afe</vt:lpwstr>
  </property>
  <property fmtid="{D5CDD505-2E9C-101B-9397-08002B2CF9AE}" pid="28" name="display_urn:schemas-microsoft-com:office:office#Editor">
    <vt:lpwstr>Ha, Catherine</vt:lpwstr>
  </property>
  <property fmtid="{D5CDD505-2E9C-101B-9397-08002B2CF9AE}" pid="29" name="display_urn:schemas-microsoft-com:office:office#Author">
    <vt:lpwstr>Ha, Catherine</vt:lpwstr>
  </property>
  <property fmtid="{D5CDD505-2E9C-101B-9397-08002B2CF9AE}" pid="30" name="LMName">
    <vt:lpwstr/>
  </property>
  <property fmtid="{D5CDD505-2E9C-101B-9397-08002B2CF9AE}" pid="31" name="LastModDate">
    <vt:lpwstr/>
  </property>
  <property fmtid="{D5CDD505-2E9C-101B-9397-08002B2CF9AE}" pid="32" name="SecClass">
    <vt:lpwstr>OFFICIAL</vt:lpwstr>
  </property>
  <property fmtid="{D5CDD505-2E9C-101B-9397-08002B2CF9AE}" pid="33" name="RelatedItems">
    <vt:lpwstr/>
  </property>
  <property fmtid="{D5CDD505-2E9C-101B-9397-08002B2CF9AE}" pid="34" name="EmReceivedByName">
    <vt:lpwstr/>
  </property>
  <property fmtid="{D5CDD505-2E9C-101B-9397-08002B2CF9AE}" pid="35" name="EmImportance">
    <vt:lpwstr/>
  </property>
  <property fmtid="{D5CDD505-2E9C-101B-9397-08002B2CF9AE}" pid="36" name="EmCategory">
    <vt:lpwstr/>
  </property>
  <property fmtid="{D5CDD505-2E9C-101B-9397-08002B2CF9AE}" pid="37" name="EmConversationIndex">
    <vt:lpwstr/>
  </property>
  <property fmtid="{D5CDD505-2E9C-101B-9397-08002B2CF9AE}" pid="38" name="EmBody">
    <vt:lpwstr/>
  </property>
  <property fmtid="{D5CDD505-2E9C-101B-9397-08002B2CF9AE}" pid="39" name="EmHasAttachments">
    <vt:lpwstr/>
  </property>
  <property fmtid="{D5CDD505-2E9C-101B-9397-08002B2CF9AE}" pid="40" name="EmRetentionPolicyName">
    <vt:lpwstr/>
  </property>
  <property fmtid="{D5CDD505-2E9C-101B-9397-08002B2CF9AE}" pid="41" name="EmReplyRecipientNames">
    <vt:lpwstr/>
  </property>
  <property fmtid="{D5CDD505-2E9C-101B-9397-08002B2CF9AE}" pid="42" name="EmReplyRecipients">
    <vt:lpwstr/>
  </property>
  <property fmtid="{D5CDD505-2E9C-101B-9397-08002B2CF9AE}" pid="43" name="EmCC">
    <vt:lpwstr/>
  </property>
  <property fmtid="{D5CDD505-2E9C-101B-9397-08002B2CF9AE}" pid="44" name="EmFromName">
    <vt:lpwstr/>
  </property>
  <property fmtid="{D5CDD505-2E9C-101B-9397-08002B2CF9AE}" pid="45" name="EmCon">
    <vt:lpwstr/>
  </property>
  <property fmtid="{D5CDD505-2E9C-101B-9397-08002B2CF9AE}" pid="46" name="EmDateSent">
    <vt:lpwstr/>
  </property>
  <property fmtid="{D5CDD505-2E9C-101B-9397-08002B2CF9AE}" pid="47" name="EmDateReceived">
    <vt:lpwstr/>
  </property>
  <property fmtid="{D5CDD505-2E9C-101B-9397-08002B2CF9AE}" pid="48" name="EmBCCSMTPAddress">
    <vt:lpwstr/>
  </property>
  <property fmtid="{D5CDD505-2E9C-101B-9397-08002B2CF9AE}" pid="49" name="About Entity">
    <vt:lpwstr>1;#Department of Finance|fd660e8f-8f31-49bd-92a3-d31d4da31afe</vt:lpwstr>
  </property>
  <property fmtid="{D5CDD505-2E9C-101B-9397-08002B2CF9AE}" pid="50" name="EmTo">
    <vt:lpwstr/>
  </property>
  <property fmtid="{D5CDD505-2E9C-101B-9397-08002B2CF9AE}" pid="51" name="EmFrom">
    <vt:lpwstr/>
  </property>
  <property fmtid="{D5CDD505-2E9C-101B-9397-08002B2CF9AE}" pid="52" name="EmAttachmentNames">
    <vt:lpwstr/>
  </property>
  <property fmtid="{D5CDD505-2E9C-101B-9397-08002B2CF9AE}" pid="53" name="EmToSMTPAddress">
    <vt:lpwstr/>
  </property>
  <property fmtid="{D5CDD505-2E9C-101B-9397-08002B2CF9AE}" pid="54" name="EmFromSMTPAddress">
    <vt:lpwstr/>
  </property>
  <property fmtid="{D5CDD505-2E9C-101B-9397-08002B2CF9AE}" pid="55" name="EmSentOnBehalfOfName">
    <vt:lpwstr/>
  </property>
  <property fmtid="{D5CDD505-2E9C-101B-9397-08002B2CF9AE}" pid="56" name="EmCompanies">
    <vt:lpwstr/>
  </property>
  <property fmtid="{D5CDD505-2E9C-101B-9397-08002B2CF9AE}" pid="57" name="Initiating Entity">
    <vt:lpwstr>1;#Department of Finance|fd660e8f-8f31-49bd-92a3-d31d4da31afe</vt:lpwstr>
  </property>
  <property fmtid="{D5CDD505-2E9C-101B-9397-08002B2CF9AE}" pid="58" name="EmSubject">
    <vt:lpwstr/>
  </property>
  <property fmtid="{D5CDD505-2E9C-101B-9397-08002B2CF9AE}" pid="59" name="EmAttachCount">
    <vt:lpwstr/>
  </property>
  <property fmtid="{D5CDD505-2E9C-101B-9397-08002B2CF9AE}" pid="60" name="EmCCSMTPAddress">
    <vt:lpwstr/>
  </property>
  <property fmtid="{D5CDD505-2E9C-101B-9397-08002B2CF9AE}" pid="61" name="Organisation Unit">
    <vt:lpwstr>2;#Accounting FW and Capability Support|17de058c-12f7-44f2-8e7d-03ff49305e52</vt:lpwstr>
  </property>
  <property fmtid="{D5CDD505-2E9C-101B-9397-08002B2CF9AE}" pid="62" name="EmConversationID">
    <vt:lpwstr/>
  </property>
  <property fmtid="{D5CDD505-2E9C-101B-9397-08002B2CF9AE}" pid="63" name="EmSensitivity">
    <vt:lpwstr/>
  </property>
  <property fmtid="{D5CDD505-2E9C-101B-9397-08002B2CF9AE}" pid="64" name="EmBCC">
    <vt:lpwstr/>
  </property>
  <property fmtid="{D5CDD505-2E9C-101B-9397-08002B2CF9AE}" pid="65" name="EmDate">
    <vt:lpwstr/>
  </property>
  <property fmtid="{D5CDD505-2E9C-101B-9397-08002B2CF9AE}" pid="66" name="EmID">
    <vt:lpwstr/>
  </property>
  <property fmtid="{D5CDD505-2E9C-101B-9397-08002B2CF9AE}" pid="67" name="EmToAddress">
    <vt:lpwstr/>
  </property>
  <property fmtid="{D5CDD505-2E9C-101B-9397-08002B2CF9AE}" pid="68" name="EmReceivedOnBehalfOfName">
    <vt:lpwstr/>
  </property>
  <property fmtid="{D5CDD505-2E9C-101B-9397-08002B2CF9AE}" pid="69" name="MediaServiceImageTags">
    <vt:lpwstr/>
  </property>
  <property fmtid="{D5CDD505-2E9C-101B-9397-08002B2CF9AE}" pid="70" name="PM_ProtectiveMarkingImage_Header">
    <vt:lpwstr>C:\Program Files\Common Files\janusNET Shared\janusSEAL\Images\DocumentSlashBlue.png</vt:lpwstr>
  </property>
  <property fmtid="{D5CDD505-2E9C-101B-9397-08002B2CF9AE}" pid="71" name="PM_Caveats_Count">
    <vt:lpwstr>0</vt:lpwstr>
  </property>
  <property fmtid="{D5CDD505-2E9C-101B-9397-08002B2CF9AE}" pid="72" name="PM_DisplayValueSecClassificationWithQualifier">
    <vt:lpwstr>OFFICIAL</vt:lpwstr>
  </property>
  <property fmtid="{D5CDD505-2E9C-101B-9397-08002B2CF9AE}" pid="73" name="PM_Qualifier">
    <vt:lpwstr/>
  </property>
  <property fmtid="{D5CDD505-2E9C-101B-9397-08002B2CF9AE}" pid="74" name="PM_SecurityClassification">
    <vt:lpwstr>OFFICIAL</vt:lpwstr>
  </property>
  <property fmtid="{D5CDD505-2E9C-101B-9397-08002B2CF9AE}" pid="75" name="PM_InsertionValue">
    <vt:lpwstr>OFFICIAL</vt:lpwstr>
  </property>
  <property fmtid="{D5CDD505-2E9C-101B-9397-08002B2CF9AE}" pid="76" name="PM_Originating_FileId">
    <vt:lpwstr>992B2983F0924485BDFAB0C6C0F171D6</vt:lpwstr>
  </property>
  <property fmtid="{D5CDD505-2E9C-101B-9397-08002B2CF9AE}" pid="77" name="PM_ProtectiveMarkingValue_Footer">
    <vt:lpwstr>OFFICIAL</vt:lpwstr>
  </property>
  <property fmtid="{D5CDD505-2E9C-101B-9397-08002B2CF9AE}" pid="78" name="PM_Originator_Hash_SHA1">
    <vt:lpwstr>9AAEAD0863FDD4069CE4EA4ABFEDF2AD3E4E5C46</vt:lpwstr>
  </property>
  <property fmtid="{D5CDD505-2E9C-101B-9397-08002B2CF9AE}" pid="79" name="PM_OriginationTimeStamp">
    <vt:lpwstr>2023-03-16T00:52:12Z</vt:lpwstr>
  </property>
  <property fmtid="{D5CDD505-2E9C-101B-9397-08002B2CF9AE}" pid="80" name="PM_ProtectiveMarkingValue_Header">
    <vt:lpwstr>OFFICIAL</vt:lpwstr>
  </property>
  <property fmtid="{D5CDD505-2E9C-101B-9397-08002B2CF9AE}" pid="81" name="PM_ProtectiveMarkingImage_Footer">
    <vt:lpwstr>C:\Program Files\Common Files\janusNET Shared\janusSEAL\Images\DocumentSlashBlue.png</vt:lpwstr>
  </property>
  <property fmtid="{D5CDD505-2E9C-101B-9397-08002B2CF9AE}" pid="82" name="PM_Namespace">
    <vt:lpwstr>gov.au</vt:lpwstr>
  </property>
  <property fmtid="{D5CDD505-2E9C-101B-9397-08002B2CF9AE}" pid="83" name="PM_Version">
    <vt:lpwstr>2018.4</vt:lpwstr>
  </property>
  <property fmtid="{D5CDD505-2E9C-101B-9397-08002B2CF9AE}" pid="84" name="PM_Note">
    <vt:lpwstr/>
  </property>
  <property fmtid="{D5CDD505-2E9C-101B-9397-08002B2CF9AE}" pid="85" name="PM_Markers">
    <vt:lpwstr/>
  </property>
  <property fmtid="{D5CDD505-2E9C-101B-9397-08002B2CF9AE}" pid="86" name="PM_Display">
    <vt:lpwstr>OFFICIAL</vt:lpwstr>
  </property>
  <property fmtid="{D5CDD505-2E9C-101B-9397-08002B2CF9AE}" pid="87" name="PMUuid">
    <vt:lpwstr>v=2022.2;d=gov.au;g=46DD6D7C-8107-577B-BC6E-F348953B2E44</vt:lpwstr>
  </property>
  <property fmtid="{D5CDD505-2E9C-101B-9397-08002B2CF9AE}" pid="88" name="PM_Hash_Version">
    <vt:lpwstr>2022.1</vt:lpwstr>
  </property>
  <property fmtid="{D5CDD505-2E9C-101B-9397-08002B2CF9AE}" pid="89" name="PM_Hash_Salt_Prev">
    <vt:lpwstr>96215F54ABB6ECB451BA15A104A63EBF</vt:lpwstr>
  </property>
  <property fmtid="{D5CDD505-2E9C-101B-9397-08002B2CF9AE}" pid="90" name="PM_Hash_Salt">
    <vt:lpwstr>805D6A757B2D1CCBF57263975BB22006</vt:lpwstr>
  </property>
  <property fmtid="{D5CDD505-2E9C-101B-9397-08002B2CF9AE}" pid="91" name="PM_Hash_SHA1">
    <vt:lpwstr>142135174907861D3B7EED954581B7D05409BFE9</vt:lpwstr>
  </property>
  <property fmtid="{D5CDD505-2E9C-101B-9397-08002B2CF9AE}" pid="92" name="MSIP_Label_87d6481e-ccdd-4ab6-8b26-05a0df5699e7_SetDate">
    <vt:lpwstr>2023-03-16T00:52:12Z</vt:lpwstr>
  </property>
  <property fmtid="{D5CDD505-2E9C-101B-9397-08002B2CF9AE}" pid="93" name="PM_OriginatorUserAccountName_SHA256">
    <vt:lpwstr>596F35F80DB8C759765728DDF64A26ED98751FFACBBA0D5ED491E3112528810B</vt:lpwstr>
  </property>
  <property fmtid="{D5CDD505-2E9C-101B-9397-08002B2CF9AE}" pid="94" name="PM_OriginatorDomainName_SHA256">
    <vt:lpwstr>325440F6CA31C4C3BCE4433552DC42928CAAD3E2731ABE35FDE729ECEB763AF0</vt:lpwstr>
  </property>
  <property fmtid="{D5CDD505-2E9C-101B-9397-08002B2CF9AE}" pid="95" name="MSIP_Label_87d6481e-ccdd-4ab6-8b26-05a0df5699e7_Name">
    <vt:lpwstr>OFFICIAL</vt:lpwstr>
  </property>
  <property fmtid="{D5CDD505-2E9C-101B-9397-08002B2CF9AE}" pid="96" name="MSIP_Label_87d6481e-ccdd-4ab6-8b26-05a0df5699e7_SiteId">
    <vt:lpwstr>08954cee-4782-4ff6-9ad5-1997dccef4b0</vt:lpwstr>
  </property>
  <property fmtid="{D5CDD505-2E9C-101B-9397-08002B2CF9AE}" pid="97" name="MSIP_Label_87d6481e-ccdd-4ab6-8b26-05a0df5699e7_Enabled">
    <vt:lpwstr>true</vt:lpwstr>
  </property>
  <property fmtid="{D5CDD505-2E9C-101B-9397-08002B2CF9AE}" pid="98" name="PM_SecurityClassification_Prev">
    <vt:lpwstr>OFFICIAL</vt:lpwstr>
  </property>
  <property fmtid="{D5CDD505-2E9C-101B-9397-08002B2CF9AE}" pid="99" name="PM_Qualifier_Prev">
    <vt:lpwstr/>
  </property>
  <property fmtid="{D5CDD505-2E9C-101B-9397-08002B2CF9AE}" pid="100" name="PMHMAC">
    <vt:lpwstr>v=2022.1;a=SHA256;h=80379DF50F637B4A395C1718CD1A253454D959D63EBC8DC8E105403901B0F2EC</vt:lpwstr>
  </property>
  <property fmtid="{D5CDD505-2E9C-101B-9397-08002B2CF9AE}" pid="101" name="MSIP_Label_87d6481e-ccdd-4ab6-8b26-05a0df5699e7_Method">
    <vt:lpwstr>Privileged</vt:lpwstr>
  </property>
  <property fmtid="{D5CDD505-2E9C-101B-9397-08002B2CF9AE}" pid="102" name="MSIP_Label_87d6481e-ccdd-4ab6-8b26-05a0df5699e7_ContentBits">
    <vt:lpwstr>0</vt:lpwstr>
  </property>
  <property fmtid="{D5CDD505-2E9C-101B-9397-08002B2CF9AE}" pid="103" name="MSIP_Label_87d6481e-ccdd-4ab6-8b26-05a0df5699e7_ActionId">
    <vt:lpwstr>70642530af6e4b779f43fa0c969bad7c</vt:lpwstr>
  </property>
</Properties>
</file>