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53336" w14:textId="5A4EDBDB" w:rsidR="0047015C" w:rsidRPr="00AF21C9" w:rsidRDefault="002871F1" w:rsidP="00624AF1">
      <w:pPr>
        <w:pStyle w:val="Heading1"/>
        <w:spacing w:after="720"/>
        <w:ind w:right="1389"/>
      </w:pPr>
      <w:bookmarkStart w:id="0" w:name="_GoBack"/>
      <w:bookmarkEnd w:id="0"/>
      <w:r w:rsidRPr="00AF21C9">
        <w:t>Telecommunications Consumer Safeguards</w:t>
      </w:r>
    </w:p>
    <w:p w14:paraId="62D0E194" w14:textId="49783EC2" w:rsidR="00902462" w:rsidRDefault="000B0990" w:rsidP="00624AF1">
      <w:pPr>
        <w:pStyle w:val="CoverOutcomeSubtitle"/>
        <w:spacing w:after="720"/>
        <w:ind w:right="1389"/>
      </w:pPr>
      <w:r w:rsidRPr="000B0990">
        <w:t>International</w:t>
      </w:r>
      <w:r>
        <w:t xml:space="preserve"> and sectoral comparisons of </w:t>
      </w:r>
      <w:r w:rsidRPr="000B0990">
        <w:t>service reliability safeguards</w:t>
      </w:r>
    </w:p>
    <w:p w14:paraId="087A983B" w14:textId="669241BD" w:rsidR="00E27E5B" w:rsidRPr="00973277" w:rsidRDefault="00B41847" w:rsidP="00F323DC">
      <w:pPr>
        <w:pStyle w:val="Covertitle"/>
        <w:rPr>
          <w:lang w:val="en-AU"/>
        </w:rPr>
      </w:pPr>
      <w:r w:rsidRPr="00973277">
        <w:rPr>
          <w:lang w:val="en-AU"/>
        </w:rPr>
        <w:t xml:space="preserve">Department of Communications and </w:t>
      </w:r>
      <w:r w:rsidR="00BE058E" w:rsidRPr="00973277">
        <w:rPr>
          <w:lang w:val="en-AU"/>
        </w:rPr>
        <w:t xml:space="preserve">the </w:t>
      </w:r>
      <w:r w:rsidRPr="00973277">
        <w:rPr>
          <w:lang w:val="en-AU"/>
        </w:rPr>
        <w:t>Arts</w:t>
      </w:r>
    </w:p>
    <w:p w14:paraId="35D8C340" w14:textId="16EB85AF" w:rsidR="00E27E5B" w:rsidRPr="00973277" w:rsidRDefault="008258FE" w:rsidP="007625E6">
      <w:pPr>
        <w:pStyle w:val="CoverDate"/>
        <w:rPr>
          <w:lang w:val="en-AU"/>
        </w:rPr>
      </w:pPr>
      <w:r>
        <w:rPr>
          <w:lang w:val="en-AU"/>
        </w:rPr>
        <w:t>22 October</w:t>
      </w:r>
      <w:r w:rsidR="00B41847" w:rsidRPr="00973277">
        <w:rPr>
          <w:lang w:val="en-AU"/>
        </w:rPr>
        <w:t xml:space="preserve"> 2018</w:t>
      </w:r>
    </w:p>
    <w:p w14:paraId="48F47990" w14:textId="77777777" w:rsidR="009B3E02" w:rsidRPr="00973277" w:rsidRDefault="009B3E02" w:rsidP="00275248">
      <w:pPr>
        <w:pStyle w:val="PwCNormal"/>
        <w:numPr>
          <w:ilvl w:val="0"/>
          <w:numId w:val="0"/>
        </w:numPr>
      </w:pPr>
    </w:p>
    <w:p w14:paraId="75356011" w14:textId="77777777" w:rsidR="00695B02" w:rsidRPr="00973277" w:rsidRDefault="00695B02" w:rsidP="00695B02">
      <w:pPr>
        <w:pStyle w:val="PwCNormal"/>
        <w:numPr>
          <w:ilvl w:val="0"/>
          <w:numId w:val="0"/>
        </w:numPr>
        <w:sectPr w:rsidR="00695B02" w:rsidRPr="00973277" w:rsidSect="00E30067">
          <w:headerReference w:type="first" r:id="rId11"/>
          <w:footerReference w:type="first" r:id="rId12"/>
          <w:pgSz w:w="11907" w:h="16840" w:code="9"/>
          <w:pgMar w:top="2552" w:right="1021" w:bottom="1134" w:left="3317" w:header="397" w:footer="567" w:gutter="227"/>
          <w:pgNumType w:start="1"/>
          <w:cols w:space="708"/>
          <w:titlePg/>
          <w:docGrid w:linePitch="360"/>
        </w:sectPr>
      </w:pPr>
    </w:p>
    <w:p w14:paraId="64EAE2F1" w14:textId="77777777" w:rsidR="004F0878" w:rsidRPr="00973277" w:rsidRDefault="004F0878" w:rsidP="00C55BBE">
      <w:pPr>
        <w:pStyle w:val="Heading2TOC"/>
      </w:pPr>
      <w:r w:rsidRPr="00973277">
        <w:lastRenderedPageBreak/>
        <w:t>Conten</w:t>
      </w:r>
      <w:bookmarkStart w:id="1" w:name="TOC"/>
      <w:bookmarkEnd w:id="1"/>
      <w:r w:rsidRPr="00973277">
        <w:t>ts</w:t>
      </w:r>
      <w:bookmarkStart w:id="2" w:name="SmallDoc"/>
      <w:bookmarkEnd w:id="2"/>
    </w:p>
    <w:p w14:paraId="49007EB7" w14:textId="77777777" w:rsidR="002D56B1" w:rsidRDefault="00E66FE1">
      <w:pPr>
        <w:pStyle w:val="TOC1"/>
        <w:rPr>
          <w:rFonts w:asciiTheme="minorHAnsi" w:eastAsiaTheme="minorEastAsia" w:hAnsiTheme="minorHAnsi" w:cstheme="minorBidi"/>
          <w:b w:val="0"/>
          <w:noProof/>
          <w:snapToGrid/>
          <w:sz w:val="22"/>
          <w:szCs w:val="22"/>
          <w:lang w:eastAsia="en-AU"/>
        </w:rPr>
      </w:pPr>
      <w:r>
        <w:rPr>
          <w:b w:val="0"/>
        </w:rPr>
        <w:fldChar w:fldCharType="begin"/>
      </w:r>
      <w:r>
        <w:rPr>
          <w:b w:val="0"/>
        </w:rPr>
        <w:instrText xml:space="preserve"> TOC \h \z \t "Heading 3,2,Heading 2 No spacing,1" </w:instrText>
      </w:r>
      <w:r>
        <w:rPr>
          <w:b w:val="0"/>
        </w:rPr>
        <w:fldChar w:fldCharType="separate"/>
      </w:r>
      <w:hyperlink w:anchor="_Toc525650404" w:history="1">
        <w:r w:rsidR="002D56B1" w:rsidRPr="008C7635">
          <w:rPr>
            <w:rStyle w:val="Hyperlink"/>
            <w:noProof/>
          </w:rPr>
          <w:t>1.</w:t>
        </w:r>
        <w:r w:rsidR="002D56B1">
          <w:rPr>
            <w:rFonts w:asciiTheme="minorHAnsi" w:eastAsiaTheme="minorEastAsia" w:hAnsiTheme="minorHAnsi" w:cstheme="minorBidi"/>
            <w:b w:val="0"/>
            <w:noProof/>
            <w:snapToGrid/>
            <w:sz w:val="22"/>
            <w:szCs w:val="22"/>
            <w:lang w:eastAsia="en-AU"/>
          </w:rPr>
          <w:tab/>
        </w:r>
        <w:r w:rsidR="002D56B1" w:rsidRPr="008C7635">
          <w:rPr>
            <w:rStyle w:val="Hyperlink"/>
            <w:noProof/>
          </w:rPr>
          <w:t>Introduction</w:t>
        </w:r>
        <w:r w:rsidR="002D56B1">
          <w:rPr>
            <w:noProof/>
            <w:webHidden/>
          </w:rPr>
          <w:tab/>
        </w:r>
        <w:r w:rsidR="002D56B1">
          <w:rPr>
            <w:noProof/>
            <w:webHidden/>
          </w:rPr>
          <w:fldChar w:fldCharType="begin"/>
        </w:r>
        <w:r w:rsidR="002D56B1">
          <w:rPr>
            <w:noProof/>
            <w:webHidden/>
          </w:rPr>
          <w:instrText xml:space="preserve"> PAGEREF _Toc525650404 \h </w:instrText>
        </w:r>
        <w:r w:rsidR="002D56B1">
          <w:rPr>
            <w:noProof/>
            <w:webHidden/>
          </w:rPr>
        </w:r>
        <w:r w:rsidR="002D56B1">
          <w:rPr>
            <w:noProof/>
            <w:webHidden/>
          </w:rPr>
          <w:fldChar w:fldCharType="separate"/>
        </w:r>
        <w:r w:rsidR="002D56B1">
          <w:rPr>
            <w:noProof/>
            <w:webHidden/>
          </w:rPr>
          <w:t>2</w:t>
        </w:r>
        <w:r w:rsidR="002D56B1">
          <w:rPr>
            <w:noProof/>
            <w:webHidden/>
          </w:rPr>
          <w:fldChar w:fldCharType="end"/>
        </w:r>
      </w:hyperlink>
    </w:p>
    <w:p w14:paraId="330A0F78" w14:textId="77777777" w:rsidR="002D56B1" w:rsidRDefault="00D27372">
      <w:pPr>
        <w:pStyle w:val="TOC2"/>
        <w:tabs>
          <w:tab w:val="left" w:pos="1134"/>
        </w:tabs>
        <w:rPr>
          <w:rFonts w:asciiTheme="minorHAnsi" w:eastAsiaTheme="minorEastAsia" w:hAnsiTheme="minorHAnsi" w:cstheme="minorBidi"/>
          <w:noProof/>
          <w:snapToGrid/>
          <w:sz w:val="22"/>
          <w:szCs w:val="22"/>
          <w:lang w:eastAsia="en-AU"/>
        </w:rPr>
      </w:pPr>
      <w:hyperlink w:anchor="_Toc525650405" w:history="1">
        <w:r w:rsidR="002D56B1" w:rsidRPr="008C7635">
          <w:rPr>
            <w:rStyle w:val="Hyperlink"/>
            <w:noProof/>
          </w:rPr>
          <w:t>1.1</w:t>
        </w:r>
        <w:r w:rsidR="002D56B1">
          <w:rPr>
            <w:rFonts w:asciiTheme="minorHAnsi" w:eastAsiaTheme="minorEastAsia" w:hAnsiTheme="minorHAnsi" w:cstheme="minorBidi"/>
            <w:noProof/>
            <w:snapToGrid/>
            <w:sz w:val="22"/>
            <w:szCs w:val="22"/>
            <w:lang w:eastAsia="en-AU"/>
          </w:rPr>
          <w:tab/>
        </w:r>
        <w:r w:rsidR="002D56B1" w:rsidRPr="008C7635">
          <w:rPr>
            <w:rStyle w:val="Hyperlink"/>
            <w:noProof/>
          </w:rPr>
          <w:t>Context</w:t>
        </w:r>
        <w:r w:rsidR="002D56B1">
          <w:rPr>
            <w:noProof/>
            <w:webHidden/>
          </w:rPr>
          <w:tab/>
        </w:r>
        <w:r w:rsidR="002D56B1">
          <w:rPr>
            <w:noProof/>
            <w:webHidden/>
          </w:rPr>
          <w:fldChar w:fldCharType="begin"/>
        </w:r>
        <w:r w:rsidR="002D56B1">
          <w:rPr>
            <w:noProof/>
            <w:webHidden/>
          </w:rPr>
          <w:instrText xml:space="preserve"> PAGEREF _Toc525650405 \h </w:instrText>
        </w:r>
        <w:r w:rsidR="002D56B1">
          <w:rPr>
            <w:noProof/>
            <w:webHidden/>
          </w:rPr>
        </w:r>
        <w:r w:rsidR="002D56B1">
          <w:rPr>
            <w:noProof/>
            <w:webHidden/>
          </w:rPr>
          <w:fldChar w:fldCharType="separate"/>
        </w:r>
        <w:r w:rsidR="002D56B1">
          <w:rPr>
            <w:noProof/>
            <w:webHidden/>
          </w:rPr>
          <w:t>2</w:t>
        </w:r>
        <w:r w:rsidR="002D56B1">
          <w:rPr>
            <w:noProof/>
            <w:webHidden/>
          </w:rPr>
          <w:fldChar w:fldCharType="end"/>
        </w:r>
      </w:hyperlink>
    </w:p>
    <w:p w14:paraId="24003208" w14:textId="77777777" w:rsidR="002D56B1" w:rsidRDefault="00D27372">
      <w:pPr>
        <w:pStyle w:val="TOC2"/>
        <w:tabs>
          <w:tab w:val="left" w:pos="1134"/>
        </w:tabs>
        <w:rPr>
          <w:rFonts w:asciiTheme="minorHAnsi" w:eastAsiaTheme="minorEastAsia" w:hAnsiTheme="minorHAnsi" w:cstheme="minorBidi"/>
          <w:noProof/>
          <w:snapToGrid/>
          <w:sz w:val="22"/>
          <w:szCs w:val="22"/>
          <w:lang w:eastAsia="en-AU"/>
        </w:rPr>
      </w:pPr>
      <w:hyperlink w:anchor="_Toc525650406" w:history="1">
        <w:r w:rsidR="002D56B1" w:rsidRPr="008C7635">
          <w:rPr>
            <w:rStyle w:val="Hyperlink"/>
            <w:noProof/>
          </w:rPr>
          <w:t>1.2</w:t>
        </w:r>
        <w:r w:rsidR="002D56B1">
          <w:rPr>
            <w:rFonts w:asciiTheme="minorHAnsi" w:eastAsiaTheme="minorEastAsia" w:hAnsiTheme="minorHAnsi" w:cstheme="minorBidi"/>
            <w:noProof/>
            <w:snapToGrid/>
            <w:sz w:val="22"/>
            <w:szCs w:val="22"/>
            <w:lang w:eastAsia="en-AU"/>
          </w:rPr>
          <w:tab/>
        </w:r>
        <w:r w:rsidR="002D56B1" w:rsidRPr="008C7635">
          <w:rPr>
            <w:rStyle w:val="Hyperlink"/>
            <w:noProof/>
          </w:rPr>
          <w:t>Reliability in telecommunications</w:t>
        </w:r>
        <w:r w:rsidR="002D56B1">
          <w:rPr>
            <w:noProof/>
            <w:webHidden/>
          </w:rPr>
          <w:tab/>
        </w:r>
        <w:r w:rsidR="002D56B1">
          <w:rPr>
            <w:noProof/>
            <w:webHidden/>
          </w:rPr>
          <w:fldChar w:fldCharType="begin"/>
        </w:r>
        <w:r w:rsidR="002D56B1">
          <w:rPr>
            <w:noProof/>
            <w:webHidden/>
          </w:rPr>
          <w:instrText xml:space="preserve"> PAGEREF _Toc525650406 \h </w:instrText>
        </w:r>
        <w:r w:rsidR="002D56B1">
          <w:rPr>
            <w:noProof/>
            <w:webHidden/>
          </w:rPr>
        </w:r>
        <w:r w:rsidR="002D56B1">
          <w:rPr>
            <w:noProof/>
            <w:webHidden/>
          </w:rPr>
          <w:fldChar w:fldCharType="separate"/>
        </w:r>
        <w:r w:rsidR="002D56B1">
          <w:rPr>
            <w:noProof/>
            <w:webHidden/>
          </w:rPr>
          <w:t>3</w:t>
        </w:r>
        <w:r w:rsidR="002D56B1">
          <w:rPr>
            <w:noProof/>
            <w:webHidden/>
          </w:rPr>
          <w:fldChar w:fldCharType="end"/>
        </w:r>
      </w:hyperlink>
    </w:p>
    <w:p w14:paraId="368C22AA" w14:textId="77777777" w:rsidR="002D56B1" w:rsidRDefault="00D27372">
      <w:pPr>
        <w:pStyle w:val="TOC2"/>
        <w:tabs>
          <w:tab w:val="left" w:pos="1134"/>
        </w:tabs>
        <w:rPr>
          <w:rFonts w:asciiTheme="minorHAnsi" w:eastAsiaTheme="minorEastAsia" w:hAnsiTheme="minorHAnsi" w:cstheme="minorBidi"/>
          <w:noProof/>
          <w:snapToGrid/>
          <w:sz w:val="22"/>
          <w:szCs w:val="22"/>
          <w:lang w:eastAsia="en-AU"/>
        </w:rPr>
      </w:pPr>
      <w:hyperlink w:anchor="_Toc525650407" w:history="1">
        <w:r w:rsidR="002D56B1" w:rsidRPr="008C7635">
          <w:rPr>
            <w:rStyle w:val="Hyperlink"/>
            <w:noProof/>
          </w:rPr>
          <w:t>1.3</w:t>
        </w:r>
        <w:r w:rsidR="002D56B1">
          <w:rPr>
            <w:rFonts w:asciiTheme="minorHAnsi" w:eastAsiaTheme="minorEastAsia" w:hAnsiTheme="minorHAnsi" w:cstheme="minorBidi"/>
            <w:noProof/>
            <w:snapToGrid/>
            <w:sz w:val="22"/>
            <w:szCs w:val="22"/>
            <w:lang w:eastAsia="en-AU"/>
          </w:rPr>
          <w:tab/>
        </w:r>
        <w:r w:rsidR="002D56B1" w:rsidRPr="008C7635">
          <w:rPr>
            <w:rStyle w:val="Hyperlink"/>
            <w:noProof/>
          </w:rPr>
          <w:t>The role of the market in shaping service reliability</w:t>
        </w:r>
        <w:r w:rsidR="002D56B1">
          <w:rPr>
            <w:noProof/>
            <w:webHidden/>
          </w:rPr>
          <w:tab/>
        </w:r>
        <w:r w:rsidR="002D56B1">
          <w:rPr>
            <w:noProof/>
            <w:webHidden/>
          </w:rPr>
          <w:fldChar w:fldCharType="begin"/>
        </w:r>
        <w:r w:rsidR="002D56B1">
          <w:rPr>
            <w:noProof/>
            <w:webHidden/>
          </w:rPr>
          <w:instrText xml:space="preserve"> PAGEREF _Toc525650407 \h </w:instrText>
        </w:r>
        <w:r w:rsidR="002D56B1">
          <w:rPr>
            <w:noProof/>
            <w:webHidden/>
          </w:rPr>
        </w:r>
        <w:r w:rsidR="002D56B1">
          <w:rPr>
            <w:noProof/>
            <w:webHidden/>
          </w:rPr>
          <w:fldChar w:fldCharType="separate"/>
        </w:r>
        <w:r w:rsidR="002D56B1">
          <w:rPr>
            <w:noProof/>
            <w:webHidden/>
          </w:rPr>
          <w:t>3</w:t>
        </w:r>
        <w:r w:rsidR="002D56B1">
          <w:rPr>
            <w:noProof/>
            <w:webHidden/>
          </w:rPr>
          <w:fldChar w:fldCharType="end"/>
        </w:r>
      </w:hyperlink>
    </w:p>
    <w:p w14:paraId="391AB1B8" w14:textId="77777777" w:rsidR="002D56B1" w:rsidRDefault="00D27372">
      <w:pPr>
        <w:pStyle w:val="TOC1"/>
        <w:rPr>
          <w:rFonts w:asciiTheme="minorHAnsi" w:eastAsiaTheme="minorEastAsia" w:hAnsiTheme="minorHAnsi" w:cstheme="minorBidi"/>
          <w:b w:val="0"/>
          <w:noProof/>
          <w:snapToGrid/>
          <w:sz w:val="22"/>
          <w:szCs w:val="22"/>
          <w:lang w:eastAsia="en-AU"/>
        </w:rPr>
      </w:pPr>
      <w:hyperlink w:anchor="_Toc525650408" w:history="1">
        <w:r w:rsidR="002D56B1" w:rsidRPr="008C7635">
          <w:rPr>
            <w:rStyle w:val="Hyperlink"/>
            <w:noProof/>
          </w:rPr>
          <w:t>2.</w:t>
        </w:r>
        <w:r w:rsidR="002D56B1">
          <w:rPr>
            <w:rFonts w:asciiTheme="minorHAnsi" w:eastAsiaTheme="minorEastAsia" w:hAnsiTheme="minorHAnsi" w:cstheme="minorBidi"/>
            <w:b w:val="0"/>
            <w:noProof/>
            <w:snapToGrid/>
            <w:sz w:val="22"/>
            <w:szCs w:val="22"/>
            <w:lang w:eastAsia="en-AU"/>
          </w:rPr>
          <w:tab/>
        </w:r>
        <w:r w:rsidR="002D56B1" w:rsidRPr="008C7635">
          <w:rPr>
            <w:rStyle w:val="Hyperlink"/>
            <w:noProof/>
          </w:rPr>
          <w:t>Comparison to other countries</w:t>
        </w:r>
        <w:r w:rsidR="002D56B1">
          <w:rPr>
            <w:noProof/>
            <w:webHidden/>
          </w:rPr>
          <w:tab/>
        </w:r>
        <w:r w:rsidR="002D56B1">
          <w:rPr>
            <w:noProof/>
            <w:webHidden/>
          </w:rPr>
          <w:fldChar w:fldCharType="begin"/>
        </w:r>
        <w:r w:rsidR="002D56B1">
          <w:rPr>
            <w:noProof/>
            <w:webHidden/>
          </w:rPr>
          <w:instrText xml:space="preserve"> PAGEREF _Toc525650408 \h </w:instrText>
        </w:r>
        <w:r w:rsidR="002D56B1">
          <w:rPr>
            <w:noProof/>
            <w:webHidden/>
          </w:rPr>
        </w:r>
        <w:r w:rsidR="002D56B1">
          <w:rPr>
            <w:noProof/>
            <w:webHidden/>
          </w:rPr>
          <w:fldChar w:fldCharType="separate"/>
        </w:r>
        <w:r w:rsidR="002D56B1">
          <w:rPr>
            <w:noProof/>
            <w:webHidden/>
          </w:rPr>
          <w:t>5</w:t>
        </w:r>
        <w:r w:rsidR="002D56B1">
          <w:rPr>
            <w:noProof/>
            <w:webHidden/>
          </w:rPr>
          <w:fldChar w:fldCharType="end"/>
        </w:r>
      </w:hyperlink>
    </w:p>
    <w:p w14:paraId="5020B124" w14:textId="77777777" w:rsidR="002D56B1" w:rsidRDefault="00D27372">
      <w:pPr>
        <w:pStyle w:val="TOC2"/>
        <w:tabs>
          <w:tab w:val="left" w:pos="1134"/>
        </w:tabs>
        <w:rPr>
          <w:rFonts w:asciiTheme="minorHAnsi" w:eastAsiaTheme="minorEastAsia" w:hAnsiTheme="minorHAnsi" w:cstheme="minorBidi"/>
          <w:noProof/>
          <w:snapToGrid/>
          <w:sz w:val="22"/>
          <w:szCs w:val="22"/>
          <w:lang w:eastAsia="en-AU"/>
        </w:rPr>
      </w:pPr>
      <w:hyperlink w:anchor="_Toc525650409" w:history="1">
        <w:r w:rsidR="002D56B1" w:rsidRPr="008C7635">
          <w:rPr>
            <w:rStyle w:val="Hyperlink"/>
            <w:noProof/>
          </w:rPr>
          <w:t>2.1</w:t>
        </w:r>
        <w:r w:rsidR="002D56B1">
          <w:rPr>
            <w:rFonts w:asciiTheme="minorHAnsi" w:eastAsiaTheme="minorEastAsia" w:hAnsiTheme="minorHAnsi" w:cstheme="minorBidi"/>
            <w:noProof/>
            <w:snapToGrid/>
            <w:sz w:val="22"/>
            <w:szCs w:val="22"/>
            <w:lang w:eastAsia="en-AU"/>
          </w:rPr>
          <w:tab/>
        </w:r>
        <w:r w:rsidR="002D56B1" w:rsidRPr="008C7635">
          <w:rPr>
            <w:rStyle w:val="Hyperlink"/>
            <w:noProof/>
          </w:rPr>
          <w:t>Connection</w:t>
        </w:r>
        <w:r w:rsidR="002D56B1">
          <w:rPr>
            <w:noProof/>
            <w:webHidden/>
          </w:rPr>
          <w:tab/>
        </w:r>
        <w:r w:rsidR="002D56B1">
          <w:rPr>
            <w:noProof/>
            <w:webHidden/>
          </w:rPr>
          <w:fldChar w:fldCharType="begin"/>
        </w:r>
        <w:r w:rsidR="002D56B1">
          <w:rPr>
            <w:noProof/>
            <w:webHidden/>
          </w:rPr>
          <w:instrText xml:space="preserve"> PAGEREF _Toc525650409 \h </w:instrText>
        </w:r>
        <w:r w:rsidR="002D56B1">
          <w:rPr>
            <w:noProof/>
            <w:webHidden/>
          </w:rPr>
        </w:r>
        <w:r w:rsidR="002D56B1">
          <w:rPr>
            <w:noProof/>
            <w:webHidden/>
          </w:rPr>
          <w:fldChar w:fldCharType="separate"/>
        </w:r>
        <w:r w:rsidR="002D56B1">
          <w:rPr>
            <w:noProof/>
            <w:webHidden/>
          </w:rPr>
          <w:t>5</w:t>
        </w:r>
        <w:r w:rsidR="002D56B1">
          <w:rPr>
            <w:noProof/>
            <w:webHidden/>
          </w:rPr>
          <w:fldChar w:fldCharType="end"/>
        </w:r>
      </w:hyperlink>
    </w:p>
    <w:p w14:paraId="11388EFE" w14:textId="77777777" w:rsidR="002D56B1" w:rsidRDefault="00D27372">
      <w:pPr>
        <w:pStyle w:val="TOC2"/>
        <w:tabs>
          <w:tab w:val="left" w:pos="1134"/>
        </w:tabs>
        <w:rPr>
          <w:rFonts w:asciiTheme="minorHAnsi" w:eastAsiaTheme="minorEastAsia" w:hAnsiTheme="minorHAnsi" w:cstheme="minorBidi"/>
          <w:noProof/>
          <w:snapToGrid/>
          <w:sz w:val="22"/>
          <w:szCs w:val="22"/>
          <w:lang w:eastAsia="en-AU"/>
        </w:rPr>
      </w:pPr>
      <w:hyperlink w:anchor="_Toc525650410" w:history="1">
        <w:r w:rsidR="002D56B1" w:rsidRPr="008C7635">
          <w:rPr>
            <w:rStyle w:val="Hyperlink"/>
            <w:noProof/>
          </w:rPr>
          <w:t>2.2</w:t>
        </w:r>
        <w:r w:rsidR="002D56B1">
          <w:rPr>
            <w:rFonts w:asciiTheme="minorHAnsi" w:eastAsiaTheme="minorEastAsia" w:hAnsiTheme="minorHAnsi" w:cstheme="minorBidi"/>
            <w:noProof/>
            <w:snapToGrid/>
            <w:sz w:val="22"/>
            <w:szCs w:val="22"/>
            <w:lang w:eastAsia="en-AU"/>
          </w:rPr>
          <w:tab/>
        </w:r>
        <w:r w:rsidR="002D56B1" w:rsidRPr="008C7635">
          <w:rPr>
            <w:rStyle w:val="Hyperlink"/>
            <w:noProof/>
          </w:rPr>
          <w:t>Outages and faults</w:t>
        </w:r>
        <w:r w:rsidR="002D56B1">
          <w:rPr>
            <w:noProof/>
            <w:webHidden/>
          </w:rPr>
          <w:tab/>
        </w:r>
        <w:r w:rsidR="002D56B1">
          <w:rPr>
            <w:noProof/>
            <w:webHidden/>
          </w:rPr>
          <w:fldChar w:fldCharType="begin"/>
        </w:r>
        <w:r w:rsidR="002D56B1">
          <w:rPr>
            <w:noProof/>
            <w:webHidden/>
          </w:rPr>
          <w:instrText xml:space="preserve"> PAGEREF _Toc525650410 \h </w:instrText>
        </w:r>
        <w:r w:rsidR="002D56B1">
          <w:rPr>
            <w:noProof/>
            <w:webHidden/>
          </w:rPr>
        </w:r>
        <w:r w:rsidR="002D56B1">
          <w:rPr>
            <w:noProof/>
            <w:webHidden/>
          </w:rPr>
          <w:fldChar w:fldCharType="separate"/>
        </w:r>
        <w:r w:rsidR="002D56B1">
          <w:rPr>
            <w:noProof/>
            <w:webHidden/>
          </w:rPr>
          <w:t>8</w:t>
        </w:r>
        <w:r w:rsidR="002D56B1">
          <w:rPr>
            <w:noProof/>
            <w:webHidden/>
          </w:rPr>
          <w:fldChar w:fldCharType="end"/>
        </w:r>
      </w:hyperlink>
    </w:p>
    <w:p w14:paraId="41D262BE" w14:textId="77777777" w:rsidR="002D56B1" w:rsidRDefault="00D27372">
      <w:pPr>
        <w:pStyle w:val="TOC2"/>
        <w:tabs>
          <w:tab w:val="left" w:pos="1134"/>
        </w:tabs>
        <w:rPr>
          <w:rFonts w:asciiTheme="minorHAnsi" w:eastAsiaTheme="minorEastAsia" w:hAnsiTheme="minorHAnsi" w:cstheme="minorBidi"/>
          <w:noProof/>
          <w:snapToGrid/>
          <w:sz w:val="22"/>
          <w:szCs w:val="22"/>
          <w:lang w:eastAsia="en-AU"/>
        </w:rPr>
      </w:pPr>
      <w:hyperlink w:anchor="_Toc525650411" w:history="1">
        <w:r w:rsidR="002D56B1" w:rsidRPr="008C7635">
          <w:rPr>
            <w:rStyle w:val="Hyperlink"/>
            <w:noProof/>
          </w:rPr>
          <w:t>2.3</w:t>
        </w:r>
        <w:r w:rsidR="002D56B1">
          <w:rPr>
            <w:rFonts w:asciiTheme="minorHAnsi" w:eastAsiaTheme="minorEastAsia" w:hAnsiTheme="minorHAnsi" w:cstheme="minorBidi"/>
            <w:noProof/>
            <w:snapToGrid/>
            <w:sz w:val="22"/>
            <w:szCs w:val="22"/>
            <w:lang w:eastAsia="en-AU"/>
          </w:rPr>
          <w:tab/>
        </w:r>
        <w:r w:rsidR="002D56B1" w:rsidRPr="008C7635">
          <w:rPr>
            <w:rStyle w:val="Hyperlink"/>
            <w:noProof/>
          </w:rPr>
          <w:t>Penalties for non-compliance</w:t>
        </w:r>
        <w:r w:rsidR="002D56B1">
          <w:rPr>
            <w:noProof/>
            <w:webHidden/>
          </w:rPr>
          <w:tab/>
        </w:r>
        <w:r w:rsidR="002D56B1">
          <w:rPr>
            <w:noProof/>
            <w:webHidden/>
          </w:rPr>
          <w:fldChar w:fldCharType="begin"/>
        </w:r>
        <w:r w:rsidR="002D56B1">
          <w:rPr>
            <w:noProof/>
            <w:webHidden/>
          </w:rPr>
          <w:instrText xml:space="preserve"> PAGEREF _Toc525650411 \h </w:instrText>
        </w:r>
        <w:r w:rsidR="002D56B1">
          <w:rPr>
            <w:noProof/>
            <w:webHidden/>
          </w:rPr>
        </w:r>
        <w:r w:rsidR="002D56B1">
          <w:rPr>
            <w:noProof/>
            <w:webHidden/>
          </w:rPr>
          <w:fldChar w:fldCharType="separate"/>
        </w:r>
        <w:r w:rsidR="002D56B1">
          <w:rPr>
            <w:noProof/>
            <w:webHidden/>
          </w:rPr>
          <w:t>10</w:t>
        </w:r>
        <w:r w:rsidR="002D56B1">
          <w:rPr>
            <w:noProof/>
            <w:webHidden/>
          </w:rPr>
          <w:fldChar w:fldCharType="end"/>
        </w:r>
      </w:hyperlink>
    </w:p>
    <w:p w14:paraId="3F22DCE7" w14:textId="77777777" w:rsidR="002D56B1" w:rsidRDefault="00D27372">
      <w:pPr>
        <w:pStyle w:val="TOC1"/>
        <w:rPr>
          <w:rFonts w:asciiTheme="minorHAnsi" w:eastAsiaTheme="minorEastAsia" w:hAnsiTheme="minorHAnsi" w:cstheme="minorBidi"/>
          <w:b w:val="0"/>
          <w:noProof/>
          <w:snapToGrid/>
          <w:sz w:val="22"/>
          <w:szCs w:val="22"/>
          <w:lang w:eastAsia="en-AU"/>
        </w:rPr>
      </w:pPr>
      <w:hyperlink w:anchor="_Toc525650412" w:history="1">
        <w:r w:rsidR="002D56B1" w:rsidRPr="008C7635">
          <w:rPr>
            <w:rStyle w:val="Hyperlink"/>
            <w:noProof/>
          </w:rPr>
          <w:t>3.</w:t>
        </w:r>
        <w:r w:rsidR="002D56B1">
          <w:rPr>
            <w:rFonts w:asciiTheme="minorHAnsi" w:eastAsiaTheme="minorEastAsia" w:hAnsiTheme="minorHAnsi" w:cstheme="minorBidi"/>
            <w:b w:val="0"/>
            <w:noProof/>
            <w:snapToGrid/>
            <w:sz w:val="22"/>
            <w:szCs w:val="22"/>
            <w:lang w:eastAsia="en-AU"/>
          </w:rPr>
          <w:tab/>
        </w:r>
        <w:r w:rsidR="002D56B1" w:rsidRPr="008C7635">
          <w:rPr>
            <w:rStyle w:val="Hyperlink"/>
            <w:noProof/>
          </w:rPr>
          <w:t>International models</w:t>
        </w:r>
        <w:r w:rsidR="002D56B1">
          <w:rPr>
            <w:noProof/>
            <w:webHidden/>
          </w:rPr>
          <w:tab/>
        </w:r>
        <w:r w:rsidR="002D56B1">
          <w:rPr>
            <w:noProof/>
            <w:webHidden/>
          </w:rPr>
          <w:fldChar w:fldCharType="begin"/>
        </w:r>
        <w:r w:rsidR="002D56B1">
          <w:rPr>
            <w:noProof/>
            <w:webHidden/>
          </w:rPr>
          <w:instrText xml:space="preserve"> PAGEREF _Toc525650412 \h </w:instrText>
        </w:r>
        <w:r w:rsidR="002D56B1">
          <w:rPr>
            <w:noProof/>
            <w:webHidden/>
          </w:rPr>
        </w:r>
        <w:r w:rsidR="002D56B1">
          <w:rPr>
            <w:noProof/>
            <w:webHidden/>
          </w:rPr>
          <w:fldChar w:fldCharType="separate"/>
        </w:r>
        <w:r w:rsidR="002D56B1">
          <w:rPr>
            <w:noProof/>
            <w:webHidden/>
          </w:rPr>
          <w:t>12</w:t>
        </w:r>
        <w:r w:rsidR="002D56B1">
          <w:rPr>
            <w:noProof/>
            <w:webHidden/>
          </w:rPr>
          <w:fldChar w:fldCharType="end"/>
        </w:r>
      </w:hyperlink>
    </w:p>
    <w:p w14:paraId="37816781" w14:textId="77777777" w:rsidR="002D56B1" w:rsidRDefault="00D27372">
      <w:pPr>
        <w:pStyle w:val="TOC2"/>
        <w:tabs>
          <w:tab w:val="left" w:pos="1134"/>
        </w:tabs>
        <w:rPr>
          <w:rFonts w:asciiTheme="minorHAnsi" w:eastAsiaTheme="minorEastAsia" w:hAnsiTheme="minorHAnsi" w:cstheme="minorBidi"/>
          <w:noProof/>
          <w:snapToGrid/>
          <w:sz w:val="22"/>
          <w:szCs w:val="22"/>
          <w:lang w:eastAsia="en-AU"/>
        </w:rPr>
      </w:pPr>
      <w:hyperlink w:anchor="_Toc525650413" w:history="1">
        <w:r w:rsidR="002D56B1" w:rsidRPr="008C7635">
          <w:rPr>
            <w:rStyle w:val="Hyperlink"/>
            <w:noProof/>
          </w:rPr>
          <w:t>3.1</w:t>
        </w:r>
        <w:r w:rsidR="002D56B1">
          <w:rPr>
            <w:rFonts w:asciiTheme="minorHAnsi" w:eastAsiaTheme="minorEastAsia" w:hAnsiTheme="minorHAnsi" w:cstheme="minorBidi"/>
            <w:noProof/>
            <w:snapToGrid/>
            <w:sz w:val="22"/>
            <w:szCs w:val="22"/>
            <w:lang w:eastAsia="en-AU"/>
          </w:rPr>
          <w:tab/>
        </w:r>
        <w:r w:rsidR="002D56B1" w:rsidRPr="008C7635">
          <w:rPr>
            <w:rStyle w:val="Hyperlink"/>
            <w:noProof/>
          </w:rPr>
          <w:t>Australia</w:t>
        </w:r>
        <w:r w:rsidR="002D56B1">
          <w:rPr>
            <w:noProof/>
            <w:webHidden/>
          </w:rPr>
          <w:tab/>
        </w:r>
        <w:r w:rsidR="002D56B1">
          <w:rPr>
            <w:noProof/>
            <w:webHidden/>
          </w:rPr>
          <w:fldChar w:fldCharType="begin"/>
        </w:r>
        <w:r w:rsidR="002D56B1">
          <w:rPr>
            <w:noProof/>
            <w:webHidden/>
          </w:rPr>
          <w:instrText xml:space="preserve"> PAGEREF _Toc525650413 \h </w:instrText>
        </w:r>
        <w:r w:rsidR="002D56B1">
          <w:rPr>
            <w:noProof/>
            <w:webHidden/>
          </w:rPr>
        </w:r>
        <w:r w:rsidR="002D56B1">
          <w:rPr>
            <w:noProof/>
            <w:webHidden/>
          </w:rPr>
          <w:fldChar w:fldCharType="separate"/>
        </w:r>
        <w:r w:rsidR="002D56B1">
          <w:rPr>
            <w:noProof/>
            <w:webHidden/>
          </w:rPr>
          <w:t>12</w:t>
        </w:r>
        <w:r w:rsidR="002D56B1">
          <w:rPr>
            <w:noProof/>
            <w:webHidden/>
          </w:rPr>
          <w:fldChar w:fldCharType="end"/>
        </w:r>
      </w:hyperlink>
    </w:p>
    <w:p w14:paraId="7A6C94AE" w14:textId="77777777" w:rsidR="002D56B1" w:rsidRDefault="00D27372">
      <w:pPr>
        <w:pStyle w:val="TOC2"/>
        <w:tabs>
          <w:tab w:val="left" w:pos="1134"/>
        </w:tabs>
        <w:rPr>
          <w:rFonts w:asciiTheme="minorHAnsi" w:eastAsiaTheme="minorEastAsia" w:hAnsiTheme="minorHAnsi" w:cstheme="minorBidi"/>
          <w:noProof/>
          <w:snapToGrid/>
          <w:sz w:val="22"/>
          <w:szCs w:val="22"/>
          <w:lang w:eastAsia="en-AU"/>
        </w:rPr>
      </w:pPr>
      <w:hyperlink w:anchor="_Toc525650414" w:history="1">
        <w:r w:rsidR="002D56B1" w:rsidRPr="008C7635">
          <w:rPr>
            <w:rStyle w:val="Hyperlink"/>
            <w:noProof/>
          </w:rPr>
          <w:t>3.2</w:t>
        </w:r>
        <w:r w:rsidR="002D56B1">
          <w:rPr>
            <w:rFonts w:asciiTheme="minorHAnsi" w:eastAsiaTheme="minorEastAsia" w:hAnsiTheme="minorHAnsi" w:cstheme="minorBidi"/>
            <w:noProof/>
            <w:snapToGrid/>
            <w:sz w:val="22"/>
            <w:szCs w:val="22"/>
            <w:lang w:eastAsia="en-AU"/>
          </w:rPr>
          <w:tab/>
        </w:r>
        <w:r w:rsidR="002D56B1" w:rsidRPr="008C7635">
          <w:rPr>
            <w:rStyle w:val="Hyperlink"/>
            <w:noProof/>
          </w:rPr>
          <w:t>Canada</w:t>
        </w:r>
        <w:r w:rsidR="002D56B1">
          <w:rPr>
            <w:noProof/>
            <w:webHidden/>
          </w:rPr>
          <w:tab/>
        </w:r>
        <w:r w:rsidR="002D56B1">
          <w:rPr>
            <w:noProof/>
            <w:webHidden/>
          </w:rPr>
          <w:fldChar w:fldCharType="begin"/>
        </w:r>
        <w:r w:rsidR="002D56B1">
          <w:rPr>
            <w:noProof/>
            <w:webHidden/>
          </w:rPr>
          <w:instrText xml:space="preserve"> PAGEREF _Toc525650414 \h </w:instrText>
        </w:r>
        <w:r w:rsidR="002D56B1">
          <w:rPr>
            <w:noProof/>
            <w:webHidden/>
          </w:rPr>
        </w:r>
        <w:r w:rsidR="002D56B1">
          <w:rPr>
            <w:noProof/>
            <w:webHidden/>
          </w:rPr>
          <w:fldChar w:fldCharType="separate"/>
        </w:r>
        <w:r w:rsidR="002D56B1">
          <w:rPr>
            <w:noProof/>
            <w:webHidden/>
          </w:rPr>
          <w:t>18</w:t>
        </w:r>
        <w:r w:rsidR="002D56B1">
          <w:rPr>
            <w:noProof/>
            <w:webHidden/>
          </w:rPr>
          <w:fldChar w:fldCharType="end"/>
        </w:r>
      </w:hyperlink>
    </w:p>
    <w:p w14:paraId="3290C8BA" w14:textId="77777777" w:rsidR="002D56B1" w:rsidRDefault="00D27372">
      <w:pPr>
        <w:pStyle w:val="TOC2"/>
        <w:tabs>
          <w:tab w:val="left" w:pos="1134"/>
        </w:tabs>
        <w:rPr>
          <w:rFonts w:asciiTheme="minorHAnsi" w:eastAsiaTheme="minorEastAsia" w:hAnsiTheme="minorHAnsi" w:cstheme="minorBidi"/>
          <w:noProof/>
          <w:snapToGrid/>
          <w:sz w:val="22"/>
          <w:szCs w:val="22"/>
          <w:lang w:eastAsia="en-AU"/>
        </w:rPr>
      </w:pPr>
      <w:hyperlink w:anchor="_Toc525650415" w:history="1">
        <w:r w:rsidR="002D56B1" w:rsidRPr="008C7635">
          <w:rPr>
            <w:rStyle w:val="Hyperlink"/>
            <w:noProof/>
          </w:rPr>
          <w:t>3.3</w:t>
        </w:r>
        <w:r w:rsidR="002D56B1">
          <w:rPr>
            <w:rFonts w:asciiTheme="minorHAnsi" w:eastAsiaTheme="minorEastAsia" w:hAnsiTheme="minorHAnsi" w:cstheme="minorBidi"/>
            <w:noProof/>
            <w:snapToGrid/>
            <w:sz w:val="22"/>
            <w:szCs w:val="22"/>
            <w:lang w:eastAsia="en-AU"/>
          </w:rPr>
          <w:tab/>
        </w:r>
        <w:r w:rsidR="002D56B1" w:rsidRPr="008C7635">
          <w:rPr>
            <w:rStyle w:val="Hyperlink"/>
            <w:noProof/>
          </w:rPr>
          <w:t>European Union – legal context</w:t>
        </w:r>
        <w:r w:rsidR="002D56B1">
          <w:rPr>
            <w:noProof/>
            <w:webHidden/>
          </w:rPr>
          <w:tab/>
        </w:r>
        <w:r w:rsidR="002D56B1">
          <w:rPr>
            <w:noProof/>
            <w:webHidden/>
          </w:rPr>
          <w:fldChar w:fldCharType="begin"/>
        </w:r>
        <w:r w:rsidR="002D56B1">
          <w:rPr>
            <w:noProof/>
            <w:webHidden/>
          </w:rPr>
          <w:instrText xml:space="preserve"> PAGEREF _Toc525650415 \h </w:instrText>
        </w:r>
        <w:r w:rsidR="002D56B1">
          <w:rPr>
            <w:noProof/>
            <w:webHidden/>
          </w:rPr>
        </w:r>
        <w:r w:rsidR="002D56B1">
          <w:rPr>
            <w:noProof/>
            <w:webHidden/>
          </w:rPr>
          <w:fldChar w:fldCharType="separate"/>
        </w:r>
        <w:r w:rsidR="002D56B1">
          <w:rPr>
            <w:noProof/>
            <w:webHidden/>
          </w:rPr>
          <w:t>21</w:t>
        </w:r>
        <w:r w:rsidR="002D56B1">
          <w:rPr>
            <w:noProof/>
            <w:webHidden/>
          </w:rPr>
          <w:fldChar w:fldCharType="end"/>
        </w:r>
      </w:hyperlink>
    </w:p>
    <w:p w14:paraId="77716899" w14:textId="77777777" w:rsidR="002D56B1" w:rsidRDefault="00D27372">
      <w:pPr>
        <w:pStyle w:val="TOC2"/>
        <w:tabs>
          <w:tab w:val="left" w:pos="1134"/>
        </w:tabs>
        <w:rPr>
          <w:rFonts w:asciiTheme="minorHAnsi" w:eastAsiaTheme="minorEastAsia" w:hAnsiTheme="minorHAnsi" w:cstheme="minorBidi"/>
          <w:noProof/>
          <w:snapToGrid/>
          <w:sz w:val="22"/>
          <w:szCs w:val="22"/>
          <w:lang w:eastAsia="en-AU"/>
        </w:rPr>
      </w:pPr>
      <w:hyperlink w:anchor="_Toc525650416" w:history="1">
        <w:r w:rsidR="002D56B1" w:rsidRPr="008C7635">
          <w:rPr>
            <w:rStyle w:val="Hyperlink"/>
            <w:noProof/>
          </w:rPr>
          <w:t>3.4</w:t>
        </w:r>
        <w:r w:rsidR="002D56B1">
          <w:rPr>
            <w:rFonts w:asciiTheme="minorHAnsi" w:eastAsiaTheme="minorEastAsia" w:hAnsiTheme="minorHAnsi" w:cstheme="minorBidi"/>
            <w:noProof/>
            <w:snapToGrid/>
            <w:sz w:val="22"/>
            <w:szCs w:val="22"/>
            <w:lang w:eastAsia="en-AU"/>
          </w:rPr>
          <w:tab/>
        </w:r>
        <w:r w:rsidR="002D56B1" w:rsidRPr="008C7635">
          <w:rPr>
            <w:rStyle w:val="Hyperlink"/>
            <w:noProof/>
          </w:rPr>
          <w:t>France</w:t>
        </w:r>
        <w:r w:rsidR="002D56B1">
          <w:rPr>
            <w:noProof/>
            <w:webHidden/>
          </w:rPr>
          <w:tab/>
        </w:r>
        <w:r w:rsidR="002D56B1">
          <w:rPr>
            <w:noProof/>
            <w:webHidden/>
          </w:rPr>
          <w:fldChar w:fldCharType="begin"/>
        </w:r>
        <w:r w:rsidR="002D56B1">
          <w:rPr>
            <w:noProof/>
            <w:webHidden/>
          </w:rPr>
          <w:instrText xml:space="preserve"> PAGEREF _Toc525650416 \h </w:instrText>
        </w:r>
        <w:r w:rsidR="002D56B1">
          <w:rPr>
            <w:noProof/>
            <w:webHidden/>
          </w:rPr>
        </w:r>
        <w:r w:rsidR="002D56B1">
          <w:rPr>
            <w:noProof/>
            <w:webHidden/>
          </w:rPr>
          <w:fldChar w:fldCharType="separate"/>
        </w:r>
        <w:r w:rsidR="002D56B1">
          <w:rPr>
            <w:noProof/>
            <w:webHidden/>
          </w:rPr>
          <w:t>23</w:t>
        </w:r>
        <w:r w:rsidR="002D56B1">
          <w:rPr>
            <w:noProof/>
            <w:webHidden/>
          </w:rPr>
          <w:fldChar w:fldCharType="end"/>
        </w:r>
      </w:hyperlink>
    </w:p>
    <w:p w14:paraId="54C6BE66" w14:textId="77777777" w:rsidR="002D56B1" w:rsidRDefault="00D27372">
      <w:pPr>
        <w:pStyle w:val="TOC2"/>
        <w:tabs>
          <w:tab w:val="left" w:pos="1134"/>
        </w:tabs>
        <w:rPr>
          <w:rFonts w:asciiTheme="minorHAnsi" w:eastAsiaTheme="minorEastAsia" w:hAnsiTheme="minorHAnsi" w:cstheme="minorBidi"/>
          <w:noProof/>
          <w:snapToGrid/>
          <w:sz w:val="22"/>
          <w:szCs w:val="22"/>
          <w:lang w:eastAsia="en-AU"/>
        </w:rPr>
      </w:pPr>
      <w:hyperlink w:anchor="_Toc525650417" w:history="1">
        <w:r w:rsidR="002D56B1" w:rsidRPr="008C7635">
          <w:rPr>
            <w:rStyle w:val="Hyperlink"/>
            <w:noProof/>
          </w:rPr>
          <w:t>3.5</w:t>
        </w:r>
        <w:r w:rsidR="002D56B1">
          <w:rPr>
            <w:rFonts w:asciiTheme="minorHAnsi" w:eastAsiaTheme="minorEastAsia" w:hAnsiTheme="minorHAnsi" w:cstheme="minorBidi"/>
            <w:noProof/>
            <w:snapToGrid/>
            <w:sz w:val="22"/>
            <w:szCs w:val="22"/>
            <w:lang w:eastAsia="en-AU"/>
          </w:rPr>
          <w:tab/>
        </w:r>
        <w:r w:rsidR="002D56B1" w:rsidRPr="008C7635">
          <w:rPr>
            <w:rStyle w:val="Hyperlink"/>
            <w:noProof/>
          </w:rPr>
          <w:t>New Zealand</w:t>
        </w:r>
        <w:r w:rsidR="002D56B1">
          <w:rPr>
            <w:noProof/>
            <w:webHidden/>
          </w:rPr>
          <w:tab/>
        </w:r>
        <w:r w:rsidR="002D56B1">
          <w:rPr>
            <w:noProof/>
            <w:webHidden/>
          </w:rPr>
          <w:fldChar w:fldCharType="begin"/>
        </w:r>
        <w:r w:rsidR="002D56B1">
          <w:rPr>
            <w:noProof/>
            <w:webHidden/>
          </w:rPr>
          <w:instrText xml:space="preserve"> PAGEREF _Toc525650417 \h </w:instrText>
        </w:r>
        <w:r w:rsidR="002D56B1">
          <w:rPr>
            <w:noProof/>
            <w:webHidden/>
          </w:rPr>
        </w:r>
        <w:r w:rsidR="002D56B1">
          <w:rPr>
            <w:noProof/>
            <w:webHidden/>
          </w:rPr>
          <w:fldChar w:fldCharType="separate"/>
        </w:r>
        <w:r w:rsidR="002D56B1">
          <w:rPr>
            <w:noProof/>
            <w:webHidden/>
          </w:rPr>
          <w:t>26</w:t>
        </w:r>
        <w:r w:rsidR="002D56B1">
          <w:rPr>
            <w:noProof/>
            <w:webHidden/>
          </w:rPr>
          <w:fldChar w:fldCharType="end"/>
        </w:r>
      </w:hyperlink>
    </w:p>
    <w:p w14:paraId="678342F7" w14:textId="77777777" w:rsidR="002D56B1" w:rsidRDefault="00D27372">
      <w:pPr>
        <w:pStyle w:val="TOC2"/>
        <w:tabs>
          <w:tab w:val="left" w:pos="1134"/>
        </w:tabs>
        <w:rPr>
          <w:rFonts w:asciiTheme="minorHAnsi" w:eastAsiaTheme="minorEastAsia" w:hAnsiTheme="minorHAnsi" w:cstheme="minorBidi"/>
          <w:noProof/>
          <w:snapToGrid/>
          <w:sz w:val="22"/>
          <w:szCs w:val="22"/>
          <w:lang w:eastAsia="en-AU"/>
        </w:rPr>
      </w:pPr>
      <w:hyperlink w:anchor="_Toc525650418" w:history="1">
        <w:r w:rsidR="002D56B1" w:rsidRPr="008C7635">
          <w:rPr>
            <w:rStyle w:val="Hyperlink"/>
            <w:noProof/>
          </w:rPr>
          <w:t>3.6</w:t>
        </w:r>
        <w:r w:rsidR="002D56B1">
          <w:rPr>
            <w:rFonts w:asciiTheme="minorHAnsi" w:eastAsiaTheme="minorEastAsia" w:hAnsiTheme="minorHAnsi" w:cstheme="minorBidi"/>
            <w:noProof/>
            <w:snapToGrid/>
            <w:sz w:val="22"/>
            <w:szCs w:val="22"/>
            <w:lang w:eastAsia="en-AU"/>
          </w:rPr>
          <w:tab/>
        </w:r>
        <w:r w:rsidR="002D56B1" w:rsidRPr="008C7635">
          <w:rPr>
            <w:rStyle w:val="Hyperlink"/>
            <w:noProof/>
          </w:rPr>
          <w:t>Singapore</w:t>
        </w:r>
        <w:r w:rsidR="002D56B1">
          <w:rPr>
            <w:noProof/>
            <w:webHidden/>
          </w:rPr>
          <w:tab/>
        </w:r>
        <w:r w:rsidR="002D56B1">
          <w:rPr>
            <w:noProof/>
            <w:webHidden/>
          </w:rPr>
          <w:fldChar w:fldCharType="begin"/>
        </w:r>
        <w:r w:rsidR="002D56B1">
          <w:rPr>
            <w:noProof/>
            <w:webHidden/>
          </w:rPr>
          <w:instrText xml:space="preserve"> PAGEREF _Toc525650418 \h </w:instrText>
        </w:r>
        <w:r w:rsidR="002D56B1">
          <w:rPr>
            <w:noProof/>
            <w:webHidden/>
          </w:rPr>
        </w:r>
        <w:r w:rsidR="002D56B1">
          <w:rPr>
            <w:noProof/>
            <w:webHidden/>
          </w:rPr>
          <w:fldChar w:fldCharType="separate"/>
        </w:r>
        <w:r w:rsidR="002D56B1">
          <w:rPr>
            <w:noProof/>
            <w:webHidden/>
          </w:rPr>
          <w:t>30</w:t>
        </w:r>
        <w:r w:rsidR="002D56B1">
          <w:rPr>
            <w:noProof/>
            <w:webHidden/>
          </w:rPr>
          <w:fldChar w:fldCharType="end"/>
        </w:r>
      </w:hyperlink>
    </w:p>
    <w:p w14:paraId="31ACFDDC" w14:textId="77777777" w:rsidR="002D56B1" w:rsidRDefault="00D27372">
      <w:pPr>
        <w:pStyle w:val="TOC2"/>
        <w:tabs>
          <w:tab w:val="left" w:pos="1134"/>
        </w:tabs>
        <w:rPr>
          <w:rFonts w:asciiTheme="minorHAnsi" w:eastAsiaTheme="minorEastAsia" w:hAnsiTheme="minorHAnsi" w:cstheme="minorBidi"/>
          <w:noProof/>
          <w:snapToGrid/>
          <w:sz w:val="22"/>
          <w:szCs w:val="22"/>
          <w:lang w:eastAsia="en-AU"/>
        </w:rPr>
      </w:pPr>
      <w:hyperlink w:anchor="_Toc525650419" w:history="1">
        <w:r w:rsidR="002D56B1" w:rsidRPr="008C7635">
          <w:rPr>
            <w:rStyle w:val="Hyperlink"/>
            <w:noProof/>
          </w:rPr>
          <w:t>3.7</w:t>
        </w:r>
        <w:r w:rsidR="002D56B1">
          <w:rPr>
            <w:rFonts w:asciiTheme="minorHAnsi" w:eastAsiaTheme="minorEastAsia" w:hAnsiTheme="minorHAnsi" w:cstheme="minorBidi"/>
            <w:noProof/>
            <w:snapToGrid/>
            <w:sz w:val="22"/>
            <w:szCs w:val="22"/>
            <w:lang w:eastAsia="en-AU"/>
          </w:rPr>
          <w:tab/>
        </w:r>
        <w:r w:rsidR="002D56B1" w:rsidRPr="008C7635">
          <w:rPr>
            <w:rStyle w:val="Hyperlink"/>
            <w:noProof/>
          </w:rPr>
          <w:t>United Kingdom (UK)</w:t>
        </w:r>
        <w:r w:rsidR="002D56B1">
          <w:rPr>
            <w:noProof/>
            <w:webHidden/>
          </w:rPr>
          <w:tab/>
        </w:r>
        <w:r w:rsidR="002D56B1">
          <w:rPr>
            <w:noProof/>
            <w:webHidden/>
          </w:rPr>
          <w:fldChar w:fldCharType="begin"/>
        </w:r>
        <w:r w:rsidR="002D56B1">
          <w:rPr>
            <w:noProof/>
            <w:webHidden/>
          </w:rPr>
          <w:instrText xml:space="preserve"> PAGEREF _Toc525650419 \h </w:instrText>
        </w:r>
        <w:r w:rsidR="002D56B1">
          <w:rPr>
            <w:noProof/>
            <w:webHidden/>
          </w:rPr>
        </w:r>
        <w:r w:rsidR="002D56B1">
          <w:rPr>
            <w:noProof/>
            <w:webHidden/>
          </w:rPr>
          <w:fldChar w:fldCharType="separate"/>
        </w:r>
        <w:r w:rsidR="002D56B1">
          <w:rPr>
            <w:noProof/>
            <w:webHidden/>
          </w:rPr>
          <w:t>33</w:t>
        </w:r>
        <w:r w:rsidR="002D56B1">
          <w:rPr>
            <w:noProof/>
            <w:webHidden/>
          </w:rPr>
          <w:fldChar w:fldCharType="end"/>
        </w:r>
      </w:hyperlink>
    </w:p>
    <w:p w14:paraId="5493ABA0" w14:textId="77777777" w:rsidR="002D56B1" w:rsidRDefault="00D27372">
      <w:pPr>
        <w:pStyle w:val="TOC2"/>
        <w:tabs>
          <w:tab w:val="left" w:pos="1134"/>
        </w:tabs>
        <w:rPr>
          <w:rFonts w:asciiTheme="minorHAnsi" w:eastAsiaTheme="minorEastAsia" w:hAnsiTheme="minorHAnsi" w:cstheme="minorBidi"/>
          <w:noProof/>
          <w:snapToGrid/>
          <w:sz w:val="22"/>
          <w:szCs w:val="22"/>
          <w:lang w:eastAsia="en-AU"/>
        </w:rPr>
      </w:pPr>
      <w:hyperlink w:anchor="_Toc525650420" w:history="1">
        <w:r w:rsidR="002D56B1" w:rsidRPr="008C7635">
          <w:rPr>
            <w:rStyle w:val="Hyperlink"/>
            <w:noProof/>
          </w:rPr>
          <w:t>3.8</w:t>
        </w:r>
        <w:r w:rsidR="002D56B1">
          <w:rPr>
            <w:rFonts w:asciiTheme="minorHAnsi" w:eastAsiaTheme="minorEastAsia" w:hAnsiTheme="minorHAnsi" w:cstheme="minorBidi"/>
            <w:noProof/>
            <w:snapToGrid/>
            <w:sz w:val="22"/>
            <w:szCs w:val="22"/>
            <w:lang w:eastAsia="en-AU"/>
          </w:rPr>
          <w:tab/>
        </w:r>
        <w:r w:rsidR="002D56B1" w:rsidRPr="008C7635">
          <w:rPr>
            <w:rStyle w:val="Hyperlink"/>
            <w:noProof/>
          </w:rPr>
          <w:t>United States of America (USA)</w:t>
        </w:r>
        <w:r w:rsidR="002D56B1">
          <w:rPr>
            <w:noProof/>
            <w:webHidden/>
          </w:rPr>
          <w:tab/>
        </w:r>
        <w:r w:rsidR="002D56B1">
          <w:rPr>
            <w:noProof/>
            <w:webHidden/>
          </w:rPr>
          <w:fldChar w:fldCharType="begin"/>
        </w:r>
        <w:r w:rsidR="002D56B1">
          <w:rPr>
            <w:noProof/>
            <w:webHidden/>
          </w:rPr>
          <w:instrText xml:space="preserve"> PAGEREF _Toc525650420 \h </w:instrText>
        </w:r>
        <w:r w:rsidR="002D56B1">
          <w:rPr>
            <w:noProof/>
            <w:webHidden/>
          </w:rPr>
        </w:r>
        <w:r w:rsidR="002D56B1">
          <w:rPr>
            <w:noProof/>
            <w:webHidden/>
          </w:rPr>
          <w:fldChar w:fldCharType="separate"/>
        </w:r>
        <w:r w:rsidR="002D56B1">
          <w:rPr>
            <w:noProof/>
            <w:webHidden/>
          </w:rPr>
          <w:t>37</w:t>
        </w:r>
        <w:r w:rsidR="002D56B1">
          <w:rPr>
            <w:noProof/>
            <w:webHidden/>
          </w:rPr>
          <w:fldChar w:fldCharType="end"/>
        </w:r>
      </w:hyperlink>
    </w:p>
    <w:p w14:paraId="402BF6A3" w14:textId="77777777" w:rsidR="002D56B1" w:rsidRDefault="00D27372">
      <w:pPr>
        <w:pStyle w:val="TOC1"/>
        <w:rPr>
          <w:rFonts w:asciiTheme="minorHAnsi" w:eastAsiaTheme="minorEastAsia" w:hAnsiTheme="minorHAnsi" w:cstheme="minorBidi"/>
          <w:b w:val="0"/>
          <w:noProof/>
          <w:snapToGrid/>
          <w:sz w:val="22"/>
          <w:szCs w:val="22"/>
          <w:lang w:eastAsia="en-AU"/>
        </w:rPr>
      </w:pPr>
      <w:hyperlink w:anchor="_Toc525650421" w:history="1">
        <w:r w:rsidR="002D56B1" w:rsidRPr="008C7635">
          <w:rPr>
            <w:rStyle w:val="Hyperlink"/>
            <w:noProof/>
          </w:rPr>
          <w:t>4.</w:t>
        </w:r>
        <w:r w:rsidR="002D56B1">
          <w:rPr>
            <w:rFonts w:asciiTheme="minorHAnsi" w:eastAsiaTheme="minorEastAsia" w:hAnsiTheme="minorHAnsi" w:cstheme="minorBidi"/>
            <w:b w:val="0"/>
            <w:noProof/>
            <w:snapToGrid/>
            <w:sz w:val="22"/>
            <w:szCs w:val="22"/>
            <w:lang w:eastAsia="en-AU"/>
          </w:rPr>
          <w:tab/>
        </w:r>
        <w:r w:rsidR="002D56B1" w:rsidRPr="008C7635">
          <w:rPr>
            <w:rStyle w:val="Hyperlink"/>
            <w:noProof/>
          </w:rPr>
          <w:t>Reliability in the Australian energy market</w:t>
        </w:r>
        <w:r w:rsidR="002D56B1">
          <w:rPr>
            <w:noProof/>
            <w:webHidden/>
          </w:rPr>
          <w:tab/>
        </w:r>
        <w:r w:rsidR="002D56B1">
          <w:rPr>
            <w:noProof/>
            <w:webHidden/>
          </w:rPr>
          <w:fldChar w:fldCharType="begin"/>
        </w:r>
        <w:r w:rsidR="002D56B1">
          <w:rPr>
            <w:noProof/>
            <w:webHidden/>
          </w:rPr>
          <w:instrText xml:space="preserve"> PAGEREF _Toc525650421 \h </w:instrText>
        </w:r>
        <w:r w:rsidR="002D56B1">
          <w:rPr>
            <w:noProof/>
            <w:webHidden/>
          </w:rPr>
        </w:r>
        <w:r w:rsidR="002D56B1">
          <w:rPr>
            <w:noProof/>
            <w:webHidden/>
          </w:rPr>
          <w:fldChar w:fldCharType="separate"/>
        </w:r>
        <w:r w:rsidR="002D56B1">
          <w:rPr>
            <w:noProof/>
            <w:webHidden/>
          </w:rPr>
          <w:t>39</w:t>
        </w:r>
        <w:r w:rsidR="002D56B1">
          <w:rPr>
            <w:noProof/>
            <w:webHidden/>
          </w:rPr>
          <w:fldChar w:fldCharType="end"/>
        </w:r>
      </w:hyperlink>
    </w:p>
    <w:p w14:paraId="71A19910" w14:textId="77777777" w:rsidR="002D56B1" w:rsidRDefault="00D27372">
      <w:pPr>
        <w:pStyle w:val="TOC2"/>
        <w:tabs>
          <w:tab w:val="left" w:pos="1134"/>
        </w:tabs>
        <w:rPr>
          <w:rFonts w:asciiTheme="minorHAnsi" w:eastAsiaTheme="minorEastAsia" w:hAnsiTheme="minorHAnsi" w:cstheme="minorBidi"/>
          <w:noProof/>
          <w:snapToGrid/>
          <w:sz w:val="22"/>
          <w:szCs w:val="22"/>
          <w:lang w:eastAsia="en-AU"/>
        </w:rPr>
      </w:pPr>
      <w:hyperlink w:anchor="_Toc525650422" w:history="1">
        <w:r w:rsidR="002D56B1" w:rsidRPr="008C7635">
          <w:rPr>
            <w:rStyle w:val="Hyperlink"/>
            <w:noProof/>
          </w:rPr>
          <w:t>4.1</w:t>
        </w:r>
        <w:r w:rsidR="002D56B1">
          <w:rPr>
            <w:rFonts w:asciiTheme="minorHAnsi" w:eastAsiaTheme="minorEastAsia" w:hAnsiTheme="minorHAnsi" w:cstheme="minorBidi"/>
            <w:noProof/>
            <w:snapToGrid/>
            <w:sz w:val="22"/>
            <w:szCs w:val="22"/>
            <w:lang w:eastAsia="en-AU"/>
          </w:rPr>
          <w:tab/>
        </w:r>
        <w:r w:rsidR="002D56B1" w:rsidRPr="008C7635">
          <w:rPr>
            <w:rStyle w:val="Hyperlink"/>
            <w:noProof/>
          </w:rPr>
          <w:t>Energy sector</w:t>
        </w:r>
        <w:r w:rsidR="002D56B1">
          <w:rPr>
            <w:noProof/>
            <w:webHidden/>
          </w:rPr>
          <w:tab/>
        </w:r>
        <w:r w:rsidR="002D56B1">
          <w:rPr>
            <w:noProof/>
            <w:webHidden/>
          </w:rPr>
          <w:fldChar w:fldCharType="begin"/>
        </w:r>
        <w:r w:rsidR="002D56B1">
          <w:rPr>
            <w:noProof/>
            <w:webHidden/>
          </w:rPr>
          <w:instrText xml:space="preserve"> PAGEREF _Toc525650422 \h </w:instrText>
        </w:r>
        <w:r w:rsidR="002D56B1">
          <w:rPr>
            <w:noProof/>
            <w:webHidden/>
          </w:rPr>
        </w:r>
        <w:r w:rsidR="002D56B1">
          <w:rPr>
            <w:noProof/>
            <w:webHidden/>
          </w:rPr>
          <w:fldChar w:fldCharType="separate"/>
        </w:r>
        <w:r w:rsidR="002D56B1">
          <w:rPr>
            <w:noProof/>
            <w:webHidden/>
          </w:rPr>
          <w:t>39</w:t>
        </w:r>
        <w:r w:rsidR="002D56B1">
          <w:rPr>
            <w:noProof/>
            <w:webHidden/>
          </w:rPr>
          <w:fldChar w:fldCharType="end"/>
        </w:r>
      </w:hyperlink>
    </w:p>
    <w:p w14:paraId="375AE2C7" w14:textId="79D91DA6" w:rsidR="00E66FE1" w:rsidRDefault="00E66FE1" w:rsidP="00E66FE1">
      <w:pPr>
        <w:pStyle w:val="PwCNormal"/>
        <w:numPr>
          <w:ilvl w:val="0"/>
          <w:numId w:val="0"/>
        </w:numPr>
        <w:kinsoku/>
        <w:overflowPunct/>
        <w:autoSpaceDE/>
        <w:autoSpaceDN/>
        <w:adjustRightInd/>
        <w:snapToGrid/>
      </w:pPr>
      <w:r>
        <w:rPr>
          <w:b/>
        </w:rPr>
        <w:fldChar w:fldCharType="end"/>
      </w:r>
    </w:p>
    <w:p w14:paraId="2477E3F1" w14:textId="77777777" w:rsidR="00902462" w:rsidRPr="00C55BBE" w:rsidRDefault="00902462" w:rsidP="00D672B5">
      <w:pPr>
        <w:pStyle w:val="Heading3-Notice"/>
        <w:rPr>
          <w:b w:val="0"/>
        </w:rPr>
      </w:pPr>
      <w:r w:rsidRPr="00C55BBE">
        <w:t>Notice to any Reader of the Attached Report</w:t>
      </w:r>
    </w:p>
    <w:p w14:paraId="267054B1" w14:textId="77777777" w:rsidR="00902462" w:rsidRPr="00B31E62" w:rsidRDefault="00902462" w:rsidP="00902462">
      <w:pPr>
        <w:pStyle w:val="Footer-ToC"/>
        <w:spacing w:before="40" w:after="60"/>
        <w:rPr>
          <w:sz w:val="18"/>
        </w:rPr>
      </w:pPr>
      <w:r w:rsidRPr="00AE12E7">
        <w:rPr>
          <w:sz w:val="18"/>
        </w:rPr>
        <w:t xml:space="preserve">PricewaterhouseCoopers Consulting (Australia) Pty Ltd (PwC) </w:t>
      </w:r>
      <w:r w:rsidRPr="00B31E62">
        <w:rPr>
          <w:sz w:val="18"/>
        </w:rPr>
        <w:t>was engaged by the Department of Communications and the Arts (DoCA) to prepare this report with the intention that it would be made available to persons participating in the Consumer Safeguards R</w:t>
      </w:r>
      <w:r>
        <w:rPr>
          <w:sz w:val="18"/>
        </w:rPr>
        <w:t>eview being undertaken by DoCA.</w:t>
      </w:r>
    </w:p>
    <w:p w14:paraId="3E6DD05C" w14:textId="77777777" w:rsidR="00902462" w:rsidRPr="00B31E62" w:rsidRDefault="00902462" w:rsidP="00902462">
      <w:pPr>
        <w:pStyle w:val="Footer-ToC"/>
        <w:spacing w:before="40" w:after="60"/>
        <w:rPr>
          <w:sz w:val="18"/>
        </w:rPr>
      </w:pPr>
      <w:r w:rsidRPr="00B31E62">
        <w:rPr>
          <w:sz w:val="18"/>
        </w:rPr>
        <w:t>This report was prepared from publicly available information at a point in time. Apart from high level cross checks on the information to identify obvious anomalies, we have not verified or otherwise confirmed the accuracy, validity or completeness of this information.</w:t>
      </w:r>
    </w:p>
    <w:p w14:paraId="15DF2CE5" w14:textId="77777777" w:rsidR="00902462" w:rsidRPr="00B31E62" w:rsidRDefault="00902462" w:rsidP="00902462">
      <w:pPr>
        <w:pStyle w:val="Footer-ToC"/>
        <w:spacing w:before="40" w:after="60"/>
        <w:rPr>
          <w:sz w:val="18"/>
        </w:rPr>
      </w:pPr>
      <w:r w:rsidRPr="00B31E62">
        <w:rPr>
          <w:sz w:val="18"/>
        </w:rPr>
        <w:t>We accept no responsibility, duty or liability to any party in connection with this report. Anyone relying on this report do</w:t>
      </w:r>
      <w:r>
        <w:rPr>
          <w:sz w:val="18"/>
        </w:rPr>
        <w:t>es</w:t>
      </w:r>
      <w:r w:rsidRPr="00B31E62">
        <w:rPr>
          <w:sz w:val="18"/>
        </w:rPr>
        <w:t xml:space="preserve"> so at their own risk.</w:t>
      </w:r>
    </w:p>
    <w:p w14:paraId="2DCA0E01" w14:textId="77777777" w:rsidR="00902462" w:rsidRPr="00B31E62" w:rsidRDefault="00902462" w:rsidP="00902462">
      <w:pPr>
        <w:pStyle w:val="Footer-ToC"/>
        <w:spacing w:before="40" w:after="60"/>
        <w:rPr>
          <w:sz w:val="18"/>
        </w:rPr>
      </w:pPr>
      <w:r w:rsidRPr="00B31E62">
        <w:rPr>
          <w:sz w:val="18"/>
        </w:rPr>
        <w:t>This disclaimer applies to the maximum extent permitted by law and, without limitation, to liability arising in negligence or under statute.</w:t>
      </w:r>
    </w:p>
    <w:p w14:paraId="3B881AC6" w14:textId="77777777" w:rsidR="00902462" w:rsidRPr="00B31E62" w:rsidRDefault="00902462" w:rsidP="00902462">
      <w:pPr>
        <w:pStyle w:val="Footer-ToC"/>
        <w:spacing w:before="40" w:after="60" w:line="240" w:lineRule="auto"/>
        <w:rPr>
          <w:sz w:val="18"/>
        </w:rPr>
      </w:pPr>
      <w:r w:rsidRPr="00B31E62">
        <w:rPr>
          <w:sz w:val="18"/>
        </w:rPr>
        <w:t>Liability limited by a scheme approved under Professional Standards legislation.</w:t>
      </w:r>
    </w:p>
    <w:p w14:paraId="7A85CDA5" w14:textId="77777777" w:rsidR="00902462" w:rsidRPr="00973277" w:rsidRDefault="00902462" w:rsidP="00A3210B">
      <w:pPr>
        <w:pStyle w:val="PwCNormal"/>
        <w:numPr>
          <w:ilvl w:val="0"/>
          <w:numId w:val="0"/>
        </w:numPr>
        <w:kinsoku/>
        <w:overflowPunct/>
        <w:autoSpaceDE/>
        <w:autoSpaceDN/>
        <w:adjustRightInd/>
        <w:snapToGrid/>
      </w:pPr>
    </w:p>
    <w:p w14:paraId="368C80D3" w14:textId="77777777" w:rsidR="004F0878" w:rsidRPr="00973277" w:rsidRDefault="004F0878" w:rsidP="007625E6">
      <w:pPr>
        <w:pStyle w:val="Coverpulloutframe"/>
        <w:framePr w:wrap="notBeside"/>
        <w:rPr>
          <w:lang w:val="en-AU"/>
        </w:rPr>
        <w:sectPr w:rsidR="004F0878" w:rsidRPr="00973277" w:rsidSect="008968DB">
          <w:headerReference w:type="even" r:id="rId13"/>
          <w:headerReference w:type="default" r:id="rId14"/>
          <w:footerReference w:type="even" r:id="rId15"/>
          <w:footerReference w:type="default" r:id="rId16"/>
          <w:headerReference w:type="first" r:id="rId17"/>
          <w:footerReference w:type="first" r:id="rId18"/>
          <w:pgSz w:w="11907" w:h="16840" w:code="9"/>
          <w:pgMar w:top="1588" w:right="1843" w:bottom="1418" w:left="1843" w:header="567" w:footer="567" w:gutter="0"/>
          <w:pgNumType w:fmt="lowerRoman" w:start="1"/>
          <w:cols w:space="720"/>
          <w:docGrid w:linePitch="286"/>
        </w:sectPr>
      </w:pPr>
    </w:p>
    <w:p w14:paraId="473702AE" w14:textId="4D38DA7A" w:rsidR="00247954" w:rsidRDefault="00325598" w:rsidP="00C55BBE">
      <w:pPr>
        <w:pStyle w:val="Heading2Nospacing"/>
      </w:pPr>
      <w:bookmarkStart w:id="3" w:name="_Toc518337337"/>
      <w:bookmarkStart w:id="4" w:name="_Toc525650404"/>
      <w:r>
        <w:lastRenderedPageBreak/>
        <w:t>1.</w:t>
      </w:r>
      <w:r>
        <w:tab/>
      </w:r>
      <w:r w:rsidR="006715D5" w:rsidRPr="00ED3525">
        <w:t>Introduction</w:t>
      </w:r>
      <w:bookmarkEnd w:id="3"/>
      <w:bookmarkEnd w:id="4"/>
    </w:p>
    <w:p w14:paraId="585F9720" w14:textId="50C84399" w:rsidR="00466EE6" w:rsidRDefault="00466EE6" w:rsidP="00C55BBE">
      <w:pPr>
        <w:pStyle w:val="Heading3"/>
      </w:pPr>
      <w:bookmarkStart w:id="5" w:name="_Toc518337338"/>
      <w:bookmarkStart w:id="6" w:name="_Toc525650405"/>
      <w:r w:rsidRPr="00324E04">
        <w:t>Context</w:t>
      </w:r>
      <w:bookmarkEnd w:id="5"/>
      <w:bookmarkEnd w:id="6"/>
    </w:p>
    <w:p w14:paraId="7F3823A1" w14:textId="050BB24D" w:rsidR="00466EE6" w:rsidRPr="00466EE6" w:rsidRDefault="00466EE6" w:rsidP="007D7270">
      <w:pPr>
        <w:pStyle w:val="PwCNormal"/>
        <w:rPr>
          <w:rFonts w:eastAsia="Georgia"/>
        </w:rPr>
      </w:pPr>
      <w:r w:rsidRPr="00466EE6">
        <w:rPr>
          <w:rFonts w:eastAsia="Georgia"/>
        </w:rPr>
        <w:t xml:space="preserve">On 17 April 2018, the Minister for Communications, Senator the Hon Mitch Fifield, released Terms of Reference for a Consumer Safeguards Review </w:t>
      </w:r>
      <w:r w:rsidR="00C16A48">
        <w:rPr>
          <w:rFonts w:eastAsia="Georgia"/>
        </w:rPr>
        <w:t xml:space="preserve">(the Review) to be undertaken by the Government, </w:t>
      </w:r>
      <w:r w:rsidRPr="00466EE6">
        <w:rPr>
          <w:rFonts w:eastAsia="Georgia"/>
        </w:rPr>
        <w:t xml:space="preserve">that will develop the next generation of consumer safeguards for the telecommunications industry in Australia. The </w:t>
      </w:r>
      <w:r w:rsidR="000465DB">
        <w:rPr>
          <w:rFonts w:eastAsia="Georgia"/>
        </w:rPr>
        <w:t>second</w:t>
      </w:r>
      <w:r w:rsidR="000465DB" w:rsidRPr="00466EE6">
        <w:rPr>
          <w:rFonts w:eastAsia="Georgia"/>
        </w:rPr>
        <w:t xml:space="preserve"> </w:t>
      </w:r>
      <w:r w:rsidRPr="00466EE6">
        <w:rPr>
          <w:rFonts w:eastAsia="Georgia"/>
        </w:rPr>
        <w:t xml:space="preserve">part of the Review will consider and make recommendations on the level of consumer safeguards required so that </w:t>
      </w:r>
      <w:r w:rsidR="00FB13F7">
        <w:rPr>
          <w:rFonts w:eastAsia="Georgia"/>
        </w:rPr>
        <w:t>consumers</w:t>
      </w:r>
      <w:r w:rsidRPr="00466EE6">
        <w:rPr>
          <w:rFonts w:eastAsia="Georgia"/>
        </w:rPr>
        <w:t xml:space="preserve"> have access to </w:t>
      </w:r>
      <w:r w:rsidR="000465DB">
        <w:rPr>
          <w:rFonts w:eastAsia="Georgia"/>
        </w:rPr>
        <w:t>reliable telecommunications services</w:t>
      </w:r>
      <w:r w:rsidRPr="00466EE6">
        <w:rPr>
          <w:rFonts w:eastAsia="Georgia"/>
        </w:rPr>
        <w:t>.</w:t>
      </w:r>
    </w:p>
    <w:p w14:paraId="510D4A4D" w14:textId="11E8A412" w:rsidR="0012136C" w:rsidRPr="0012136C" w:rsidRDefault="0012136C" w:rsidP="0012136C">
      <w:pPr>
        <w:pStyle w:val="PwCNormal"/>
        <w:rPr>
          <w:rFonts w:eastAsia="Georgia"/>
        </w:rPr>
      </w:pPr>
      <w:r w:rsidRPr="0012136C">
        <w:rPr>
          <w:rFonts w:eastAsia="Georgia"/>
        </w:rPr>
        <w:t>While many safeguards are already delivered through broader consumer protection provisions under the Australian Consumer Law, some form of telecommunications-specific safeguards may remain necessary. In this context, the Review will have regard to:</w:t>
      </w:r>
    </w:p>
    <w:p w14:paraId="05E85C38" w14:textId="6A80B745" w:rsidR="0012136C" w:rsidRPr="0012136C" w:rsidRDefault="0012136C" w:rsidP="0012136C">
      <w:pPr>
        <w:pStyle w:val="ListBullet"/>
        <w:rPr>
          <w:rFonts w:eastAsia="Georgia"/>
        </w:rPr>
      </w:pPr>
      <w:r w:rsidRPr="0012136C">
        <w:rPr>
          <w:rFonts w:eastAsia="Georgia"/>
        </w:rPr>
        <w:t>the need for regulatory or institutional reform</w:t>
      </w:r>
    </w:p>
    <w:p w14:paraId="3E268791" w14:textId="0EF90BEC" w:rsidR="0012136C" w:rsidRPr="0012136C" w:rsidRDefault="0012136C" w:rsidP="0012136C">
      <w:pPr>
        <w:pStyle w:val="ListBullet"/>
        <w:rPr>
          <w:rFonts w:eastAsia="Georgia"/>
        </w:rPr>
      </w:pPr>
      <w:r w:rsidRPr="0012136C">
        <w:rPr>
          <w:rFonts w:eastAsia="Georgia"/>
        </w:rPr>
        <w:t>existing consumer protection frameworks</w:t>
      </w:r>
    </w:p>
    <w:p w14:paraId="672B9A7E" w14:textId="3A684C88" w:rsidR="0012136C" w:rsidRPr="0012136C" w:rsidRDefault="0012136C" w:rsidP="0012136C">
      <w:pPr>
        <w:pStyle w:val="ListBullet"/>
        <w:rPr>
          <w:rFonts w:eastAsia="Georgia"/>
        </w:rPr>
      </w:pPr>
      <w:r w:rsidRPr="0012136C">
        <w:rPr>
          <w:rFonts w:eastAsia="Georgia"/>
        </w:rPr>
        <w:t>the form safeguards should take</w:t>
      </w:r>
    </w:p>
    <w:p w14:paraId="0ED2C54B" w14:textId="1D59C1BC" w:rsidR="0012136C" w:rsidRPr="0012136C" w:rsidRDefault="0012136C" w:rsidP="0012136C">
      <w:pPr>
        <w:pStyle w:val="ListBullet"/>
        <w:rPr>
          <w:rFonts w:eastAsia="Georgia"/>
        </w:rPr>
      </w:pPr>
      <w:r w:rsidRPr="0012136C">
        <w:rPr>
          <w:rFonts w:eastAsia="Georgia"/>
        </w:rPr>
        <w:t>where in the supply chain they should be applied</w:t>
      </w:r>
    </w:p>
    <w:p w14:paraId="27BBDFC9" w14:textId="12A5E74C" w:rsidR="00466EE6" w:rsidRPr="00466EE6" w:rsidRDefault="0012136C" w:rsidP="0012136C">
      <w:pPr>
        <w:pStyle w:val="ListBullet"/>
        <w:rPr>
          <w:rFonts w:eastAsia="Georgia"/>
        </w:rPr>
      </w:pPr>
      <w:r w:rsidRPr="0012136C">
        <w:rPr>
          <w:rFonts w:eastAsia="Georgia"/>
        </w:rPr>
        <w:t>the regulatory approach to be taken.</w:t>
      </w:r>
    </w:p>
    <w:p w14:paraId="352F89C4" w14:textId="249FEB5F" w:rsidR="00870C3C" w:rsidRDefault="00870C3C" w:rsidP="00870C3C">
      <w:pPr>
        <w:pStyle w:val="PwCNormal"/>
      </w:pPr>
      <w:r>
        <w:t>This paper provides information about the current mechanisms used to promote reliability of telecommunications services in Australia, in comparable countries around the world, and in other industries in Australia.</w:t>
      </w:r>
    </w:p>
    <w:p w14:paraId="7BC4F067" w14:textId="0018C445" w:rsidR="00870C3C" w:rsidRDefault="00870C3C" w:rsidP="00870C3C">
      <w:pPr>
        <w:pStyle w:val="PwCNormal"/>
      </w:pPr>
      <w:r w:rsidRPr="00B31E62">
        <w:t xml:space="preserve">It should be noted that due to the variance in definitions and applications across countries and industries there is additional nuance that cannot be captured using only information gathered in a desktop review. The purpose of this paper is to provide a baseline level of information to inform consultation on </w:t>
      </w:r>
      <w:r w:rsidR="000B0990">
        <w:t>service reliability</w:t>
      </w:r>
      <w:r w:rsidRPr="00B31E62">
        <w:t>; it should not be considered exhaustive or used in isolation for decision making.</w:t>
      </w:r>
    </w:p>
    <w:p w14:paraId="7AD60655" w14:textId="2FA62E42" w:rsidR="00E97225" w:rsidRDefault="00853F23" w:rsidP="00C55BBE">
      <w:pPr>
        <w:pStyle w:val="Heading4"/>
        <w:numPr>
          <w:ilvl w:val="2"/>
          <w:numId w:val="35"/>
        </w:numPr>
      </w:pPr>
      <w:r>
        <w:t xml:space="preserve">Service </w:t>
      </w:r>
      <w:r w:rsidRPr="00FA59CE">
        <w:t>r</w:t>
      </w:r>
      <w:r w:rsidR="00E97225" w:rsidRPr="00FA59CE">
        <w:t>eliability</w:t>
      </w:r>
    </w:p>
    <w:p w14:paraId="601EED4C" w14:textId="4D88926A" w:rsidR="00CB06FA" w:rsidRPr="0012136C" w:rsidRDefault="00CB06FA" w:rsidP="00CB06FA">
      <w:pPr>
        <w:pStyle w:val="PwCNormal"/>
        <w:rPr>
          <w:rFonts w:eastAsia="Georgia"/>
        </w:rPr>
      </w:pPr>
      <w:r w:rsidRPr="0012136C">
        <w:rPr>
          <w:rFonts w:eastAsia="Georgia"/>
        </w:rPr>
        <w:t>Consumers purchase services</w:t>
      </w:r>
      <w:r>
        <w:rPr>
          <w:rFonts w:eastAsia="Georgia"/>
        </w:rPr>
        <w:t xml:space="preserve"> from telecommunications </w:t>
      </w:r>
      <w:r w:rsidR="000B0990">
        <w:rPr>
          <w:rFonts w:eastAsia="Georgia"/>
        </w:rPr>
        <w:t>retailers</w:t>
      </w:r>
      <w:r w:rsidRPr="0012136C">
        <w:rPr>
          <w:rFonts w:eastAsia="Georgia"/>
        </w:rPr>
        <w:t>, both telephone and internet, with a reasonable expectation of the</w:t>
      </w:r>
      <w:r>
        <w:rPr>
          <w:rFonts w:eastAsia="Georgia"/>
        </w:rPr>
        <w:t xml:space="preserve"> </w:t>
      </w:r>
      <w:r w:rsidRPr="0012136C">
        <w:rPr>
          <w:rFonts w:eastAsia="Georgia"/>
        </w:rPr>
        <w:t>reliability</w:t>
      </w:r>
      <w:r>
        <w:rPr>
          <w:rFonts w:eastAsia="Georgia"/>
        </w:rPr>
        <w:t xml:space="preserve"> of the underlying networks</w:t>
      </w:r>
      <w:r w:rsidRPr="0012136C">
        <w:rPr>
          <w:rFonts w:eastAsia="Georgia"/>
        </w:rPr>
        <w:t>. As consumers become increasingly reliant on telecommunications</w:t>
      </w:r>
      <w:r w:rsidR="005B1EB0">
        <w:rPr>
          <w:rFonts w:eastAsia="Georgia"/>
        </w:rPr>
        <w:t xml:space="preserve"> for personal and </w:t>
      </w:r>
      <w:r w:rsidR="00370822">
        <w:rPr>
          <w:rFonts w:eastAsia="Georgia"/>
        </w:rPr>
        <w:t xml:space="preserve">commercial </w:t>
      </w:r>
      <w:r w:rsidR="005B1EB0">
        <w:rPr>
          <w:rFonts w:eastAsia="Georgia"/>
        </w:rPr>
        <w:t>use</w:t>
      </w:r>
      <w:r w:rsidRPr="0012136C">
        <w:rPr>
          <w:rFonts w:eastAsia="Georgia"/>
        </w:rPr>
        <w:t xml:space="preserve">, the </w:t>
      </w:r>
      <w:r>
        <w:rPr>
          <w:rFonts w:eastAsia="Georgia"/>
        </w:rPr>
        <w:t xml:space="preserve">ability to </w:t>
      </w:r>
      <w:r w:rsidR="006D7752">
        <w:rPr>
          <w:rFonts w:eastAsia="Georgia"/>
        </w:rPr>
        <w:t>access</w:t>
      </w:r>
      <w:r>
        <w:rPr>
          <w:rFonts w:eastAsia="Georgia"/>
        </w:rPr>
        <w:t xml:space="preserve"> reliable networks becomes fundamental.</w:t>
      </w:r>
    </w:p>
    <w:p w14:paraId="704158BD" w14:textId="4E40A7F4" w:rsidR="00B45771" w:rsidRPr="0012136C" w:rsidRDefault="00CB06FA" w:rsidP="0012136C">
      <w:pPr>
        <w:pStyle w:val="PwCNormal"/>
        <w:rPr>
          <w:rFonts w:eastAsia="Georgia"/>
          <w:highlight w:val="yellow"/>
        </w:rPr>
      </w:pPr>
      <w:r>
        <w:rPr>
          <w:rFonts w:eastAsia="Georgia"/>
        </w:rPr>
        <w:t>Specific measures</w:t>
      </w:r>
      <w:r w:rsidRPr="0012136C">
        <w:rPr>
          <w:rFonts w:eastAsia="Georgia"/>
        </w:rPr>
        <w:t xml:space="preserve"> </w:t>
      </w:r>
      <w:r>
        <w:rPr>
          <w:rFonts w:eastAsia="Georgia"/>
        </w:rPr>
        <w:t>that</w:t>
      </w:r>
      <w:r w:rsidR="0012136C" w:rsidRPr="0012136C">
        <w:rPr>
          <w:rFonts w:eastAsia="Georgia"/>
        </w:rPr>
        <w:t xml:space="preserve"> promote reliability of </w:t>
      </w:r>
      <w:r w:rsidR="006D7752">
        <w:rPr>
          <w:rFonts w:eastAsia="Georgia"/>
        </w:rPr>
        <w:t>a</w:t>
      </w:r>
      <w:r w:rsidR="006D7752" w:rsidRPr="0012136C">
        <w:rPr>
          <w:rFonts w:eastAsia="Georgia"/>
        </w:rPr>
        <w:t xml:space="preserve"> </w:t>
      </w:r>
      <w:r w:rsidR="0012136C" w:rsidRPr="0012136C">
        <w:rPr>
          <w:rFonts w:eastAsia="Georgia"/>
        </w:rPr>
        <w:t xml:space="preserve">telecommunications network can be important components of a well-functioning consumer safeguards framework, particularly where competition </w:t>
      </w:r>
      <w:r w:rsidR="00C448ED">
        <w:rPr>
          <w:rFonts w:eastAsia="Georgia"/>
        </w:rPr>
        <w:t xml:space="preserve">in the market and transparent information for consumers </w:t>
      </w:r>
      <w:r w:rsidR="0012136C" w:rsidRPr="0012136C">
        <w:rPr>
          <w:rFonts w:eastAsia="Georgia"/>
        </w:rPr>
        <w:t>is not sufficient to drive reliable service delivery.</w:t>
      </w:r>
    </w:p>
    <w:p w14:paraId="3B6C198B" w14:textId="7C89213D" w:rsidR="00CB06FA" w:rsidRPr="0012136C" w:rsidRDefault="00CB06FA" w:rsidP="00CB06FA">
      <w:pPr>
        <w:pStyle w:val="PwCNormal"/>
        <w:rPr>
          <w:rFonts w:eastAsia="Georgia"/>
          <w:highlight w:val="yellow"/>
        </w:rPr>
      </w:pPr>
      <w:r w:rsidRPr="0012136C">
        <w:rPr>
          <w:rFonts w:eastAsia="Georgia"/>
        </w:rPr>
        <w:t xml:space="preserve">Reliability is a term </w:t>
      </w:r>
      <w:r w:rsidR="00A46EF5">
        <w:rPr>
          <w:rFonts w:eastAsia="Georgia"/>
        </w:rPr>
        <w:t>used</w:t>
      </w:r>
      <w:r w:rsidRPr="0012136C">
        <w:rPr>
          <w:rFonts w:eastAsia="Georgia"/>
        </w:rPr>
        <w:t xml:space="preserve"> by many service providers in the telecommunications industry, yet it rarely carries an explicit or consistent definition. </w:t>
      </w:r>
      <w:r>
        <w:rPr>
          <w:rFonts w:eastAsia="Georgia"/>
        </w:rPr>
        <w:t>The desktop review that informs this paper also indicates that i</w:t>
      </w:r>
      <w:r w:rsidRPr="0012136C">
        <w:rPr>
          <w:rFonts w:eastAsia="Georgia"/>
        </w:rPr>
        <w:t>ts application var</w:t>
      </w:r>
      <w:r>
        <w:rPr>
          <w:rFonts w:eastAsia="Georgia"/>
        </w:rPr>
        <w:t>ies</w:t>
      </w:r>
      <w:r w:rsidRPr="0012136C">
        <w:rPr>
          <w:rFonts w:eastAsia="Georgia"/>
        </w:rPr>
        <w:t xml:space="preserve"> across countries and </w:t>
      </w:r>
      <w:r w:rsidR="006D7752">
        <w:rPr>
          <w:rFonts w:eastAsia="Georgia"/>
        </w:rPr>
        <w:t>sectors</w:t>
      </w:r>
      <w:r w:rsidRPr="0012136C">
        <w:rPr>
          <w:rFonts w:eastAsia="Georgia"/>
        </w:rPr>
        <w:t>. Nevertheless, there are ch</w:t>
      </w:r>
      <w:r>
        <w:rPr>
          <w:rFonts w:eastAsia="Georgia"/>
        </w:rPr>
        <w:t>aracteristics that appear to be</w:t>
      </w:r>
      <w:r w:rsidRPr="0012136C">
        <w:rPr>
          <w:rFonts w:eastAsia="Georgia"/>
        </w:rPr>
        <w:t xml:space="preserve"> </w:t>
      </w:r>
      <w:r>
        <w:rPr>
          <w:rFonts w:eastAsia="Georgia"/>
        </w:rPr>
        <w:t>common</w:t>
      </w:r>
      <w:r w:rsidR="00E959AC">
        <w:rPr>
          <w:rFonts w:eastAsia="Georgia"/>
        </w:rPr>
        <w:t>,</w:t>
      </w:r>
      <w:r>
        <w:rPr>
          <w:rFonts w:eastAsia="Georgia"/>
        </w:rPr>
        <w:t xml:space="preserve"> and these characteristics have been identified and used for comparison</w:t>
      </w:r>
      <w:r w:rsidRPr="0012136C">
        <w:rPr>
          <w:rFonts w:eastAsia="Georgia"/>
        </w:rPr>
        <w:t>.</w:t>
      </w:r>
    </w:p>
    <w:p w14:paraId="449C0DBD" w14:textId="6246AF54" w:rsidR="00CB06FA" w:rsidRPr="0012136C" w:rsidRDefault="00CB06FA" w:rsidP="00CB06FA">
      <w:pPr>
        <w:pStyle w:val="PwCNormal"/>
        <w:rPr>
          <w:rFonts w:eastAsia="Georgia"/>
          <w:highlight w:val="yellow"/>
        </w:rPr>
      </w:pPr>
      <w:r w:rsidRPr="0012136C">
        <w:rPr>
          <w:rFonts w:eastAsia="Georgia"/>
        </w:rPr>
        <w:lastRenderedPageBreak/>
        <w:t xml:space="preserve">In this paper, reliability refers to the ability for consumers to access and use the service they have purchased to an acceptable standard. </w:t>
      </w:r>
      <w:r>
        <w:rPr>
          <w:rFonts w:eastAsia="Georgia"/>
        </w:rPr>
        <w:t xml:space="preserve">It does not refer to the reliability of the hardware used to access these services. </w:t>
      </w:r>
      <w:r w:rsidRPr="0012136C">
        <w:rPr>
          <w:rFonts w:eastAsia="Georgia"/>
        </w:rPr>
        <w:t xml:space="preserve">Some countries choose to impose minimum standards to ensure an acceptable level of </w:t>
      </w:r>
      <w:r>
        <w:rPr>
          <w:rFonts w:eastAsia="Georgia"/>
        </w:rPr>
        <w:t xml:space="preserve">network </w:t>
      </w:r>
      <w:r w:rsidRPr="0012136C">
        <w:rPr>
          <w:rFonts w:eastAsia="Georgia"/>
        </w:rPr>
        <w:t xml:space="preserve">reliability, whereas others </w:t>
      </w:r>
      <w:r w:rsidR="00E959AC">
        <w:rPr>
          <w:rFonts w:eastAsia="Georgia"/>
        </w:rPr>
        <w:t>place a greater level of reliance</w:t>
      </w:r>
      <w:r w:rsidRPr="0012136C">
        <w:rPr>
          <w:rFonts w:eastAsia="Georgia"/>
        </w:rPr>
        <w:t xml:space="preserve"> on competition in the market to drive high standards</w:t>
      </w:r>
      <w:r>
        <w:rPr>
          <w:rFonts w:eastAsia="Georgia"/>
        </w:rPr>
        <w:t xml:space="preserve"> of reliability</w:t>
      </w:r>
      <w:r w:rsidRPr="0012136C">
        <w:rPr>
          <w:rFonts w:eastAsia="Georgia"/>
        </w:rPr>
        <w:t>. This varies across countries and industries, but also across segments of the market (eg fixed vs mobile telephone services).</w:t>
      </w:r>
    </w:p>
    <w:p w14:paraId="033514D6" w14:textId="0B9496FE" w:rsidR="00DF67D0" w:rsidRDefault="006D7752" w:rsidP="000B0990">
      <w:pPr>
        <w:pStyle w:val="PwCNormal"/>
        <w:keepNext/>
        <w:keepLines/>
        <w:rPr>
          <w:rFonts w:eastAsia="Georgia"/>
        </w:rPr>
      </w:pPr>
      <w:r>
        <w:rPr>
          <w:rFonts w:eastAsia="Georgia"/>
        </w:rPr>
        <w:t xml:space="preserve">Other </w:t>
      </w:r>
      <w:r w:rsidR="00DF67D0">
        <w:rPr>
          <w:rFonts w:eastAsia="Georgia"/>
        </w:rPr>
        <w:t>count</w:t>
      </w:r>
      <w:r w:rsidR="000C6ECB">
        <w:rPr>
          <w:rFonts w:eastAsia="Georgia"/>
        </w:rPr>
        <w:t>r</w:t>
      </w:r>
      <w:r w:rsidR="00DF67D0">
        <w:rPr>
          <w:rFonts w:eastAsia="Georgia"/>
        </w:rPr>
        <w:t xml:space="preserve">ies </w:t>
      </w:r>
      <w:r w:rsidR="00413D5E">
        <w:rPr>
          <w:rFonts w:eastAsia="Georgia"/>
        </w:rPr>
        <w:t xml:space="preserve">examined </w:t>
      </w:r>
      <w:r w:rsidR="00DF67D0">
        <w:rPr>
          <w:rFonts w:eastAsia="Georgia"/>
        </w:rPr>
        <w:t>in this paper are:</w:t>
      </w:r>
    </w:p>
    <w:p w14:paraId="64E586A9" w14:textId="77777777" w:rsidR="000465DB" w:rsidRDefault="000465DB" w:rsidP="000B0990">
      <w:pPr>
        <w:pStyle w:val="ListBullet"/>
        <w:keepNext/>
        <w:keepLines/>
        <w:rPr>
          <w:rFonts w:eastAsia="Georgia"/>
        </w:rPr>
      </w:pPr>
      <w:r>
        <w:rPr>
          <w:rFonts w:eastAsia="Georgia"/>
        </w:rPr>
        <w:t>Canada</w:t>
      </w:r>
    </w:p>
    <w:p w14:paraId="546BEFC3" w14:textId="77777777" w:rsidR="000465DB" w:rsidRDefault="000465DB" w:rsidP="000B0990">
      <w:pPr>
        <w:pStyle w:val="ListBullet"/>
        <w:keepNext/>
        <w:keepLines/>
        <w:rPr>
          <w:rFonts w:eastAsia="Georgia"/>
        </w:rPr>
      </w:pPr>
      <w:r>
        <w:rPr>
          <w:rFonts w:eastAsia="Georgia"/>
        </w:rPr>
        <w:t>France</w:t>
      </w:r>
    </w:p>
    <w:p w14:paraId="04805107" w14:textId="77777777" w:rsidR="000465DB" w:rsidRDefault="000465DB" w:rsidP="000B0990">
      <w:pPr>
        <w:pStyle w:val="ListBullet"/>
        <w:keepNext/>
        <w:keepLines/>
        <w:rPr>
          <w:rFonts w:eastAsia="Georgia"/>
        </w:rPr>
      </w:pPr>
      <w:r>
        <w:rPr>
          <w:rFonts w:eastAsia="Georgia"/>
        </w:rPr>
        <w:t>New Zealand</w:t>
      </w:r>
    </w:p>
    <w:p w14:paraId="49B13B54" w14:textId="77777777" w:rsidR="000465DB" w:rsidRDefault="000465DB" w:rsidP="000B0990">
      <w:pPr>
        <w:pStyle w:val="ListBullet"/>
        <w:keepNext/>
        <w:keepLines/>
        <w:rPr>
          <w:rFonts w:eastAsia="Georgia"/>
        </w:rPr>
      </w:pPr>
      <w:r>
        <w:rPr>
          <w:rFonts w:eastAsia="Georgia"/>
        </w:rPr>
        <w:t>Singapore</w:t>
      </w:r>
    </w:p>
    <w:p w14:paraId="2F3DF1CA" w14:textId="29DB30FE" w:rsidR="000465DB" w:rsidRDefault="000465DB" w:rsidP="000B0990">
      <w:pPr>
        <w:pStyle w:val="ListBullet"/>
        <w:keepNext/>
        <w:keepLines/>
        <w:rPr>
          <w:rFonts w:eastAsia="Georgia"/>
        </w:rPr>
      </w:pPr>
      <w:r>
        <w:rPr>
          <w:rFonts w:eastAsia="Georgia"/>
        </w:rPr>
        <w:t>United Kingdom (UK)</w:t>
      </w:r>
    </w:p>
    <w:p w14:paraId="767197EA" w14:textId="65CAC142" w:rsidR="000465DB" w:rsidRDefault="000465DB" w:rsidP="000B0990">
      <w:pPr>
        <w:pStyle w:val="ListBullet"/>
        <w:keepNext/>
        <w:keepLines/>
        <w:rPr>
          <w:rFonts w:eastAsia="Georgia"/>
        </w:rPr>
      </w:pPr>
      <w:r>
        <w:rPr>
          <w:rFonts w:eastAsia="Georgia"/>
        </w:rPr>
        <w:t>United States of America (USA)</w:t>
      </w:r>
      <w:r w:rsidR="00E85AC1">
        <w:rPr>
          <w:rFonts w:eastAsia="Georgia"/>
        </w:rPr>
        <w:t>.</w:t>
      </w:r>
    </w:p>
    <w:p w14:paraId="759B596E" w14:textId="6438F1C1" w:rsidR="00DF67D0" w:rsidRDefault="00AB7368" w:rsidP="00DF67D0">
      <w:pPr>
        <w:pStyle w:val="PwCNormal"/>
        <w:rPr>
          <w:rFonts w:eastAsia="Georgia"/>
        </w:rPr>
      </w:pPr>
      <w:r>
        <w:rPr>
          <w:rFonts w:eastAsia="Georgia"/>
        </w:rPr>
        <w:t>F</w:t>
      </w:r>
      <w:r w:rsidR="00DF67D0">
        <w:rPr>
          <w:rFonts w:eastAsia="Georgia"/>
        </w:rPr>
        <w:t>or comparative purposes</w:t>
      </w:r>
      <w:r w:rsidR="00500F31">
        <w:rPr>
          <w:rFonts w:eastAsia="Georgia"/>
        </w:rPr>
        <w:t>,</w:t>
      </w:r>
      <w:r w:rsidR="00DF67D0">
        <w:rPr>
          <w:rFonts w:eastAsia="Georgia"/>
        </w:rPr>
        <w:t xml:space="preserve"> </w:t>
      </w:r>
      <w:r>
        <w:rPr>
          <w:rFonts w:eastAsia="Georgia"/>
        </w:rPr>
        <w:t xml:space="preserve">the </w:t>
      </w:r>
      <w:r w:rsidR="00AF6E0B">
        <w:rPr>
          <w:rFonts w:eastAsia="Georgia"/>
        </w:rPr>
        <w:t xml:space="preserve">energy </w:t>
      </w:r>
      <w:r>
        <w:rPr>
          <w:rFonts w:eastAsia="Georgia"/>
        </w:rPr>
        <w:t xml:space="preserve">(electricity and gas) sector </w:t>
      </w:r>
      <w:r w:rsidR="00DF67D0">
        <w:rPr>
          <w:rFonts w:eastAsia="Georgia"/>
        </w:rPr>
        <w:t xml:space="preserve">in Australia </w:t>
      </w:r>
      <w:r>
        <w:rPr>
          <w:rFonts w:eastAsia="Georgia"/>
        </w:rPr>
        <w:t>was also examined.</w:t>
      </w:r>
    </w:p>
    <w:p w14:paraId="2E6AD06B" w14:textId="2399F7EB" w:rsidR="00FA59CE" w:rsidRDefault="00370822">
      <w:pPr>
        <w:pStyle w:val="Heading3"/>
      </w:pPr>
      <w:bookmarkStart w:id="7" w:name="_Toc525650406"/>
      <w:r>
        <w:t>Reliability in telecommunications</w:t>
      </w:r>
      <w:bookmarkEnd w:id="7"/>
    </w:p>
    <w:p w14:paraId="773E5748" w14:textId="082B8A6A" w:rsidR="00A636F3" w:rsidRPr="00A636F3" w:rsidRDefault="00500F31" w:rsidP="00DA64EE">
      <w:pPr>
        <w:pStyle w:val="PwCNormal"/>
        <w:rPr>
          <w:rFonts w:eastAsia="Georgia"/>
        </w:rPr>
      </w:pPr>
      <w:r>
        <w:rPr>
          <w:rFonts w:eastAsia="Georgia"/>
        </w:rPr>
        <w:t>T</w:t>
      </w:r>
      <w:r w:rsidR="00A636F3" w:rsidRPr="00A636F3">
        <w:rPr>
          <w:rFonts w:eastAsia="Georgia"/>
        </w:rPr>
        <w:t>here is significant variance in the way that reliability is defined and applied internationally in telecommunications industries and in other Australian sectors</w:t>
      </w:r>
      <w:r w:rsidR="00D061F4">
        <w:rPr>
          <w:rFonts w:eastAsia="Georgia"/>
        </w:rPr>
        <w:t>.</w:t>
      </w:r>
      <w:r w:rsidR="00D76E4F">
        <w:rPr>
          <w:rStyle w:val="FootnoteReference"/>
          <w:rFonts w:eastAsia="Georgia"/>
        </w:rPr>
        <w:footnoteReference w:id="2"/>
      </w:r>
      <w:r w:rsidR="00D061F4">
        <w:rPr>
          <w:rFonts w:eastAsia="Georgia"/>
        </w:rPr>
        <w:t xml:space="preserve"> Nevertheless</w:t>
      </w:r>
      <w:r w:rsidR="00A636F3" w:rsidRPr="00A636F3">
        <w:rPr>
          <w:rFonts w:eastAsia="Georgia"/>
        </w:rPr>
        <w:t>, common characteristics have been identified</w:t>
      </w:r>
      <w:r w:rsidR="00D061F4">
        <w:rPr>
          <w:rFonts w:eastAsia="Georgia"/>
        </w:rPr>
        <w:t xml:space="preserve"> for this paper</w:t>
      </w:r>
      <w:r w:rsidR="007740DD">
        <w:rPr>
          <w:rFonts w:eastAsia="Georgia"/>
        </w:rPr>
        <w:t>:</w:t>
      </w:r>
    </w:p>
    <w:p w14:paraId="095B0A09" w14:textId="214F2B92" w:rsidR="00500F31" w:rsidRPr="00D62286" w:rsidRDefault="00500F31" w:rsidP="00500F31">
      <w:pPr>
        <w:pStyle w:val="ListBullet"/>
        <w:rPr>
          <w:rFonts w:eastAsia="Georgia"/>
        </w:rPr>
      </w:pPr>
      <w:r w:rsidRPr="00C448ED">
        <w:rPr>
          <w:rFonts w:eastAsia="Georgia"/>
          <w:b/>
        </w:rPr>
        <w:t>Telephone connections</w:t>
      </w:r>
      <w:r w:rsidRPr="00D62286">
        <w:rPr>
          <w:rFonts w:eastAsia="Georgia"/>
        </w:rPr>
        <w:t xml:space="preserve">: </w:t>
      </w:r>
      <w:r>
        <w:rPr>
          <w:rFonts w:eastAsia="Georgia"/>
        </w:rPr>
        <w:t xml:space="preserve">Relates to establishing new connections (connection times and appointments), </w:t>
      </w:r>
      <w:r w:rsidR="00F32575">
        <w:rPr>
          <w:rFonts w:eastAsia="Georgia"/>
        </w:rPr>
        <w:t>and ongoing use of a phone service (</w:t>
      </w:r>
      <w:r>
        <w:rPr>
          <w:rFonts w:eastAsia="Georgia"/>
        </w:rPr>
        <w:t xml:space="preserve">call success rate and set up time, the </w:t>
      </w:r>
      <w:r w:rsidR="00AA7F48">
        <w:rPr>
          <w:rFonts w:eastAsia="Georgia"/>
        </w:rPr>
        <w:t xml:space="preserve">clarity and fidelity </w:t>
      </w:r>
      <w:r>
        <w:rPr>
          <w:rFonts w:eastAsia="Georgia"/>
        </w:rPr>
        <w:t>of the call, and call dropout rates</w:t>
      </w:r>
      <w:r w:rsidR="00F32575">
        <w:rPr>
          <w:rFonts w:eastAsia="Georgia"/>
        </w:rPr>
        <w:t>)</w:t>
      </w:r>
      <w:r>
        <w:rPr>
          <w:rFonts w:eastAsia="Georgia"/>
        </w:rPr>
        <w:t>.</w:t>
      </w:r>
      <w:r w:rsidR="00B94F86">
        <w:rPr>
          <w:rStyle w:val="FootnoteReference"/>
          <w:rFonts w:eastAsia="Georgia"/>
        </w:rPr>
        <w:footnoteReference w:id="3"/>
      </w:r>
    </w:p>
    <w:p w14:paraId="049CA2E9" w14:textId="333DF440" w:rsidR="00500F31" w:rsidRPr="00D62286" w:rsidRDefault="00500F31" w:rsidP="00500F31">
      <w:pPr>
        <w:pStyle w:val="ListBullet"/>
        <w:rPr>
          <w:rFonts w:eastAsia="Georgia"/>
        </w:rPr>
      </w:pPr>
      <w:r w:rsidRPr="00C448ED">
        <w:rPr>
          <w:rFonts w:eastAsia="Georgia"/>
          <w:b/>
        </w:rPr>
        <w:t xml:space="preserve">Data connections: </w:t>
      </w:r>
      <w:r w:rsidR="00D279F9">
        <w:rPr>
          <w:rFonts w:eastAsia="Georgia"/>
        </w:rPr>
        <w:t xml:space="preserve">Relates to the time </w:t>
      </w:r>
      <w:r>
        <w:rPr>
          <w:rFonts w:eastAsia="Georgia"/>
        </w:rPr>
        <w:t>taken to set up a new customer connectio</w:t>
      </w:r>
      <w:r w:rsidR="00D279F9">
        <w:rPr>
          <w:rFonts w:eastAsia="Georgia"/>
        </w:rPr>
        <w:t xml:space="preserve">n, as well as </w:t>
      </w:r>
      <w:r w:rsidR="00E959AC">
        <w:rPr>
          <w:rFonts w:eastAsia="Georgia"/>
        </w:rPr>
        <w:t xml:space="preserve">data </w:t>
      </w:r>
      <w:r w:rsidR="00D279F9">
        <w:rPr>
          <w:rFonts w:eastAsia="Georgia"/>
        </w:rPr>
        <w:t>packet loss</w:t>
      </w:r>
      <w:r>
        <w:rPr>
          <w:rFonts w:eastAsia="Georgia"/>
        </w:rPr>
        <w:t>.</w:t>
      </w:r>
      <w:r w:rsidR="00E959AC">
        <w:rPr>
          <w:rStyle w:val="FootnoteReference"/>
          <w:rFonts w:eastAsia="Georgia"/>
        </w:rPr>
        <w:footnoteReference w:id="4"/>
      </w:r>
    </w:p>
    <w:p w14:paraId="08227B7F" w14:textId="793FD580" w:rsidR="00500F31" w:rsidRPr="00D62286" w:rsidRDefault="00500F31" w:rsidP="00500F31">
      <w:pPr>
        <w:pStyle w:val="ListBullet"/>
        <w:rPr>
          <w:rFonts w:eastAsia="Georgia"/>
        </w:rPr>
      </w:pPr>
      <w:r w:rsidRPr="00C448ED">
        <w:rPr>
          <w:rFonts w:eastAsia="Georgia"/>
          <w:b/>
        </w:rPr>
        <w:t>Faults and outages:</w:t>
      </w:r>
      <w:r>
        <w:rPr>
          <w:rFonts w:eastAsia="Georgia"/>
        </w:rPr>
        <w:t xml:space="preserve"> The number of reported outages</w:t>
      </w:r>
      <w:r w:rsidR="004B3E89">
        <w:rPr>
          <w:rFonts w:eastAsia="Georgia"/>
        </w:rPr>
        <w:t xml:space="preserve"> and </w:t>
      </w:r>
      <w:r>
        <w:rPr>
          <w:rFonts w:eastAsia="Georgia"/>
        </w:rPr>
        <w:t>faults, repair times for faults and outages, and appointment</w:t>
      </w:r>
      <w:r w:rsidRPr="00AA1745">
        <w:rPr>
          <w:rFonts w:eastAsia="Georgia"/>
        </w:rPr>
        <w:t xml:space="preserve"> </w:t>
      </w:r>
      <w:r>
        <w:rPr>
          <w:rFonts w:eastAsia="Georgia"/>
        </w:rPr>
        <w:t>keeping.</w:t>
      </w:r>
    </w:p>
    <w:p w14:paraId="2DE8691E" w14:textId="16882722" w:rsidR="00500F31" w:rsidRPr="00671F4A" w:rsidRDefault="00500F31" w:rsidP="00500F31">
      <w:pPr>
        <w:pStyle w:val="ListBullet"/>
        <w:rPr>
          <w:rFonts w:eastAsia="Georgia"/>
        </w:rPr>
      </w:pPr>
      <w:r w:rsidRPr="00C448ED">
        <w:rPr>
          <w:rFonts w:eastAsia="Georgia"/>
          <w:b/>
        </w:rPr>
        <w:t>Penalties for non-compliance:</w:t>
      </w:r>
      <w:r w:rsidR="00D279F9">
        <w:rPr>
          <w:rFonts w:eastAsia="Georgia"/>
        </w:rPr>
        <w:t xml:space="preserve"> </w:t>
      </w:r>
      <w:r>
        <w:rPr>
          <w:rFonts w:eastAsia="Georgia"/>
        </w:rPr>
        <w:t>The potential for financial penalties to be imposed on providers that fail to meet the required standards.</w:t>
      </w:r>
    </w:p>
    <w:p w14:paraId="294996A9" w14:textId="5C362943" w:rsidR="00A636F3" w:rsidRDefault="00A636F3" w:rsidP="00C55BBE">
      <w:pPr>
        <w:pStyle w:val="Heading3"/>
      </w:pPr>
      <w:bookmarkStart w:id="8" w:name="_Toc518337340"/>
      <w:bookmarkStart w:id="9" w:name="_Toc525650407"/>
      <w:r>
        <w:lastRenderedPageBreak/>
        <w:t>The role of the market in shaping service reliability</w:t>
      </w:r>
      <w:bookmarkEnd w:id="8"/>
      <w:bookmarkEnd w:id="9"/>
    </w:p>
    <w:p w14:paraId="1527DF2F" w14:textId="0E34D282" w:rsidR="00500F31" w:rsidRPr="00380340" w:rsidRDefault="00500F31" w:rsidP="000B0990">
      <w:pPr>
        <w:pStyle w:val="PwCNormal"/>
      </w:pPr>
      <w:r>
        <w:t>Reliability is widely recognised as one of a handful of variables that contribute to overall quality of a product.</w:t>
      </w:r>
      <w:r>
        <w:rPr>
          <w:rStyle w:val="FootnoteReference"/>
        </w:rPr>
        <w:footnoteReference w:id="5"/>
      </w:r>
      <w:r>
        <w:t xml:space="preserve"> Reliability tends to gain importance in a market when the cost of downtime and maintenance creates financial burdens on consumers. For instance, </w:t>
      </w:r>
      <w:r w:rsidR="006C50A2">
        <w:t>failure of an internet network impacts business platforms such as EFTPOS, online booking systems and online shopping</w:t>
      </w:r>
      <w:r>
        <w:t xml:space="preserve">. As telecommunications become the cornerstone of effective social and business transactions, not only in Australia but around the world, </w:t>
      </w:r>
      <w:r w:rsidR="000B0990" w:rsidRPr="000B0990">
        <w:t>the reliability of underlying networks and the quality of the service provided to consumers is increasingly important</w:t>
      </w:r>
      <w:r>
        <w:t>.</w:t>
      </w:r>
      <w:r>
        <w:rPr>
          <w:rStyle w:val="FootnoteReference"/>
        </w:rPr>
        <w:footnoteReference w:id="6"/>
      </w:r>
    </w:p>
    <w:p w14:paraId="35A9DC73" w14:textId="04CC73C5" w:rsidR="00500F31" w:rsidRDefault="00500F31" w:rsidP="00500F31">
      <w:pPr>
        <w:pStyle w:val="PwCNormal"/>
        <w:numPr>
          <w:ilvl w:val="0"/>
          <w:numId w:val="0"/>
        </w:numPr>
      </w:pPr>
      <w:r>
        <w:t>As a general rule, competition within a market is thought to drive improvement in the quality of goods and services.</w:t>
      </w:r>
      <w:r>
        <w:rPr>
          <w:rStyle w:val="FootnoteReference"/>
        </w:rPr>
        <w:footnoteReference w:id="7"/>
      </w:r>
      <w:r>
        <w:t xml:space="preserve"> In competitive markets where consumers are able to make choices based on more than price alone, quality is often a key factor in decision making.</w:t>
      </w:r>
      <w:r>
        <w:rPr>
          <w:rStyle w:val="FootnoteReference"/>
        </w:rPr>
        <w:footnoteReference w:id="8"/>
      </w:r>
      <w:r>
        <w:t xml:space="preserve"> In addition, when consumers have the freedom to move between providers without financial penalty (eg the ability to cancel a contract free of charge), providers are placed under greater pressure to differentiate themselves</w:t>
      </w:r>
      <w:r w:rsidR="00DA64EE">
        <w:t xml:space="preserve"> and their products on quality.</w:t>
      </w:r>
    </w:p>
    <w:p w14:paraId="507B0177" w14:textId="71E503B3" w:rsidR="00500F31" w:rsidRDefault="00500F31" w:rsidP="00500F31">
      <w:pPr>
        <w:pStyle w:val="PwCNormal"/>
      </w:pPr>
      <w:r>
        <w:t>In 2016/17, the ‘guarantee as to acceptable quality’</w:t>
      </w:r>
      <w:r>
        <w:rPr>
          <w:rStyle w:val="FootnoteReference"/>
        </w:rPr>
        <w:footnoteReference w:id="9"/>
      </w:r>
      <w:r>
        <w:t xml:space="preserve"> was the second highest category for complaints to the </w:t>
      </w:r>
      <w:r w:rsidRPr="00225950">
        <w:rPr>
          <w:rFonts w:eastAsia="Georgia"/>
          <w:snapToGrid/>
        </w:rPr>
        <w:t>Australian Competition and Consumer Commission</w:t>
      </w:r>
      <w:r>
        <w:rPr>
          <w:rFonts w:eastAsia="Georgia"/>
          <w:snapToGrid/>
        </w:rPr>
        <w:t xml:space="preserve"> (ACCC)</w:t>
      </w:r>
      <w:r>
        <w:t xml:space="preserve"> about telecommunications services – indicating the importance of quality telecommunications services to Australians.</w:t>
      </w:r>
    </w:p>
    <w:p w14:paraId="19F41C55" w14:textId="1595E393" w:rsidR="00500F31" w:rsidRDefault="00500F31" w:rsidP="00500F31">
      <w:pPr>
        <w:pStyle w:val="PwCNormal"/>
      </w:pPr>
      <w:r>
        <w:t>This is supported by a recent market study in which UK households indicated that the reliability of their broadband connection was more important than the speed of the connection itself.</w:t>
      </w:r>
      <w:r>
        <w:rPr>
          <w:rStyle w:val="FootnoteReference"/>
        </w:rPr>
        <w:footnoteReference w:id="10"/>
      </w:r>
      <w:r>
        <w:t xml:space="preserve"> In a 2017 Mobile Consumer Survey, 58 per cent of </w:t>
      </w:r>
      <w:r w:rsidR="00F16545">
        <w:t xml:space="preserve">Australian </w:t>
      </w:r>
      <w:r>
        <w:t>consumers indicated that quality/availability of the network was a key driver behind choosing a particular mobile telephone service provider.</w:t>
      </w:r>
      <w:r>
        <w:rPr>
          <w:rStyle w:val="FootnoteReference"/>
        </w:rPr>
        <w:footnoteReference w:id="11"/>
      </w:r>
    </w:p>
    <w:p w14:paraId="09496F89" w14:textId="53B5F039" w:rsidR="00466EE6" w:rsidRPr="00D0686B" w:rsidRDefault="00500F31" w:rsidP="003F5610">
      <w:pPr>
        <w:pStyle w:val="PwCNormal"/>
        <w:rPr>
          <w:b/>
        </w:rPr>
      </w:pPr>
      <w:r>
        <w:t>Given the significant role of the market in shaping quality, and therefore reliability, it appear</w:t>
      </w:r>
      <w:r w:rsidR="00D76E4F">
        <w:t>s</w:t>
      </w:r>
      <w:r>
        <w:t xml:space="preserve"> that many countries impose minimal regulation on service reliability. The role of regulation, where it exists, seems to focus on </w:t>
      </w:r>
      <w:r>
        <w:lastRenderedPageBreak/>
        <w:t>minimum standards to ensure that all consumers receive an acceptable level of reliability.</w:t>
      </w:r>
      <w:r w:rsidR="00466EE6">
        <w:br w:type="page"/>
      </w:r>
    </w:p>
    <w:p w14:paraId="50A9E384" w14:textId="2538FD54" w:rsidR="00D815AD" w:rsidRDefault="00325598" w:rsidP="00C55BBE">
      <w:pPr>
        <w:pStyle w:val="Heading2Nospacing"/>
      </w:pPr>
      <w:bookmarkStart w:id="10" w:name="_Toc518337341"/>
      <w:bookmarkStart w:id="11" w:name="_Toc525650408"/>
      <w:r>
        <w:lastRenderedPageBreak/>
        <w:t>2.</w:t>
      </w:r>
      <w:r>
        <w:tab/>
      </w:r>
      <w:r w:rsidR="007D51DB">
        <w:t>C</w:t>
      </w:r>
      <w:r w:rsidR="00340208">
        <w:t>omparison</w:t>
      </w:r>
      <w:r w:rsidR="007D51DB">
        <w:t xml:space="preserve"> to other countr</w:t>
      </w:r>
      <w:r w:rsidR="00A636F3">
        <w:t>ies</w:t>
      </w:r>
      <w:bookmarkEnd w:id="10"/>
      <w:bookmarkEnd w:id="11"/>
    </w:p>
    <w:p w14:paraId="52CA56F0" w14:textId="77EEEBCD" w:rsidR="00FA59CE" w:rsidRDefault="00377EEE" w:rsidP="003F5610">
      <w:pPr>
        <w:pStyle w:val="PwCNormal"/>
      </w:pPr>
      <w:r>
        <w:t>This section compares the most common reliability variables across countries, within the following categories:</w:t>
      </w:r>
    </w:p>
    <w:p w14:paraId="13726772" w14:textId="437AC389" w:rsidR="00377EEE" w:rsidRDefault="00377EEE" w:rsidP="00377EEE">
      <w:pPr>
        <w:pStyle w:val="ListBullet"/>
      </w:pPr>
      <w:r>
        <w:t>connection</w:t>
      </w:r>
    </w:p>
    <w:p w14:paraId="7FF4B471" w14:textId="6AA01259" w:rsidR="00377EEE" w:rsidRDefault="00377EEE" w:rsidP="00377EEE">
      <w:pPr>
        <w:pStyle w:val="ListBullet"/>
      </w:pPr>
      <w:r>
        <w:t>outages and faults</w:t>
      </w:r>
    </w:p>
    <w:p w14:paraId="73FA8525" w14:textId="7C30C39C" w:rsidR="00377EEE" w:rsidRDefault="00377EEE" w:rsidP="00377EEE">
      <w:pPr>
        <w:pStyle w:val="ListBullet"/>
      </w:pPr>
      <w:r>
        <w:t>penalties for non-compliance.</w:t>
      </w:r>
    </w:p>
    <w:p w14:paraId="5706275B" w14:textId="5E8FB993" w:rsidR="00BA7FEF" w:rsidRDefault="00BA7FEF" w:rsidP="003F5610">
      <w:pPr>
        <w:pStyle w:val="PwCNormal"/>
      </w:pPr>
      <w:r>
        <w:t xml:space="preserve">For comparison purposes, only the most salient variables and those that are most consistent </w:t>
      </w:r>
      <w:r w:rsidR="00AA7F48">
        <w:t xml:space="preserve">across </w:t>
      </w:r>
      <w:r>
        <w:t xml:space="preserve">countries have </w:t>
      </w:r>
      <w:r w:rsidR="00DB0DD9">
        <w:t>been used.</w:t>
      </w:r>
    </w:p>
    <w:p w14:paraId="34B46B7B" w14:textId="1885BA3C" w:rsidR="00090659" w:rsidRDefault="00090659" w:rsidP="003F5610">
      <w:pPr>
        <w:pStyle w:val="PwCNormal"/>
      </w:pPr>
      <w:r>
        <w:t>In the USA, service quality standards, including the measures discussed below</w:t>
      </w:r>
      <w:r w:rsidR="00164318">
        <w:t>,</w:t>
      </w:r>
      <w:r>
        <w:t xml:space="preserve"> are the responsibility of individual </w:t>
      </w:r>
      <w:r w:rsidR="00D76E4F">
        <w:t>s</w:t>
      </w:r>
      <w:r>
        <w:t>tate</w:t>
      </w:r>
      <w:r w:rsidR="00D76E4F">
        <w:t>s. Due to the variance between s</w:t>
      </w:r>
      <w:r>
        <w:t xml:space="preserve">tates, they have not been captured in the tables below, but </w:t>
      </w:r>
      <w:r w:rsidR="004E21CD">
        <w:t xml:space="preserve">they are </w:t>
      </w:r>
      <w:r>
        <w:t>discussed in more detail under t</w:t>
      </w:r>
      <w:r w:rsidR="00DB0DD9">
        <w:t>he section relating to the USA.</w:t>
      </w:r>
    </w:p>
    <w:p w14:paraId="5D465A93" w14:textId="5A2369CE" w:rsidR="000B0990" w:rsidRPr="003F5610" w:rsidRDefault="000B0990" w:rsidP="000B0990">
      <w:pPr>
        <w:pStyle w:val="PwCNormal"/>
      </w:pPr>
      <w:r w:rsidRPr="000B0990">
        <w:t>For the purpose of reliably comparing information across countries, all financial data has been converted into AUD, based on rates as at 1 July 2018.</w:t>
      </w:r>
      <w:r>
        <w:rPr>
          <w:rStyle w:val="FootnoteReference"/>
        </w:rPr>
        <w:footnoteReference w:id="12"/>
      </w:r>
    </w:p>
    <w:p w14:paraId="516FE8D9" w14:textId="393D6814" w:rsidR="006602A7" w:rsidRDefault="00325598" w:rsidP="00A93C35">
      <w:pPr>
        <w:pStyle w:val="Heading3"/>
        <w:numPr>
          <w:ilvl w:val="0"/>
          <w:numId w:val="0"/>
        </w:numPr>
        <w:ind w:left="851" w:hanging="851"/>
      </w:pPr>
      <w:bookmarkStart w:id="12" w:name="_Toc517352040"/>
      <w:bookmarkStart w:id="13" w:name="_Toc517379706"/>
      <w:bookmarkStart w:id="14" w:name="_Toc517352046"/>
      <w:bookmarkStart w:id="15" w:name="_Toc517379712"/>
      <w:bookmarkStart w:id="16" w:name="_Toc517352092"/>
      <w:bookmarkStart w:id="17" w:name="_Toc517379758"/>
      <w:bookmarkStart w:id="18" w:name="_Toc517352093"/>
      <w:bookmarkStart w:id="19" w:name="_Toc517379759"/>
      <w:bookmarkStart w:id="20" w:name="_Toc518337342"/>
      <w:bookmarkStart w:id="21" w:name="_Toc525650409"/>
      <w:bookmarkEnd w:id="12"/>
      <w:bookmarkEnd w:id="13"/>
      <w:bookmarkEnd w:id="14"/>
      <w:bookmarkEnd w:id="15"/>
      <w:bookmarkEnd w:id="16"/>
      <w:bookmarkEnd w:id="17"/>
      <w:bookmarkEnd w:id="18"/>
      <w:bookmarkEnd w:id="19"/>
      <w:r>
        <w:t>2.1</w:t>
      </w:r>
      <w:r>
        <w:tab/>
      </w:r>
      <w:r w:rsidR="006602A7">
        <w:t>Connection</w:t>
      </w:r>
      <w:bookmarkEnd w:id="20"/>
      <w:bookmarkEnd w:id="21"/>
    </w:p>
    <w:p w14:paraId="121099A1" w14:textId="5C52E473" w:rsidR="0054392C" w:rsidRPr="00225950" w:rsidRDefault="0054392C" w:rsidP="0054392C">
      <w:pPr>
        <w:pStyle w:val="PwCNormal"/>
      </w:pPr>
      <w:r>
        <w:t>Connection</w:t>
      </w:r>
      <w:r w:rsidRPr="00225950">
        <w:t xml:space="preserve"> refer</w:t>
      </w:r>
      <w:r>
        <w:t>s</w:t>
      </w:r>
      <w:r w:rsidRPr="00225950">
        <w:t xml:space="preserve"> to </w:t>
      </w:r>
      <w:r>
        <w:t>the initial establishment and ongoing quality of a telecommunications service</w:t>
      </w:r>
      <w:r w:rsidRPr="00225950">
        <w:t>.</w:t>
      </w:r>
      <w:r>
        <w:t xml:space="preserve"> The </w:t>
      </w:r>
      <w:r w:rsidR="0018130C">
        <w:t>key measures</w:t>
      </w:r>
      <w:r w:rsidR="00454225">
        <w:t xml:space="preserve"> </w:t>
      </w:r>
      <w:r>
        <w:t>for connection identified through a desktop review</w:t>
      </w:r>
      <w:r w:rsidR="00454225">
        <w:t>, split by telephone and data connections,</w:t>
      </w:r>
      <w:r>
        <w:t xml:space="preserve"> are:</w:t>
      </w:r>
    </w:p>
    <w:p w14:paraId="3031A3E2" w14:textId="12DF2AA8" w:rsidR="00C649E1" w:rsidRDefault="00C649E1" w:rsidP="00C649E1">
      <w:pPr>
        <w:pStyle w:val="ListBullet"/>
      </w:pPr>
      <w:r>
        <w:t xml:space="preserve">Telephone connections: </w:t>
      </w:r>
      <w:r w:rsidR="00C3063B">
        <w:t>measures</w:t>
      </w:r>
      <w:r w:rsidR="00454225">
        <w:t xml:space="preserve"> </w:t>
      </w:r>
      <w:r>
        <w:t>relati</w:t>
      </w:r>
      <w:r w:rsidR="00454225">
        <w:t>ng</w:t>
      </w:r>
      <w:r>
        <w:t xml:space="preserve"> to new connections (connection times and appointments met), call success rate and set up time, call </w:t>
      </w:r>
      <w:r w:rsidR="00AA7F48">
        <w:rPr>
          <w:rFonts w:eastAsia="Georgia"/>
        </w:rPr>
        <w:t>clarity and fidelity</w:t>
      </w:r>
      <w:r>
        <w:t>, and call dropout rates.</w:t>
      </w:r>
    </w:p>
    <w:p w14:paraId="7B68EA97" w14:textId="6235E086" w:rsidR="00C649E1" w:rsidRDefault="00C649E1" w:rsidP="00C649E1">
      <w:pPr>
        <w:pStyle w:val="ListBullet"/>
      </w:pPr>
      <w:r>
        <w:t xml:space="preserve">Data connections: </w:t>
      </w:r>
      <w:r w:rsidR="00C3063B">
        <w:t>measures</w:t>
      </w:r>
      <w:r w:rsidR="009B5867">
        <w:t xml:space="preserve"> relating </w:t>
      </w:r>
      <w:r>
        <w:t>to the time it takes to set up a new connection, as well as packet losses over a specified connection.</w:t>
      </w:r>
    </w:p>
    <w:p w14:paraId="74915846" w14:textId="0AF3F666" w:rsidR="00785790" w:rsidRDefault="00DB0DD9" w:rsidP="00D76E4F">
      <w:pPr>
        <w:pStyle w:val="ListBullet"/>
        <w:numPr>
          <w:ilvl w:val="0"/>
          <w:numId w:val="0"/>
        </w:numPr>
      </w:pPr>
      <w:r>
        <w:t>These are discussed in turn.</w:t>
      </w:r>
    </w:p>
    <w:p w14:paraId="4C404E77" w14:textId="77777777" w:rsidR="00785790" w:rsidRDefault="00785790" w:rsidP="00785790">
      <w:pPr>
        <w:pStyle w:val="PwCNormal"/>
      </w:pPr>
      <w:r>
        <w:br w:type="page"/>
      </w:r>
    </w:p>
    <w:p w14:paraId="2E281648" w14:textId="4E5DDE98" w:rsidR="006602A7" w:rsidRDefault="00325598" w:rsidP="00325598">
      <w:pPr>
        <w:pStyle w:val="StyleHeading4AppendixHeadingShortLeft0cmFirstline"/>
        <w:numPr>
          <w:ilvl w:val="0"/>
          <w:numId w:val="0"/>
        </w:numPr>
        <w:ind w:left="851" w:hanging="851"/>
      </w:pPr>
      <w:r>
        <w:lastRenderedPageBreak/>
        <w:t>2.1.1</w:t>
      </w:r>
      <w:r>
        <w:tab/>
      </w:r>
      <w:r w:rsidR="004C0237">
        <w:t>Telephone connections</w:t>
      </w:r>
    </w:p>
    <w:p w14:paraId="246037F7" w14:textId="4E4BB6F9" w:rsidR="00915BA0" w:rsidRPr="00915BA0" w:rsidRDefault="00915BA0" w:rsidP="00915BA0">
      <w:pPr>
        <w:pStyle w:val="PwCNormal"/>
      </w:pPr>
      <w:r>
        <w:t>The following summarises where each country appears to have a reliability measure in place relating to telephone connections.</w:t>
      </w:r>
    </w:p>
    <w:p w14:paraId="11B98A3C" w14:textId="7E4C325C" w:rsidR="004C0237" w:rsidRDefault="004C0237" w:rsidP="004C0237">
      <w:pPr>
        <w:pStyle w:val="Caption"/>
        <w:tabs>
          <w:tab w:val="left" w:pos="6716"/>
        </w:tabs>
      </w:pPr>
      <w:r w:rsidRPr="00225950">
        <w:t xml:space="preserve">Table </w:t>
      </w:r>
      <w:r w:rsidR="000B0990">
        <w:rPr>
          <w:noProof/>
        </w:rPr>
        <w:fldChar w:fldCharType="begin"/>
      </w:r>
      <w:r w:rsidR="000B0990">
        <w:rPr>
          <w:noProof/>
        </w:rPr>
        <w:instrText xml:space="preserve"> SEQ Table \* ARABIC </w:instrText>
      </w:r>
      <w:r w:rsidR="000B0990">
        <w:rPr>
          <w:noProof/>
        </w:rPr>
        <w:fldChar w:fldCharType="separate"/>
      </w:r>
      <w:r w:rsidR="00AE12E7">
        <w:rPr>
          <w:noProof/>
        </w:rPr>
        <w:t>1</w:t>
      </w:r>
      <w:r w:rsidR="000B0990">
        <w:rPr>
          <w:noProof/>
        </w:rPr>
        <w:fldChar w:fldCharType="end"/>
      </w:r>
      <w:r w:rsidRPr="00225950">
        <w:t xml:space="preserve">: </w:t>
      </w:r>
      <w:r>
        <w:t xml:space="preserve">Telephone connection </w:t>
      </w:r>
      <w:r w:rsidRPr="00225950">
        <w:t xml:space="preserve">by </w:t>
      </w:r>
      <w:r w:rsidR="00FA4EF8">
        <w:t>country</w:t>
      </w:r>
    </w:p>
    <w:tbl>
      <w:tblPr>
        <w:tblStyle w:val="Tables-APBase"/>
        <w:tblW w:w="8414" w:type="dxa"/>
        <w:tblLook w:val="06A0" w:firstRow="1" w:lastRow="0" w:firstColumn="1" w:lastColumn="0" w:noHBand="1" w:noVBand="1"/>
        <w:tblCaption w:val="Summary of telephone connection service reliability safeguards across countries"/>
        <w:tblDescription w:val="This table summarises the presence of service reliability safeguards relating to telephone connections. &#10;Australia has: new service connection times and appointment keeping safeguards for fixed line telephone services.&#10;Canada has: appointment keeping safeguards for fixed line telephone services.&#10;France has: new service connection times, call success rate, call clarity and fidelity, and average call set up time safeguards for fixed line telephone services.&#10;New Zealand: no safeguards for fixed line or mobile telephone services.&#10;Singapore: new service connection times safeguards for fixed line telephone services, and call success rate, average call set up time, and call drop out rate safeguards for mobile services.&#10;United Kingdom: new service connection times and appointment keeping safeguards for fixed line telephone services, noting that the UK safeguards commence from 2019.&#10;United States of America: no safeguards for fixed line or mobile telephone services."/>
      </w:tblPr>
      <w:tblGrid>
        <w:gridCol w:w="3654"/>
        <w:gridCol w:w="680"/>
        <w:gridCol w:w="680"/>
        <w:gridCol w:w="680"/>
        <w:gridCol w:w="680"/>
        <w:gridCol w:w="680"/>
        <w:gridCol w:w="680"/>
        <w:gridCol w:w="680"/>
      </w:tblGrid>
      <w:tr w:rsidR="00582FBF" w:rsidRPr="00582FBF" w14:paraId="6E7ECFB8" w14:textId="77777777" w:rsidTr="00582FBF">
        <w:trPr>
          <w:cnfStyle w:val="100000000000" w:firstRow="1" w:lastRow="0" w:firstColumn="0" w:lastColumn="0" w:oddVBand="0" w:evenVBand="0" w:oddHBand="0" w:evenHBand="0" w:firstRowFirstColumn="0" w:firstRowLastColumn="0" w:lastRowFirstColumn="0" w:lastRowLastColumn="0"/>
          <w:cantSplit/>
          <w:trHeight w:val="1700"/>
        </w:trPr>
        <w:tc>
          <w:tcPr>
            <w:cnfStyle w:val="000000000100" w:firstRow="0" w:lastRow="0" w:firstColumn="0" w:lastColumn="0" w:oddVBand="0" w:evenVBand="0" w:oddHBand="0" w:evenHBand="0" w:firstRowFirstColumn="1" w:firstRowLastColumn="0" w:lastRowFirstColumn="0" w:lastRowLastColumn="0"/>
            <w:tcW w:w="3654" w:type="dxa"/>
            <w:hideMark/>
          </w:tcPr>
          <w:p w14:paraId="73CB6CA3" w14:textId="77777777" w:rsidR="00582FBF" w:rsidRPr="00582FBF" w:rsidRDefault="00582FBF" w:rsidP="00582FBF">
            <w:pPr>
              <w:pStyle w:val="TableColumnHeadingNormal"/>
              <w:rPr>
                <w:lang w:val="en-US"/>
              </w:rPr>
            </w:pPr>
            <w:r w:rsidRPr="00582FBF">
              <w:rPr>
                <w:lang w:val="en-US"/>
              </w:rPr>
              <w:t> </w:t>
            </w:r>
          </w:p>
        </w:tc>
        <w:tc>
          <w:tcPr>
            <w:tcW w:w="680" w:type="dxa"/>
            <w:textDirection w:val="btLr"/>
            <w:vAlign w:val="center"/>
            <w:hideMark/>
          </w:tcPr>
          <w:p w14:paraId="5E13ABF7" w14:textId="77777777" w:rsidR="00582FBF" w:rsidRPr="00582FBF" w:rsidRDefault="00582FBF" w:rsidP="00582FBF">
            <w:pPr>
              <w:pStyle w:val="TableColumnHeadingNormal"/>
              <w:ind w:left="113" w:right="113"/>
              <w:jc w:val="left"/>
              <w:cnfStyle w:val="100000000000" w:firstRow="1" w:lastRow="0" w:firstColumn="0" w:lastColumn="0" w:oddVBand="0" w:evenVBand="0" w:oddHBand="0" w:evenHBand="0" w:firstRowFirstColumn="0" w:firstRowLastColumn="0" w:lastRowFirstColumn="0" w:lastRowLastColumn="0"/>
              <w:rPr>
                <w:lang w:val="en-US"/>
              </w:rPr>
            </w:pPr>
            <w:r w:rsidRPr="00582FBF">
              <w:rPr>
                <w:bCs/>
              </w:rPr>
              <w:t>Australia</w:t>
            </w:r>
          </w:p>
        </w:tc>
        <w:tc>
          <w:tcPr>
            <w:tcW w:w="680" w:type="dxa"/>
            <w:textDirection w:val="btLr"/>
            <w:vAlign w:val="center"/>
            <w:hideMark/>
          </w:tcPr>
          <w:p w14:paraId="33B8FB39" w14:textId="77777777" w:rsidR="00582FBF" w:rsidRPr="00582FBF" w:rsidRDefault="00582FBF" w:rsidP="00582FBF">
            <w:pPr>
              <w:pStyle w:val="TableColumnHeadingNormal"/>
              <w:ind w:left="113" w:right="113"/>
              <w:jc w:val="left"/>
              <w:cnfStyle w:val="100000000000" w:firstRow="1" w:lastRow="0" w:firstColumn="0" w:lastColumn="0" w:oddVBand="0" w:evenVBand="0" w:oddHBand="0" w:evenHBand="0" w:firstRowFirstColumn="0" w:firstRowLastColumn="0" w:lastRowFirstColumn="0" w:lastRowLastColumn="0"/>
              <w:rPr>
                <w:lang w:val="en-US"/>
              </w:rPr>
            </w:pPr>
            <w:r w:rsidRPr="00582FBF">
              <w:rPr>
                <w:bCs/>
              </w:rPr>
              <w:t>Canada</w:t>
            </w:r>
          </w:p>
        </w:tc>
        <w:tc>
          <w:tcPr>
            <w:tcW w:w="680" w:type="dxa"/>
            <w:textDirection w:val="btLr"/>
            <w:vAlign w:val="center"/>
            <w:hideMark/>
          </w:tcPr>
          <w:p w14:paraId="5A8A810A" w14:textId="77777777" w:rsidR="00582FBF" w:rsidRPr="00582FBF" w:rsidRDefault="00582FBF" w:rsidP="00582FBF">
            <w:pPr>
              <w:pStyle w:val="TableColumnHeadingNormal"/>
              <w:ind w:left="113" w:right="113"/>
              <w:jc w:val="left"/>
              <w:cnfStyle w:val="100000000000" w:firstRow="1" w:lastRow="0" w:firstColumn="0" w:lastColumn="0" w:oddVBand="0" w:evenVBand="0" w:oddHBand="0" w:evenHBand="0" w:firstRowFirstColumn="0" w:firstRowLastColumn="0" w:lastRowFirstColumn="0" w:lastRowLastColumn="0"/>
              <w:rPr>
                <w:lang w:val="en-US"/>
              </w:rPr>
            </w:pPr>
            <w:r w:rsidRPr="00582FBF">
              <w:rPr>
                <w:bCs/>
              </w:rPr>
              <w:t>France</w:t>
            </w:r>
          </w:p>
        </w:tc>
        <w:tc>
          <w:tcPr>
            <w:tcW w:w="680" w:type="dxa"/>
            <w:textDirection w:val="btLr"/>
            <w:vAlign w:val="center"/>
            <w:hideMark/>
          </w:tcPr>
          <w:p w14:paraId="0E85337A" w14:textId="77777777" w:rsidR="00582FBF" w:rsidRPr="00582FBF" w:rsidRDefault="00582FBF" w:rsidP="00582FBF">
            <w:pPr>
              <w:pStyle w:val="TableColumnHeadingNormal"/>
              <w:ind w:left="113" w:right="113"/>
              <w:jc w:val="left"/>
              <w:cnfStyle w:val="100000000000" w:firstRow="1" w:lastRow="0" w:firstColumn="0" w:lastColumn="0" w:oddVBand="0" w:evenVBand="0" w:oddHBand="0" w:evenHBand="0" w:firstRowFirstColumn="0" w:firstRowLastColumn="0" w:lastRowFirstColumn="0" w:lastRowLastColumn="0"/>
              <w:rPr>
                <w:lang w:val="en-US"/>
              </w:rPr>
            </w:pPr>
            <w:r w:rsidRPr="00582FBF">
              <w:rPr>
                <w:bCs/>
              </w:rPr>
              <w:t>New Zealand</w:t>
            </w:r>
          </w:p>
        </w:tc>
        <w:tc>
          <w:tcPr>
            <w:tcW w:w="680" w:type="dxa"/>
            <w:textDirection w:val="btLr"/>
            <w:vAlign w:val="center"/>
            <w:hideMark/>
          </w:tcPr>
          <w:p w14:paraId="271496CE" w14:textId="77777777" w:rsidR="00582FBF" w:rsidRPr="00582FBF" w:rsidRDefault="00582FBF" w:rsidP="00582FBF">
            <w:pPr>
              <w:pStyle w:val="TableColumnHeadingNormal"/>
              <w:ind w:left="113" w:right="113"/>
              <w:jc w:val="left"/>
              <w:cnfStyle w:val="100000000000" w:firstRow="1" w:lastRow="0" w:firstColumn="0" w:lastColumn="0" w:oddVBand="0" w:evenVBand="0" w:oddHBand="0" w:evenHBand="0" w:firstRowFirstColumn="0" w:firstRowLastColumn="0" w:lastRowFirstColumn="0" w:lastRowLastColumn="0"/>
              <w:rPr>
                <w:lang w:val="en-US"/>
              </w:rPr>
            </w:pPr>
            <w:r w:rsidRPr="00582FBF">
              <w:rPr>
                <w:bCs/>
              </w:rPr>
              <w:t>Singapore</w:t>
            </w:r>
          </w:p>
        </w:tc>
        <w:tc>
          <w:tcPr>
            <w:tcW w:w="680" w:type="dxa"/>
            <w:textDirection w:val="btLr"/>
            <w:vAlign w:val="center"/>
            <w:hideMark/>
          </w:tcPr>
          <w:p w14:paraId="5BEA1B40" w14:textId="398BB4F5" w:rsidR="00582FBF" w:rsidRPr="00582FBF" w:rsidRDefault="00582FBF" w:rsidP="00582FBF">
            <w:pPr>
              <w:pStyle w:val="TableColumnHeadingNormal"/>
              <w:ind w:left="113" w:right="113"/>
              <w:jc w:val="left"/>
              <w:cnfStyle w:val="100000000000" w:firstRow="1" w:lastRow="0" w:firstColumn="0" w:lastColumn="0" w:oddVBand="0" w:evenVBand="0" w:oddHBand="0" w:evenHBand="0" w:firstRowFirstColumn="0" w:firstRowLastColumn="0" w:lastRowFirstColumn="0" w:lastRowLastColumn="0"/>
              <w:rPr>
                <w:lang w:val="en-US"/>
              </w:rPr>
            </w:pPr>
            <w:r w:rsidRPr="00582FBF">
              <w:rPr>
                <w:bCs/>
              </w:rPr>
              <w:t>UK</w:t>
            </w:r>
            <w:r w:rsidR="00F61130">
              <w:rPr>
                <w:bCs/>
              </w:rPr>
              <w:t>*</w:t>
            </w:r>
          </w:p>
        </w:tc>
        <w:tc>
          <w:tcPr>
            <w:tcW w:w="680" w:type="dxa"/>
            <w:textDirection w:val="btLr"/>
            <w:vAlign w:val="center"/>
            <w:hideMark/>
          </w:tcPr>
          <w:p w14:paraId="3F244BDA" w14:textId="77777777" w:rsidR="00582FBF" w:rsidRPr="00582FBF" w:rsidRDefault="00582FBF" w:rsidP="00582FBF">
            <w:pPr>
              <w:pStyle w:val="TableColumnHeadingNormal"/>
              <w:ind w:left="113" w:right="113"/>
              <w:jc w:val="left"/>
              <w:cnfStyle w:val="100000000000" w:firstRow="1" w:lastRow="0" w:firstColumn="0" w:lastColumn="0" w:oddVBand="0" w:evenVBand="0" w:oddHBand="0" w:evenHBand="0" w:firstRowFirstColumn="0" w:firstRowLastColumn="0" w:lastRowFirstColumn="0" w:lastRowLastColumn="0"/>
              <w:rPr>
                <w:lang w:val="en-US"/>
              </w:rPr>
            </w:pPr>
            <w:r w:rsidRPr="00582FBF">
              <w:rPr>
                <w:bCs/>
              </w:rPr>
              <w:t>USA</w:t>
            </w:r>
          </w:p>
        </w:tc>
      </w:tr>
      <w:tr w:rsidR="00785790" w:rsidRPr="00582FBF" w14:paraId="38E2C2F9" w14:textId="77777777" w:rsidTr="00582FBF">
        <w:trPr>
          <w:trHeight w:val="564"/>
        </w:trPr>
        <w:tc>
          <w:tcPr>
            <w:tcW w:w="3654" w:type="dxa"/>
            <w:hideMark/>
          </w:tcPr>
          <w:p w14:paraId="11F3CAC5" w14:textId="77777777" w:rsidR="00785790" w:rsidRPr="00582FBF" w:rsidRDefault="00785790" w:rsidP="00785790">
            <w:pPr>
              <w:pStyle w:val="TableTextNormal"/>
              <w:rPr>
                <w:lang w:val="en-US"/>
              </w:rPr>
            </w:pPr>
            <w:r w:rsidRPr="00582FBF">
              <w:t>New service connection times</w:t>
            </w:r>
          </w:p>
        </w:tc>
        <w:tc>
          <w:tcPr>
            <w:tcW w:w="680" w:type="dxa"/>
            <w:hideMark/>
          </w:tcPr>
          <w:p w14:paraId="50B6A408" w14:textId="131E3E37" w:rsidR="00785790" w:rsidRPr="00582FBF" w:rsidRDefault="00785790" w:rsidP="00785790">
            <w:pPr>
              <w:pStyle w:val="TableTextNormal"/>
              <w:jc w:val="center"/>
              <w:rPr>
                <w:lang w:val="en-US"/>
              </w:rPr>
            </w:pPr>
            <w:r w:rsidRPr="00785790">
              <w:rPr>
                <w:noProof/>
                <w:lang w:eastAsia="en-AU"/>
              </w:rPr>
              <mc:AlternateContent>
                <mc:Choice Requires="wps">
                  <w:drawing>
                    <wp:inline distT="0" distB="0" distL="0" distR="0" wp14:anchorId="727BA53A" wp14:editId="0B8D46BC">
                      <wp:extent cx="180000" cy="180000"/>
                      <wp:effectExtent l="0" t="0" r="0" b="0"/>
                      <wp:docPr id="1" name="Freeform 32" descr="Fixed line telephone services icon &#10;" title="Fixed line telephone services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80000" cy="180000"/>
                              </a:xfrm>
                              <a:custGeom>
                                <a:avLst/>
                                <a:gdLst/>
                                <a:ahLst/>
                                <a:cxnLst>
                                  <a:cxn ang="0">
                                    <a:pos x="179" y="146"/>
                                  </a:cxn>
                                  <a:cxn ang="0">
                                    <a:pos x="209" y="146"/>
                                  </a:cxn>
                                  <a:cxn ang="0">
                                    <a:pos x="125" y="161"/>
                                  </a:cxn>
                                  <a:cxn ang="0">
                                    <a:pos x="125" y="131"/>
                                  </a:cxn>
                                  <a:cxn ang="0">
                                    <a:pos x="125" y="161"/>
                                  </a:cxn>
                                  <a:cxn ang="0">
                                    <a:pos x="166" y="59"/>
                                  </a:cxn>
                                  <a:cxn ang="0">
                                    <a:pos x="116" y="87"/>
                                  </a:cxn>
                                  <a:cxn ang="0">
                                    <a:pos x="109" y="58"/>
                                  </a:cxn>
                                  <a:cxn ang="0">
                                    <a:pos x="77" y="64"/>
                                  </a:cxn>
                                  <a:cxn ang="0">
                                    <a:pos x="43" y="135"/>
                                  </a:cxn>
                                  <a:cxn ang="0">
                                    <a:pos x="46" y="147"/>
                                  </a:cxn>
                                  <a:cxn ang="0">
                                    <a:pos x="77" y="247"/>
                                  </a:cxn>
                                  <a:cxn ang="0">
                                    <a:pos x="121" y="257"/>
                                  </a:cxn>
                                  <a:cxn ang="0">
                                    <a:pos x="116" y="220"/>
                                  </a:cxn>
                                  <a:cxn ang="0">
                                    <a:pos x="100" y="213"/>
                                  </a:cxn>
                                  <a:cxn ang="0">
                                    <a:pos x="106" y="169"/>
                                  </a:cxn>
                                  <a:cxn ang="0">
                                    <a:pos x="151" y="175"/>
                                  </a:cxn>
                                  <a:cxn ang="0">
                                    <a:pos x="144" y="220"/>
                                  </a:cxn>
                                  <a:cxn ang="0">
                                    <a:pos x="134" y="249"/>
                                  </a:cxn>
                                  <a:cxn ang="0">
                                    <a:pos x="190" y="257"/>
                                  </a:cxn>
                                  <a:cxn ang="0">
                                    <a:pos x="185" y="220"/>
                                  </a:cxn>
                                  <a:cxn ang="0">
                                    <a:pos x="165" y="217"/>
                                  </a:cxn>
                                  <a:cxn ang="0">
                                    <a:pos x="177" y="173"/>
                                  </a:cxn>
                                  <a:cxn ang="0">
                                    <a:pos x="205" y="169"/>
                                  </a:cxn>
                                  <a:cxn ang="0">
                                    <a:pos x="224" y="210"/>
                                  </a:cxn>
                                  <a:cxn ang="0">
                                    <a:pos x="218" y="220"/>
                                  </a:cxn>
                                  <a:cxn ang="0">
                                    <a:pos x="203" y="220"/>
                                  </a:cxn>
                                  <a:cxn ang="0">
                                    <a:pos x="198" y="257"/>
                                  </a:cxn>
                                  <a:cxn ang="0">
                                    <a:pos x="248" y="247"/>
                                  </a:cxn>
                                  <a:cxn ang="0">
                                    <a:pos x="279" y="147"/>
                                  </a:cxn>
                                  <a:cxn ang="0">
                                    <a:pos x="285" y="140"/>
                                  </a:cxn>
                                  <a:cxn ang="0">
                                    <a:pos x="162" y="0"/>
                                  </a:cxn>
                                  <a:cxn ang="0">
                                    <a:pos x="162" y="324"/>
                                  </a:cxn>
                                  <a:cxn ang="0">
                                    <a:pos x="162" y="0"/>
                                  </a:cxn>
                                  <a:cxn ang="0">
                                    <a:pos x="311" y="162"/>
                                  </a:cxn>
                                  <a:cxn ang="0">
                                    <a:pos x="13" y="162"/>
                                  </a:cxn>
                                </a:cxnLst>
                                <a:rect l="0" t="0" r="r" b="b"/>
                                <a:pathLst>
                                  <a:path w="324" h="324">
                                    <a:moveTo>
                                      <a:pt x="194" y="161"/>
                                    </a:moveTo>
                                    <a:cubicBezTo>
                                      <a:pt x="186" y="161"/>
                                      <a:pt x="179" y="155"/>
                                      <a:pt x="179" y="146"/>
                                    </a:cubicBezTo>
                                    <a:cubicBezTo>
                                      <a:pt x="179" y="138"/>
                                      <a:pt x="186" y="131"/>
                                      <a:pt x="194" y="131"/>
                                    </a:cubicBezTo>
                                    <a:cubicBezTo>
                                      <a:pt x="203" y="131"/>
                                      <a:pt x="209" y="138"/>
                                      <a:pt x="209" y="146"/>
                                    </a:cubicBezTo>
                                    <a:cubicBezTo>
                                      <a:pt x="209" y="155"/>
                                      <a:pt x="203" y="161"/>
                                      <a:pt x="194" y="161"/>
                                    </a:cubicBezTo>
                                    <a:close/>
                                    <a:moveTo>
                                      <a:pt x="125" y="161"/>
                                    </a:moveTo>
                                    <a:cubicBezTo>
                                      <a:pt x="117" y="161"/>
                                      <a:pt x="110" y="155"/>
                                      <a:pt x="110" y="146"/>
                                    </a:cubicBezTo>
                                    <a:cubicBezTo>
                                      <a:pt x="110" y="138"/>
                                      <a:pt x="117" y="131"/>
                                      <a:pt x="125" y="131"/>
                                    </a:cubicBezTo>
                                    <a:cubicBezTo>
                                      <a:pt x="134" y="131"/>
                                      <a:pt x="140" y="138"/>
                                      <a:pt x="140" y="146"/>
                                    </a:cubicBezTo>
                                    <a:cubicBezTo>
                                      <a:pt x="140" y="155"/>
                                      <a:pt x="134" y="161"/>
                                      <a:pt x="125" y="161"/>
                                    </a:cubicBezTo>
                                    <a:close/>
                                    <a:moveTo>
                                      <a:pt x="281" y="134"/>
                                    </a:moveTo>
                                    <a:cubicBezTo>
                                      <a:pt x="166" y="59"/>
                                      <a:pt x="166" y="59"/>
                                      <a:pt x="166" y="59"/>
                                    </a:cubicBezTo>
                                    <a:cubicBezTo>
                                      <a:pt x="164" y="58"/>
                                      <a:pt x="161" y="58"/>
                                      <a:pt x="159" y="59"/>
                                    </a:cubicBezTo>
                                    <a:cubicBezTo>
                                      <a:pt x="116" y="87"/>
                                      <a:pt x="116" y="87"/>
                                      <a:pt x="116" y="87"/>
                                    </a:cubicBezTo>
                                    <a:cubicBezTo>
                                      <a:pt x="116" y="64"/>
                                      <a:pt x="116" y="64"/>
                                      <a:pt x="116" y="64"/>
                                    </a:cubicBezTo>
                                    <a:cubicBezTo>
                                      <a:pt x="116" y="61"/>
                                      <a:pt x="113" y="58"/>
                                      <a:pt x="109" y="58"/>
                                    </a:cubicBezTo>
                                    <a:cubicBezTo>
                                      <a:pt x="83" y="58"/>
                                      <a:pt x="83" y="58"/>
                                      <a:pt x="83" y="58"/>
                                    </a:cubicBezTo>
                                    <a:cubicBezTo>
                                      <a:pt x="80" y="58"/>
                                      <a:pt x="77" y="61"/>
                                      <a:pt x="77" y="64"/>
                                    </a:cubicBezTo>
                                    <a:cubicBezTo>
                                      <a:pt x="77" y="112"/>
                                      <a:pt x="77" y="112"/>
                                      <a:pt x="77" y="112"/>
                                    </a:cubicBezTo>
                                    <a:cubicBezTo>
                                      <a:pt x="43" y="135"/>
                                      <a:pt x="43" y="135"/>
                                      <a:pt x="43" y="135"/>
                                    </a:cubicBezTo>
                                    <a:cubicBezTo>
                                      <a:pt x="40" y="137"/>
                                      <a:pt x="39" y="139"/>
                                      <a:pt x="40" y="142"/>
                                    </a:cubicBezTo>
                                    <a:cubicBezTo>
                                      <a:pt x="41" y="145"/>
                                      <a:pt x="43" y="147"/>
                                      <a:pt x="46" y="147"/>
                                    </a:cubicBezTo>
                                    <a:cubicBezTo>
                                      <a:pt x="77" y="147"/>
                                      <a:pt x="77" y="147"/>
                                      <a:pt x="77" y="147"/>
                                    </a:cubicBezTo>
                                    <a:cubicBezTo>
                                      <a:pt x="77" y="247"/>
                                      <a:pt x="77" y="247"/>
                                      <a:pt x="77" y="247"/>
                                    </a:cubicBezTo>
                                    <a:cubicBezTo>
                                      <a:pt x="77" y="253"/>
                                      <a:pt x="81" y="257"/>
                                      <a:pt x="87" y="257"/>
                                    </a:cubicBezTo>
                                    <a:cubicBezTo>
                                      <a:pt x="121" y="257"/>
                                      <a:pt x="121" y="257"/>
                                      <a:pt x="121" y="257"/>
                                    </a:cubicBezTo>
                                    <a:cubicBezTo>
                                      <a:pt x="118" y="256"/>
                                      <a:pt x="116" y="253"/>
                                      <a:pt x="116" y="249"/>
                                    </a:cubicBezTo>
                                    <a:cubicBezTo>
                                      <a:pt x="116" y="220"/>
                                      <a:pt x="116" y="220"/>
                                      <a:pt x="116" y="220"/>
                                    </a:cubicBezTo>
                                    <a:cubicBezTo>
                                      <a:pt x="106" y="220"/>
                                      <a:pt x="106" y="220"/>
                                      <a:pt x="106" y="220"/>
                                    </a:cubicBezTo>
                                    <a:cubicBezTo>
                                      <a:pt x="102" y="220"/>
                                      <a:pt x="100" y="217"/>
                                      <a:pt x="100" y="213"/>
                                    </a:cubicBezTo>
                                    <a:cubicBezTo>
                                      <a:pt x="100" y="175"/>
                                      <a:pt x="100" y="175"/>
                                      <a:pt x="100" y="175"/>
                                    </a:cubicBezTo>
                                    <a:cubicBezTo>
                                      <a:pt x="100" y="172"/>
                                      <a:pt x="102" y="169"/>
                                      <a:pt x="106" y="169"/>
                                    </a:cubicBezTo>
                                    <a:cubicBezTo>
                                      <a:pt x="144" y="169"/>
                                      <a:pt x="144" y="169"/>
                                      <a:pt x="144" y="169"/>
                                    </a:cubicBezTo>
                                    <a:cubicBezTo>
                                      <a:pt x="148" y="169"/>
                                      <a:pt x="151" y="172"/>
                                      <a:pt x="151" y="175"/>
                                    </a:cubicBezTo>
                                    <a:cubicBezTo>
                                      <a:pt x="151" y="213"/>
                                      <a:pt x="151" y="213"/>
                                      <a:pt x="151" y="213"/>
                                    </a:cubicBezTo>
                                    <a:cubicBezTo>
                                      <a:pt x="151" y="217"/>
                                      <a:pt x="148" y="220"/>
                                      <a:pt x="144" y="220"/>
                                    </a:cubicBezTo>
                                    <a:cubicBezTo>
                                      <a:pt x="134" y="220"/>
                                      <a:pt x="134" y="220"/>
                                      <a:pt x="134" y="220"/>
                                    </a:cubicBezTo>
                                    <a:cubicBezTo>
                                      <a:pt x="134" y="249"/>
                                      <a:pt x="134" y="249"/>
                                      <a:pt x="134" y="249"/>
                                    </a:cubicBezTo>
                                    <a:cubicBezTo>
                                      <a:pt x="134" y="253"/>
                                      <a:pt x="132" y="256"/>
                                      <a:pt x="129" y="257"/>
                                    </a:cubicBezTo>
                                    <a:cubicBezTo>
                                      <a:pt x="190" y="257"/>
                                      <a:pt x="190" y="257"/>
                                      <a:pt x="190" y="257"/>
                                    </a:cubicBezTo>
                                    <a:cubicBezTo>
                                      <a:pt x="187" y="256"/>
                                      <a:pt x="185" y="253"/>
                                      <a:pt x="185" y="249"/>
                                    </a:cubicBezTo>
                                    <a:cubicBezTo>
                                      <a:pt x="185" y="220"/>
                                      <a:pt x="185" y="220"/>
                                      <a:pt x="185" y="220"/>
                                    </a:cubicBezTo>
                                    <a:cubicBezTo>
                                      <a:pt x="170" y="220"/>
                                      <a:pt x="170" y="220"/>
                                      <a:pt x="170" y="220"/>
                                    </a:cubicBezTo>
                                    <a:cubicBezTo>
                                      <a:pt x="168" y="220"/>
                                      <a:pt x="166" y="219"/>
                                      <a:pt x="165" y="217"/>
                                    </a:cubicBezTo>
                                    <a:cubicBezTo>
                                      <a:pt x="163" y="215"/>
                                      <a:pt x="163" y="213"/>
                                      <a:pt x="164" y="211"/>
                                    </a:cubicBezTo>
                                    <a:cubicBezTo>
                                      <a:pt x="177" y="173"/>
                                      <a:pt x="177" y="173"/>
                                      <a:pt x="177" y="173"/>
                                    </a:cubicBezTo>
                                    <a:cubicBezTo>
                                      <a:pt x="178" y="171"/>
                                      <a:pt x="180" y="169"/>
                                      <a:pt x="183" y="169"/>
                                    </a:cubicBezTo>
                                    <a:cubicBezTo>
                                      <a:pt x="205" y="169"/>
                                      <a:pt x="205" y="169"/>
                                      <a:pt x="205" y="169"/>
                                    </a:cubicBezTo>
                                    <a:cubicBezTo>
                                      <a:pt x="208" y="169"/>
                                      <a:pt x="210" y="171"/>
                                      <a:pt x="211" y="173"/>
                                    </a:cubicBezTo>
                                    <a:cubicBezTo>
                                      <a:pt x="224" y="210"/>
                                      <a:pt x="224" y="210"/>
                                      <a:pt x="224" y="210"/>
                                    </a:cubicBezTo>
                                    <a:cubicBezTo>
                                      <a:pt x="224" y="211"/>
                                      <a:pt x="225" y="212"/>
                                      <a:pt x="225" y="213"/>
                                    </a:cubicBezTo>
                                    <a:cubicBezTo>
                                      <a:pt x="225" y="217"/>
                                      <a:pt x="222" y="220"/>
                                      <a:pt x="218" y="220"/>
                                    </a:cubicBezTo>
                                    <a:cubicBezTo>
                                      <a:pt x="218" y="220"/>
                                      <a:pt x="218" y="220"/>
                                      <a:pt x="218" y="220"/>
                                    </a:cubicBezTo>
                                    <a:cubicBezTo>
                                      <a:pt x="203" y="220"/>
                                      <a:pt x="203" y="220"/>
                                      <a:pt x="203" y="220"/>
                                    </a:cubicBezTo>
                                    <a:cubicBezTo>
                                      <a:pt x="203" y="249"/>
                                      <a:pt x="203" y="249"/>
                                      <a:pt x="203" y="249"/>
                                    </a:cubicBezTo>
                                    <a:cubicBezTo>
                                      <a:pt x="203" y="253"/>
                                      <a:pt x="201" y="256"/>
                                      <a:pt x="198" y="257"/>
                                    </a:cubicBezTo>
                                    <a:cubicBezTo>
                                      <a:pt x="238" y="257"/>
                                      <a:pt x="238" y="257"/>
                                      <a:pt x="238" y="257"/>
                                    </a:cubicBezTo>
                                    <a:cubicBezTo>
                                      <a:pt x="243" y="257"/>
                                      <a:pt x="248" y="253"/>
                                      <a:pt x="248" y="247"/>
                                    </a:cubicBezTo>
                                    <a:cubicBezTo>
                                      <a:pt x="248" y="147"/>
                                      <a:pt x="248" y="147"/>
                                      <a:pt x="248" y="147"/>
                                    </a:cubicBezTo>
                                    <a:cubicBezTo>
                                      <a:pt x="279" y="147"/>
                                      <a:pt x="279" y="147"/>
                                      <a:pt x="279" y="147"/>
                                    </a:cubicBezTo>
                                    <a:cubicBezTo>
                                      <a:pt x="279" y="147"/>
                                      <a:pt x="279" y="147"/>
                                      <a:pt x="279" y="147"/>
                                    </a:cubicBezTo>
                                    <a:cubicBezTo>
                                      <a:pt x="282" y="147"/>
                                      <a:pt x="285" y="144"/>
                                      <a:pt x="285" y="140"/>
                                    </a:cubicBezTo>
                                    <a:cubicBezTo>
                                      <a:pt x="285" y="138"/>
                                      <a:pt x="284" y="135"/>
                                      <a:pt x="281" y="134"/>
                                    </a:cubicBezTo>
                                    <a:close/>
                                    <a:moveTo>
                                      <a:pt x="162" y="0"/>
                                    </a:moveTo>
                                    <a:cubicBezTo>
                                      <a:pt x="73" y="0"/>
                                      <a:pt x="0" y="72"/>
                                      <a:pt x="0" y="162"/>
                                    </a:cubicBezTo>
                                    <a:cubicBezTo>
                                      <a:pt x="0" y="251"/>
                                      <a:pt x="73" y="324"/>
                                      <a:pt x="162" y="324"/>
                                    </a:cubicBezTo>
                                    <a:cubicBezTo>
                                      <a:pt x="252" y="324"/>
                                      <a:pt x="324" y="251"/>
                                      <a:pt x="324" y="162"/>
                                    </a:cubicBezTo>
                                    <a:cubicBezTo>
                                      <a:pt x="324" y="72"/>
                                      <a:pt x="252" y="0"/>
                                      <a:pt x="162" y="0"/>
                                    </a:cubicBezTo>
                                    <a:close/>
                                    <a:moveTo>
                                      <a:pt x="162" y="13"/>
                                    </a:moveTo>
                                    <a:cubicBezTo>
                                      <a:pt x="244" y="13"/>
                                      <a:pt x="311" y="80"/>
                                      <a:pt x="311" y="162"/>
                                    </a:cubicBezTo>
                                    <a:cubicBezTo>
                                      <a:pt x="311" y="244"/>
                                      <a:pt x="244" y="311"/>
                                      <a:pt x="162" y="311"/>
                                    </a:cubicBezTo>
                                    <a:cubicBezTo>
                                      <a:pt x="80" y="311"/>
                                      <a:pt x="13" y="244"/>
                                      <a:pt x="13" y="162"/>
                                    </a:cubicBezTo>
                                    <a:cubicBezTo>
                                      <a:pt x="13" y="80"/>
                                      <a:pt x="80" y="13"/>
                                      <a:pt x="162" y="13"/>
                                    </a:cubicBezTo>
                                  </a:path>
                                </a:pathLst>
                              </a:custGeom>
                              <a:solidFill>
                                <a:schemeClr val="tx2"/>
                              </a:solidFill>
                              <a:ln w="9525">
                                <a:noFill/>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6D225FD4" id="Freeform 32" o:spid="_x0000_s1026" alt="Title: Fixed line telephone services icon - Description: Fixed line telephone services icon &#10;" style="width:14.15pt;height:14.15pt;visibility:visible;mso-wrap-style:square;mso-left-percent:-10001;mso-top-percent:-10001;mso-position-horizontal:absolute;mso-position-horizontal-relative:char;mso-position-vertical:absolute;mso-position-vertical-relative:line;mso-left-percent:-10001;mso-top-percent:-10001;v-text-anchor:top" coordsize="32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" path="m194,161v-8,,-15,-6,-15,-15c179,138,186,131,194,131v9,,15,7,15,15c209,155,203,161,194,161xm125,161v-8,,-15,-6,-15,-15c110,138,117,131,125,131v9,,15,7,15,15c140,155,134,161,125,161xm281,134c166,59,166,59,166,59v-2,-1,-5,-1,-7,c116,87,116,87,116,87v,-23,,-23,,-23c116,61,113,58,109,58v-26,,-26,,-26,c80,58,77,61,77,64v,48,,48,,48c43,135,43,135,43,135v-3,2,-4,4,-3,7c41,145,43,147,46,147v31,,31,,31,c77,247,77,247,77,247v,6,4,10,10,10c121,257,121,257,121,257v-3,-1,-5,-4,-5,-8c116,220,116,220,116,220v-10,,-10,,-10,c102,220,100,217,100,213v,-38,,-38,,-38c100,172,102,169,106,169v38,,38,,38,c148,169,151,172,151,175v,38,,38,,38c151,217,148,220,144,220v-10,,-10,,-10,c134,249,134,249,134,249v,4,-2,7,-5,8c190,257,190,257,190,257v-3,-1,-5,-4,-5,-8c185,220,185,220,185,220v-15,,-15,,-15,c168,220,166,219,165,217v-2,-2,-2,-4,-1,-6c177,173,177,173,177,173v1,-2,3,-4,6,-4c205,169,205,169,205,169v3,,5,2,6,4c224,210,224,210,224,210v,1,1,2,1,3c225,217,222,220,218,220v,,,,,c203,220,203,220,203,220v,29,,29,,29c203,253,201,256,198,257v40,,40,,40,c243,257,248,253,248,247v,-100,,-100,,-100c279,147,279,147,279,147v,,,,,c282,147,285,144,285,140v,-2,-1,-5,-4,-6xm162,c73,,,72,,162v,89,73,162,162,162c252,324,324,251,324,162,324,72,252,,162,xm162,13v82,,149,67,149,149c311,244,244,311,162,311,80,311,13,244,13,162,13,80,80,13,162,13e" fillcolor="#a32020 [3215]" stroked="f">
                      <v:path arrowok="t" o:connecttype="custom" o:connectlocs="179,146;209,146;125,161;125,131;125,161;166,59;116,87;109,58;77,64;43,135;46,147;77,247;121,257;116,220;100,213;106,169;151,175;144,220;134,249;190,257;185,220;165,217;177,173;205,169;224,210;218,220;203,220;198,257;248,247;279,147;285,140;162,0;162,324;162,0;311,162;13,162" o:connectangles="0,0,0,0,0,0,0,0,0,0,0,0,0,0,0,0,0,0,0,0,0,0,0,0,0,0,0,0,0,0,0,0,0,0,0,0"/>
                      <o:lock v:ext="edit" verticies="t"/>
                      <w10:anchorlock/>
                    </v:shape>
                  </w:pict>
                </mc:Fallback>
              </mc:AlternateContent>
            </w:r>
          </w:p>
        </w:tc>
        <w:tc>
          <w:tcPr>
            <w:tcW w:w="680" w:type="dxa"/>
            <w:hideMark/>
          </w:tcPr>
          <w:p w14:paraId="09BFB727" w14:textId="77777777" w:rsidR="00785790" w:rsidRPr="00582FBF" w:rsidRDefault="00785790" w:rsidP="00785790">
            <w:pPr>
              <w:pStyle w:val="TableTextNormal"/>
              <w:jc w:val="center"/>
              <w:rPr>
                <w:lang w:val="en-US"/>
              </w:rPr>
            </w:pPr>
          </w:p>
        </w:tc>
        <w:tc>
          <w:tcPr>
            <w:tcW w:w="680" w:type="dxa"/>
            <w:hideMark/>
          </w:tcPr>
          <w:p w14:paraId="1AE20A65" w14:textId="66F909AA" w:rsidR="00785790" w:rsidRPr="00582FBF" w:rsidRDefault="00785790" w:rsidP="00785790">
            <w:pPr>
              <w:pStyle w:val="TableTextNormal"/>
              <w:jc w:val="center"/>
              <w:rPr>
                <w:lang w:val="en-US"/>
              </w:rPr>
            </w:pPr>
            <w:r w:rsidRPr="00785790">
              <w:rPr>
                <w:noProof/>
                <w:lang w:eastAsia="en-AU"/>
              </w:rPr>
              <mc:AlternateContent>
                <mc:Choice Requires="wps">
                  <w:drawing>
                    <wp:inline distT="0" distB="0" distL="0" distR="0" wp14:anchorId="7AF4AC60" wp14:editId="1785D51D">
                      <wp:extent cx="180000" cy="180000"/>
                      <wp:effectExtent l="0" t="0" r="0" b="0"/>
                      <wp:docPr id="2" name="Freeform 32" descr="Fixed line telephone services icon &#10;" title="Fixed line telephone services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80000" cy="180000"/>
                              </a:xfrm>
                              <a:custGeom>
                                <a:avLst/>
                                <a:gdLst/>
                                <a:ahLst/>
                                <a:cxnLst>
                                  <a:cxn ang="0">
                                    <a:pos x="179" y="146"/>
                                  </a:cxn>
                                  <a:cxn ang="0">
                                    <a:pos x="209" y="146"/>
                                  </a:cxn>
                                  <a:cxn ang="0">
                                    <a:pos x="125" y="161"/>
                                  </a:cxn>
                                  <a:cxn ang="0">
                                    <a:pos x="125" y="131"/>
                                  </a:cxn>
                                  <a:cxn ang="0">
                                    <a:pos x="125" y="161"/>
                                  </a:cxn>
                                  <a:cxn ang="0">
                                    <a:pos x="166" y="59"/>
                                  </a:cxn>
                                  <a:cxn ang="0">
                                    <a:pos x="116" y="87"/>
                                  </a:cxn>
                                  <a:cxn ang="0">
                                    <a:pos x="109" y="58"/>
                                  </a:cxn>
                                  <a:cxn ang="0">
                                    <a:pos x="77" y="64"/>
                                  </a:cxn>
                                  <a:cxn ang="0">
                                    <a:pos x="43" y="135"/>
                                  </a:cxn>
                                  <a:cxn ang="0">
                                    <a:pos x="46" y="147"/>
                                  </a:cxn>
                                  <a:cxn ang="0">
                                    <a:pos x="77" y="247"/>
                                  </a:cxn>
                                  <a:cxn ang="0">
                                    <a:pos x="121" y="257"/>
                                  </a:cxn>
                                  <a:cxn ang="0">
                                    <a:pos x="116" y="220"/>
                                  </a:cxn>
                                  <a:cxn ang="0">
                                    <a:pos x="100" y="213"/>
                                  </a:cxn>
                                  <a:cxn ang="0">
                                    <a:pos x="106" y="169"/>
                                  </a:cxn>
                                  <a:cxn ang="0">
                                    <a:pos x="151" y="175"/>
                                  </a:cxn>
                                  <a:cxn ang="0">
                                    <a:pos x="144" y="220"/>
                                  </a:cxn>
                                  <a:cxn ang="0">
                                    <a:pos x="134" y="249"/>
                                  </a:cxn>
                                  <a:cxn ang="0">
                                    <a:pos x="190" y="257"/>
                                  </a:cxn>
                                  <a:cxn ang="0">
                                    <a:pos x="185" y="220"/>
                                  </a:cxn>
                                  <a:cxn ang="0">
                                    <a:pos x="165" y="217"/>
                                  </a:cxn>
                                  <a:cxn ang="0">
                                    <a:pos x="177" y="173"/>
                                  </a:cxn>
                                  <a:cxn ang="0">
                                    <a:pos x="205" y="169"/>
                                  </a:cxn>
                                  <a:cxn ang="0">
                                    <a:pos x="224" y="210"/>
                                  </a:cxn>
                                  <a:cxn ang="0">
                                    <a:pos x="218" y="220"/>
                                  </a:cxn>
                                  <a:cxn ang="0">
                                    <a:pos x="203" y="220"/>
                                  </a:cxn>
                                  <a:cxn ang="0">
                                    <a:pos x="198" y="257"/>
                                  </a:cxn>
                                  <a:cxn ang="0">
                                    <a:pos x="248" y="247"/>
                                  </a:cxn>
                                  <a:cxn ang="0">
                                    <a:pos x="279" y="147"/>
                                  </a:cxn>
                                  <a:cxn ang="0">
                                    <a:pos x="285" y="140"/>
                                  </a:cxn>
                                  <a:cxn ang="0">
                                    <a:pos x="162" y="0"/>
                                  </a:cxn>
                                  <a:cxn ang="0">
                                    <a:pos x="162" y="324"/>
                                  </a:cxn>
                                  <a:cxn ang="0">
                                    <a:pos x="162" y="0"/>
                                  </a:cxn>
                                  <a:cxn ang="0">
                                    <a:pos x="311" y="162"/>
                                  </a:cxn>
                                  <a:cxn ang="0">
                                    <a:pos x="13" y="162"/>
                                  </a:cxn>
                                </a:cxnLst>
                                <a:rect l="0" t="0" r="r" b="b"/>
                                <a:pathLst>
                                  <a:path w="324" h="324">
                                    <a:moveTo>
                                      <a:pt x="194" y="161"/>
                                    </a:moveTo>
                                    <a:cubicBezTo>
                                      <a:pt x="186" y="161"/>
                                      <a:pt x="179" y="155"/>
                                      <a:pt x="179" y="146"/>
                                    </a:cubicBezTo>
                                    <a:cubicBezTo>
                                      <a:pt x="179" y="138"/>
                                      <a:pt x="186" y="131"/>
                                      <a:pt x="194" y="131"/>
                                    </a:cubicBezTo>
                                    <a:cubicBezTo>
                                      <a:pt x="203" y="131"/>
                                      <a:pt x="209" y="138"/>
                                      <a:pt x="209" y="146"/>
                                    </a:cubicBezTo>
                                    <a:cubicBezTo>
                                      <a:pt x="209" y="155"/>
                                      <a:pt x="203" y="161"/>
                                      <a:pt x="194" y="161"/>
                                    </a:cubicBezTo>
                                    <a:close/>
                                    <a:moveTo>
                                      <a:pt x="125" y="161"/>
                                    </a:moveTo>
                                    <a:cubicBezTo>
                                      <a:pt x="117" y="161"/>
                                      <a:pt x="110" y="155"/>
                                      <a:pt x="110" y="146"/>
                                    </a:cubicBezTo>
                                    <a:cubicBezTo>
                                      <a:pt x="110" y="138"/>
                                      <a:pt x="117" y="131"/>
                                      <a:pt x="125" y="131"/>
                                    </a:cubicBezTo>
                                    <a:cubicBezTo>
                                      <a:pt x="134" y="131"/>
                                      <a:pt x="140" y="138"/>
                                      <a:pt x="140" y="146"/>
                                    </a:cubicBezTo>
                                    <a:cubicBezTo>
                                      <a:pt x="140" y="155"/>
                                      <a:pt x="134" y="161"/>
                                      <a:pt x="125" y="161"/>
                                    </a:cubicBezTo>
                                    <a:close/>
                                    <a:moveTo>
                                      <a:pt x="281" y="134"/>
                                    </a:moveTo>
                                    <a:cubicBezTo>
                                      <a:pt x="166" y="59"/>
                                      <a:pt x="166" y="59"/>
                                      <a:pt x="166" y="59"/>
                                    </a:cubicBezTo>
                                    <a:cubicBezTo>
                                      <a:pt x="164" y="58"/>
                                      <a:pt x="161" y="58"/>
                                      <a:pt x="159" y="59"/>
                                    </a:cubicBezTo>
                                    <a:cubicBezTo>
                                      <a:pt x="116" y="87"/>
                                      <a:pt x="116" y="87"/>
                                      <a:pt x="116" y="87"/>
                                    </a:cubicBezTo>
                                    <a:cubicBezTo>
                                      <a:pt x="116" y="64"/>
                                      <a:pt x="116" y="64"/>
                                      <a:pt x="116" y="64"/>
                                    </a:cubicBezTo>
                                    <a:cubicBezTo>
                                      <a:pt x="116" y="61"/>
                                      <a:pt x="113" y="58"/>
                                      <a:pt x="109" y="58"/>
                                    </a:cubicBezTo>
                                    <a:cubicBezTo>
                                      <a:pt x="83" y="58"/>
                                      <a:pt x="83" y="58"/>
                                      <a:pt x="83" y="58"/>
                                    </a:cubicBezTo>
                                    <a:cubicBezTo>
                                      <a:pt x="80" y="58"/>
                                      <a:pt x="77" y="61"/>
                                      <a:pt x="77" y="64"/>
                                    </a:cubicBezTo>
                                    <a:cubicBezTo>
                                      <a:pt x="77" y="112"/>
                                      <a:pt x="77" y="112"/>
                                      <a:pt x="77" y="112"/>
                                    </a:cubicBezTo>
                                    <a:cubicBezTo>
                                      <a:pt x="43" y="135"/>
                                      <a:pt x="43" y="135"/>
                                      <a:pt x="43" y="135"/>
                                    </a:cubicBezTo>
                                    <a:cubicBezTo>
                                      <a:pt x="40" y="137"/>
                                      <a:pt x="39" y="139"/>
                                      <a:pt x="40" y="142"/>
                                    </a:cubicBezTo>
                                    <a:cubicBezTo>
                                      <a:pt x="41" y="145"/>
                                      <a:pt x="43" y="147"/>
                                      <a:pt x="46" y="147"/>
                                    </a:cubicBezTo>
                                    <a:cubicBezTo>
                                      <a:pt x="77" y="147"/>
                                      <a:pt x="77" y="147"/>
                                      <a:pt x="77" y="147"/>
                                    </a:cubicBezTo>
                                    <a:cubicBezTo>
                                      <a:pt x="77" y="247"/>
                                      <a:pt x="77" y="247"/>
                                      <a:pt x="77" y="247"/>
                                    </a:cubicBezTo>
                                    <a:cubicBezTo>
                                      <a:pt x="77" y="253"/>
                                      <a:pt x="81" y="257"/>
                                      <a:pt x="87" y="257"/>
                                    </a:cubicBezTo>
                                    <a:cubicBezTo>
                                      <a:pt x="121" y="257"/>
                                      <a:pt x="121" y="257"/>
                                      <a:pt x="121" y="257"/>
                                    </a:cubicBezTo>
                                    <a:cubicBezTo>
                                      <a:pt x="118" y="256"/>
                                      <a:pt x="116" y="253"/>
                                      <a:pt x="116" y="249"/>
                                    </a:cubicBezTo>
                                    <a:cubicBezTo>
                                      <a:pt x="116" y="220"/>
                                      <a:pt x="116" y="220"/>
                                      <a:pt x="116" y="220"/>
                                    </a:cubicBezTo>
                                    <a:cubicBezTo>
                                      <a:pt x="106" y="220"/>
                                      <a:pt x="106" y="220"/>
                                      <a:pt x="106" y="220"/>
                                    </a:cubicBezTo>
                                    <a:cubicBezTo>
                                      <a:pt x="102" y="220"/>
                                      <a:pt x="100" y="217"/>
                                      <a:pt x="100" y="213"/>
                                    </a:cubicBezTo>
                                    <a:cubicBezTo>
                                      <a:pt x="100" y="175"/>
                                      <a:pt x="100" y="175"/>
                                      <a:pt x="100" y="175"/>
                                    </a:cubicBezTo>
                                    <a:cubicBezTo>
                                      <a:pt x="100" y="172"/>
                                      <a:pt x="102" y="169"/>
                                      <a:pt x="106" y="169"/>
                                    </a:cubicBezTo>
                                    <a:cubicBezTo>
                                      <a:pt x="144" y="169"/>
                                      <a:pt x="144" y="169"/>
                                      <a:pt x="144" y="169"/>
                                    </a:cubicBezTo>
                                    <a:cubicBezTo>
                                      <a:pt x="148" y="169"/>
                                      <a:pt x="151" y="172"/>
                                      <a:pt x="151" y="175"/>
                                    </a:cubicBezTo>
                                    <a:cubicBezTo>
                                      <a:pt x="151" y="213"/>
                                      <a:pt x="151" y="213"/>
                                      <a:pt x="151" y="213"/>
                                    </a:cubicBezTo>
                                    <a:cubicBezTo>
                                      <a:pt x="151" y="217"/>
                                      <a:pt x="148" y="220"/>
                                      <a:pt x="144" y="220"/>
                                    </a:cubicBezTo>
                                    <a:cubicBezTo>
                                      <a:pt x="134" y="220"/>
                                      <a:pt x="134" y="220"/>
                                      <a:pt x="134" y="220"/>
                                    </a:cubicBezTo>
                                    <a:cubicBezTo>
                                      <a:pt x="134" y="249"/>
                                      <a:pt x="134" y="249"/>
                                      <a:pt x="134" y="249"/>
                                    </a:cubicBezTo>
                                    <a:cubicBezTo>
                                      <a:pt x="134" y="253"/>
                                      <a:pt x="132" y="256"/>
                                      <a:pt x="129" y="257"/>
                                    </a:cubicBezTo>
                                    <a:cubicBezTo>
                                      <a:pt x="190" y="257"/>
                                      <a:pt x="190" y="257"/>
                                      <a:pt x="190" y="257"/>
                                    </a:cubicBezTo>
                                    <a:cubicBezTo>
                                      <a:pt x="187" y="256"/>
                                      <a:pt x="185" y="253"/>
                                      <a:pt x="185" y="249"/>
                                    </a:cubicBezTo>
                                    <a:cubicBezTo>
                                      <a:pt x="185" y="220"/>
                                      <a:pt x="185" y="220"/>
                                      <a:pt x="185" y="220"/>
                                    </a:cubicBezTo>
                                    <a:cubicBezTo>
                                      <a:pt x="170" y="220"/>
                                      <a:pt x="170" y="220"/>
                                      <a:pt x="170" y="220"/>
                                    </a:cubicBezTo>
                                    <a:cubicBezTo>
                                      <a:pt x="168" y="220"/>
                                      <a:pt x="166" y="219"/>
                                      <a:pt x="165" y="217"/>
                                    </a:cubicBezTo>
                                    <a:cubicBezTo>
                                      <a:pt x="163" y="215"/>
                                      <a:pt x="163" y="213"/>
                                      <a:pt x="164" y="211"/>
                                    </a:cubicBezTo>
                                    <a:cubicBezTo>
                                      <a:pt x="177" y="173"/>
                                      <a:pt x="177" y="173"/>
                                      <a:pt x="177" y="173"/>
                                    </a:cubicBezTo>
                                    <a:cubicBezTo>
                                      <a:pt x="178" y="171"/>
                                      <a:pt x="180" y="169"/>
                                      <a:pt x="183" y="169"/>
                                    </a:cubicBezTo>
                                    <a:cubicBezTo>
                                      <a:pt x="205" y="169"/>
                                      <a:pt x="205" y="169"/>
                                      <a:pt x="205" y="169"/>
                                    </a:cubicBezTo>
                                    <a:cubicBezTo>
                                      <a:pt x="208" y="169"/>
                                      <a:pt x="210" y="171"/>
                                      <a:pt x="211" y="173"/>
                                    </a:cubicBezTo>
                                    <a:cubicBezTo>
                                      <a:pt x="224" y="210"/>
                                      <a:pt x="224" y="210"/>
                                      <a:pt x="224" y="210"/>
                                    </a:cubicBezTo>
                                    <a:cubicBezTo>
                                      <a:pt x="224" y="211"/>
                                      <a:pt x="225" y="212"/>
                                      <a:pt x="225" y="213"/>
                                    </a:cubicBezTo>
                                    <a:cubicBezTo>
                                      <a:pt x="225" y="217"/>
                                      <a:pt x="222" y="220"/>
                                      <a:pt x="218" y="220"/>
                                    </a:cubicBezTo>
                                    <a:cubicBezTo>
                                      <a:pt x="218" y="220"/>
                                      <a:pt x="218" y="220"/>
                                      <a:pt x="218" y="220"/>
                                    </a:cubicBezTo>
                                    <a:cubicBezTo>
                                      <a:pt x="203" y="220"/>
                                      <a:pt x="203" y="220"/>
                                      <a:pt x="203" y="220"/>
                                    </a:cubicBezTo>
                                    <a:cubicBezTo>
                                      <a:pt x="203" y="249"/>
                                      <a:pt x="203" y="249"/>
                                      <a:pt x="203" y="249"/>
                                    </a:cubicBezTo>
                                    <a:cubicBezTo>
                                      <a:pt x="203" y="253"/>
                                      <a:pt x="201" y="256"/>
                                      <a:pt x="198" y="257"/>
                                    </a:cubicBezTo>
                                    <a:cubicBezTo>
                                      <a:pt x="238" y="257"/>
                                      <a:pt x="238" y="257"/>
                                      <a:pt x="238" y="257"/>
                                    </a:cubicBezTo>
                                    <a:cubicBezTo>
                                      <a:pt x="243" y="257"/>
                                      <a:pt x="248" y="253"/>
                                      <a:pt x="248" y="247"/>
                                    </a:cubicBezTo>
                                    <a:cubicBezTo>
                                      <a:pt x="248" y="147"/>
                                      <a:pt x="248" y="147"/>
                                      <a:pt x="248" y="147"/>
                                    </a:cubicBezTo>
                                    <a:cubicBezTo>
                                      <a:pt x="279" y="147"/>
                                      <a:pt x="279" y="147"/>
                                      <a:pt x="279" y="147"/>
                                    </a:cubicBezTo>
                                    <a:cubicBezTo>
                                      <a:pt x="279" y="147"/>
                                      <a:pt x="279" y="147"/>
                                      <a:pt x="279" y="147"/>
                                    </a:cubicBezTo>
                                    <a:cubicBezTo>
                                      <a:pt x="282" y="147"/>
                                      <a:pt x="285" y="144"/>
                                      <a:pt x="285" y="140"/>
                                    </a:cubicBezTo>
                                    <a:cubicBezTo>
                                      <a:pt x="285" y="138"/>
                                      <a:pt x="284" y="135"/>
                                      <a:pt x="281" y="134"/>
                                    </a:cubicBezTo>
                                    <a:close/>
                                    <a:moveTo>
                                      <a:pt x="162" y="0"/>
                                    </a:moveTo>
                                    <a:cubicBezTo>
                                      <a:pt x="73" y="0"/>
                                      <a:pt x="0" y="72"/>
                                      <a:pt x="0" y="162"/>
                                    </a:cubicBezTo>
                                    <a:cubicBezTo>
                                      <a:pt x="0" y="251"/>
                                      <a:pt x="73" y="324"/>
                                      <a:pt x="162" y="324"/>
                                    </a:cubicBezTo>
                                    <a:cubicBezTo>
                                      <a:pt x="252" y="324"/>
                                      <a:pt x="324" y="251"/>
                                      <a:pt x="324" y="162"/>
                                    </a:cubicBezTo>
                                    <a:cubicBezTo>
                                      <a:pt x="324" y="72"/>
                                      <a:pt x="252" y="0"/>
                                      <a:pt x="162" y="0"/>
                                    </a:cubicBezTo>
                                    <a:close/>
                                    <a:moveTo>
                                      <a:pt x="162" y="13"/>
                                    </a:moveTo>
                                    <a:cubicBezTo>
                                      <a:pt x="244" y="13"/>
                                      <a:pt x="311" y="80"/>
                                      <a:pt x="311" y="162"/>
                                    </a:cubicBezTo>
                                    <a:cubicBezTo>
                                      <a:pt x="311" y="244"/>
                                      <a:pt x="244" y="311"/>
                                      <a:pt x="162" y="311"/>
                                    </a:cubicBezTo>
                                    <a:cubicBezTo>
                                      <a:pt x="80" y="311"/>
                                      <a:pt x="13" y="244"/>
                                      <a:pt x="13" y="162"/>
                                    </a:cubicBezTo>
                                    <a:cubicBezTo>
                                      <a:pt x="13" y="80"/>
                                      <a:pt x="80" y="13"/>
                                      <a:pt x="162" y="13"/>
                                    </a:cubicBezTo>
                                  </a:path>
                                </a:pathLst>
                              </a:custGeom>
                              <a:solidFill>
                                <a:schemeClr val="tx2"/>
                              </a:solidFill>
                              <a:ln w="9525">
                                <a:noFill/>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68A46B57" id="Freeform 32" o:spid="_x0000_s1026" alt="Title: Fixed line telephone services icon - Description: Fixed line telephone services icon &#10;" style="width:14.15pt;height:14.15pt;visibility:visible;mso-wrap-style:square;mso-left-percent:-10001;mso-top-percent:-10001;mso-position-horizontal:absolute;mso-position-horizontal-relative:char;mso-position-vertical:absolute;mso-position-vertical-relative:line;mso-left-percent:-10001;mso-top-percent:-10001;v-text-anchor:top" coordsize="32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" path="m194,161v-8,,-15,-6,-15,-15c179,138,186,131,194,131v9,,15,7,15,15c209,155,203,161,194,161xm125,161v-8,,-15,-6,-15,-15c110,138,117,131,125,131v9,,15,7,15,15c140,155,134,161,125,161xm281,134c166,59,166,59,166,59v-2,-1,-5,-1,-7,c116,87,116,87,116,87v,-23,,-23,,-23c116,61,113,58,109,58v-26,,-26,,-26,c80,58,77,61,77,64v,48,,48,,48c43,135,43,135,43,135v-3,2,-4,4,-3,7c41,145,43,147,46,147v31,,31,,31,c77,247,77,247,77,247v,6,4,10,10,10c121,257,121,257,121,257v-3,-1,-5,-4,-5,-8c116,220,116,220,116,220v-10,,-10,,-10,c102,220,100,217,100,213v,-38,,-38,,-38c100,172,102,169,106,169v38,,38,,38,c148,169,151,172,151,175v,38,,38,,38c151,217,148,220,144,220v-10,,-10,,-10,c134,249,134,249,134,249v,4,-2,7,-5,8c190,257,190,257,190,257v-3,-1,-5,-4,-5,-8c185,220,185,220,185,220v-15,,-15,,-15,c168,220,166,219,165,217v-2,-2,-2,-4,-1,-6c177,173,177,173,177,173v1,-2,3,-4,6,-4c205,169,205,169,205,169v3,,5,2,6,4c224,210,224,210,224,210v,1,1,2,1,3c225,217,222,220,218,220v,,,,,c203,220,203,220,203,220v,29,,29,,29c203,253,201,256,198,257v40,,40,,40,c243,257,248,253,248,247v,-100,,-100,,-100c279,147,279,147,279,147v,,,,,c282,147,285,144,285,140v,-2,-1,-5,-4,-6xm162,c73,,,72,,162v,89,73,162,162,162c252,324,324,251,324,162,324,72,252,,162,xm162,13v82,,149,67,149,149c311,244,244,311,162,311,80,311,13,244,13,162,13,80,80,13,162,13e" fillcolor="#a32020 [3215]" stroked="f">
                      <v:path arrowok="t" o:connecttype="custom" o:connectlocs="179,146;209,146;125,161;125,131;125,161;166,59;116,87;109,58;77,64;43,135;46,147;77,247;121,257;116,220;100,213;106,169;151,175;144,220;134,249;190,257;185,220;165,217;177,173;205,169;224,210;218,220;203,220;198,257;248,247;279,147;285,140;162,0;162,324;162,0;311,162;13,162" o:connectangles="0,0,0,0,0,0,0,0,0,0,0,0,0,0,0,0,0,0,0,0,0,0,0,0,0,0,0,0,0,0,0,0,0,0,0,0"/>
                      <o:lock v:ext="edit" verticies="t"/>
                      <w10:anchorlock/>
                    </v:shape>
                  </w:pict>
                </mc:Fallback>
              </mc:AlternateContent>
            </w:r>
          </w:p>
        </w:tc>
        <w:tc>
          <w:tcPr>
            <w:tcW w:w="680" w:type="dxa"/>
            <w:hideMark/>
          </w:tcPr>
          <w:p w14:paraId="6CB57325" w14:textId="77777777" w:rsidR="00785790" w:rsidRPr="00582FBF" w:rsidRDefault="00785790" w:rsidP="00785790">
            <w:pPr>
              <w:pStyle w:val="TableTextNormal"/>
              <w:jc w:val="center"/>
              <w:rPr>
                <w:lang w:val="en-US"/>
              </w:rPr>
            </w:pPr>
          </w:p>
        </w:tc>
        <w:tc>
          <w:tcPr>
            <w:tcW w:w="680" w:type="dxa"/>
            <w:hideMark/>
          </w:tcPr>
          <w:p w14:paraId="080F43F6" w14:textId="4FC7ED8B" w:rsidR="00785790" w:rsidRPr="00582FBF" w:rsidRDefault="00785790" w:rsidP="00785790">
            <w:pPr>
              <w:pStyle w:val="TableTextNormal"/>
              <w:jc w:val="center"/>
              <w:rPr>
                <w:lang w:val="en-US"/>
              </w:rPr>
            </w:pPr>
            <w:r w:rsidRPr="00785790">
              <w:rPr>
                <w:noProof/>
                <w:lang w:eastAsia="en-AU"/>
              </w:rPr>
              <mc:AlternateContent>
                <mc:Choice Requires="wps">
                  <w:drawing>
                    <wp:inline distT="0" distB="0" distL="0" distR="0" wp14:anchorId="43F0C11E" wp14:editId="062D6AA7">
                      <wp:extent cx="180000" cy="180000"/>
                      <wp:effectExtent l="0" t="0" r="0" b="0"/>
                      <wp:docPr id="3" name="Freeform 32" descr="Fixed line telephone services icon &#10;" title="Fixed line telephone services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80000" cy="180000"/>
                              </a:xfrm>
                              <a:custGeom>
                                <a:avLst/>
                                <a:gdLst/>
                                <a:ahLst/>
                                <a:cxnLst>
                                  <a:cxn ang="0">
                                    <a:pos x="179" y="146"/>
                                  </a:cxn>
                                  <a:cxn ang="0">
                                    <a:pos x="209" y="146"/>
                                  </a:cxn>
                                  <a:cxn ang="0">
                                    <a:pos x="125" y="161"/>
                                  </a:cxn>
                                  <a:cxn ang="0">
                                    <a:pos x="125" y="131"/>
                                  </a:cxn>
                                  <a:cxn ang="0">
                                    <a:pos x="125" y="161"/>
                                  </a:cxn>
                                  <a:cxn ang="0">
                                    <a:pos x="166" y="59"/>
                                  </a:cxn>
                                  <a:cxn ang="0">
                                    <a:pos x="116" y="87"/>
                                  </a:cxn>
                                  <a:cxn ang="0">
                                    <a:pos x="109" y="58"/>
                                  </a:cxn>
                                  <a:cxn ang="0">
                                    <a:pos x="77" y="64"/>
                                  </a:cxn>
                                  <a:cxn ang="0">
                                    <a:pos x="43" y="135"/>
                                  </a:cxn>
                                  <a:cxn ang="0">
                                    <a:pos x="46" y="147"/>
                                  </a:cxn>
                                  <a:cxn ang="0">
                                    <a:pos x="77" y="247"/>
                                  </a:cxn>
                                  <a:cxn ang="0">
                                    <a:pos x="121" y="257"/>
                                  </a:cxn>
                                  <a:cxn ang="0">
                                    <a:pos x="116" y="220"/>
                                  </a:cxn>
                                  <a:cxn ang="0">
                                    <a:pos x="100" y="213"/>
                                  </a:cxn>
                                  <a:cxn ang="0">
                                    <a:pos x="106" y="169"/>
                                  </a:cxn>
                                  <a:cxn ang="0">
                                    <a:pos x="151" y="175"/>
                                  </a:cxn>
                                  <a:cxn ang="0">
                                    <a:pos x="144" y="220"/>
                                  </a:cxn>
                                  <a:cxn ang="0">
                                    <a:pos x="134" y="249"/>
                                  </a:cxn>
                                  <a:cxn ang="0">
                                    <a:pos x="190" y="257"/>
                                  </a:cxn>
                                  <a:cxn ang="0">
                                    <a:pos x="185" y="220"/>
                                  </a:cxn>
                                  <a:cxn ang="0">
                                    <a:pos x="165" y="217"/>
                                  </a:cxn>
                                  <a:cxn ang="0">
                                    <a:pos x="177" y="173"/>
                                  </a:cxn>
                                  <a:cxn ang="0">
                                    <a:pos x="205" y="169"/>
                                  </a:cxn>
                                  <a:cxn ang="0">
                                    <a:pos x="224" y="210"/>
                                  </a:cxn>
                                  <a:cxn ang="0">
                                    <a:pos x="218" y="220"/>
                                  </a:cxn>
                                  <a:cxn ang="0">
                                    <a:pos x="203" y="220"/>
                                  </a:cxn>
                                  <a:cxn ang="0">
                                    <a:pos x="198" y="257"/>
                                  </a:cxn>
                                  <a:cxn ang="0">
                                    <a:pos x="248" y="247"/>
                                  </a:cxn>
                                  <a:cxn ang="0">
                                    <a:pos x="279" y="147"/>
                                  </a:cxn>
                                  <a:cxn ang="0">
                                    <a:pos x="285" y="140"/>
                                  </a:cxn>
                                  <a:cxn ang="0">
                                    <a:pos x="162" y="0"/>
                                  </a:cxn>
                                  <a:cxn ang="0">
                                    <a:pos x="162" y="324"/>
                                  </a:cxn>
                                  <a:cxn ang="0">
                                    <a:pos x="162" y="0"/>
                                  </a:cxn>
                                  <a:cxn ang="0">
                                    <a:pos x="311" y="162"/>
                                  </a:cxn>
                                  <a:cxn ang="0">
                                    <a:pos x="13" y="162"/>
                                  </a:cxn>
                                </a:cxnLst>
                                <a:rect l="0" t="0" r="r" b="b"/>
                                <a:pathLst>
                                  <a:path w="324" h="324">
                                    <a:moveTo>
                                      <a:pt x="194" y="161"/>
                                    </a:moveTo>
                                    <a:cubicBezTo>
                                      <a:pt x="186" y="161"/>
                                      <a:pt x="179" y="155"/>
                                      <a:pt x="179" y="146"/>
                                    </a:cubicBezTo>
                                    <a:cubicBezTo>
                                      <a:pt x="179" y="138"/>
                                      <a:pt x="186" y="131"/>
                                      <a:pt x="194" y="131"/>
                                    </a:cubicBezTo>
                                    <a:cubicBezTo>
                                      <a:pt x="203" y="131"/>
                                      <a:pt x="209" y="138"/>
                                      <a:pt x="209" y="146"/>
                                    </a:cubicBezTo>
                                    <a:cubicBezTo>
                                      <a:pt x="209" y="155"/>
                                      <a:pt x="203" y="161"/>
                                      <a:pt x="194" y="161"/>
                                    </a:cubicBezTo>
                                    <a:close/>
                                    <a:moveTo>
                                      <a:pt x="125" y="161"/>
                                    </a:moveTo>
                                    <a:cubicBezTo>
                                      <a:pt x="117" y="161"/>
                                      <a:pt x="110" y="155"/>
                                      <a:pt x="110" y="146"/>
                                    </a:cubicBezTo>
                                    <a:cubicBezTo>
                                      <a:pt x="110" y="138"/>
                                      <a:pt x="117" y="131"/>
                                      <a:pt x="125" y="131"/>
                                    </a:cubicBezTo>
                                    <a:cubicBezTo>
                                      <a:pt x="134" y="131"/>
                                      <a:pt x="140" y="138"/>
                                      <a:pt x="140" y="146"/>
                                    </a:cubicBezTo>
                                    <a:cubicBezTo>
                                      <a:pt x="140" y="155"/>
                                      <a:pt x="134" y="161"/>
                                      <a:pt x="125" y="161"/>
                                    </a:cubicBezTo>
                                    <a:close/>
                                    <a:moveTo>
                                      <a:pt x="281" y="134"/>
                                    </a:moveTo>
                                    <a:cubicBezTo>
                                      <a:pt x="166" y="59"/>
                                      <a:pt x="166" y="59"/>
                                      <a:pt x="166" y="59"/>
                                    </a:cubicBezTo>
                                    <a:cubicBezTo>
                                      <a:pt x="164" y="58"/>
                                      <a:pt x="161" y="58"/>
                                      <a:pt x="159" y="59"/>
                                    </a:cubicBezTo>
                                    <a:cubicBezTo>
                                      <a:pt x="116" y="87"/>
                                      <a:pt x="116" y="87"/>
                                      <a:pt x="116" y="87"/>
                                    </a:cubicBezTo>
                                    <a:cubicBezTo>
                                      <a:pt x="116" y="64"/>
                                      <a:pt x="116" y="64"/>
                                      <a:pt x="116" y="64"/>
                                    </a:cubicBezTo>
                                    <a:cubicBezTo>
                                      <a:pt x="116" y="61"/>
                                      <a:pt x="113" y="58"/>
                                      <a:pt x="109" y="58"/>
                                    </a:cubicBezTo>
                                    <a:cubicBezTo>
                                      <a:pt x="83" y="58"/>
                                      <a:pt x="83" y="58"/>
                                      <a:pt x="83" y="58"/>
                                    </a:cubicBezTo>
                                    <a:cubicBezTo>
                                      <a:pt x="80" y="58"/>
                                      <a:pt x="77" y="61"/>
                                      <a:pt x="77" y="64"/>
                                    </a:cubicBezTo>
                                    <a:cubicBezTo>
                                      <a:pt x="77" y="112"/>
                                      <a:pt x="77" y="112"/>
                                      <a:pt x="77" y="112"/>
                                    </a:cubicBezTo>
                                    <a:cubicBezTo>
                                      <a:pt x="43" y="135"/>
                                      <a:pt x="43" y="135"/>
                                      <a:pt x="43" y="135"/>
                                    </a:cubicBezTo>
                                    <a:cubicBezTo>
                                      <a:pt x="40" y="137"/>
                                      <a:pt x="39" y="139"/>
                                      <a:pt x="40" y="142"/>
                                    </a:cubicBezTo>
                                    <a:cubicBezTo>
                                      <a:pt x="41" y="145"/>
                                      <a:pt x="43" y="147"/>
                                      <a:pt x="46" y="147"/>
                                    </a:cubicBezTo>
                                    <a:cubicBezTo>
                                      <a:pt x="77" y="147"/>
                                      <a:pt x="77" y="147"/>
                                      <a:pt x="77" y="147"/>
                                    </a:cubicBezTo>
                                    <a:cubicBezTo>
                                      <a:pt x="77" y="247"/>
                                      <a:pt x="77" y="247"/>
                                      <a:pt x="77" y="247"/>
                                    </a:cubicBezTo>
                                    <a:cubicBezTo>
                                      <a:pt x="77" y="253"/>
                                      <a:pt x="81" y="257"/>
                                      <a:pt x="87" y="257"/>
                                    </a:cubicBezTo>
                                    <a:cubicBezTo>
                                      <a:pt x="121" y="257"/>
                                      <a:pt x="121" y="257"/>
                                      <a:pt x="121" y="257"/>
                                    </a:cubicBezTo>
                                    <a:cubicBezTo>
                                      <a:pt x="118" y="256"/>
                                      <a:pt x="116" y="253"/>
                                      <a:pt x="116" y="249"/>
                                    </a:cubicBezTo>
                                    <a:cubicBezTo>
                                      <a:pt x="116" y="220"/>
                                      <a:pt x="116" y="220"/>
                                      <a:pt x="116" y="220"/>
                                    </a:cubicBezTo>
                                    <a:cubicBezTo>
                                      <a:pt x="106" y="220"/>
                                      <a:pt x="106" y="220"/>
                                      <a:pt x="106" y="220"/>
                                    </a:cubicBezTo>
                                    <a:cubicBezTo>
                                      <a:pt x="102" y="220"/>
                                      <a:pt x="100" y="217"/>
                                      <a:pt x="100" y="213"/>
                                    </a:cubicBezTo>
                                    <a:cubicBezTo>
                                      <a:pt x="100" y="175"/>
                                      <a:pt x="100" y="175"/>
                                      <a:pt x="100" y="175"/>
                                    </a:cubicBezTo>
                                    <a:cubicBezTo>
                                      <a:pt x="100" y="172"/>
                                      <a:pt x="102" y="169"/>
                                      <a:pt x="106" y="169"/>
                                    </a:cubicBezTo>
                                    <a:cubicBezTo>
                                      <a:pt x="144" y="169"/>
                                      <a:pt x="144" y="169"/>
                                      <a:pt x="144" y="169"/>
                                    </a:cubicBezTo>
                                    <a:cubicBezTo>
                                      <a:pt x="148" y="169"/>
                                      <a:pt x="151" y="172"/>
                                      <a:pt x="151" y="175"/>
                                    </a:cubicBezTo>
                                    <a:cubicBezTo>
                                      <a:pt x="151" y="213"/>
                                      <a:pt x="151" y="213"/>
                                      <a:pt x="151" y="213"/>
                                    </a:cubicBezTo>
                                    <a:cubicBezTo>
                                      <a:pt x="151" y="217"/>
                                      <a:pt x="148" y="220"/>
                                      <a:pt x="144" y="220"/>
                                    </a:cubicBezTo>
                                    <a:cubicBezTo>
                                      <a:pt x="134" y="220"/>
                                      <a:pt x="134" y="220"/>
                                      <a:pt x="134" y="220"/>
                                    </a:cubicBezTo>
                                    <a:cubicBezTo>
                                      <a:pt x="134" y="249"/>
                                      <a:pt x="134" y="249"/>
                                      <a:pt x="134" y="249"/>
                                    </a:cubicBezTo>
                                    <a:cubicBezTo>
                                      <a:pt x="134" y="253"/>
                                      <a:pt x="132" y="256"/>
                                      <a:pt x="129" y="257"/>
                                    </a:cubicBezTo>
                                    <a:cubicBezTo>
                                      <a:pt x="190" y="257"/>
                                      <a:pt x="190" y="257"/>
                                      <a:pt x="190" y="257"/>
                                    </a:cubicBezTo>
                                    <a:cubicBezTo>
                                      <a:pt x="187" y="256"/>
                                      <a:pt x="185" y="253"/>
                                      <a:pt x="185" y="249"/>
                                    </a:cubicBezTo>
                                    <a:cubicBezTo>
                                      <a:pt x="185" y="220"/>
                                      <a:pt x="185" y="220"/>
                                      <a:pt x="185" y="220"/>
                                    </a:cubicBezTo>
                                    <a:cubicBezTo>
                                      <a:pt x="170" y="220"/>
                                      <a:pt x="170" y="220"/>
                                      <a:pt x="170" y="220"/>
                                    </a:cubicBezTo>
                                    <a:cubicBezTo>
                                      <a:pt x="168" y="220"/>
                                      <a:pt x="166" y="219"/>
                                      <a:pt x="165" y="217"/>
                                    </a:cubicBezTo>
                                    <a:cubicBezTo>
                                      <a:pt x="163" y="215"/>
                                      <a:pt x="163" y="213"/>
                                      <a:pt x="164" y="211"/>
                                    </a:cubicBezTo>
                                    <a:cubicBezTo>
                                      <a:pt x="177" y="173"/>
                                      <a:pt x="177" y="173"/>
                                      <a:pt x="177" y="173"/>
                                    </a:cubicBezTo>
                                    <a:cubicBezTo>
                                      <a:pt x="178" y="171"/>
                                      <a:pt x="180" y="169"/>
                                      <a:pt x="183" y="169"/>
                                    </a:cubicBezTo>
                                    <a:cubicBezTo>
                                      <a:pt x="205" y="169"/>
                                      <a:pt x="205" y="169"/>
                                      <a:pt x="205" y="169"/>
                                    </a:cubicBezTo>
                                    <a:cubicBezTo>
                                      <a:pt x="208" y="169"/>
                                      <a:pt x="210" y="171"/>
                                      <a:pt x="211" y="173"/>
                                    </a:cubicBezTo>
                                    <a:cubicBezTo>
                                      <a:pt x="224" y="210"/>
                                      <a:pt x="224" y="210"/>
                                      <a:pt x="224" y="210"/>
                                    </a:cubicBezTo>
                                    <a:cubicBezTo>
                                      <a:pt x="224" y="211"/>
                                      <a:pt x="225" y="212"/>
                                      <a:pt x="225" y="213"/>
                                    </a:cubicBezTo>
                                    <a:cubicBezTo>
                                      <a:pt x="225" y="217"/>
                                      <a:pt x="222" y="220"/>
                                      <a:pt x="218" y="220"/>
                                    </a:cubicBezTo>
                                    <a:cubicBezTo>
                                      <a:pt x="218" y="220"/>
                                      <a:pt x="218" y="220"/>
                                      <a:pt x="218" y="220"/>
                                    </a:cubicBezTo>
                                    <a:cubicBezTo>
                                      <a:pt x="203" y="220"/>
                                      <a:pt x="203" y="220"/>
                                      <a:pt x="203" y="220"/>
                                    </a:cubicBezTo>
                                    <a:cubicBezTo>
                                      <a:pt x="203" y="249"/>
                                      <a:pt x="203" y="249"/>
                                      <a:pt x="203" y="249"/>
                                    </a:cubicBezTo>
                                    <a:cubicBezTo>
                                      <a:pt x="203" y="253"/>
                                      <a:pt x="201" y="256"/>
                                      <a:pt x="198" y="257"/>
                                    </a:cubicBezTo>
                                    <a:cubicBezTo>
                                      <a:pt x="238" y="257"/>
                                      <a:pt x="238" y="257"/>
                                      <a:pt x="238" y="257"/>
                                    </a:cubicBezTo>
                                    <a:cubicBezTo>
                                      <a:pt x="243" y="257"/>
                                      <a:pt x="248" y="253"/>
                                      <a:pt x="248" y="247"/>
                                    </a:cubicBezTo>
                                    <a:cubicBezTo>
                                      <a:pt x="248" y="147"/>
                                      <a:pt x="248" y="147"/>
                                      <a:pt x="248" y="147"/>
                                    </a:cubicBezTo>
                                    <a:cubicBezTo>
                                      <a:pt x="279" y="147"/>
                                      <a:pt x="279" y="147"/>
                                      <a:pt x="279" y="147"/>
                                    </a:cubicBezTo>
                                    <a:cubicBezTo>
                                      <a:pt x="279" y="147"/>
                                      <a:pt x="279" y="147"/>
                                      <a:pt x="279" y="147"/>
                                    </a:cubicBezTo>
                                    <a:cubicBezTo>
                                      <a:pt x="282" y="147"/>
                                      <a:pt x="285" y="144"/>
                                      <a:pt x="285" y="140"/>
                                    </a:cubicBezTo>
                                    <a:cubicBezTo>
                                      <a:pt x="285" y="138"/>
                                      <a:pt x="284" y="135"/>
                                      <a:pt x="281" y="134"/>
                                    </a:cubicBezTo>
                                    <a:close/>
                                    <a:moveTo>
                                      <a:pt x="162" y="0"/>
                                    </a:moveTo>
                                    <a:cubicBezTo>
                                      <a:pt x="73" y="0"/>
                                      <a:pt x="0" y="72"/>
                                      <a:pt x="0" y="162"/>
                                    </a:cubicBezTo>
                                    <a:cubicBezTo>
                                      <a:pt x="0" y="251"/>
                                      <a:pt x="73" y="324"/>
                                      <a:pt x="162" y="324"/>
                                    </a:cubicBezTo>
                                    <a:cubicBezTo>
                                      <a:pt x="252" y="324"/>
                                      <a:pt x="324" y="251"/>
                                      <a:pt x="324" y="162"/>
                                    </a:cubicBezTo>
                                    <a:cubicBezTo>
                                      <a:pt x="324" y="72"/>
                                      <a:pt x="252" y="0"/>
                                      <a:pt x="162" y="0"/>
                                    </a:cubicBezTo>
                                    <a:close/>
                                    <a:moveTo>
                                      <a:pt x="162" y="13"/>
                                    </a:moveTo>
                                    <a:cubicBezTo>
                                      <a:pt x="244" y="13"/>
                                      <a:pt x="311" y="80"/>
                                      <a:pt x="311" y="162"/>
                                    </a:cubicBezTo>
                                    <a:cubicBezTo>
                                      <a:pt x="311" y="244"/>
                                      <a:pt x="244" y="311"/>
                                      <a:pt x="162" y="311"/>
                                    </a:cubicBezTo>
                                    <a:cubicBezTo>
                                      <a:pt x="80" y="311"/>
                                      <a:pt x="13" y="244"/>
                                      <a:pt x="13" y="162"/>
                                    </a:cubicBezTo>
                                    <a:cubicBezTo>
                                      <a:pt x="13" y="80"/>
                                      <a:pt x="80" y="13"/>
                                      <a:pt x="162" y="13"/>
                                    </a:cubicBezTo>
                                  </a:path>
                                </a:pathLst>
                              </a:custGeom>
                              <a:solidFill>
                                <a:schemeClr val="tx2"/>
                              </a:solidFill>
                              <a:ln w="9525">
                                <a:noFill/>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06AD8959" id="Freeform 32" o:spid="_x0000_s1026" alt="Title: Fixed line telephone services icon - Description: Fixed line telephone services icon &#10;" style="width:14.15pt;height:14.15pt;visibility:visible;mso-wrap-style:square;mso-left-percent:-10001;mso-top-percent:-10001;mso-position-horizontal:absolute;mso-position-horizontal-relative:char;mso-position-vertical:absolute;mso-position-vertical-relative:line;mso-left-percent:-10001;mso-top-percent:-10001;v-text-anchor:top" coordsize="32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" path="m194,161v-8,,-15,-6,-15,-15c179,138,186,131,194,131v9,,15,7,15,15c209,155,203,161,194,161xm125,161v-8,,-15,-6,-15,-15c110,138,117,131,125,131v9,,15,7,15,15c140,155,134,161,125,161xm281,134c166,59,166,59,166,59v-2,-1,-5,-1,-7,c116,87,116,87,116,87v,-23,,-23,,-23c116,61,113,58,109,58v-26,,-26,,-26,c80,58,77,61,77,64v,48,,48,,48c43,135,43,135,43,135v-3,2,-4,4,-3,7c41,145,43,147,46,147v31,,31,,31,c77,247,77,247,77,247v,6,4,10,10,10c121,257,121,257,121,257v-3,-1,-5,-4,-5,-8c116,220,116,220,116,220v-10,,-10,,-10,c102,220,100,217,100,213v,-38,,-38,,-38c100,172,102,169,106,169v38,,38,,38,c148,169,151,172,151,175v,38,,38,,38c151,217,148,220,144,220v-10,,-10,,-10,c134,249,134,249,134,249v,4,-2,7,-5,8c190,257,190,257,190,257v-3,-1,-5,-4,-5,-8c185,220,185,220,185,220v-15,,-15,,-15,c168,220,166,219,165,217v-2,-2,-2,-4,-1,-6c177,173,177,173,177,173v1,-2,3,-4,6,-4c205,169,205,169,205,169v3,,5,2,6,4c224,210,224,210,224,210v,1,1,2,1,3c225,217,222,220,218,220v,,,,,c203,220,203,220,203,220v,29,,29,,29c203,253,201,256,198,257v40,,40,,40,c243,257,248,253,248,247v,-100,,-100,,-100c279,147,279,147,279,147v,,,,,c282,147,285,144,285,140v,-2,-1,-5,-4,-6xm162,c73,,,72,,162v,89,73,162,162,162c252,324,324,251,324,162,324,72,252,,162,xm162,13v82,,149,67,149,149c311,244,244,311,162,311,80,311,13,244,13,162,13,80,80,13,162,13e" fillcolor="#a32020 [3215]" stroked="f">
                      <v:path arrowok="t" o:connecttype="custom" o:connectlocs="179,146;209,146;125,161;125,131;125,161;166,59;116,87;109,58;77,64;43,135;46,147;77,247;121,257;116,220;100,213;106,169;151,175;144,220;134,249;190,257;185,220;165,217;177,173;205,169;224,210;218,220;203,220;198,257;248,247;279,147;285,140;162,0;162,324;162,0;311,162;13,162" o:connectangles="0,0,0,0,0,0,0,0,0,0,0,0,0,0,0,0,0,0,0,0,0,0,0,0,0,0,0,0,0,0,0,0,0,0,0,0"/>
                      <o:lock v:ext="edit" verticies="t"/>
                      <w10:anchorlock/>
                    </v:shape>
                  </w:pict>
                </mc:Fallback>
              </mc:AlternateContent>
            </w:r>
          </w:p>
        </w:tc>
        <w:tc>
          <w:tcPr>
            <w:tcW w:w="680" w:type="dxa"/>
            <w:hideMark/>
          </w:tcPr>
          <w:p w14:paraId="4CAEEF09" w14:textId="2830B7C7" w:rsidR="00785790" w:rsidRPr="00582FBF" w:rsidRDefault="00785790" w:rsidP="00785790">
            <w:pPr>
              <w:pStyle w:val="TableTextNormal"/>
              <w:jc w:val="center"/>
              <w:rPr>
                <w:lang w:val="en-US"/>
              </w:rPr>
            </w:pPr>
            <w:r w:rsidRPr="000C5FAD">
              <w:rPr>
                <w:noProof/>
                <w:lang w:eastAsia="en-AU"/>
              </w:rPr>
              <mc:AlternateContent>
                <mc:Choice Requires="wps">
                  <w:drawing>
                    <wp:inline distT="0" distB="0" distL="0" distR="0" wp14:anchorId="70071B11" wp14:editId="5BA649D8">
                      <wp:extent cx="180000" cy="180000"/>
                      <wp:effectExtent l="0" t="0" r="0" b="0"/>
                      <wp:docPr id="4" name="Freeform 32" descr="Fixed line telephone services icon &#10;" title="Fixed line telephone services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80000" cy="180000"/>
                              </a:xfrm>
                              <a:custGeom>
                                <a:avLst/>
                                <a:gdLst/>
                                <a:ahLst/>
                                <a:cxnLst>
                                  <a:cxn ang="0">
                                    <a:pos x="179" y="146"/>
                                  </a:cxn>
                                  <a:cxn ang="0">
                                    <a:pos x="209" y="146"/>
                                  </a:cxn>
                                  <a:cxn ang="0">
                                    <a:pos x="125" y="161"/>
                                  </a:cxn>
                                  <a:cxn ang="0">
                                    <a:pos x="125" y="131"/>
                                  </a:cxn>
                                  <a:cxn ang="0">
                                    <a:pos x="125" y="161"/>
                                  </a:cxn>
                                  <a:cxn ang="0">
                                    <a:pos x="166" y="59"/>
                                  </a:cxn>
                                  <a:cxn ang="0">
                                    <a:pos x="116" y="87"/>
                                  </a:cxn>
                                  <a:cxn ang="0">
                                    <a:pos x="109" y="58"/>
                                  </a:cxn>
                                  <a:cxn ang="0">
                                    <a:pos x="77" y="64"/>
                                  </a:cxn>
                                  <a:cxn ang="0">
                                    <a:pos x="43" y="135"/>
                                  </a:cxn>
                                  <a:cxn ang="0">
                                    <a:pos x="46" y="147"/>
                                  </a:cxn>
                                  <a:cxn ang="0">
                                    <a:pos x="77" y="247"/>
                                  </a:cxn>
                                  <a:cxn ang="0">
                                    <a:pos x="121" y="257"/>
                                  </a:cxn>
                                  <a:cxn ang="0">
                                    <a:pos x="116" y="220"/>
                                  </a:cxn>
                                  <a:cxn ang="0">
                                    <a:pos x="100" y="213"/>
                                  </a:cxn>
                                  <a:cxn ang="0">
                                    <a:pos x="106" y="169"/>
                                  </a:cxn>
                                  <a:cxn ang="0">
                                    <a:pos x="151" y="175"/>
                                  </a:cxn>
                                  <a:cxn ang="0">
                                    <a:pos x="144" y="220"/>
                                  </a:cxn>
                                  <a:cxn ang="0">
                                    <a:pos x="134" y="249"/>
                                  </a:cxn>
                                  <a:cxn ang="0">
                                    <a:pos x="190" y="257"/>
                                  </a:cxn>
                                  <a:cxn ang="0">
                                    <a:pos x="185" y="220"/>
                                  </a:cxn>
                                  <a:cxn ang="0">
                                    <a:pos x="165" y="217"/>
                                  </a:cxn>
                                  <a:cxn ang="0">
                                    <a:pos x="177" y="173"/>
                                  </a:cxn>
                                  <a:cxn ang="0">
                                    <a:pos x="205" y="169"/>
                                  </a:cxn>
                                  <a:cxn ang="0">
                                    <a:pos x="224" y="210"/>
                                  </a:cxn>
                                  <a:cxn ang="0">
                                    <a:pos x="218" y="220"/>
                                  </a:cxn>
                                  <a:cxn ang="0">
                                    <a:pos x="203" y="220"/>
                                  </a:cxn>
                                  <a:cxn ang="0">
                                    <a:pos x="198" y="257"/>
                                  </a:cxn>
                                  <a:cxn ang="0">
                                    <a:pos x="248" y="247"/>
                                  </a:cxn>
                                  <a:cxn ang="0">
                                    <a:pos x="279" y="147"/>
                                  </a:cxn>
                                  <a:cxn ang="0">
                                    <a:pos x="285" y="140"/>
                                  </a:cxn>
                                  <a:cxn ang="0">
                                    <a:pos x="162" y="0"/>
                                  </a:cxn>
                                  <a:cxn ang="0">
                                    <a:pos x="162" y="324"/>
                                  </a:cxn>
                                  <a:cxn ang="0">
                                    <a:pos x="162" y="0"/>
                                  </a:cxn>
                                  <a:cxn ang="0">
                                    <a:pos x="311" y="162"/>
                                  </a:cxn>
                                  <a:cxn ang="0">
                                    <a:pos x="13" y="162"/>
                                  </a:cxn>
                                </a:cxnLst>
                                <a:rect l="0" t="0" r="r" b="b"/>
                                <a:pathLst>
                                  <a:path w="324" h="324">
                                    <a:moveTo>
                                      <a:pt x="194" y="161"/>
                                    </a:moveTo>
                                    <a:cubicBezTo>
                                      <a:pt x="186" y="161"/>
                                      <a:pt x="179" y="155"/>
                                      <a:pt x="179" y="146"/>
                                    </a:cubicBezTo>
                                    <a:cubicBezTo>
                                      <a:pt x="179" y="138"/>
                                      <a:pt x="186" y="131"/>
                                      <a:pt x="194" y="131"/>
                                    </a:cubicBezTo>
                                    <a:cubicBezTo>
                                      <a:pt x="203" y="131"/>
                                      <a:pt x="209" y="138"/>
                                      <a:pt x="209" y="146"/>
                                    </a:cubicBezTo>
                                    <a:cubicBezTo>
                                      <a:pt x="209" y="155"/>
                                      <a:pt x="203" y="161"/>
                                      <a:pt x="194" y="161"/>
                                    </a:cubicBezTo>
                                    <a:close/>
                                    <a:moveTo>
                                      <a:pt x="125" y="161"/>
                                    </a:moveTo>
                                    <a:cubicBezTo>
                                      <a:pt x="117" y="161"/>
                                      <a:pt x="110" y="155"/>
                                      <a:pt x="110" y="146"/>
                                    </a:cubicBezTo>
                                    <a:cubicBezTo>
                                      <a:pt x="110" y="138"/>
                                      <a:pt x="117" y="131"/>
                                      <a:pt x="125" y="131"/>
                                    </a:cubicBezTo>
                                    <a:cubicBezTo>
                                      <a:pt x="134" y="131"/>
                                      <a:pt x="140" y="138"/>
                                      <a:pt x="140" y="146"/>
                                    </a:cubicBezTo>
                                    <a:cubicBezTo>
                                      <a:pt x="140" y="155"/>
                                      <a:pt x="134" y="161"/>
                                      <a:pt x="125" y="161"/>
                                    </a:cubicBezTo>
                                    <a:close/>
                                    <a:moveTo>
                                      <a:pt x="281" y="134"/>
                                    </a:moveTo>
                                    <a:cubicBezTo>
                                      <a:pt x="166" y="59"/>
                                      <a:pt x="166" y="59"/>
                                      <a:pt x="166" y="59"/>
                                    </a:cubicBezTo>
                                    <a:cubicBezTo>
                                      <a:pt x="164" y="58"/>
                                      <a:pt x="161" y="58"/>
                                      <a:pt x="159" y="59"/>
                                    </a:cubicBezTo>
                                    <a:cubicBezTo>
                                      <a:pt x="116" y="87"/>
                                      <a:pt x="116" y="87"/>
                                      <a:pt x="116" y="87"/>
                                    </a:cubicBezTo>
                                    <a:cubicBezTo>
                                      <a:pt x="116" y="64"/>
                                      <a:pt x="116" y="64"/>
                                      <a:pt x="116" y="64"/>
                                    </a:cubicBezTo>
                                    <a:cubicBezTo>
                                      <a:pt x="116" y="61"/>
                                      <a:pt x="113" y="58"/>
                                      <a:pt x="109" y="58"/>
                                    </a:cubicBezTo>
                                    <a:cubicBezTo>
                                      <a:pt x="83" y="58"/>
                                      <a:pt x="83" y="58"/>
                                      <a:pt x="83" y="58"/>
                                    </a:cubicBezTo>
                                    <a:cubicBezTo>
                                      <a:pt x="80" y="58"/>
                                      <a:pt x="77" y="61"/>
                                      <a:pt x="77" y="64"/>
                                    </a:cubicBezTo>
                                    <a:cubicBezTo>
                                      <a:pt x="77" y="112"/>
                                      <a:pt x="77" y="112"/>
                                      <a:pt x="77" y="112"/>
                                    </a:cubicBezTo>
                                    <a:cubicBezTo>
                                      <a:pt x="43" y="135"/>
                                      <a:pt x="43" y="135"/>
                                      <a:pt x="43" y="135"/>
                                    </a:cubicBezTo>
                                    <a:cubicBezTo>
                                      <a:pt x="40" y="137"/>
                                      <a:pt x="39" y="139"/>
                                      <a:pt x="40" y="142"/>
                                    </a:cubicBezTo>
                                    <a:cubicBezTo>
                                      <a:pt x="41" y="145"/>
                                      <a:pt x="43" y="147"/>
                                      <a:pt x="46" y="147"/>
                                    </a:cubicBezTo>
                                    <a:cubicBezTo>
                                      <a:pt x="77" y="147"/>
                                      <a:pt x="77" y="147"/>
                                      <a:pt x="77" y="147"/>
                                    </a:cubicBezTo>
                                    <a:cubicBezTo>
                                      <a:pt x="77" y="247"/>
                                      <a:pt x="77" y="247"/>
                                      <a:pt x="77" y="247"/>
                                    </a:cubicBezTo>
                                    <a:cubicBezTo>
                                      <a:pt x="77" y="253"/>
                                      <a:pt x="81" y="257"/>
                                      <a:pt x="87" y="257"/>
                                    </a:cubicBezTo>
                                    <a:cubicBezTo>
                                      <a:pt x="121" y="257"/>
                                      <a:pt x="121" y="257"/>
                                      <a:pt x="121" y="257"/>
                                    </a:cubicBezTo>
                                    <a:cubicBezTo>
                                      <a:pt x="118" y="256"/>
                                      <a:pt x="116" y="253"/>
                                      <a:pt x="116" y="249"/>
                                    </a:cubicBezTo>
                                    <a:cubicBezTo>
                                      <a:pt x="116" y="220"/>
                                      <a:pt x="116" y="220"/>
                                      <a:pt x="116" y="220"/>
                                    </a:cubicBezTo>
                                    <a:cubicBezTo>
                                      <a:pt x="106" y="220"/>
                                      <a:pt x="106" y="220"/>
                                      <a:pt x="106" y="220"/>
                                    </a:cubicBezTo>
                                    <a:cubicBezTo>
                                      <a:pt x="102" y="220"/>
                                      <a:pt x="100" y="217"/>
                                      <a:pt x="100" y="213"/>
                                    </a:cubicBezTo>
                                    <a:cubicBezTo>
                                      <a:pt x="100" y="175"/>
                                      <a:pt x="100" y="175"/>
                                      <a:pt x="100" y="175"/>
                                    </a:cubicBezTo>
                                    <a:cubicBezTo>
                                      <a:pt x="100" y="172"/>
                                      <a:pt x="102" y="169"/>
                                      <a:pt x="106" y="169"/>
                                    </a:cubicBezTo>
                                    <a:cubicBezTo>
                                      <a:pt x="144" y="169"/>
                                      <a:pt x="144" y="169"/>
                                      <a:pt x="144" y="169"/>
                                    </a:cubicBezTo>
                                    <a:cubicBezTo>
                                      <a:pt x="148" y="169"/>
                                      <a:pt x="151" y="172"/>
                                      <a:pt x="151" y="175"/>
                                    </a:cubicBezTo>
                                    <a:cubicBezTo>
                                      <a:pt x="151" y="213"/>
                                      <a:pt x="151" y="213"/>
                                      <a:pt x="151" y="213"/>
                                    </a:cubicBezTo>
                                    <a:cubicBezTo>
                                      <a:pt x="151" y="217"/>
                                      <a:pt x="148" y="220"/>
                                      <a:pt x="144" y="220"/>
                                    </a:cubicBezTo>
                                    <a:cubicBezTo>
                                      <a:pt x="134" y="220"/>
                                      <a:pt x="134" y="220"/>
                                      <a:pt x="134" y="220"/>
                                    </a:cubicBezTo>
                                    <a:cubicBezTo>
                                      <a:pt x="134" y="249"/>
                                      <a:pt x="134" y="249"/>
                                      <a:pt x="134" y="249"/>
                                    </a:cubicBezTo>
                                    <a:cubicBezTo>
                                      <a:pt x="134" y="253"/>
                                      <a:pt x="132" y="256"/>
                                      <a:pt x="129" y="257"/>
                                    </a:cubicBezTo>
                                    <a:cubicBezTo>
                                      <a:pt x="190" y="257"/>
                                      <a:pt x="190" y="257"/>
                                      <a:pt x="190" y="257"/>
                                    </a:cubicBezTo>
                                    <a:cubicBezTo>
                                      <a:pt x="187" y="256"/>
                                      <a:pt x="185" y="253"/>
                                      <a:pt x="185" y="249"/>
                                    </a:cubicBezTo>
                                    <a:cubicBezTo>
                                      <a:pt x="185" y="220"/>
                                      <a:pt x="185" y="220"/>
                                      <a:pt x="185" y="220"/>
                                    </a:cubicBezTo>
                                    <a:cubicBezTo>
                                      <a:pt x="170" y="220"/>
                                      <a:pt x="170" y="220"/>
                                      <a:pt x="170" y="220"/>
                                    </a:cubicBezTo>
                                    <a:cubicBezTo>
                                      <a:pt x="168" y="220"/>
                                      <a:pt x="166" y="219"/>
                                      <a:pt x="165" y="217"/>
                                    </a:cubicBezTo>
                                    <a:cubicBezTo>
                                      <a:pt x="163" y="215"/>
                                      <a:pt x="163" y="213"/>
                                      <a:pt x="164" y="211"/>
                                    </a:cubicBezTo>
                                    <a:cubicBezTo>
                                      <a:pt x="177" y="173"/>
                                      <a:pt x="177" y="173"/>
                                      <a:pt x="177" y="173"/>
                                    </a:cubicBezTo>
                                    <a:cubicBezTo>
                                      <a:pt x="178" y="171"/>
                                      <a:pt x="180" y="169"/>
                                      <a:pt x="183" y="169"/>
                                    </a:cubicBezTo>
                                    <a:cubicBezTo>
                                      <a:pt x="205" y="169"/>
                                      <a:pt x="205" y="169"/>
                                      <a:pt x="205" y="169"/>
                                    </a:cubicBezTo>
                                    <a:cubicBezTo>
                                      <a:pt x="208" y="169"/>
                                      <a:pt x="210" y="171"/>
                                      <a:pt x="211" y="173"/>
                                    </a:cubicBezTo>
                                    <a:cubicBezTo>
                                      <a:pt x="224" y="210"/>
                                      <a:pt x="224" y="210"/>
                                      <a:pt x="224" y="210"/>
                                    </a:cubicBezTo>
                                    <a:cubicBezTo>
                                      <a:pt x="224" y="211"/>
                                      <a:pt x="225" y="212"/>
                                      <a:pt x="225" y="213"/>
                                    </a:cubicBezTo>
                                    <a:cubicBezTo>
                                      <a:pt x="225" y="217"/>
                                      <a:pt x="222" y="220"/>
                                      <a:pt x="218" y="220"/>
                                    </a:cubicBezTo>
                                    <a:cubicBezTo>
                                      <a:pt x="218" y="220"/>
                                      <a:pt x="218" y="220"/>
                                      <a:pt x="218" y="220"/>
                                    </a:cubicBezTo>
                                    <a:cubicBezTo>
                                      <a:pt x="203" y="220"/>
                                      <a:pt x="203" y="220"/>
                                      <a:pt x="203" y="220"/>
                                    </a:cubicBezTo>
                                    <a:cubicBezTo>
                                      <a:pt x="203" y="249"/>
                                      <a:pt x="203" y="249"/>
                                      <a:pt x="203" y="249"/>
                                    </a:cubicBezTo>
                                    <a:cubicBezTo>
                                      <a:pt x="203" y="253"/>
                                      <a:pt x="201" y="256"/>
                                      <a:pt x="198" y="257"/>
                                    </a:cubicBezTo>
                                    <a:cubicBezTo>
                                      <a:pt x="238" y="257"/>
                                      <a:pt x="238" y="257"/>
                                      <a:pt x="238" y="257"/>
                                    </a:cubicBezTo>
                                    <a:cubicBezTo>
                                      <a:pt x="243" y="257"/>
                                      <a:pt x="248" y="253"/>
                                      <a:pt x="248" y="247"/>
                                    </a:cubicBezTo>
                                    <a:cubicBezTo>
                                      <a:pt x="248" y="147"/>
                                      <a:pt x="248" y="147"/>
                                      <a:pt x="248" y="147"/>
                                    </a:cubicBezTo>
                                    <a:cubicBezTo>
                                      <a:pt x="279" y="147"/>
                                      <a:pt x="279" y="147"/>
                                      <a:pt x="279" y="147"/>
                                    </a:cubicBezTo>
                                    <a:cubicBezTo>
                                      <a:pt x="279" y="147"/>
                                      <a:pt x="279" y="147"/>
                                      <a:pt x="279" y="147"/>
                                    </a:cubicBezTo>
                                    <a:cubicBezTo>
                                      <a:pt x="282" y="147"/>
                                      <a:pt x="285" y="144"/>
                                      <a:pt x="285" y="140"/>
                                    </a:cubicBezTo>
                                    <a:cubicBezTo>
                                      <a:pt x="285" y="138"/>
                                      <a:pt x="284" y="135"/>
                                      <a:pt x="281" y="134"/>
                                    </a:cubicBezTo>
                                    <a:close/>
                                    <a:moveTo>
                                      <a:pt x="162" y="0"/>
                                    </a:moveTo>
                                    <a:cubicBezTo>
                                      <a:pt x="73" y="0"/>
                                      <a:pt x="0" y="72"/>
                                      <a:pt x="0" y="162"/>
                                    </a:cubicBezTo>
                                    <a:cubicBezTo>
                                      <a:pt x="0" y="251"/>
                                      <a:pt x="73" y="324"/>
                                      <a:pt x="162" y="324"/>
                                    </a:cubicBezTo>
                                    <a:cubicBezTo>
                                      <a:pt x="252" y="324"/>
                                      <a:pt x="324" y="251"/>
                                      <a:pt x="324" y="162"/>
                                    </a:cubicBezTo>
                                    <a:cubicBezTo>
                                      <a:pt x="324" y="72"/>
                                      <a:pt x="252" y="0"/>
                                      <a:pt x="162" y="0"/>
                                    </a:cubicBezTo>
                                    <a:close/>
                                    <a:moveTo>
                                      <a:pt x="162" y="13"/>
                                    </a:moveTo>
                                    <a:cubicBezTo>
                                      <a:pt x="244" y="13"/>
                                      <a:pt x="311" y="80"/>
                                      <a:pt x="311" y="162"/>
                                    </a:cubicBezTo>
                                    <a:cubicBezTo>
                                      <a:pt x="311" y="244"/>
                                      <a:pt x="244" y="311"/>
                                      <a:pt x="162" y="311"/>
                                    </a:cubicBezTo>
                                    <a:cubicBezTo>
                                      <a:pt x="80" y="311"/>
                                      <a:pt x="13" y="244"/>
                                      <a:pt x="13" y="162"/>
                                    </a:cubicBezTo>
                                    <a:cubicBezTo>
                                      <a:pt x="13" y="80"/>
                                      <a:pt x="80" y="13"/>
                                      <a:pt x="162" y="13"/>
                                    </a:cubicBezTo>
                                  </a:path>
                                </a:pathLst>
                              </a:custGeom>
                              <a:solidFill>
                                <a:schemeClr val="tx2"/>
                              </a:solidFill>
                              <a:ln w="9525">
                                <a:noFill/>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0EC2643C" id="Freeform 32" o:spid="_x0000_s1026" alt="Title: Fixed line telephone services icon - Description: Fixed line telephone services icon &#10;" style="width:14.15pt;height:14.15pt;visibility:visible;mso-wrap-style:square;mso-left-percent:-10001;mso-top-percent:-10001;mso-position-horizontal:absolute;mso-position-horizontal-relative:char;mso-position-vertical:absolute;mso-position-vertical-relative:line;mso-left-percent:-10001;mso-top-percent:-10001;v-text-anchor:top" coordsize="32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" path="m194,161v-8,,-15,-6,-15,-15c179,138,186,131,194,131v9,,15,7,15,15c209,155,203,161,194,161xm125,161v-8,,-15,-6,-15,-15c110,138,117,131,125,131v9,,15,7,15,15c140,155,134,161,125,161xm281,134c166,59,166,59,166,59v-2,-1,-5,-1,-7,c116,87,116,87,116,87v,-23,,-23,,-23c116,61,113,58,109,58v-26,,-26,,-26,c80,58,77,61,77,64v,48,,48,,48c43,135,43,135,43,135v-3,2,-4,4,-3,7c41,145,43,147,46,147v31,,31,,31,c77,247,77,247,77,247v,6,4,10,10,10c121,257,121,257,121,257v-3,-1,-5,-4,-5,-8c116,220,116,220,116,220v-10,,-10,,-10,c102,220,100,217,100,213v,-38,,-38,,-38c100,172,102,169,106,169v38,,38,,38,c148,169,151,172,151,175v,38,,38,,38c151,217,148,220,144,220v-10,,-10,,-10,c134,249,134,249,134,249v,4,-2,7,-5,8c190,257,190,257,190,257v-3,-1,-5,-4,-5,-8c185,220,185,220,185,220v-15,,-15,,-15,c168,220,166,219,165,217v-2,-2,-2,-4,-1,-6c177,173,177,173,177,173v1,-2,3,-4,6,-4c205,169,205,169,205,169v3,,5,2,6,4c224,210,224,210,224,210v,1,1,2,1,3c225,217,222,220,218,220v,,,,,c203,220,203,220,203,220v,29,,29,,29c203,253,201,256,198,257v40,,40,,40,c243,257,248,253,248,247v,-100,,-100,,-100c279,147,279,147,279,147v,,,,,c282,147,285,144,285,140v,-2,-1,-5,-4,-6xm162,c73,,,72,,162v,89,73,162,162,162c252,324,324,251,324,162,324,72,252,,162,xm162,13v82,,149,67,149,149c311,244,244,311,162,311,80,311,13,244,13,162,13,80,80,13,162,13e" fillcolor="#a32020 [3215]" stroked="f">
                      <v:path arrowok="t" o:connecttype="custom" o:connectlocs="179,146;209,146;125,161;125,131;125,161;166,59;116,87;109,58;77,64;43,135;46,147;77,247;121,257;116,220;100,213;106,169;151,175;144,220;134,249;190,257;185,220;165,217;177,173;205,169;224,210;218,220;203,220;198,257;248,247;279,147;285,140;162,0;162,324;162,0;311,162;13,162" o:connectangles="0,0,0,0,0,0,0,0,0,0,0,0,0,0,0,0,0,0,0,0,0,0,0,0,0,0,0,0,0,0,0,0,0,0,0,0"/>
                      <o:lock v:ext="edit" verticies="t"/>
                      <w10:anchorlock/>
                    </v:shape>
                  </w:pict>
                </mc:Fallback>
              </mc:AlternateContent>
            </w:r>
          </w:p>
        </w:tc>
        <w:tc>
          <w:tcPr>
            <w:tcW w:w="680" w:type="dxa"/>
            <w:hideMark/>
          </w:tcPr>
          <w:p w14:paraId="6E150EB9" w14:textId="77777777" w:rsidR="00785790" w:rsidRPr="00582FBF" w:rsidRDefault="00785790" w:rsidP="00785790">
            <w:pPr>
              <w:pStyle w:val="TableTextNormal"/>
              <w:jc w:val="center"/>
              <w:rPr>
                <w:lang w:val="en-US"/>
              </w:rPr>
            </w:pPr>
          </w:p>
        </w:tc>
      </w:tr>
      <w:tr w:rsidR="00785790" w:rsidRPr="00582FBF" w14:paraId="511D41D3" w14:textId="77777777" w:rsidTr="00582FBF">
        <w:trPr>
          <w:trHeight w:val="564"/>
        </w:trPr>
        <w:tc>
          <w:tcPr>
            <w:tcW w:w="3654" w:type="dxa"/>
            <w:hideMark/>
          </w:tcPr>
          <w:p w14:paraId="6E5E965B" w14:textId="77777777" w:rsidR="00785790" w:rsidRPr="00582FBF" w:rsidRDefault="00785790" w:rsidP="00785790">
            <w:pPr>
              <w:pStyle w:val="TableTextNormal"/>
              <w:rPr>
                <w:lang w:val="en-US"/>
              </w:rPr>
            </w:pPr>
            <w:r w:rsidRPr="00582FBF">
              <w:t>Appointment keeping</w:t>
            </w:r>
          </w:p>
        </w:tc>
        <w:tc>
          <w:tcPr>
            <w:tcW w:w="680" w:type="dxa"/>
            <w:hideMark/>
          </w:tcPr>
          <w:p w14:paraId="3DBB2156" w14:textId="614A72B5" w:rsidR="00785790" w:rsidRPr="00582FBF" w:rsidRDefault="00785790" w:rsidP="00785790">
            <w:pPr>
              <w:pStyle w:val="TableTextNormal"/>
              <w:jc w:val="center"/>
              <w:rPr>
                <w:lang w:val="en-US"/>
              </w:rPr>
            </w:pPr>
            <w:r w:rsidRPr="00785790">
              <w:rPr>
                <w:noProof/>
                <w:lang w:eastAsia="en-AU"/>
              </w:rPr>
              <mc:AlternateContent>
                <mc:Choice Requires="wps">
                  <w:drawing>
                    <wp:inline distT="0" distB="0" distL="0" distR="0" wp14:anchorId="001F6AF1" wp14:editId="50564337">
                      <wp:extent cx="180000" cy="180000"/>
                      <wp:effectExtent l="0" t="0" r="0" b="0"/>
                      <wp:docPr id="6" name="Freeform 32" descr="Fixed line telephone services icon &#10;" title="Fixed line telephone services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80000" cy="180000"/>
                              </a:xfrm>
                              <a:custGeom>
                                <a:avLst/>
                                <a:gdLst/>
                                <a:ahLst/>
                                <a:cxnLst>
                                  <a:cxn ang="0">
                                    <a:pos x="179" y="146"/>
                                  </a:cxn>
                                  <a:cxn ang="0">
                                    <a:pos x="209" y="146"/>
                                  </a:cxn>
                                  <a:cxn ang="0">
                                    <a:pos x="125" y="161"/>
                                  </a:cxn>
                                  <a:cxn ang="0">
                                    <a:pos x="125" y="131"/>
                                  </a:cxn>
                                  <a:cxn ang="0">
                                    <a:pos x="125" y="161"/>
                                  </a:cxn>
                                  <a:cxn ang="0">
                                    <a:pos x="166" y="59"/>
                                  </a:cxn>
                                  <a:cxn ang="0">
                                    <a:pos x="116" y="87"/>
                                  </a:cxn>
                                  <a:cxn ang="0">
                                    <a:pos x="109" y="58"/>
                                  </a:cxn>
                                  <a:cxn ang="0">
                                    <a:pos x="77" y="64"/>
                                  </a:cxn>
                                  <a:cxn ang="0">
                                    <a:pos x="43" y="135"/>
                                  </a:cxn>
                                  <a:cxn ang="0">
                                    <a:pos x="46" y="147"/>
                                  </a:cxn>
                                  <a:cxn ang="0">
                                    <a:pos x="77" y="247"/>
                                  </a:cxn>
                                  <a:cxn ang="0">
                                    <a:pos x="121" y="257"/>
                                  </a:cxn>
                                  <a:cxn ang="0">
                                    <a:pos x="116" y="220"/>
                                  </a:cxn>
                                  <a:cxn ang="0">
                                    <a:pos x="100" y="213"/>
                                  </a:cxn>
                                  <a:cxn ang="0">
                                    <a:pos x="106" y="169"/>
                                  </a:cxn>
                                  <a:cxn ang="0">
                                    <a:pos x="151" y="175"/>
                                  </a:cxn>
                                  <a:cxn ang="0">
                                    <a:pos x="144" y="220"/>
                                  </a:cxn>
                                  <a:cxn ang="0">
                                    <a:pos x="134" y="249"/>
                                  </a:cxn>
                                  <a:cxn ang="0">
                                    <a:pos x="190" y="257"/>
                                  </a:cxn>
                                  <a:cxn ang="0">
                                    <a:pos x="185" y="220"/>
                                  </a:cxn>
                                  <a:cxn ang="0">
                                    <a:pos x="165" y="217"/>
                                  </a:cxn>
                                  <a:cxn ang="0">
                                    <a:pos x="177" y="173"/>
                                  </a:cxn>
                                  <a:cxn ang="0">
                                    <a:pos x="205" y="169"/>
                                  </a:cxn>
                                  <a:cxn ang="0">
                                    <a:pos x="224" y="210"/>
                                  </a:cxn>
                                  <a:cxn ang="0">
                                    <a:pos x="218" y="220"/>
                                  </a:cxn>
                                  <a:cxn ang="0">
                                    <a:pos x="203" y="220"/>
                                  </a:cxn>
                                  <a:cxn ang="0">
                                    <a:pos x="198" y="257"/>
                                  </a:cxn>
                                  <a:cxn ang="0">
                                    <a:pos x="248" y="247"/>
                                  </a:cxn>
                                  <a:cxn ang="0">
                                    <a:pos x="279" y="147"/>
                                  </a:cxn>
                                  <a:cxn ang="0">
                                    <a:pos x="285" y="140"/>
                                  </a:cxn>
                                  <a:cxn ang="0">
                                    <a:pos x="162" y="0"/>
                                  </a:cxn>
                                  <a:cxn ang="0">
                                    <a:pos x="162" y="324"/>
                                  </a:cxn>
                                  <a:cxn ang="0">
                                    <a:pos x="162" y="0"/>
                                  </a:cxn>
                                  <a:cxn ang="0">
                                    <a:pos x="311" y="162"/>
                                  </a:cxn>
                                  <a:cxn ang="0">
                                    <a:pos x="13" y="162"/>
                                  </a:cxn>
                                </a:cxnLst>
                                <a:rect l="0" t="0" r="r" b="b"/>
                                <a:pathLst>
                                  <a:path w="324" h="324">
                                    <a:moveTo>
                                      <a:pt x="194" y="161"/>
                                    </a:moveTo>
                                    <a:cubicBezTo>
                                      <a:pt x="186" y="161"/>
                                      <a:pt x="179" y="155"/>
                                      <a:pt x="179" y="146"/>
                                    </a:cubicBezTo>
                                    <a:cubicBezTo>
                                      <a:pt x="179" y="138"/>
                                      <a:pt x="186" y="131"/>
                                      <a:pt x="194" y="131"/>
                                    </a:cubicBezTo>
                                    <a:cubicBezTo>
                                      <a:pt x="203" y="131"/>
                                      <a:pt x="209" y="138"/>
                                      <a:pt x="209" y="146"/>
                                    </a:cubicBezTo>
                                    <a:cubicBezTo>
                                      <a:pt x="209" y="155"/>
                                      <a:pt x="203" y="161"/>
                                      <a:pt x="194" y="161"/>
                                    </a:cubicBezTo>
                                    <a:close/>
                                    <a:moveTo>
                                      <a:pt x="125" y="161"/>
                                    </a:moveTo>
                                    <a:cubicBezTo>
                                      <a:pt x="117" y="161"/>
                                      <a:pt x="110" y="155"/>
                                      <a:pt x="110" y="146"/>
                                    </a:cubicBezTo>
                                    <a:cubicBezTo>
                                      <a:pt x="110" y="138"/>
                                      <a:pt x="117" y="131"/>
                                      <a:pt x="125" y="131"/>
                                    </a:cubicBezTo>
                                    <a:cubicBezTo>
                                      <a:pt x="134" y="131"/>
                                      <a:pt x="140" y="138"/>
                                      <a:pt x="140" y="146"/>
                                    </a:cubicBezTo>
                                    <a:cubicBezTo>
                                      <a:pt x="140" y="155"/>
                                      <a:pt x="134" y="161"/>
                                      <a:pt x="125" y="161"/>
                                    </a:cubicBezTo>
                                    <a:close/>
                                    <a:moveTo>
                                      <a:pt x="281" y="134"/>
                                    </a:moveTo>
                                    <a:cubicBezTo>
                                      <a:pt x="166" y="59"/>
                                      <a:pt x="166" y="59"/>
                                      <a:pt x="166" y="59"/>
                                    </a:cubicBezTo>
                                    <a:cubicBezTo>
                                      <a:pt x="164" y="58"/>
                                      <a:pt x="161" y="58"/>
                                      <a:pt x="159" y="59"/>
                                    </a:cubicBezTo>
                                    <a:cubicBezTo>
                                      <a:pt x="116" y="87"/>
                                      <a:pt x="116" y="87"/>
                                      <a:pt x="116" y="87"/>
                                    </a:cubicBezTo>
                                    <a:cubicBezTo>
                                      <a:pt x="116" y="64"/>
                                      <a:pt x="116" y="64"/>
                                      <a:pt x="116" y="64"/>
                                    </a:cubicBezTo>
                                    <a:cubicBezTo>
                                      <a:pt x="116" y="61"/>
                                      <a:pt x="113" y="58"/>
                                      <a:pt x="109" y="58"/>
                                    </a:cubicBezTo>
                                    <a:cubicBezTo>
                                      <a:pt x="83" y="58"/>
                                      <a:pt x="83" y="58"/>
                                      <a:pt x="83" y="58"/>
                                    </a:cubicBezTo>
                                    <a:cubicBezTo>
                                      <a:pt x="80" y="58"/>
                                      <a:pt x="77" y="61"/>
                                      <a:pt x="77" y="64"/>
                                    </a:cubicBezTo>
                                    <a:cubicBezTo>
                                      <a:pt x="77" y="112"/>
                                      <a:pt x="77" y="112"/>
                                      <a:pt x="77" y="112"/>
                                    </a:cubicBezTo>
                                    <a:cubicBezTo>
                                      <a:pt x="43" y="135"/>
                                      <a:pt x="43" y="135"/>
                                      <a:pt x="43" y="135"/>
                                    </a:cubicBezTo>
                                    <a:cubicBezTo>
                                      <a:pt x="40" y="137"/>
                                      <a:pt x="39" y="139"/>
                                      <a:pt x="40" y="142"/>
                                    </a:cubicBezTo>
                                    <a:cubicBezTo>
                                      <a:pt x="41" y="145"/>
                                      <a:pt x="43" y="147"/>
                                      <a:pt x="46" y="147"/>
                                    </a:cubicBezTo>
                                    <a:cubicBezTo>
                                      <a:pt x="77" y="147"/>
                                      <a:pt x="77" y="147"/>
                                      <a:pt x="77" y="147"/>
                                    </a:cubicBezTo>
                                    <a:cubicBezTo>
                                      <a:pt x="77" y="247"/>
                                      <a:pt x="77" y="247"/>
                                      <a:pt x="77" y="247"/>
                                    </a:cubicBezTo>
                                    <a:cubicBezTo>
                                      <a:pt x="77" y="253"/>
                                      <a:pt x="81" y="257"/>
                                      <a:pt x="87" y="257"/>
                                    </a:cubicBezTo>
                                    <a:cubicBezTo>
                                      <a:pt x="121" y="257"/>
                                      <a:pt x="121" y="257"/>
                                      <a:pt x="121" y="257"/>
                                    </a:cubicBezTo>
                                    <a:cubicBezTo>
                                      <a:pt x="118" y="256"/>
                                      <a:pt x="116" y="253"/>
                                      <a:pt x="116" y="249"/>
                                    </a:cubicBezTo>
                                    <a:cubicBezTo>
                                      <a:pt x="116" y="220"/>
                                      <a:pt x="116" y="220"/>
                                      <a:pt x="116" y="220"/>
                                    </a:cubicBezTo>
                                    <a:cubicBezTo>
                                      <a:pt x="106" y="220"/>
                                      <a:pt x="106" y="220"/>
                                      <a:pt x="106" y="220"/>
                                    </a:cubicBezTo>
                                    <a:cubicBezTo>
                                      <a:pt x="102" y="220"/>
                                      <a:pt x="100" y="217"/>
                                      <a:pt x="100" y="213"/>
                                    </a:cubicBezTo>
                                    <a:cubicBezTo>
                                      <a:pt x="100" y="175"/>
                                      <a:pt x="100" y="175"/>
                                      <a:pt x="100" y="175"/>
                                    </a:cubicBezTo>
                                    <a:cubicBezTo>
                                      <a:pt x="100" y="172"/>
                                      <a:pt x="102" y="169"/>
                                      <a:pt x="106" y="169"/>
                                    </a:cubicBezTo>
                                    <a:cubicBezTo>
                                      <a:pt x="144" y="169"/>
                                      <a:pt x="144" y="169"/>
                                      <a:pt x="144" y="169"/>
                                    </a:cubicBezTo>
                                    <a:cubicBezTo>
                                      <a:pt x="148" y="169"/>
                                      <a:pt x="151" y="172"/>
                                      <a:pt x="151" y="175"/>
                                    </a:cubicBezTo>
                                    <a:cubicBezTo>
                                      <a:pt x="151" y="213"/>
                                      <a:pt x="151" y="213"/>
                                      <a:pt x="151" y="213"/>
                                    </a:cubicBezTo>
                                    <a:cubicBezTo>
                                      <a:pt x="151" y="217"/>
                                      <a:pt x="148" y="220"/>
                                      <a:pt x="144" y="220"/>
                                    </a:cubicBezTo>
                                    <a:cubicBezTo>
                                      <a:pt x="134" y="220"/>
                                      <a:pt x="134" y="220"/>
                                      <a:pt x="134" y="220"/>
                                    </a:cubicBezTo>
                                    <a:cubicBezTo>
                                      <a:pt x="134" y="249"/>
                                      <a:pt x="134" y="249"/>
                                      <a:pt x="134" y="249"/>
                                    </a:cubicBezTo>
                                    <a:cubicBezTo>
                                      <a:pt x="134" y="253"/>
                                      <a:pt x="132" y="256"/>
                                      <a:pt x="129" y="257"/>
                                    </a:cubicBezTo>
                                    <a:cubicBezTo>
                                      <a:pt x="190" y="257"/>
                                      <a:pt x="190" y="257"/>
                                      <a:pt x="190" y="257"/>
                                    </a:cubicBezTo>
                                    <a:cubicBezTo>
                                      <a:pt x="187" y="256"/>
                                      <a:pt x="185" y="253"/>
                                      <a:pt x="185" y="249"/>
                                    </a:cubicBezTo>
                                    <a:cubicBezTo>
                                      <a:pt x="185" y="220"/>
                                      <a:pt x="185" y="220"/>
                                      <a:pt x="185" y="220"/>
                                    </a:cubicBezTo>
                                    <a:cubicBezTo>
                                      <a:pt x="170" y="220"/>
                                      <a:pt x="170" y="220"/>
                                      <a:pt x="170" y="220"/>
                                    </a:cubicBezTo>
                                    <a:cubicBezTo>
                                      <a:pt x="168" y="220"/>
                                      <a:pt x="166" y="219"/>
                                      <a:pt x="165" y="217"/>
                                    </a:cubicBezTo>
                                    <a:cubicBezTo>
                                      <a:pt x="163" y="215"/>
                                      <a:pt x="163" y="213"/>
                                      <a:pt x="164" y="211"/>
                                    </a:cubicBezTo>
                                    <a:cubicBezTo>
                                      <a:pt x="177" y="173"/>
                                      <a:pt x="177" y="173"/>
                                      <a:pt x="177" y="173"/>
                                    </a:cubicBezTo>
                                    <a:cubicBezTo>
                                      <a:pt x="178" y="171"/>
                                      <a:pt x="180" y="169"/>
                                      <a:pt x="183" y="169"/>
                                    </a:cubicBezTo>
                                    <a:cubicBezTo>
                                      <a:pt x="205" y="169"/>
                                      <a:pt x="205" y="169"/>
                                      <a:pt x="205" y="169"/>
                                    </a:cubicBezTo>
                                    <a:cubicBezTo>
                                      <a:pt x="208" y="169"/>
                                      <a:pt x="210" y="171"/>
                                      <a:pt x="211" y="173"/>
                                    </a:cubicBezTo>
                                    <a:cubicBezTo>
                                      <a:pt x="224" y="210"/>
                                      <a:pt x="224" y="210"/>
                                      <a:pt x="224" y="210"/>
                                    </a:cubicBezTo>
                                    <a:cubicBezTo>
                                      <a:pt x="224" y="211"/>
                                      <a:pt x="225" y="212"/>
                                      <a:pt x="225" y="213"/>
                                    </a:cubicBezTo>
                                    <a:cubicBezTo>
                                      <a:pt x="225" y="217"/>
                                      <a:pt x="222" y="220"/>
                                      <a:pt x="218" y="220"/>
                                    </a:cubicBezTo>
                                    <a:cubicBezTo>
                                      <a:pt x="218" y="220"/>
                                      <a:pt x="218" y="220"/>
                                      <a:pt x="218" y="220"/>
                                    </a:cubicBezTo>
                                    <a:cubicBezTo>
                                      <a:pt x="203" y="220"/>
                                      <a:pt x="203" y="220"/>
                                      <a:pt x="203" y="220"/>
                                    </a:cubicBezTo>
                                    <a:cubicBezTo>
                                      <a:pt x="203" y="249"/>
                                      <a:pt x="203" y="249"/>
                                      <a:pt x="203" y="249"/>
                                    </a:cubicBezTo>
                                    <a:cubicBezTo>
                                      <a:pt x="203" y="253"/>
                                      <a:pt x="201" y="256"/>
                                      <a:pt x="198" y="257"/>
                                    </a:cubicBezTo>
                                    <a:cubicBezTo>
                                      <a:pt x="238" y="257"/>
                                      <a:pt x="238" y="257"/>
                                      <a:pt x="238" y="257"/>
                                    </a:cubicBezTo>
                                    <a:cubicBezTo>
                                      <a:pt x="243" y="257"/>
                                      <a:pt x="248" y="253"/>
                                      <a:pt x="248" y="247"/>
                                    </a:cubicBezTo>
                                    <a:cubicBezTo>
                                      <a:pt x="248" y="147"/>
                                      <a:pt x="248" y="147"/>
                                      <a:pt x="248" y="147"/>
                                    </a:cubicBezTo>
                                    <a:cubicBezTo>
                                      <a:pt x="279" y="147"/>
                                      <a:pt x="279" y="147"/>
                                      <a:pt x="279" y="147"/>
                                    </a:cubicBezTo>
                                    <a:cubicBezTo>
                                      <a:pt x="279" y="147"/>
                                      <a:pt x="279" y="147"/>
                                      <a:pt x="279" y="147"/>
                                    </a:cubicBezTo>
                                    <a:cubicBezTo>
                                      <a:pt x="282" y="147"/>
                                      <a:pt x="285" y="144"/>
                                      <a:pt x="285" y="140"/>
                                    </a:cubicBezTo>
                                    <a:cubicBezTo>
                                      <a:pt x="285" y="138"/>
                                      <a:pt x="284" y="135"/>
                                      <a:pt x="281" y="134"/>
                                    </a:cubicBezTo>
                                    <a:close/>
                                    <a:moveTo>
                                      <a:pt x="162" y="0"/>
                                    </a:moveTo>
                                    <a:cubicBezTo>
                                      <a:pt x="73" y="0"/>
                                      <a:pt x="0" y="72"/>
                                      <a:pt x="0" y="162"/>
                                    </a:cubicBezTo>
                                    <a:cubicBezTo>
                                      <a:pt x="0" y="251"/>
                                      <a:pt x="73" y="324"/>
                                      <a:pt x="162" y="324"/>
                                    </a:cubicBezTo>
                                    <a:cubicBezTo>
                                      <a:pt x="252" y="324"/>
                                      <a:pt x="324" y="251"/>
                                      <a:pt x="324" y="162"/>
                                    </a:cubicBezTo>
                                    <a:cubicBezTo>
                                      <a:pt x="324" y="72"/>
                                      <a:pt x="252" y="0"/>
                                      <a:pt x="162" y="0"/>
                                    </a:cubicBezTo>
                                    <a:close/>
                                    <a:moveTo>
                                      <a:pt x="162" y="13"/>
                                    </a:moveTo>
                                    <a:cubicBezTo>
                                      <a:pt x="244" y="13"/>
                                      <a:pt x="311" y="80"/>
                                      <a:pt x="311" y="162"/>
                                    </a:cubicBezTo>
                                    <a:cubicBezTo>
                                      <a:pt x="311" y="244"/>
                                      <a:pt x="244" y="311"/>
                                      <a:pt x="162" y="311"/>
                                    </a:cubicBezTo>
                                    <a:cubicBezTo>
                                      <a:pt x="80" y="311"/>
                                      <a:pt x="13" y="244"/>
                                      <a:pt x="13" y="162"/>
                                    </a:cubicBezTo>
                                    <a:cubicBezTo>
                                      <a:pt x="13" y="80"/>
                                      <a:pt x="80" y="13"/>
                                      <a:pt x="162" y="13"/>
                                    </a:cubicBezTo>
                                  </a:path>
                                </a:pathLst>
                              </a:custGeom>
                              <a:solidFill>
                                <a:schemeClr val="tx2"/>
                              </a:solidFill>
                              <a:ln w="9525">
                                <a:noFill/>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5DD0EA58" id="Freeform 32" o:spid="_x0000_s1026" alt="Title: Fixed line telephone services icon - Description: Fixed line telephone services icon &#10;" style="width:14.15pt;height:14.15pt;visibility:visible;mso-wrap-style:square;mso-left-percent:-10001;mso-top-percent:-10001;mso-position-horizontal:absolute;mso-position-horizontal-relative:char;mso-position-vertical:absolute;mso-position-vertical-relative:line;mso-left-percent:-10001;mso-top-percent:-10001;v-text-anchor:top" coordsize="32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" path="m194,161v-8,,-15,-6,-15,-15c179,138,186,131,194,131v9,,15,7,15,15c209,155,203,161,194,161xm125,161v-8,,-15,-6,-15,-15c110,138,117,131,125,131v9,,15,7,15,15c140,155,134,161,125,161xm281,134c166,59,166,59,166,59v-2,-1,-5,-1,-7,c116,87,116,87,116,87v,-23,,-23,,-23c116,61,113,58,109,58v-26,,-26,,-26,c80,58,77,61,77,64v,48,,48,,48c43,135,43,135,43,135v-3,2,-4,4,-3,7c41,145,43,147,46,147v31,,31,,31,c77,247,77,247,77,247v,6,4,10,10,10c121,257,121,257,121,257v-3,-1,-5,-4,-5,-8c116,220,116,220,116,220v-10,,-10,,-10,c102,220,100,217,100,213v,-38,,-38,,-38c100,172,102,169,106,169v38,,38,,38,c148,169,151,172,151,175v,38,,38,,38c151,217,148,220,144,220v-10,,-10,,-10,c134,249,134,249,134,249v,4,-2,7,-5,8c190,257,190,257,190,257v-3,-1,-5,-4,-5,-8c185,220,185,220,185,220v-15,,-15,,-15,c168,220,166,219,165,217v-2,-2,-2,-4,-1,-6c177,173,177,173,177,173v1,-2,3,-4,6,-4c205,169,205,169,205,169v3,,5,2,6,4c224,210,224,210,224,210v,1,1,2,1,3c225,217,222,220,218,220v,,,,,c203,220,203,220,203,220v,29,,29,,29c203,253,201,256,198,257v40,,40,,40,c243,257,248,253,248,247v,-100,,-100,,-100c279,147,279,147,279,147v,,,,,c282,147,285,144,285,140v,-2,-1,-5,-4,-6xm162,c73,,,72,,162v,89,73,162,162,162c252,324,324,251,324,162,324,72,252,,162,xm162,13v82,,149,67,149,149c311,244,244,311,162,311,80,311,13,244,13,162,13,80,80,13,162,13e" fillcolor="#a32020 [3215]" stroked="f">
                      <v:path arrowok="t" o:connecttype="custom" o:connectlocs="179,146;209,146;125,161;125,131;125,161;166,59;116,87;109,58;77,64;43,135;46,147;77,247;121,257;116,220;100,213;106,169;151,175;144,220;134,249;190,257;185,220;165,217;177,173;205,169;224,210;218,220;203,220;198,257;248,247;279,147;285,140;162,0;162,324;162,0;311,162;13,162" o:connectangles="0,0,0,0,0,0,0,0,0,0,0,0,0,0,0,0,0,0,0,0,0,0,0,0,0,0,0,0,0,0,0,0,0,0,0,0"/>
                      <o:lock v:ext="edit" verticies="t"/>
                      <w10:anchorlock/>
                    </v:shape>
                  </w:pict>
                </mc:Fallback>
              </mc:AlternateContent>
            </w:r>
          </w:p>
        </w:tc>
        <w:tc>
          <w:tcPr>
            <w:tcW w:w="680" w:type="dxa"/>
            <w:hideMark/>
          </w:tcPr>
          <w:p w14:paraId="4EFAB8E2" w14:textId="587BCC94" w:rsidR="00785790" w:rsidRPr="00582FBF" w:rsidRDefault="00785790" w:rsidP="00785790">
            <w:pPr>
              <w:pStyle w:val="TableTextNormal"/>
              <w:jc w:val="center"/>
              <w:rPr>
                <w:lang w:val="en-US"/>
              </w:rPr>
            </w:pPr>
            <w:r w:rsidRPr="00785790">
              <w:rPr>
                <w:noProof/>
                <w:lang w:eastAsia="en-AU"/>
              </w:rPr>
              <mc:AlternateContent>
                <mc:Choice Requires="wps">
                  <w:drawing>
                    <wp:inline distT="0" distB="0" distL="0" distR="0" wp14:anchorId="20642209" wp14:editId="3C7A65B2">
                      <wp:extent cx="180000" cy="180000"/>
                      <wp:effectExtent l="0" t="0" r="0" b="0"/>
                      <wp:docPr id="7" name="Freeform 32" descr="Fixed line telephone services icon &#10;" title="Fixed line telephone services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80000" cy="180000"/>
                              </a:xfrm>
                              <a:custGeom>
                                <a:avLst/>
                                <a:gdLst/>
                                <a:ahLst/>
                                <a:cxnLst>
                                  <a:cxn ang="0">
                                    <a:pos x="179" y="146"/>
                                  </a:cxn>
                                  <a:cxn ang="0">
                                    <a:pos x="209" y="146"/>
                                  </a:cxn>
                                  <a:cxn ang="0">
                                    <a:pos x="125" y="161"/>
                                  </a:cxn>
                                  <a:cxn ang="0">
                                    <a:pos x="125" y="131"/>
                                  </a:cxn>
                                  <a:cxn ang="0">
                                    <a:pos x="125" y="161"/>
                                  </a:cxn>
                                  <a:cxn ang="0">
                                    <a:pos x="166" y="59"/>
                                  </a:cxn>
                                  <a:cxn ang="0">
                                    <a:pos x="116" y="87"/>
                                  </a:cxn>
                                  <a:cxn ang="0">
                                    <a:pos x="109" y="58"/>
                                  </a:cxn>
                                  <a:cxn ang="0">
                                    <a:pos x="77" y="64"/>
                                  </a:cxn>
                                  <a:cxn ang="0">
                                    <a:pos x="43" y="135"/>
                                  </a:cxn>
                                  <a:cxn ang="0">
                                    <a:pos x="46" y="147"/>
                                  </a:cxn>
                                  <a:cxn ang="0">
                                    <a:pos x="77" y="247"/>
                                  </a:cxn>
                                  <a:cxn ang="0">
                                    <a:pos x="121" y="257"/>
                                  </a:cxn>
                                  <a:cxn ang="0">
                                    <a:pos x="116" y="220"/>
                                  </a:cxn>
                                  <a:cxn ang="0">
                                    <a:pos x="100" y="213"/>
                                  </a:cxn>
                                  <a:cxn ang="0">
                                    <a:pos x="106" y="169"/>
                                  </a:cxn>
                                  <a:cxn ang="0">
                                    <a:pos x="151" y="175"/>
                                  </a:cxn>
                                  <a:cxn ang="0">
                                    <a:pos x="144" y="220"/>
                                  </a:cxn>
                                  <a:cxn ang="0">
                                    <a:pos x="134" y="249"/>
                                  </a:cxn>
                                  <a:cxn ang="0">
                                    <a:pos x="190" y="257"/>
                                  </a:cxn>
                                  <a:cxn ang="0">
                                    <a:pos x="185" y="220"/>
                                  </a:cxn>
                                  <a:cxn ang="0">
                                    <a:pos x="165" y="217"/>
                                  </a:cxn>
                                  <a:cxn ang="0">
                                    <a:pos x="177" y="173"/>
                                  </a:cxn>
                                  <a:cxn ang="0">
                                    <a:pos x="205" y="169"/>
                                  </a:cxn>
                                  <a:cxn ang="0">
                                    <a:pos x="224" y="210"/>
                                  </a:cxn>
                                  <a:cxn ang="0">
                                    <a:pos x="218" y="220"/>
                                  </a:cxn>
                                  <a:cxn ang="0">
                                    <a:pos x="203" y="220"/>
                                  </a:cxn>
                                  <a:cxn ang="0">
                                    <a:pos x="198" y="257"/>
                                  </a:cxn>
                                  <a:cxn ang="0">
                                    <a:pos x="248" y="247"/>
                                  </a:cxn>
                                  <a:cxn ang="0">
                                    <a:pos x="279" y="147"/>
                                  </a:cxn>
                                  <a:cxn ang="0">
                                    <a:pos x="285" y="140"/>
                                  </a:cxn>
                                  <a:cxn ang="0">
                                    <a:pos x="162" y="0"/>
                                  </a:cxn>
                                  <a:cxn ang="0">
                                    <a:pos x="162" y="324"/>
                                  </a:cxn>
                                  <a:cxn ang="0">
                                    <a:pos x="162" y="0"/>
                                  </a:cxn>
                                  <a:cxn ang="0">
                                    <a:pos x="311" y="162"/>
                                  </a:cxn>
                                  <a:cxn ang="0">
                                    <a:pos x="13" y="162"/>
                                  </a:cxn>
                                </a:cxnLst>
                                <a:rect l="0" t="0" r="r" b="b"/>
                                <a:pathLst>
                                  <a:path w="324" h="324">
                                    <a:moveTo>
                                      <a:pt x="194" y="161"/>
                                    </a:moveTo>
                                    <a:cubicBezTo>
                                      <a:pt x="186" y="161"/>
                                      <a:pt x="179" y="155"/>
                                      <a:pt x="179" y="146"/>
                                    </a:cubicBezTo>
                                    <a:cubicBezTo>
                                      <a:pt x="179" y="138"/>
                                      <a:pt x="186" y="131"/>
                                      <a:pt x="194" y="131"/>
                                    </a:cubicBezTo>
                                    <a:cubicBezTo>
                                      <a:pt x="203" y="131"/>
                                      <a:pt x="209" y="138"/>
                                      <a:pt x="209" y="146"/>
                                    </a:cubicBezTo>
                                    <a:cubicBezTo>
                                      <a:pt x="209" y="155"/>
                                      <a:pt x="203" y="161"/>
                                      <a:pt x="194" y="161"/>
                                    </a:cubicBezTo>
                                    <a:close/>
                                    <a:moveTo>
                                      <a:pt x="125" y="161"/>
                                    </a:moveTo>
                                    <a:cubicBezTo>
                                      <a:pt x="117" y="161"/>
                                      <a:pt x="110" y="155"/>
                                      <a:pt x="110" y="146"/>
                                    </a:cubicBezTo>
                                    <a:cubicBezTo>
                                      <a:pt x="110" y="138"/>
                                      <a:pt x="117" y="131"/>
                                      <a:pt x="125" y="131"/>
                                    </a:cubicBezTo>
                                    <a:cubicBezTo>
                                      <a:pt x="134" y="131"/>
                                      <a:pt x="140" y="138"/>
                                      <a:pt x="140" y="146"/>
                                    </a:cubicBezTo>
                                    <a:cubicBezTo>
                                      <a:pt x="140" y="155"/>
                                      <a:pt x="134" y="161"/>
                                      <a:pt x="125" y="161"/>
                                    </a:cubicBezTo>
                                    <a:close/>
                                    <a:moveTo>
                                      <a:pt x="281" y="134"/>
                                    </a:moveTo>
                                    <a:cubicBezTo>
                                      <a:pt x="166" y="59"/>
                                      <a:pt x="166" y="59"/>
                                      <a:pt x="166" y="59"/>
                                    </a:cubicBezTo>
                                    <a:cubicBezTo>
                                      <a:pt x="164" y="58"/>
                                      <a:pt x="161" y="58"/>
                                      <a:pt x="159" y="59"/>
                                    </a:cubicBezTo>
                                    <a:cubicBezTo>
                                      <a:pt x="116" y="87"/>
                                      <a:pt x="116" y="87"/>
                                      <a:pt x="116" y="87"/>
                                    </a:cubicBezTo>
                                    <a:cubicBezTo>
                                      <a:pt x="116" y="64"/>
                                      <a:pt x="116" y="64"/>
                                      <a:pt x="116" y="64"/>
                                    </a:cubicBezTo>
                                    <a:cubicBezTo>
                                      <a:pt x="116" y="61"/>
                                      <a:pt x="113" y="58"/>
                                      <a:pt x="109" y="58"/>
                                    </a:cubicBezTo>
                                    <a:cubicBezTo>
                                      <a:pt x="83" y="58"/>
                                      <a:pt x="83" y="58"/>
                                      <a:pt x="83" y="58"/>
                                    </a:cubicBezTo>
                                    <a:cubicBezTo>
                                      <a:pt x="80" y="58"/>
                                      <a:pt x="77" y="61"/>
                                      <a:pt x="77" y="64"/>
                                    </a:cubicBezTo>
                                    <a:cubicBezTo>
                                      <a:pt x="77" y="112"/>
                                      <a:pt x="77" y="112"/>
                                      <a:pt x="77" y="112"/>
                                    </a:cubicBezTo>
                                    <a:cubicBezTo>
                                      <a:pt x="43" y="135"/>
                                      <a:pt x="43" y="135"/>
                                      <a:pt x="43" y="135"/>
                                    </a:cubicBezTo>
                                    <a:cubicBezTo>
                                      <a:pt x="40" y="137"/>
                                      <a:pt x="39" y="139"/>
                                      <a:pt x="40" y="142"/>
                                    </a:cubicBezTo>
                                    <a:cubicBezTo>
                                      <a:pt x="41" y="145"/>
                                      <a:pt x="43" y="147"/>
                                      <a:pt x="46" y="147"/>
                                    </a:cubicBezTo>
                                    <a:cubicBezTo>
                                      <a:pt x="77" y="147"/>
                                      <a:pt x="77" y="147"/>
                                      <a:pt x="77" y="147"/>
                                    </a:cubicBezTo>
                                    <a:cubicBezTo>
                                      <a:pt x="77" y="247"/>
                                      <a:pt x="77" y="247"/>
                                      <a:pt x="77" y="247"/>
                                    </a:cubicBezTo>
                                    <a:cubicBezTo>
                                      <a:pt x="77" y="253"/>
                                      <a:pt x="81" y="257"/>
                                      <a:pt x="87" y="257"/>
                                    </a:cubicBezTo>
                                    <a:cubicBezTo>
                                      <a:pt x="121" y="257"/>
                                      <a:pt x="121" y="257"/>
                                      <a:pt x="121" y="257"/>
                                    </a:cubicBezTo>
                                    <a:cubicBezTo>
                                      <a:pt x="118" y="256"/>
                                      <a:pt x="116" y="253"/>
                                      <a:pt x="116" y="249"/>
                                    </a:cubicBezTo>
                                    <a:cubicBezTo>
                                      <a:pt x="116" y="220"/>
                                      <a:pt x="116" y="220"/>
                                      <a:pt x="116" y="220"/>
                                    </a:cubicBezTo>
                                    <a:cubicBezTo>
                                      <a:pt x="106" y="220"/>
                                      <a:pt x="106" y="220"/>
                                      <a:pt x="106" y="220"/>
                                    </a:cubicBezTo>
                                    <a:cubicBezTo>
                                      <a:pt x="102" y="220"/>
                                      <a:pt x="100" y="217"/>
                                      <a:pt x="100" y="213"/>
                                    </a:cubicBezTo>
                                    <a:cubicBezTo>
                                      <a:pt x="100" y="175"/>
                                      <a:pt x="100" y="175"/>
                                      <a:pt x="100" y="175"/>
                                    </a:cubicBezTo>
                                    <a:cubicBezTo>
                                      <a:pt x="100" y="172"/>
                                      <a:pt x="102" y="169"/>
                                      <a:pt x="106" y="169"/>
                                    </a:cubicBezTo>
                                    <a:cubicBezTo>
                                      <a:pt x="144" y="169"/>
                                      <a:pt x="144" y="169"/>
                                      <a:pt x="144" y="169"/>
                                    </a:cubicBezTo>
                                    <a:cubicBezTo>
                                      <a:pt x="148" y="169"/>
                                      <a:pt x="151" y="172"/>
                                      <a:pt x="151" y="175"/>
                                    </a:cubicBezTo>
                                    <a:cubicBezTo>
                                      <a:pt x="151" y="213"/>
                                      <a:pt x="151" y="213"/>
                                      <a:pt x="151" y="213"/>
                                    </a:cubicBezTo>
                                    <a:cubicBezTo>
                                      <a:pt x="151" y="217"/>
                                      <a:pt x="148" y="220"/>
                                      <a:pt x="144" y="220"/>
                                    </a:cubicBezTo>
                                    <a:cubicBezTo>
                                      <a:pt x="134" y="220"/>
                                      <a:pt x="134" y="220"/>
                                      <a:pt x="134" y="220"/>
                                    </a:cubicBezTo>
                                    <a:cubicBezTo>
                                      <a:pt x="134" y="249"/>
                                      <a:pt x="134" y="249"/>
                                      <a:pt x="134" y="249"/>
                                    </a:cubicBezTo>
                                    <a:cubicBezTo>
                                      <a:pt x="134" y="253"/>
                                      <a:pt x="132" y="256"/>
                                      <a:pt x="129" y="257"/>
                                    </a:cubicBezTo>
                                    <a:cubicBezTo>
                                      <a:pt x="190" y="257"/>
                                      <a:pt x="190" y="257"/>
                                      <a:pt x="190" y="257"/>
                                    </a:cubicBezTo>
                                    <a:cubicBezTo>
                                      <a:pt x="187" y="256"/>
                                      <a:pt x="185" y="253"/>
                                      <a:pt x="185" y="249"/>
                                    </a:cubicBezTo>
                                    <a:cubicBezTo>
                                      <a:pt x="185" y="220"/>
                                      <a:pt x="185" y="220"/>
                                      <a:pt x="185" y="220"/>
                                    </a:cubicBezTo>
                                    <a:cubicBezTo>
                                      <a:pt x="170" y="220"/>
                                      <a:pt x="170" y="220"/>
                                      <a:pt x="170" y="220"/>
                                    </a:cubicBezTo>
                                    <a:cubicBezTo>
                                      <a:pt x="168" y="220"/>
                                      <a:pt x="166" y="219"/>
                                      <a:pt x="165" y="217"/>
                                    </a:cubicBezTo>
                                    <a:cubicBezTo>
                                      <a:pt x="163" y="215"/>
                                      <a:pt x="163" y="213"/>
                                      <a:pt x="164" y="211"/>
                                    </a:cubicBezTo>
                                    <a:cubicBezTo>
                                      <a:pt x="177" y="173"/>
                                      <a:pt x="177" y="173"/>
                                      <a:pt x="177" y="173"/>
                                    </a:cubicBezTo>
                                    <a:cubicBezTo>
                                      <a:pt x="178" y="171"/>
                                      <a:pt x="180" y="169"/>
                                      <a:pt x="183" y="169"/>
                                    </a:cubicBezTo>
                                    <a:cubicBezTo>
                                      <a:pt x="205" y="169"/>
                                      <a:pt x="205" y="169"/>
                                      <a:pt x="205" y="169"/>
                                    </a:cubicBezTo>
                                    <a:cubicBezTo>
                                      <a:pt x="208" y="169"/>
                                      <a:pt x="210" y="171"/>
                                      <a:pt x="211" y="173"/>
                                    </a:cubicBezTo>
                                    <a:cubicBezTo>
                                      <a:pt x="224" y="210"/>
                                      <a:pt x="224" y="210"/>
                                      <a:pt x="224" y="210"/>
                                    </a:cubicBezTo>
                                    <a:cubicBezTo>
                                      <a:pt x="224" y="211"/>
                                      <a:pt x="225" y="212"/>
                                      <a:pt x="225" y="213"/>
                                    </a:cubicBezTo>
                                    <a:cubicBezTo>
                                      <a:pt x="225" y="217"/>
                                      <a:pt x="222" y="220"/>
                                      <a:pt x="218" y="220"/>
                                    </a:cubicBezTo>
                                    <a:cubicBezTo>
                                      <a:pt x="218" y="220"/>
                                      <a:pt x="218" y="220"/>
                                      <a:pt x="218" y="220"/>
                                    </a:cubicBezTo>
                                    <a:cubicBezTo>
                                      <a:pt x="203" y="220"/>
                                      <a:pt x="203" y="220"/>
                                      <a:pt x="203" y="220"/>
                                    </a:cubicBezTo>
                                    <a:cubicBezTo>
                                      <a:pt x="203" y="249"/>
                                      <a:pt x="203" y="249"/>
                                      <a:pt x="203" y="249"/>
                                    </a:cubicBezTo>
                                    <a:cubicBezTo>
                                      <a:pt x="203" y="253"/>
                                      <a:pt x="201" y="256"/>
                                      <a:pt x="198" y="257"/>
                                    </a:cubicBezTo>
                                    <a:cubicBezTo>
                                      <a:pt x="238" y="257"/>
                                      <a:pt x="238" y="257"/>
                                      <a:pt x="238" y="257"/>
                                    </a:cubicBezTo>
                                    <a:cubicBezTo>
                                      <a:pt x="243" y="257"/>
                                      <a:pt x="248" y="253"/>
                                      <a:pt x="248" y="247"/>
                                    </a:cubicBezTo>
                                    <a:cubicBezTo>
                                      <a:pt x="248" y="147"/>
                                      <a:pt x="248" y="147"/>
                                      <a:pt x="248" y="147"/>
                                    </a:cubicBezTo>
                                    <a:cubicBezTo>
                                      <a:pt x="279" y="147"/>
                                      <a:pt x="279" y="147"/>
                                      <a:pt x="279" y="147"/>
                                    </a:cubicBezTo>
                                    <a:cubicBezTo>
                                      <a:pt x="279" y="147"/>
                                      <a:pt x="279" y="147"/>
                                      <a:pt x="279" y="147"/>
                                    </a:cubicBezTo>
                                    <a:cubicBezTo>
                                      <a:pt x="282" y="147"/>
                                      <a:pt x="285" y="144"/>
                                      <a:pt x="285" y="140"/>
                                    </a:cubicBezTo>
                                    <a:cubicBezTo>
                                      <a:pt x="285" y="138"/>
                                      <a:pt x="284" y="135"/>
                                      <a:pt x="281" y="134"/>
                                    </a:cubicBezTo>
                                    <a:close/>
                                    <a:moveTo>
                                      <a:pt x="162" y="0"/>
                                    </a:moveTo>
                                    <a:cubicBezTo>
                                      <a:pt x="73" y="0"/>
                                      <a:pt x="0" y="72"/>
                                      <a:pt x="0" y="162"/>
                                    </a:cubicBezTo>
                                    <a:cubicBezTo>
                                      <a:pt x="0" y="251"/>
                                      <a:pt x="73" y="324"/>
                                      <a:pt x="162" y="324"/>
                                    </a:cubicBezTo>
                                    <a:cubicBezTo>
                                      <a:pt x="252" y="324"/>
                                      <a:pt x="324" y="251"/>
                                      <a:pt x="324" y="162"/>
                                    </a:cubicBezTo>
                                    <a:cubicBezTo>
                                      <a:pt x="324" y="72"/>
                                      <a:pt x="252" y="0"/>
                                      <a:pt x="162" y="0"/>
                                    </a:cubicBezTo>
                                    <a:close/>
                                    <a:moveTo>
                                      <a:pt x="162" y="13"/>
                                    </a:moveTo>
                                    <a:cubicBezTo>
                                      <a:pt x="244" y="13"/>
                                      <a:pt x="311" y="80"/>
                                      <a:pt x="311" y="162"/>
                                    </a:cubicBezTo>
                                    <a:cubicBezTo>
                                      <a:pt x="311" y="244"/>
                                      <a:pt x="244" y="311"/>
                                      <a:pt x="162" y="311"/>
                                    </a:cubicBezTo>
                                    <a:cubicBezTo>
                                      <a:pt x="80" y="311"/>
                                      <a:pt x="13" y="244"/>
                                      <a:pt x="13" y="162"/>
                                    </a:cubicBezTo>
                                    <a:cubicBezTo>
                                      <a:pt x="13" y="80"/>
                                      <a:pt x="80" y="13"/>
                                      <a:pt x="162" y="13"/>
                                    </a:cubicBezTo>
                                  </a:path>
                                </a:pathLst>
                              </a:custGeom>
                              <a:solidFill>
                                <a:schemeClr val="tx2"/>
                              </a:solidFill>
                              <a:ln w="9525">
                                <a:noFill/>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36E8C109" id="Freeform 32" o:spid="_x0000_s1026" alt="Title: Fixed line telephone services icon - Description: Fixed line telephone services icon &#10;" style="width:14.15pt;height:14.15pt;visibility:visible;mso-wrap-style:square;mso-left-percent:-10001;mso-top-percent:-10001;mso-position-horizontal:absolute;mso-position-horizontal-relative:char;mso-position-vertical:absolute;mso-position-vertical-relative:line;mso-left-percent:-10001;mso-top-percent:-10001;v-text-anchor:top" coordsize="32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" path="m194,161v-8,,-15,-6,-15,-15c179,138,186,131,194,131v9,,15,7,15,15c209,155,203,161,194,161xm125,161v-8,,-15,-6,-15,-15c110,138,117,131,125,131v9,,15,7,15,15c140,155,134,161,125,161xm281,134c166,59,166,59,166,59v-2,-1,-5,-1,-7,c116,87,116,87,116,87v,-23,,-23,,-23c116,61,113,58,109,58v-26,,-26,,-26,c80,58,77,61,77,64v,48,,48,,48c43,135,43,135,43,135v-3,2,-4,4,-3,7c41,145,43,147,46,147v31,,31,,31,c77,247,77,247,77,247v,6,4,10,10,10c121,257,121,257,121,257v-3,-1,-5,-4,-5,-8c116,220,116,220,116,220v-10,,-10,,-10,c102,220,100,217,100,213v,-38,,-38,,-38c100,172,102,169,106,169v38,,38,,38,c148,169,151,172,151,175v,38,,38,,38c151,217,148,220,144,220v-10,,-10,,-10,c134,249,134,249,134,249v,4,-2,7,-5,8c190,257,190,257,190,257v-3,-1,-5,-4,-5,-8c185,220,185,220,185,220v-15,,-15,,-15,c168,220,166,219,165,217v-2,-2,-2,-4,-1,-6c177,173,177,173,177,173v1,-2,3,-4,6,-4c205,169,205,169,205,169v3,,5,2,6,4c224,210,224,210,224,210v,1,1,2,1,3c225,217,222,220,218,220v,,,,,c203,220,203,220,203,220v,29,,29,,29c203,253,201,256,198,257v40,,40,,40,c243,257,248,253,248,247v,-100,,-100,,-100c279,147,279,147,279,147v,,,,,c282,147,285,144,285,140v,-2,-1,-5,-4,-6xm162,c73,,,72,,162v,89,73,162,162,162c252,324,324,251,324,162,324,72,252,,162,xm162,13v82,,149,67,149,149c311,244,244,311,162,311,80,311,13,244,13,162,13,80,80,13,162,13e" fillcolor="#a32020 [3215]" stroked="f">
                      <v:path arrowok="t" o:connecttype="custom" o:connectlocs="179,146;209,146;125,161;125,131;125,161;166,59;116,87;109,58;77,64;43,135;46,147;77,247;121,257;116,220;100,213;106,169;151,175;144,220;134,249;190,257;185,220;165,217;177,173;205,169;224,210;218,220;203,220;198,257;248,247;279,147;285,140;162,0;162,324;162,0;311,162;13,162" o:connectangles="0,0,0,0,0,0,0,0,0,0,0,0,0,0,0,0,0,0,0,0,0,0,0,0,0,0,0,0,0,0,0,0,0,0,0,0"/>
                      <o:lock v:ext="edit" verticies="t"/>
                      <w10:anchorlock/>
                    </v:shape>
                  </w:pict>
                </mc:Fallback>
              </mc:AlternateContent>
            </w:r>
          </w:p>
        </w:tc>
        <w:tc>
          <w:tcPr>
            <w:tcW w:w="680" w:type="dxa"/>
            <w:hideMark/>
          </w:tcPr>
          <w:p w14:paraId="03938B60" w14:textId="77777777" w:rsidR="00785790" w:rsidRPr="00582FBF" w:rsidRDefault="00785790" w:rsidP="00785790">
            <w:pPr>
              <w:pStyle w:val="TableTextNormal"/>
              <w:jc w:val="center"/>
              <w:rPr>
                <w:lang w:val="en-US"/>
              </w:rPr>
            </w:pPr>
          </w:p>
        </w:tc>
        <w:tc>
          <w:tcPr>
            <w:tcW w:w="680" w:type="dxa"/>
            <w:hideMark/>
          </w:tcPr>
          <w:p w14:paraId="4E568A1C" w14:textId="77777777" w:rsidR="00785790" w:rsidRPr="00582FBF" w:rsidRDefault="00785790" w:rsidP="00785790">
            <w:pPr>
              <w:pStyle w:val="TableTextNormal"/>
              <w:jc w:val="center"/>
              <w:rPr>
                <w:lang w:val="en-US"/>
              </w:rPr>
            </w:pPr>
          </w:p>
        </w:tc>
        <w:tc>
          <w:tcPr>
            <w:tcW w:w="680" w:type="dxa"/>
            <w:hideMark/>
          </w:tcPr>
          <w:p w14:paraId="68FD42C4" w14:textId="77777777" w:rsidR="00785790" w:rsidRPr="00582FBF" w:rsidRDefault="00785790" w:rsidP="00785790">
            <w:pPr>
              <w:pStyle w:val="TableTextNormal"/>
              <w:jc w:val="center"/>
              <w:rPr>
                <w:lang w:val="en-US"/>
              </w:rPr>
            </w:pPr>
          </w:p>
        </w:tc>
        <w:tc>
          <w:tcPr>
            <w:tcW w:w="680" w:type="dxa"/>
            <w:hideMark/>
          </w:tcPr>
          <w:p w14:paraId="56F736F0" w14:textId="156BC840" w:rsidR="00785790" w:rsidRPr="00582FBF" w:rsidRDefault="00785790" w:rsidP="00785790">
            <w:pPr>
              <w:pStyle w:val="TableTextNormal"/>
              <w:jc w:val="center"/>
              <w:rPr>
                <w:lang w:val="en-US"/>
              </w:rPr>
            </w:pPr>
            <w:r w:rsidRPr="000C5FAD">
              <w:rPr>
                <w:noProof/>
                <w:lang w:eastAsia="en-AU"/>
              </w:rPr>
              <mc:AlternateContent>
                <mc:Choice Requires="wps">
                  <w:drawing>
                    <wp:inline distT="0" distB="0" distL="0" distR="0" wp14:anchorId="62EDFE7D" wp14:editId="5F48E6F0">
                      <wp:extent cx="180000" cy="180000"/>
                      <wp:effectExtent l="0" t="0" r="0" b="0"/>
                      <wp:docPr id="8" name="Freeform 32" descr="Fixed line telephone services icon &#10;" title="Fixed line telephone services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80000" cy="180000"/>
                              </a:xfrm>
                              <a:custGeom>
                                <a:avLst/>
                                <a:gdLst/>
                                <a:ahLst/>
                                <a:cxnLst>
                                  <a:cxn ang="0">
                                    <a:pos x="179" y="146"/>
                                  </a:cxn>
                                  <a:cxn ang="0">
                                    <a:pos x="209" y="146"/>
                                  </a:cxn>
                                  <a:cxn ang="0">
                                    <a:pos x="125" y="161"/>
                                  </a:cxn>
                                  <a:cxn ang="0">
                                    <a:pos x="125" y="131"/>
                                  </a:cxn>
                                  <a:cxn ang="0">
                                    <a:pos x="125" y="161"/>
                                  </a:cxn>
                                  <a:cxn ang="0">
                                    <a:pos x="166" y="59"/>
                                  </a:cxn>
                                  <a:cxn ang="0">
                                    <a:pos x="116" y="87"/>
                                  </a:cxn>
                                  <a:cxn ang="0">
                                    <a:pos x="109" y="58"/>
                                  </a:cxn>
                                  <a:cxn ang="0">
                                    <a:pos x="77" y="64"/>
                                  </a:cxn>
                                  <a:cxn ang="0">
                                    <a:pos x="43" y="135"/>
                                  </a:cxn>
                                  <a:cxn ang="0">
                                    <a:pos x="46" y="147"/>
                                  </a:cxn>
                                  <a:cxn ang="0">
                                    <a:pos x="77" y="247"/>
                                  </a:cxn>
                                  <a:cxn ang="0">
                                    <a:pos x="121" y="257"/>
                                  </a:cxn>
                                  <a:cxn ang="0">
                                    <a:pos x="116" y="220"/>
                                  </a:cxn>
                                  <a:cxn ang="0">
                                    <a:pos x="100" y="213"/>
                                  </a:cxn>
                                  <a:cxn ang="0">
                                    <a:pos x="106" y="169"/>
                                  </a:cxn>
                                  <a:cxn ang="0">
                                    <a:pos x="151" y="175"/>
                                  </a:cxn>
                                  <a:cxn ang="0">
                                    <a:pos x="144" y="220"/>
                                  </a:cxn>
                                  <a:cxn ang="0">
                                    <a:pos x="134" y="249"/>
                                  </a:cxn>
                                  <a:cxn ang="0">
                                    <a:pos x="190" y="257"/>
                                  </a:cxn>
                                  <a:cxn ang="0">
                                    <a:pos x="185" y="220"/>
                                  </a:cxn>
                                  <a:cxn ang="0">
                                    <a:pos x="165" y="217"/>
                                  </a:cxn>
                                  <a:cxn ang="0">
                                    <a:pos x="177" y="173"/>
                                  </a:cxn>
                                  <a:cxn ang="0">
                                    <a:pos x="205" y="169"/>
                                  </a:cxn>
                                  <a:cxn ang="0">
                                    <a:pos x="224" y="210"/>
                                  </a:cxn>
                                  <a:cxn ang="0">
                                    <a:pos x="218" y="220"/>
                                  </a:cxn>
                                  <a:cxn ang="0">
                                    <a:pos x="203" y="220"/>
                                  </a:cxn>
                                  <a:cxn ang="0">
                                    <a:pos x="198" y="257"/>
                                  </a:cxn>
                                  <a:cxn ang="0">
                                    <a:pos x="248" y="247"/>
                                  </a:cxn>
                                  <a:cxn ang="0">
                                    <a:pos x="279" y="147"/>
                                  </a:cxn>
                                  <a:cxn ang="0">
                                    <a:pos x="285" y="140"/>
                                  </a:cxn>
                                  <a:cxn ang="0">
                                    <a:pos x="162" y="0"/>
                                  </a:cxn>
                                  <a:cxn ang="0">
                                    <a:pos x="162" y="324"/>
                                  </a:cxn>
                                  <a:cxn ang="0">
                                    <a:pos x="162" y="0"/>
                                  </a:cxn>
                                  <a:cxn ang="0">
                                    <a:pos x="311" y="162"/>
                                  </a:cxn>
                                  <a:cxn ang="0">
                                    <a:pos x="13" y="162"/>
                                  </a:cxn>
                                </a:cxnLst>
                                <a:rect l="0" t="0" r="r" b="b"/>
                                <a:pathLst>
                                  <a:path w="324" h="324">
                                    <a:moveTo>
                                      <a:pt x="194" y="161"/>
                                    </a:moveTo>
                                    <a:cubicBezTo>
                                      <a:pt x="186" y="161"/>
                                      <a:pt x="179" y="155"/>
                                      <a:pt x="179" y="146"/>
                                    </a:cubicBezTo>
                                    <a:cubicBezTo>
                                      <a:pt x="179" y="138"/>
                                      <a:pt x="186" y="131"/>
                                      <a:pt x="194" y="131"/>
                                    </a:cubicBezTo>
                                    <a:cubicBezTo>
                                      <a:pt x="203" y="131"/>
                                      <a:pt x="209" y="138"/>
                                      <a:pt x="209" y="146"/>
                                    </a:cubicBezTo>
                                    <a:cubicBezTo>
                                      <a:pt x="209" y="155"/>
                                      <a:pt x="203" y="161"/>
                                      <a:pt x="194" y="161"/>
                                    </a:cubicBezTo>
                                    <a:close/>
                                    <a:moveTo>
                                      <a:pt x="125" y="161"/>
                                    </a:moveTo>
                                    <a:cubicBezTo>
                                      <a:pt x="117" y="161"/>
                                      <a:pt x="110" y="155"/>
                                      <a:pt x="110" y="146"/>
                                    </a:cubicBezTo>
                                    <a:cubicBezTo>
                                      <a:pt x="110" y="138"/>
                                      <a:pt x="117" y="131"/>
                                      <a:pt x="125" y="131"/>
                                    </a:cubicBezTo>
                                    <a:cubicBezTo>
                                      <a:pt x="134" y="131"/>
                                      <a:pt x="140" y="138"/>
                                      <a:pt x="140" y="146"/>
                                    </a:cubicBezTo>
                                    <a:cubicBezTo>
                                      <a:pt x="140" y="155"/>
                                      <a:pt x="134" y="161"/>
                                      <a:pt x="125" y="161"/>
                                    </a:cubicBezTo>
                                    <a:close/>
                                    <a:moveTo>
                                      <a:pt x="281" y="134"/>
                                    </a:moveTo>
                                    <a:cubicBezTo>
                                      <a:pt x="166" y="59"/>
                                      <a:pt x="166" y="59"/>
                                      <a:pt x="166" y="59"/>
                                    </a:cubicBezTo>
                                    <a:cubicBezTo>
                                      <a:pt x="164" y="58"/>
                                      <a:pt x="161" y="58"/>
                                      <a:pt x="159" y="59"/>
                                    </a:cubicBezTo>
                                    <a:cubicBezTo>
                                      <a:pt x="116" y="87"/>
                                      <a:pt x="116" y="87"/>
                                      <a:pt x="116" y="87"/>
                                    </a:cubicBezTo>
                                    <a:cubicBezTo>
                                      <a:pt x="116" y="64"/>
                                      <a:pt x="116" y="64"/>
                                      <a:pt x="116" y="64"/>
                                    </a:cubicBezTo>
                                    <a:cubicBezTo>
                                      <a:pt x="116" y="61"/>
                                      <a:pt x="113" y="58"/>
                                      <a:pt x="109" y="58"/>
                                    </a:cubicBezTo>
                                    <a:cubicBezTo>
                                      <a:pt x="83" y="58"/>
                                      <a:pt x="83" y="58"/>
                                      <a:pt x="83" y="58"/>
                                    </a:cubicBezTo>
                                    <a:cubicBezTo>
                                      <a:pt x="80" y="58"/>
                                      <a:pt x="77" y="61"/>
                                      <a:pt x="77" y="64"/>
                                    </a:cubicBezTo>
                                    <a:cubicBezTo>
                                      <a:pt x="77" y="112"/>
                                      <a:pt x="77" y="112"/>
                                      <a:pt x="77" y="112"/>
                                    </a:cubicBezTo>
                                    <a:cubicBezTo>
                                      <a:pt x="43" y="135"/>
                                      <a:pt x="43" y="135"/>
                                      <a:pt x="43" y="135"/>
                                    </a:cubicBezTo>
                                    <a:cubicBezTo>
                                      <a:pt x="40" y="137"/>
                                      <a:pt x="39" y="139"/>
                                      <a:pt x="40" y="142"/>
                                    </a:cubicBezTo>
                                    <a:cubicBezTo>
                                      <a:pt x="41" y="145"/>
                                      <a:pt x="43" y="147"/>
                                      <a:pt x="46" y="147"/>
                                    </a:cubicBezTo>
                                    <a:cubicBezTo>
                                      <a:pt x="77" y="147"/>
                                      <a:pt x="77" y="147"/>
                                      <a:pt x="77" y="147"/>
                                    </a:cubicBezTo>
                                    <a:cubicBezTo>
                                      <a:pt x="77" y="247"/>
                                      <a:pt x="77" y="247"/>
                                      <a:pt x="77" y="247"/>
                                    </a:cubicBezTo>
                                    <a:cubicBezTo>
                                      <a:pt x="77" y="253"/>
                                      <a:pt x="81" y="257"/>
                                      <a:pt x="87" y="257"/>
                                    </a:cubicBezTo>
                                    <a:cubicBezTo>
                                      <a:pt x="121" y="257"/>
                                      <a:pt x="121" y="257"/>
                                      <a:pt x="121" y="257"/>
                                    </a:cubicBezTo>
                                    <a:cubicBezTo>
                                      <a:pt x="118" y="256"/>
                                      <a:pt x="116" y="253"/>
                                      <a:pt x="116" y="249"/>
                                    </a:cubicBezTo>
                                    <a:cubicBezTo>
                                      <a:pt x="116" y="220"/>
                                      <a:pt x="116" y="220"/>
                                      <a:pt x="116" y="220"/>
                                    </a:cubicBezTo>
                                    <a:cubicBezTo>
                                      <a:pt x="106" y="220"/>
                                      <a:pt x="106" y="220"/>
                                      <a:pt x="106" y="220"/>
                                    </a:cubicBezTo>
                                    <a:cubicBezTo>
                                      <a:pt x="102" y="220"/>
                                      <a:pt x="100" y="217"/>
                                      <a:pt x="100" y="213"/>
                                    </a:cubicBezTo>
                                    <a:cubicBezTo>
                                      <a:pt x="100" y="175"/>
                                      <a:pt x="100" y="175"/>
                                      <a:pt x="100" y="175"/>
                                    </a:cubicBezTo>
                                    <a:cubicBezTo>
                                      <a:pt x="100" y="172"/>
                                      <a:pt x="102" y="169"/>
                                      <a:pt x="106" y="169"/>
                                    </a:cubicBezTo>
                                    <a:cubicBezTo>
                                      <a:pt x="144" y="169"/>
                                      <a:pt x="144" y="169"/>
                                      <a:pt x="144" y="169"/>
                                    </a:cubicBezTo>
                                    <a:cubicBezTo>
                                      <a:pt x="148" y="169"/>
                                      <a:pt x="151" y="172"/>
                                      <a:pt x="151" y="175"/>
                                    </a:cubicBezTo>
                                    <a:cubicBezTo>
                                      <a:pt x="151" y="213"/>
                                      <a:pt x="151" y="213"/>
                                      <a:pt x="151" y="213"/>
                                    </a:cubicBezTo>
                                    <a:cubicBezTo>
                                      <a:pt x="151" y="217"/>
                                      <a:pt x="148" y="220"/>
                                      <a:pt x="144" y="220"/>
                                    </a:cubicBezTo>
                                    <a:cubicBezTo>
                                      <a:pt x="134" y="220"/>
                                      <a:pt x="134" y="220"/>
                                      <a:pt x="134" y="220"/>
                                    </a:cubicBezTo>
                                    <a:cubicBezTo>
                                      <a:pt x="134" y="249"/>
                                      <a:pt x="134" y="249"/>
                                      <a:pt x="134" y="249"/>
                                    </a:cubicBezTo>
                                    <a:cubicBezTo>
                                      <a:pt x="134" y="253"/>
                                      <a:pt x="132" y="256"/>
                                      <a:pt x="129" y="257"/>
                                    </a:cubicBezTo>
                                    <a:cubicBezTo>
                                      <a:pt x="190" y="257"/>
                                      <a:pt x="190" y="257"/>
                                      <a:pt x="190" y="257"/>
                                    </a:cubicBezTo>
                                    <a:cubicBezTo>
                                      <a:pt x="187" y="256"/>
                                      <a:pt x="185" y="253"/>
                                      <a:pt x="185" y="249"/>
                                    </a:cubicBezTo>
                                    <a:cubicBezTo>
                                      <a:pt x="185" y="220"/>
                                      <a:pt x="185" y="220"/>
                                      <a:pt x="185" y="220"/>
                                    </a:cubicBezTo>
                                    <a:cubicBezTo>
                                      <a:pt x="170" y="220"/>
                                      <a:pt x="170" y="220"/>
                                      <a:pt x="170" y="220"/>
                                    </a:cubicBezTo>
                                    <a:cubicBezTo>
                                      <a:pt x="168" y="220"/>
                                      <a:pt x="166" y="219"/>
                                      <a:pt x="165" y="217"/>
                                    </a:cubicBezTo>
                                    <a:cubicBezTo>
                                      <a:pt x="163" y="215"/>
                                      <a:pt x="163" y="213"/>
                                      <a:pt x="164" y="211"/>
                                    </a:cubicBezTo>
                                    <a:cubicBezTo>
                                      <a:pt x="177" y="173"/>
                                      <a:pt x="177" y="173"/>
                                      <a:pt x="177" y="173"/>
                                    </a:cubicBezTo>
                                    <a:cubicBezTo>
                                      <a:pt x="178" y="171"/>
                                      <a:pt x="180" y="169"/>
                                      <a:pt x="183" y="169"/>
                                    </a:cubicBezTo>
                                    <a:cubicBezTo>
                                      <a:pt x="205" y="169"/>
                                      <a:pt x="205" y="169"/>
                                      <a:pt x="205" y="169"/>
                                    </a:cubicBezTo>
                                    <a:cubicBezTo>
                                      <a:pt x="208" y="169"/>
                                      <a:pt x="210" y="171"/>
                                      <a:pt x="211" y="173"/>
                                    </a:cubicBezTo>
                                    <a:cubicBezTo>
                                      <a:pt x="224" y="210"/>
                                      <a:pt x="224" y="210"/>
                                      <a:pt x="224" y="210"/>
                                    </a:cubicBezTo>
                                    <a:cubicBezTo>
                                      <a:pt x="224" y="211"/>
                                      <a:pt x="225" y="212"/>
                                      <a:pt x="225" y="213"/>
                                    </a:cubicBezTo>
                                    <a:cubicBezTo>
                                      <a:pt x="225" y="217"/>
                                      <a:pt x="222" y="220"/>
                                      <a:pt x="218" y="220"/>
                                    </a:cubicBezTo>
                                    <a:cubicBezTo>
                                      <a:pt x="218" y="220"/>
                                      <a:pt x="218" y="220"/>
                                      <a:pt x="218" y="220"/>
                                    </a:cubicBezTo>
                                    <a:cubicBezTo>
                                      <a:pt x="203" y="220"/>
                                      <a:pt x="203" y="220"/>
                                      <a:pt x="203" y="220"/>
                                    </a:cubicBezTo>
                                    <a:cubicBezTo>
                                      <a:pt x="203" y="249"/>
                                      <a:pt x="203" y="249"/>
                                      <a:pt x="203" y="249"/>
                                    </a:cubicBezTo>
                                    <a:cubicBezTo>
                                      <a:pt x="203" y="253"/>
                                      <a:pt x="201" y="256"/>
                                      <a:pt x="198" y="257"/>
                                    </a:cubicBezTo>
                                    <a:cubicBezTo>
                                      <a:pt x="238" y="257"/>
                                      <a:pt x="238" y="257"/>
                                      <a:pt x="238" y="257"/>
                                    </a:cubicBezTo>
                                    <a:cubicBezTo>
                                      <a:pt x="243" y="257"/>
                                      <a:pt x="248" y="253"/>
                                      <a:pt x="248" y="247"/>
                                    </a:cubicBezTo>
                                    <a:cubicBezTo>
                                      <a:pt x="248" y="147"/>
                                      <a:pt x="248" y="147"/>
                                      <a:pt x="248" y="147"/>
                                    </a:cubicBezTo>
                                    <a:cubicBezTo>
                                      <a:pt x="279" y="147"/>
                                      <a:pt x="279" y="147"/>
                                      <a:pt x="279" y="147"/>
                                    </a:cubicBezTo>
                                    <a:cubicBezTo>
                                      <a:pt x="279" y="147"/>
                                      <a:pt x="279" y="147"/>
                                      <a:pt x="279" y="147"/>
                                    </a:cubicBezTo>
                                    <a:cubicBezTo>
                                      <a:pt x="282" y="147"/>
                                      <a:pt x="285" y="144"/>
                                      <a:pt x="285" y="140"/>
                                    </a:cubicBezTo>
                                    <a:cubicBezTo>
                                      <a:pt x="285" y="138"/>
                                      <a:pt x="284" y="135"/>
                                      <a:pt x="281" y="134"/>
                                    </a:cubicBezTo>
                                    <a:close/>
                                    <a:moveTo>
                                      <a:pt x="162" y="0"/>
                                    </a:moveTo>
                                    <a:cubicBezTo>
                                      <a:pt x="73" y="0"/>
                                      <a:pt x="0" y="72"/>
                                      <a:pt x="0" y="162"/>
                                    </a:cubicBezTo>
                                    <a:cubicBezTo>
                                      <a:pt x="0" y="251"/>
                                      <a:pt x="73" y="324"/>
                                      <a:pt x="162" y="324"/>
                                    </a:cubicBezTo>
                                    <a:cubicBezTo>
                                      <a:pt x="252" y="324"/>
                                      <a:pt x="324" y="251"/>
                                      <a:pt x="324" y="162"/>
                                    </a:cubicBezTo>
                                    <a:cubicBezTo>
                                      <a:pt x="324" y="72"/>
                                      <a:pt x="252" y="0"/>
                                      <a:pt x="162" y="0"/>
                                    </a:cubicBezTo>
                                    <a:close/>
                                    <a:moveTo>
                                      <a:pt x="162" y="13"/>
                                    </a:moveTo>
                                    <a:cubicBezTo>
                                      <a:pt x="244" y="13"/>
                                      <a:pt x="311" y="80"/>
                                      <a:pt x="311" y="162"/>
                                    </a:cubicBezTo>
                                    <a:cubicBezTo>
                                      <a:pt x="311" y="244"/>
                                      <a:pt x="244" y="311"/>
                                      <a:pt x="162" y="311"/>
                                    </a:cubicBezTo>
                                    <a:cubicBezTo>
                                      <a:pt x="80" y="311"/>
                                      <a:pt x="13" y="244"/>
                                      <a:pt x="13" y="162"/>
                                    </a:cubicBezTo>
                                    <a:cubicBezTo>
                                      <a:pt x="13" y="80"/>
                                      <a:pt x="80" y="13"/>
                                      <a:pt x="162" y="13"/>
                                    </a:cubicBezTo>
                                  </a:path>
                                </a:pathLst>
                              </a:custGeom>
                              <a:solidFill>
                                <a:schemeClr val="tx2"/>
                              </a:solidFill>
                              <a:ln w="9525">
                                <a:noFill/>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685ED175" id="Freeform 32" o:spid="_x0000_s1026" alt="Title: Fixed line telephone services icon - Description: Fixed line telephone services icon &#10;" style="width:14.15pt;height:14.15pt;visibility:visible;mso-wrap-style:square;mso-left-percent:-10001;mso-top-percent:-10001;mso-position-horizontal:absolute;mso-position-horizontal-relative:char;mso-position-vertical:absolute;mso-position-vertical-relative:line;mso-left-percent:-10001;mso-top-percent:-10001;v-text-anchor:top" coordsize="32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" path="m194,161v-8,,-15,-6,-15,-15c179,138,186,131,194,131v9,,15,7,15,15c209,155,203,161,194,161xm125,161v-8,,-15,-6,-15,-15c110,138,117,131,125,131v9,,15,7,15,15c140,155,134,161,125,161xm281,134c166,59,166,59,166,59v-2,-1,-5,-1,-7,c116,87,116,87,116,87v,-23,,-23,,-23c116,61,113,58,109,58v-26,,-26,,-26,c80,58,77,61,77,64v,48,,48,,48c43,135,43,135,43,135v-3,2,-4,4,-3,7c41,145,43,147,46,147v31,,31,,31,c77,247,77,247,77,247v,6,4,10,10,10c121,257,121,257,121,257v-3,-1,-5,-4,-5,-8c116,220,116,220,116,220v-10,,-10,,-10,c102,220,100,217,100,213v,-38,,-38,,-38c100,172,102,169,106,169v38,,38,,38,c148,169,151,172,151,175v,38,,38,,38c151,217,148,220,144,220v-10,,-10,,-10,c134,249,134,249,134,249v,4,-2,7,-5,8c190,257,190,257,190,257v-3,-1,-5,-4,-5,-8c185,220,185,220,185,220v-15,,-15,,-15,c168,220,166,219,165,217v-2,-2,-2,-4,-1,-6c177,173,177,173,177,173v1,-2,3,-4,6,-4c205,169,205,169,205,169v3,,5,2,6,4c224,210,224,210,224,210v,1,1,2,1,3c225,217,222,220,218,220v,,,,,c203,220,203,220,203,220v,29,,29,,29c203,253,201,256,198,257v40,,40,,40,c243,257,248,253,248,247v,-100,,-100,,-100c279,147,279,147,279,147v,,,,,c282,147,285,144,285,140v,-2,-1,-5,-4,-6xm162,c73,,,72,,162v,89,73,162,162,162c252,324,324,251,324,162,324,72,252,,162,xm162,13v82,,149,67,149,149c311,244,244,311,162,311,80,311,13,244,13,162,13,80,80,13,162,13e" fillcolor="#a32020 [3215]" stroked="f">
                      <v:path arrowok="t" o:connecttype="custom" o:connectlocs="179,146;209,146;125,161;125,131;125,161;166,59;116,87;109,58;77,64;43,135;46,147;77,247;121,257;116,220;100,213;106,169;151,175;144,220;134,249;190,257;185,220;165,217;177,173;205,169;224,210;218,220;203,220;198,257;248,247;279,147;285,140;162,0;162,324;162,0;311,162;13,162" o:connectangles="0,0,0,0,0,0,0,0,0,0,0,0,0,0,0,0,0,0,0,0,0,0,0,0,0,0,0,0,0,0,0,0,0,0,0,0"/>
                      <o:lock v:ext="edit" verticies="t"/>
                      <w10:anchorlock/>
                    </v:shape>
                  </w:pict>
                </mc:Fallback>
              </mc:AlternateContent>
            </w:r>
          </w:p>
        </w:tc>
        <w:tc>
          <w:tcPr>
            <w:tcW w:w="680" w:type="dxa"/>
            <w:hideMark/>
          </w:tcPr>
          <w:p w14:paraId="650377F1" w14:textId="77777777" w:rsidR="00785790" w:rsidRPr="00582FBF" w:rsidRDefault="00785790" w:rsidP="00785790">
            <w:pPr>
              <w:pStyle w:val="TableTextNormal"/>
              <w:jc w:val="center"/>
              <w:rPr>
                <w:lang w:val="en-US"/>
              </w:rPr>
            </w:pPr>
          </w:p>
        </w:tc>
      </w:tr>
      <w:tr w:rsidR="00785790" w:rsidRPr="00582FBF" w14:paraId="3375D971" w14:textId="77777777" w:rsidTr="00582FBF">
        <w:trPr>
          <w:trHeight w:val="564"/>
        </w:trPr>
        <w:tc>
          <w:tcPr>
            <w:tcW w:w="3654" w:type="dxa"/>
            <w:hideMark/>
          </w:tcPr>
          <w:p w14:paraId="6A731D5B" w14:textId="77777777" w:rsidR="00785790" w:rsidRPr="00582FBF" w:rsidRDefault="00785790" w:rsidP="00785790">
            <w:pPr>
              <w:pStyle w:val="TableTextNormal"/>
              <w:rPr>
                <w:lang w:val="en-US"/>
              </w:rPr>
            </w:pPr>
            <w:r w:rsidRPr="00582FBF">
              <w:t>Call success rate</w:t>
            </w:r>
          </w:p>
        </w:tc>
        <w:tc>
          <w:tcPr>
            <w:tcW w:w="680" w:type="dxa"/>
            <w:hideMark/>
          </w:tcPr>
          <w:p w14:paraId="5D3A26DD" w14:textId="77777777" w:rsidR="00785790" w:rsidRPr="00582FBF" w:rsidRDefault="00785790" w:rsidP="00785790">
            <w:pPr>
              <w:pStyle w:val="TableTextNormal"/>
              <w:jc w:val="center"/>
              <w:rPr>
                <w:lang w:val="en-US"/>
              </w:rPr>
            </w:pPr>
          </w:p>
        </w:tc>
        <w:tc>
          <w:tcPr>
            <w:tcW w:w="680" w:type="dxa"/>
            <w:hideMark/>
          </w:tcPr>
          <w:p w14:paraId="1AF1E153" w14:textId="77777777" w:rsidR="00785790" w:rsidRPr="00582FBF" w:rsidRDefault="00785790" w:rsidP="00785790">
            <w:pPr>
              <w:pStyle w:val="TableTextNormal"/>
              <w:jc w:val="center"/>
              <w:rPr>
                <w:lang w:val="en-US"/>
              </w:rPr>
            </w:pPr>
          </w:p>
        </w:tc>
        <w:tc>
          <w:tcPr>
            <w:tcW w:w="680" w:type="dxa"/>
            <w:hideMark/>
          </w:tcPr>
          <w:p w14:paraId="4C5DFC5A" w14:textId="008E6A5B" w:rsidR="00785790" w:rsidRPr="00582FBF" w:rsidRDefault="00785790" w:rsidP="00785790">
            <w:pPr>
              <w:pStyle w:val="TableTextNormal"/>
              <w:jc w:val="center"/>
              <w:rPr>
                <w:lang w:val="en-US"/>
              </w:rPr>
            </w:pPr>
            <w:r w:rsidRPr="00DB655E">
              <w:rPr>
                <w:noProof/>
                <w:lang w:eastAsia="en-AU"/>
              </w:rPr>
              <mc:AlternateContent>
                <mc:Choice Requires="wps">
                  <w:drawing>
                    <wp:inline distT="0" distB="0" distL="0" distR="0" wp14:anchorId="7292DEFA" wp14:editId="07810653">
                      <wp:extent cx="180000" cy="180000"/>
                      <wp:effectExtent l="0" t="0" r="0" b="0"/>
                      <wp:docPr id="9" name="Freeform 32" descr="Fixed line telephone services icon &#10;" title="Fixed line telephone services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80000" cy="180000"/>
                              </a:xfrm>
                              <a:custGeom>
                                <a:avLst/>
                                <a:gdLst/>
                                <a:ahLst/>
                                <a:cxnLst>
                                  <a:cxn ang="0">
                                    <a:pos x="179" y="146"/>
                                  </a:cxn>
                                  <a:cxn ang="0">
                                    <a:pos x="209" y="146"/>
                                  </a:cxn>
                                  <a:cxn ang="0">
                                    <a:pos x="125" y="161"/>
                                  </a:cxn>
                                  <a:cxn ang="0">
                                    <a:pos x="125" y="131"/>
                                  </a:cxn>
                                  <a:cxn ang="0">
                                    <a:pos x="125" y="161"/>
                                  </a:cxn>
                                  <a:cxn ang="0">
                                    <a:pos x="166" y="59"/>
                                  </a:cxn>
                                  <a:cxn ang="0">
                                    <a:pos x="116" y="87"/>
                                  </a:cxn>
                                  <a:cxn ang="0">
                                    <a:pos x="109" y="58"/>
                                  </a:cxn>
                                  <a:cxn ang="0">
                                    <a:pos x="77" y="64"/>
                                  </a:cxn>
                                  <a:cxn ang="0">
                                    <a:pos x="43" y="135"/>
                                  </a:cxn>
                                  <a:cxn ang="0">
                                    <a:pos x="46" y="147"/>
                                  </a:cxn>
                                  <a:cxn ang="0">
                                    <a:pos x="77" y="247"/>
                                  </a:cxn>
                                  <a:cxn ang="0">
                                    <a:pos x="121" y="257"/>
                                  </a:cxn>
                                  <a:cxn ang="0">
                                    <a:pos x="116" y="220"/>
                                  </a:cxn>
                                  <a:cxn ang="0">
                                    <a:pos x="100" y="213"/>
                                  </a:cxn>
                                  <a:cxn ang="0">
                                    <a:pos x="106" y="169"/>
                                  </a:cxn>
                                  <a:cxn ang="0">
                                    <a:pos x="151" y="175"/>
                                  </a:cxn>
                                  <a:cxn ang="0">
                                    <a:pos x="144" y="220"/>
                                  </a:cxn>
                                  <a:cxn ang="0">
                                    <a:pos x="134" y="249"/>
                                  </a:cxn>
                                  <a:cxn ang="0">
                                    <a:pos x="190" y="257"/>
                                  </a:cxn>
                                  <a:cxn ang="0">
                                    <a:pos x="185" y="220"/>
                                  </a:cxn>
                                  <a:cxn ang="0">
                                    <a:pos x="165" y="217"/>
                                  </a:cxn>
                                  <a:cxn ang="0">
                                    <a:pos x="177" y="173"/>
                                  </a:cxn>
                                  <a:cxn ang="0">
                                    <a:pos x="205" y="169"/>
                                  </a:cxn>
                                  <a:cxn ang="0">
                                    <a:pos x="224" y="210"/>
                                  </a:cxn>
                                  <a:cxn ang="0">
                                    <a:pos x="218" y="220"/>
                                  </a:cxn>
                                  <a:cxn ang="0">
                                    <a:pos x="203" y="220"/>
                                  </a:cxn>
                                  <a:cxn ang="0">
                                    <a:pos x="198" y="257"/>
                                  </a:cxn>
                                  <a:cxn ang="0">
                                    <a:pos x="248" y="247"/>
                                  </a:cxn>
                                  <a:cxn ang="0">
                                    <a:pos x="279" y="147"/>
                                  </a:cxn>
                                  <a:cxn ang="0">
                                    <a:pos x="285" y="140"/>
                                  </a:cxn>
                                  <a:cxn ang="0">
                                    <a:pos x="162" y="0"/>
                                  </a:cxn>
                                  <a:cxn ang="0">
                                    <a:pos x="162" y="324"/>
                                  </a:cxn>
                                  <a:cxn ang="0">
                                    <a:pos x="162" y="0"/>
                                  </a:cxn>
                                  <a:cxn ang="0">
                                    <a:pos x="311" y="162"/>
                                  </a:cxn>
                                  <a:cxn ang="0">
                                    <a:pos x="13" y="162"/>
                                  </a:cxn>
                                </a:cxnLst>
                                <a:rect l="0" t="0" r="r" b="b"/>
                                <a:pathLst>
                                  <a:path w="324" h="324">
                                    <a:moveTo>
                                      <a:pt x="194" y="161"/>
                                    </a:moveTo>
                                    <a:cubicBezTo>
                                      <a:pt x="186" y="161"/>
                                      <a:pt x="179" y="155"/>
                                      <a:pt x="179" y="146"/>
                                    </a:cubicBezTo>
                                    <a:cubicBezTo>
                                      <a:pt x="179" y="138"/>
                                      <a:pt x="186" y="131"/>
                                      <a:pt x="194" y="131"/>
                                    </a:cubicBezTo>
                                    <a:cubicBezTo>
                                      <a:pt x="203" y="131"/>
                                      <a:pt x="209" y="138"/>
                                      <a:pt x="209" y="146"/>
                                    </a:cubicBezTo>
                                    <a:cubicBezTo>
                                      <a:pt x="209" y="155"/>
                                      <a:pt x="203" y="161"/>
                                      <a:pt x="194" y="161"/>
                                    </a:cubicBezTo>
                                    <a:close/>
                                    <a:moveTo>
                                      <a:pt x="125" y="161"/>
                                    </a:moveTo>
                                    <a:cubicBezTo>
                                      <a:pt x="117" y="161"/>
                                      <a:pt x="110" y="155"/>
                                      <a:pt x="110" y="146"/>
                                    </a:cubicBezTo>
                                    <a:cubicBezTo>
                                      <a:pt x="110" y="138"/>
                                      <a:pt x="117" y="131"/>
                                      <a:pt x="125" y="131"/>
                                    </a:cubicBezTo>
                                    <a:cubicBezTo>
                                      <a:pt x="134" y="131"/>
                                      <a:pt x="140" y="138"/>
                                      <a:pt x="140" y="146"/>
                                    </a:cubicBezTo>
                                    <a:cubicBezTo>
                                      <a:pt x="140" y="155"/>
                                      <a:pt x="134" y="161"/>
                                      <a:pt x="125" y="161"/>
                                    </a:cubicBezTo>
                                    <a:close/>
                                    <a:moveTo>
                                      <a:pt x="281" y="134"/>
                                    </a:moveTo>
                                    <a:cubicBezTo>
                                      <a:pt x="166" y="59"/>
                                      <a:pt x="166" y="59"/>
                                      <a:pt x="166" y="59"/>
                                    </a:cubicBezTo>
                                    <a:cubicBezTo>
                                      <a:pt x="164" y="58"/>
                                      <a:pt x="161" y="58"/>
                                      <a:pt x="159" y="59"/>
                                    </a:cubicBezTo>
                                    <a:cubicBezTo>
                                      <a:pt x="116" y="87"/>
                                      <a:pt x="116" y="87"/>
                                      <a:pt x="116" y="87"/>
                                    </a:cubicBezTo>
                                    <a:cubicBezTo>
                                      <a:pt x="116" y="64"/>
                                      <a:pt x="116" y="64"/>
                                      <a:pt x="116" y="64"/>
                                    </a:cubicBezTo>
                                    <a:cubicBezTo>
                                      <a:pt x="116" y="61"/>
                                      <a:pt x="113" y="58"/>
                                      <a:pt x="109" y="58"/>
                                    </a:cubicBezTo>
                                    <a:cubicBezTo>
                                      <a:pt x="83" y="58"/>
                                      <a:pt x="83" y="58"/>
                                      <a:pt x="83" y="58"/>
                                    </a:cubicBezTo>
                                    <a:cubicBezTo>
                                      <a:pt x="80" y="58"/>
                                      <a:pt x="77" y="61"/>
                                      <a:pt x="77" y="64"/>
                                    </a:cubicBezTo>
                                    <a:cubicBezTo>
                                      <a:pt x="77" y="112"/>
                                      <a:pt x="77" y="112"/>
                                      <a:pt x="77" y="112"/>
                                    </a:cubicBezTo>
                                    <a:cubicBezTo>
                                      <a:pt x="43" y="135"/>
                                      <a:pt x="43" y="135"/>
                                      <a:pt x="43" y="135"/>
                                    </a:cubicBezTo>
                                    <a:cubicBezTo>
                                      <a:pt x="40" y="137"/>
                                      <a:pt x="39" y="139"/>
                                      <a:pt x="40" y="142"/>
                                    </a:cubicBezTo>
                                    <a:cubicBezTo>
                                      <a:pt x="41" y="145"/>
                                      <a:pt x="43" y="147"/>
                                      <a:pt x="46" y="147"/>
                                    </a:cubicBezTo>
                                    <a:cubicBezTo>
                                      <a:pt x="77" y="147"/>
                                      <a:pt x="77" y="147"/>
                                      <a:pt x="77" y="147"/>
                                    </a:cubicBezTo>
                                    <a:cubicBezTo>
                                      <a:pt x="77" y="247"/>
                                      <a:pt x="77" y="247"/>
                                      <a:pt x="77" y="247"/>
                                    </a:cubicBezTo>
                                    <a:cubicBezTo>
                                      <a:pt x="77" y="253"/>
                                      <a:pt x="81" y="257"/>
                                      <a:pt x="87" y="257"/>
                                    </a:cubicBezTo>
                                    <a:cubicBezTo>
                                      <a:pt x="121" y="257"/>
                                      <a:pt x="121" y="257"/>
                                      <a:pt x="121" y="257"/>
                                    </a:cubicBezTo>
                                    <a:cubicBezTo>
                                      <a:pt x="118" y="256"/>
                                      <a:pt x="116" y="253"/>
                                      <a:pt x="116" y="249"/>
                                    </a:cubicBezTo>
                                    <a:cubicBezTo>
                                      <a:pt x="116" y="220"/>
                                      <a:pt x="116" y="220"/>
                                      <a:pt x="116" y="220"/>
                                    </a:cubicBezTo>
                                    <a:cubicBezTo>
                                      <a:pt x="106" y="220"/>
                                      <a:pt x="106" y="220"/>
                                      <a:pt x="106" y="220"/>
                                    </a:cubicBezTo>
                                    <a:cubicBezTo>
                                      <a:pt x="102" y="220"/>
                                      <a:pt x="100" y="217"/>
                                      <a:pt x="100" y="213"/>
                                    </a:cubicBezTo>
                                    <a:cubicBezTo>
                                      <a:pt x="100" y="175"/>
                                      <a:pt x="100" y="175"/>
                                      <a:pt x="100" y="175"/>
                                    </a:cubicBezTo>
                                    <a:cubicBezTo>
                                      <a:pt x="100" y="172"/>
                                      <a:pt x="102" y="169"/>
                                      <a:pt x="106" y="169"/>
                                    </a:cubicBezTo>
                                    <a:cubicBezTo>
                                      <a:pt x="144" y="169"/>
                                      <a:pt x="144" y="169"/>
                                      <a:pt x="144" y="169"/>
                                    </a:cubicBezTo>
                                    <a:cubicBezTo>
                                      <a:pt x="148" y="169"/>
                                      <a:pt x="151" y="172"/>
                                      <a:pt x="151" y="175"/>
                                    </a:cubicBezTo>
                                    <a:cubicBezTo>
                                      <a:pt x="151" y="213"/>
                                      <a:pt x="151" y="213"/>
                                      <a:pt x="151" y="213"/>
                                    </a:cubicBezTo>
                                    <a:cubicBezTo>
                                      <a:pt x="151" y="217"/>
                                      <a:pt x="148" y="220"/>
                                      <a:pt x="144" y="220"/>
                                    </a:cubicBezTo>
                                    <a:cubicBezTo>
                                      <a:pt x="134" y="220"/>
                                      <a:pt x="134" y="220"/>
                                      <a:pt x="134" y="220"/>
                                    </a:cubicBezTo>
                                    <a:cubicBezTo>
                                      <a:pt x="134" y="249"/>
                                      <a:pt x="134" y="249"/>
                                      <a:pt x="134" y="249"/>
                                    </a:cubicBezTo>
                                    <a:cubicBezTo>
                                      <a:pt x="134" y="253"/>
                                      <a:pt x="132" y="256"/>
                                      <a:pt x="129" y="257"/>
                                    </a:cubicBezTo>
                                    <a:cubicBezTo>
                                      <a:pt x="190" y="257"/>
                                      <a:pt x="190" y="257"/>
                                      <a:pt x="190" y="257"/>
                                    </a:cubicBezTo>
                                    <a:cubicBezTo>
                                      <a:pt x="187" y="256"/>
                                      <a:pt x="185" y="253"/>
                                      <a:pt x="185" y="249"/>
                                    </a:cubicBezTo>
                                    <a:cubicBezTo>
                                      <a:pt x="185" y="220"/>
                                      <a:pt x="185" y="220"/>
                                      <a:pt x="185" y="220"/>
                                    </a:cubicBezTo>
                                    <a:cubicBezTo>
                                      <a:pt x="170" y="220"/>
                                      <a:pt x="170" y="220"/>
                                      <a:pt x="170" y="220"/>
                                    </a:cubicBezTo>
                                    <a:cubicBezTo>
                                      <a:pt x="168" y="220"/>
                                      <a:pt x="166" y="219"/>
                                      <a:pt x="165" y="217"/>
                                    </a:cubicBezTo>
                                    <a:cubicBezTo>
                                      <a:pt x="163" y="215"/>
                                      <a:pt x="163" y="213"/>
                                      <a:pt x="164" y="211"/>
                                    </a:cubicBezTo>
                                    <a:cubicBezTo>
                                      <a:pt x="177" y="173"/>
                                      <a:pt x="177" y="173"/>
                                      <a:pt x="177" y="173"/>
                                    </a:cubicBezTo>
                                    <a:cubicBezTo>
                                      <a:pt x="178" y="171"/>
                                      <a:pt x="180" y="169"/>
                                      <a:pt x="183" y="169"/>
                                    </a:cubicBezTo>
                                    <a:cubicBezTo>
                                      <a:pt x="205" y="169"/>
                                      <a:pt x="205" y="169"/>
                                      <a:pt x="205" y="169"/>
                                    </a:cubicBezTo>
                                    <a:cubicBezTo>
                                      <a:pt x="208" y="169"/>
                                      <a:pt x="210" y="171"/>
                                      <a:pt x="211" y="173"/>
                                    </a:cubicBezTo>
                                    <a:cubicBezTo>
                                      <a:pt x="224" y="210"/>
                                      <a:pt x="224" y="210"/>
                                      <a:pt x="224" y="210"/>
                                    </a:cubicBezTo>
                                    <a:cubicBezTo>
                                      <a:pt x="224" y="211"/>
                                      <a:pt x="225" y="212"/>
                                      <a:pt x="225" y="213"/>
                                    </a:cubicBezTo>
                                    <a:cubicBezTo>
                                      <a:pt x="225" y="217"/>
                                      <a:pt x="222" y="220"/>
                                      <a:pt x="218" y="220"/>
                                    </a:cubicBezTo>
                                    <a:cubicBezTo>
                                      <a:pt x="218" y="220"/>
                                      <a:pt x="218" y="220"/>
                                      <a:pt x="218" y="220"/>
                                    </a:cubicBezTo>
                                    <a:cubicBezTo>
                                      <a:pt x="203" y="220"/>
                                      <a:pt x="203" y="220"/>
                                      <a:pt x="203" y="220"/>
                                    </a:cubicBezTo>
                                    <a:cubicBezTo>
                                      <a:pt x="203" y="249"/>
                                      <a:pt x="203" y="249"/>
                                      <a:pt x="203" y="249"/>
                                    </a:cubicBezTo>
                                    <a:cubicBezTo>
                                      <a:pt x="203" y="253"/>
                                      <a:pt x="201" y="256"/>
                                      <a:pt x="198" y="257"/>
                                    </a:cubicBezTo>
                                    <a:cubicBezTo>
                                      <a:pt x="238" y="257"/>
                                      <a:pt x="238" y="257"/>
                                      <a:pt x="238" y="257"/>
                                    </a:cubicBezTo>
                                    <a:cubicBezTo>
                                      <a:pt x="243" y="257"/>
                                      <a:pt x="248" y="253"/>
                                      <a:pt x="248" y="247"/>
                                    </a:cubicBezTo>
                                    <a:cubicBezTo>
                                      <a:pt x="248" y="147"/>
                                      <a:pt x="248" y="147"/>
                                      <a:pt x="248" y="147"/>
                                    </a:cubicBezTo>
                                    <a:cubicBezTo>
                                      <a:pt x="279" y="147"/>
                                      <a:pt x="279" y="147"/>
                                      <a:pt x="279" y="147"/>
                                    </a:cubicBezTo>
                                    <a:cubicBezTo>
                                      <a:pt x="279" y="147"/>
                                      <a:pt x="279" y="147"/>
                                      <a:pt x="279" y="147"/>
                                    </a:cubicBezTo>
                                    <a:cubicBezTo>
                                      <a:pt x="282" y="147"/>
                                      <a:pt x="285" y="144"/>
                                      <a:pt x="285" y="140"/>
                                    </a:cubicBezTo>
                                    <a:cubicBezTo>
                                      <a:pt x="285" y="138"/>
                                      <a:pt x="284" y="135"/>
                                      <a:pt x="281" y="134"/>
                                    </a:cubicBezTo>
                                    <a:close/>
                                    <a:moveTo>
                                      <a:pt x="162" y="0"/>
                                    </a:moveTo>
                                    <a:cubicBezTo>
                                      <a:pt x="73" y="0"/>
                                      <a:pt x="0" y="72"/>
                                      <a:pt x="0" y="162"/>
                                    </a:cubicBezTo>
                                    <a:cubicBezTo>
                                      <a:pt x="0" y="251"/>
                                      <a:pt x="73" y="324"/>
                                      <a:pt x="162" y="324"/>
                                    </a:cubicBezTo>
                                    <a:cubicBezTo>
                                      <a:pt x="252" y="324"/>
                                      <a:pt x="324" y="251"/>
                                      <a:pt x="324" y="162"/>
                                    </a:cubicBezTo>
                                    <a:cubicBezTo>
                                      <a:pt x="324" y="72"/>
                                      <a:pt x="252" y="0"/>
                                      <a:pt x="162" y="0"/>
                                    </a:cubicBezTo>
                                    <a:close/>
                                    <a:moveTo>
                                      <a:pt x="162" y="13"/>
                                    </a:moveTo>
                                    <a:cubicBezTo>
                                      <a:pt x="244" y="13"/>
                                      <a:pt x="311" y="80"/>
                                      <a:pt x="311" y="162"/>
                                    </a:cubicBezTo>
                                    <a:cubicBezTo>
                                      <a:pt x="311" y="244"/>
                                      <a:pt x="244" y="311"/>
                                      <a:pt x="162" y="311"/>
                                    </a:cubicBezTo>
                                    <a:cubicBezTo>
                                      <a:pt x="80" y="311"/>
                                      <a:pt x="13" y="244"/>
                                      <a:pt x="13" y="162"/>
                                    </a:cubicBezTo>
                                    <a:cubicBezTo>
                                      <a:pt x="13" y="80"/>
                                      <a:pt x="80" y="13"/>
                                      <a:pt x="162" y="13"/>
                                    </a:cubicBezTo>
                                  </a:path>
                                </a:pathLst>
                              </a:custGeom>
                              <a:solidFill>
                                <a:schemeClr val="tx2"/>
                              </a:solidFill>
                              <a:ln w="9525">
                                <a:noFill/>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30EB9684" id="Freeform 32" o:spid="_x0000_s1026" alt="Title: Fixed line telephone services icon - Description: Fixed line telephone services icon &#10;" style="width:14.15pt;height:14.15pt;visibility:visible;mso-wrap-style:square;mso-left-percent:-10001;mso-top-percent:-10001;mso-position-horizontal:absolute;mso-position-horizontal-relative:char;mso-position-vertical:absolute;mso-position-vertical-relative:line;mso-left-percent:-10001;mso-top-percent:-10001;v-text-anchor:top" coordsize="32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" path="m194,161v-8,,-15,-6,-15,-15c179,138,186,131,194,131v9,,15,7,15,15c209,155,203,161,194,161xm125,161v-8,,-15,-6,-15,-15c110,138,117,131,125,131v9,,15,7,15,15c140,155,134,161,125,161xm281,134c166,59,166,59,166,59v-2,-1,-5,-1,-7,c116,87,116,87,116,87v,-23,,-23,,-23c116,61,113,58,109,58v-26,,-26,,-26,c80,58,77,61,77,64v,48,,48,,48c43,135,43,135,43,135v-3,2,-4,4,-3,7c41,145,43,147,46,147v31,,31,,31,c77,247,77,247,77,247v,6,4,10,10,10c121,257,121,257,121,257v-3,-1,-5,-4,-5,-8c116,220,116,220,116,220v-10,,-10,,-10,c102,220,100,217,100,213v,-38,,-38,,-38c100,172,102,169,106,169v38,,38,,38,c148,169,151,172,151,175v,38,,38,,38c151,217,148,220,144,220v-10,,-10,,-10,c134,249,134,249,134,249v,4,-2,7,-5,8c190,257,190,257,190,257v-3,-1,-5,-4,-5,-8c185,220,185,220,185,220v-15,,-15,,-15,c168,220,166,219,165,217v-2,-2,-2,-4,-1,-6c177,173,177,173,177,173v1,-2,3,-4,6,-4c205,169,205,169,205,169v3,,5,2,6,4c224,210,224,210,224,210v,1,1,2,1,3c225,217,222,220,218,220v,,,,,c203,220,203,220,203,220v,29,,29,,29c203,253,201,256,198,257v40,,40,,40,c243,257,248,253,248,247v,-100,,-100,,-100c279,147,279,147,279,147v,,,,,c282,147,285,144,285,140v,-2,-1,-5,-4,-6xm162,c73,,,72,,162v,89,73,162,162,162c252,324,324,251,324,162,324,72,252,,162,xm162,13v82,,149,67,149,149c311,244,244,311,162,311,80,311,13,244,13,162,13,80,80,13,162,13e" fillcolor="#a32020 [3215]" stroked="f">
                      <v:path arrowok="t" o:connecttype="custom" o:connectlocs="179,146;209,146;125,161;125,131;125,161;166,59;116,87;109,58;77,64;43,135;46,147;77,247;121,257;116,220;100,213;106,169;151,175;144,220;134,249;190,257;185,220;165,217;177,173;205,169;224,210;218,220;203,220;198,257;248,247;279,147;285,140;162,0;162,324;162,0;311,162;13,162" o:connectangles="0,0,0,0,0,0,0,0,0,0,0,0,0,0,0,0,0,0,0,0,0,0,0,0,0,0,0,0,0,0,0,0,0,0,0,0"/>
                      <o:lock v:ext="edit" verticies="t"/>
                      <w10:anchorlock/>
                    </v:shape>
                  </w:pict>
                </mc:Fallback>
              </mc:AlternateContent>
            </w:r>
          </w:p>
        </w:tc>
        <w:tc>
          <w:tcPr>
            <w:tcW w:w="680" w:type="dxa"/>
            <w:hideMark/>
          </w:tcPr>
          <w:p w14:paraId="4CA6E24F" w14:textId="77777777" w:rsidR="00785790" w:rsidRPr="00582FBF" w:rsidRDefault="00785790" w:rsidP="00785790">
            <w:pPr>
              <w:pStyle w:val="TableTextNormal"/>
              <w:jc w:val="center"/>
              <w:rPr>
                <w:lang w:val="en-US"/>
              </w:rPr>
            </w:pPr>
          </w:p>
        </w:tc>
        <w:tc>
          <w:tcPr>
            <w:tcW w:w="680" w:type="dxa"/>
            <w:hideMark/>
          </w:tcPr>
          <w:p w14:paraId="3944D3D5" w14:textId="282BD44D" w:rsidR="00785790" w:rsidRPr="00582FBF" w:rsidRDefault="00785790" w:rsidP="00785790">
            <w:pPr>
              <w:pStyle w:val="TableTextNormal"/>
              <w:jc w:val="center"/>
              <w:rPr>
                <w:lang w:val="en-US"/>
              </w:rPr>
            </w:pPr>
            <w:r w:rsidRPr="008F3B97">
              <w:rPr>
                <w:noProof/>
                <w:lang w:eastAsia="en-AU"/>
              </w:rPr>
              <mc:AlternateContent>
                <mc:Choice Requires="wps">
                  <w:drawing>
                    <wp:inline distT="0" distB="0" distL="0" distR="0" wp14:anchorId="347C45F2" wp14:editId="34C50CF0">
                      <wp:extent cx="180000" cy="180000"/>
                      <wp:effectExtent l="0" t="0" r="0" b="0"/>
                      <wp:docPr id="10" name="Freeform 8" descr="Mobile telephone services icon " title="Mobile telephone services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80000" cy="180000"/>
                              </a:xfrm>
                              <a:custGeom>
                                <a:avLst/>
                                <a:gdLst/>
                                <a:ahLst/>
                                <a:cxnLst>
                                  <a:cxn ang="0">
                                    <a:pos x="215" y="238"/>
                                  </a:cxn>
                                  <a:cxn ang="0">
                                    <a:pos x="108" y="238"/>
                                  </a:cxn>
                                  <a:cxn ang="0">
                                    <a:pos x="108" y="78"/>
                                  </a:cxn>
                                  <a:cxn ang="0">
                                    <a:pos x="215" y="78"/>
                                  </a:cxn>
                                  <a:cxn ang="0">
                                    <a:pos x="215" y="238"/>
                                  </a:cxn>
                                  <a:cxn ang="0">
                                    <a:pos x="161" y="273"/>
                                  </a:cxn>
                                  <a:cxn ang="0">
                                    <a:pos x="149" y="261"/>
                                  </a:cxn>
                                  <a:cxn ang="0">
                                    <a:pos x="161" y="249"/>
                                  </a:cxn>
                                  <a:cxn ang="0">
                                    <a:pos x="173" y="261"/>
                                  </a:cxn>
                                  <a:cxn ang="0">
                                    <a:pos x="161" y="273"/>
                                  </a:cxn>
                                  <a:cxn ang="0">
                                    <a:pos x="149" y="57"/>
                                  </a:cxn>
                                  <a:cxn ang="0">
                                    <a:pos x="173" y="57"/>
                                  </a:cxn>
                                  <a:cxn ang="0">
                                    <a:pos x="178" y="62"/>
                                  </a:cxn>
                                  <a:cxn ang="0">
                                    <a:pos x="173" y="67"/>
                                  </a:cxn>
                                  <a:cxn ang="0">
                                    <a:pos x="149" y="67"/>
                                  </a:cxn>
                                  <a:cxn ang="0">
                                    <a:pos x="144" y="62"/>
                                  </a:cxn>
                                  <a:cxn ang="0">
                                    <a:pos x="149" y="57"/>
                                  </a:cxn>
                                  <a:cxn ang="0">
                                    <a:pos x="215" y="39"/>
                                  </a:cxn>
                                  <a:cxn ang="0">
                                    <a:pos x="107" y="39"/>
                                  </a:cxn>
                                  <a:cxn ang="0">
                                    <a:pos x="89" y="57"/>
                                  </a:cxn>
                                  <a:cxn ang="0">
                                    <a:pos x="89" y="266"/>
                                  </a:cxn>
                                  <a:cxn ang="0">
                                    <a:pos x="107" y="284"/>
                                  </a:cxn>
                                  <a:cxn ang="0">
                                    <a:pos x="215" y="284"/>
                                  </a:cxn>
                                  <a:cxn ang="0">
                                    <a:pos x="233" y="266"/>
                                  </a:cxn>
                                  <a:cxn ang="0">
                                    <a:pos x="233" y="57"/>
                                  </a:cxn>
                                  <a:cxn ang="0">
                                    <a:pos x="215" y="39"/>
                                  </a:cxn>
                                  <a:cxn ang="0">
                                    <a:pos x="161" y="311"/>
                                  </a:cxn>
                                  <a:cxn ang="0">
                                    <a:pos x="12" y="162"/>
                                  </a:cxn>
                                  <a:cxn ang="0">
                                    <a:pos x="161" y="13"/>
                                  </a:cxn>
                                  <a:cxn ang="0">
                                    <a:pos x="310" y="162"/>
                                  </a:cxn>
                                  <a:cxn ang="0">
                                    <a:pos x="161" y="311"/>
                                  </a:cxn>
                                  <a:cxn ang="0">
                                    <a:pos x="161" y="0"/>
                                  </a:cxn>
                                  <a:cxn ang="0">
                                    <a:pos x="0" y="162"/>
                                  </a:cxn>
                                  <a:cxn ang="0">
                                    <a:pos x="161" y="324"/>
                                  </a:cxn>
                                  <a:cxn ang="0">
                                    <a:pos x="323" y="162"/>
                                  </a:cxn>
                                  <a:cxn ang="0">
                                    <a:pos x="161" y="0"/>
                                  </a:cxn>
                                </a:cxnLst>
                                <a:rect l="0" t="0" r="r" b="b"/>
                                <a:pathLst>
                                  <a:path w="323" h="324">
                                    <a:moveTo>
                                      <a:pt x="215" y="238"/>
                                    </a:moveTo>
                                    <a:cubicBezTo>
                                      <a:pt x="108" y="238"/>
                                      <a:pt x="108" y="238"/>
                                      <a:pt x="108" y="238"/>
                                    </a:cubicBezTo>
                                    <a:cubicBezTo>
                                      <a:pt x="108" y="78"/>
                                      <a:pt x="108" y="78"/>
                                      <a:pt x="108" y="78"/>
                                    </a:cubicBezTo>
                                    <a:cubicBezTo>
                                      <a:pt x="215" y="78"/>
                                      <a:pt x="215" y="78"/>
                                      <a:pt x="215" y="78"/>
                                    </a:cubicBezTo>
                                    <a:lnTo>
                                      <a:pt x="215" y="238"/>
                                    </a:lnTo>
                                    <a:close/>
                                    <a:moveTo>
                                      <a:pt x="161" y="273"/>
                                    </a:moveTo>
                                    <a:cubicBezTo>
                                      <a:pt x="154" y="273"/>
                                      <a:pt x="149" y="267"/>
                                      <a:pt x="149" y="261"/>
                                    </a:cubicBezTo>
                                    <a:cubicBezTo>
                                      <a:pt x="149" y="254"/>
                                      <a:pt x="154" y="249"/>
                                      <a:pt x="161" y="249"/>
                                    </a:cubicBezTo>
                                    <a:cubicBezTo>
                                      <a:pt x="168" y="249"/>
                                      <a:pt x="173" y="254"/>
                                      <a:pt x="173" y="261"/>
                                    </a:cubicBezTo>
                                    <a:cubicBezTo>
                                      <a:pt x="173" y="267"/>
                                      <a:pt x="168" y="273"/>
                                      <a:pt x="161" y="273"/>
                                    </a:cubicBezTo>
                                    <a:close/>
                                    <a:moveTo>
                                      <a:pt x="149" y="57"/>
                                    </a:moveTo>
                                    <a:cubicBezTo>
                                      <a:pt x="173" y="57"/>
                                      <a:pt x="173" y="57"/>
                                      <a:pt x="173" y="57"/>
                                    </a:cubicBezTo>
                                    <a:cubicBezTo>
                                      <a:pt x="176" y="57"/>
                                      <a:pt x="178" y="59"/>
                                      <a:pt x="178" y="62"/>
                                    </a:cubicBezTo>
                                    <a:cubicBezTo>
                                      <a:pt x="178" y="65"/>
                                      <a:pt x="176" y="67"/>
                                      <a:pt x="173" y="67"/>
                                    </a:cubicBezTo>
                                    <a:cubicBezTo>
                                      <a:pt x="149" y="67"/>
                                      <a:pt x="149" y="67"/>
                                      <a:pt x="149" y="67"/>
                                    </a:cubicBezTo>
                                    <a:cubicBezTo>
                                      <a:pt x="146" y="67"/>
                                      <a:pt x="144" y="65"/>
                                      <a:pt x="144" y="62"/>
                                    </a:cubicBezTo>
                                    <a:cubicBezTo>
                                      <a:pt x="144" y="59"/>
                                      <a:pt x="146" y="57"/>
                                      <a:pt x="149" y="57"/>
                                    </a:cubicBezTo>
                                    <a:close/>
                                    <a:moveTo>
                                      <a:pt x="215" y="39"/>
                                    </a:moveTo>
                                    <a:cubicBezTo>
                                      <a:pt x="107" y="39"/>
                                      <a:pt x="107" y="39"/>
                                      <a:pt x="107" y="39"/>
                                    </a:cubicBezTo>
                                    <a:cubicBezTo>
                                      <a:pt x="97" y="39"/>
                                      <a:pt x="89" y="47"/>
                                      <a:pt x="89" y="57"/>
                                    </a:cubicBezTo>
                                    <a:cubicBezTo>
                                      <a:pt x="89" y="266"/>
                                      <a:pt x="89" y="266"/>
                                      <a:pt x="89" y="266"/>
                                    </a:cubicBezTo>
                                    <a:cubicBezTo>
                                      <a:pt x="89" y="276"/>
                                      <a:pt x="97" y="284"/>
                                      <a:pt x="107" y="284"/>
                                    </a:cubicBezTo>
                                    <a:cubicBezTo>
                                      <a:pt x="215" y="284"/>
                                      <a:pt x="215" y="284"/>
                                      <a:pt x="215" y="284"/>
                                    </a:cubicBezTo>
                                    <a:cubicBezTo>
                                      <a:pt x="225" y="284"/>
                                      <a:pt x="233" y="276"/>
                                      <a:pt x="233" y="266"/>
                                    </a:cubicBezTo>
                                    <a:cubicBezTo>
                                      <a:pt x="233" y="57"/>
                                      <a:pt x="233" y="57"/>
                                      <a:pt x="233" y="57"/>
                                    </a:cubicBezTo>
                                    <a:cubicBezTo>
                                      <a:pt x="233" y="47"/>
                                      <a:pt x="225" y="39"/>
                                      <a:pt x="215" y="39"/>
                                    </a:cubicBezTo>
                                    <a:close/>
                                    <a:moveTo>
                                      <a:pt x="161" y="311"/>
                                    </a:moveTo>
                                    <a:cubicBezTo>
                                      <a:pt x="79" y="311"/>
                                      <a:pt x="12" y="244"/>
                                      <a:pt x="12" y="162"/>
                                    </a:cubicBezTo>
                                    <a:cubicBezTo>
                                      <a:pt x="12" y="79"/>
                                      <a:pt x="79" y="13"/>
                                      <a:pt x="161" y="13"/>
                                    </a:cubicBezTo>
                                    <a:cubicBezTo>
                                      <a:pt x="243" y="13"/>
                                      <a:pt x="310" y="79"/>
                                      <a:pt x="310" y="162"/>
                                    </a:cubicBezTo>
                                    <a:cubicBezTo>
                                      <a:pt x="310" y="244"/>
                                      <a:pt x="243" y="311"/>
                                      <a:pt x="161" y="311"/>
                                    </a:cubicBezTo>
                                    <a:close/>
                                    <a:moveTo>
                                      <a:pt x="161" y="0"/>
                                    </a:moveTo>
                                    <a:cubicBezTo>
                                      <a:pt x="72" y="0"/>
                                      <a:pt x="0" y="72"/>
                                      <a:pt x="0" y="162"/>
                                    </a:cubicBezTo>
                                    <a:cubicBezTo>
                                      <a:pt x="0" y="251"/>
                                      <a:pt x="72" y="324"/>
                                      <a:pt x="161" y="324"/>
                                    </a:cubicBezTo>
                                    <a:cubicBezTo>
                                      <a:pt x="250" y="324"/>
                                      <a:pt x="323" y="251"/>
                                      <a:pt x="323" y="162"/>
                                    </a:cubicBezTo>
                                    <a:cubicBezTo>
                                      <a:pt x="323" y="72"/>
                                      <a:pt x="250" y="0"/>
                                      <a:pt x="161" y="0"/>
                                    </a:cubicBezTo>
                                    <a:close/>
                                  </a:path>
                                </a:pathLst>
                              </a:custGeom>
                              <a:solidFill>
                                <a:schemeClr val="tx2"/>
                              </a:solidFill>
                              <a:ln w="9525">
                                <a:noFill/>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0BFC7929" id="Freeform 8" o:spid="_x0000_s1026" alt="Title: Mobile telephone services icon - Description: Mobile telephone services icon " style="width:14.15pt;height:14.15pt;visibility:visible;mso-wrap-style:square;mso-left-percent:-10001;mso-top-percent:-10001;mso-position-horizontal:absolute;mso-position-horizontal-relative:char;mso-position-vertical:absolute;mso-position-vertical-relative:line;mso-left-percent:-10001;mso-top-percent:-10001;v-text-anchor:top" coordsize="323,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" path="m215,238v-107,,-107,,-107,c108,78,108,78,108,78v107,,107,,107,l215,238xm161,273v-7,,-12,-6,-12,-12c149,254,154,249,161,249v7,,12,5,12,12c173,267,168,273,161,273xm149,57v24,,24,,24,c176,57,178,59,178,62v,3,-2,5,-5,5c149,67,149,67,149,67v-3,,-5,-2,-5,-5c144,59,146,57,149,57xm215,39v-108,,-108,,-108,c97,39,89,47,89,57v,209,,209,,209c89,276,97,284,107,284v108,,108,,108,c225,284,233,276,233,266v,-209,,-209,,-209c233,47,225,39,215,39xm161,311c79,311,12,244,12,162,12,79,79,13,161,13v82,,149,66,149,149c310,244,243,311,161,311xm161,c72,,,72,,162v,89,72,162,161,162c250,324,323,251,323,162,323,72,250,,161,xe" fillcolor="#a32020 [3215]" stroked="f">
                      <v:path arrowok="t" o:connecttype="custom" o:connectlocs="215,238;108,238;108,78;215,78;215,238;161,273;149,261;161,249;173,261;161,273;149,57;173,57;178,62;173,67;149,67;144,62;149,57;215,39;107,39;89,57;89,266;107,284;215,284;233,266;233,57;215,39;161,311;12,162;161,13;310,162;161,311;161,0;0,162;161,324;323,162;161,0" o:connectangles="0,0,0,0,0,0,0,0,0,0,0,0,0,0,0,0,0,0,0,0,0,0,0,0,0,0,0,0,0,0,0,0,0,0,0,0"/>
                      <o:lock v:ext="edit" verticies="t"/>
                      <w10:anchorlock/>
                    </v:shape>
                  </w:pict>
                </mc:Fallback>
              </mc:AlternateContent>
            </w:r>
          </w:p>
        </w:tc>
        <w:tc>
          <w:tcPr>
            <w:tcW w:w="680" w:type="dxa"/>
            <w:hideMark/>
          </w:tcPr>
          <w:p w14:paraId="207F51C5" w14:textId="77777777" w:rsidR="00785790" w:rsidRPr="00582FBF" w:rsidRDefault="00785790" w:rsidP="00785790">
            <w:pPr>
              <w:pStyle w:val="TableTextNormal"/>
              <w:jc w:val="center"/>
              <w:rPr>
                <w:lang w:val="en-US"/>
              </w:rPr>
            </w:pPr>
          </w:p>
        </w:tc>
        <w:tc>
          <w:tcPr>
            <w:tcW w:w="680" w:type="dxa"/>
            <w:hideMark/>
          </w:tcPr>
          <w:p w14:paraId="4F70BFAB" w14:textId="77777777" w:rsidR="00785790" w:rsidRPr="00582FBF" w:rsidRDefault="00785790" w:rsidP="00785790">
            <w:pPr>
              <w:pStyle w:val="TableTextNormal"/>
              <w:jc w:val="center"/>
              <w:rPr>
                <w:lang w:val="en-US"/>
              </w:rPr>
            </w:pPr>
          </w:p>
        </w:tc>
      </w:tr>
      <w:tr w:rsidR="00785790" w:rsidRPr="00582FBF" w14:paraId="7005BAE1" w14:textId="77777777" w:rsidTr="00582FBF">
        <w:trPr>
          <w:trHeight w:val="564"/>
        </w:trPr>
        <w:tc>
          <w:tcPr>
            <w:tcW w:w="3654" w:type="dxa"/>
            <w:hideMark/>
          </w:tcPr>
          <w:p w14:paraId="4B23811E" w14:textId="77777777" w:rsidR="00785790" w:rsidRPr="00582FBF" w:rsidRDefault="00785790" w:rsidP="00785790">
            <w:pPr>
              <w:pStyle w:val="TableTextNormal"/>
              <w:rPr>
                <w:lang w:val="en-US"/>
              </w:rPr>
            </w:pPr>
            <w:r w:rsidRPr="00582FBF">
              <w:t>Call clarity and fidelity</w:t>
            </w:r>
          </w:p>
        </w:tc>
        <w:tc>
          <w:tcPr>
            <w:tcW w:w="680" w:type="dxa"/>
            <w:hideMark/>
          </w:tcPr>
          <w:p w14:paraId="2C1D372A" w14:textId="77777777" w:rsidR="00785790" w:rsidRPr="00582FBF" w:rsidRDefault="00785790" w:rsidP="00785790">
            <w:pPr>
              <w:pStyle w:val="TableTextNormal"/>
              <w:jc w:val="center"/>
              <w:rPr>
                <w:lang w:val="en-US"/>
              </w:rPr>
            </w:pPr>
          </w:p>
        </w:tc>
        <w:tc>
          <w:tcPr>
            <w:tcW w:w="680" w:type="dxa"/>
            <w:hideMark/>
          </w:tcPr>
          <w:p w14:paraId="77DA02DF" w14:textId="77777777" w:rsidR="00785790" w:rsidRPr="00582FBF" w:rsidRDefault="00785790" w:rsidP="00785790">
            <w:pPr>
              <w:pStyle w:val="TableTextNormal"/>
              <w:jc w:val="center"/>
              <w:rPr>
                <w:lang w:val="en-US"/>
              </w:rPr>
            </w:pPr>
          </w:p>
        </w:tc>
        <w:tc>
          <w:tcPr>
            <w:tcW w:w="680" w:type="dxa"/>
            <w:hideMark/>
          </w:tcPr>
          <w:p w14:paraId="01AD2332" w14:textId="7BDC5393" w:rsidR="00785790" w:rsidRPr="00582FBF" w:rsidRDefault="00785790" w:rsidP="00785790">
            <w:pPr>
              <w:pStyle w:val="TableTextNormal"/>
              <w:jc w:val="center"/>
              <w:rPr>
                <w:lang w:val="en-US"/>
              </w:rPr>
            </w:pPr>
            <w:r w:rsidRPr="00DB655E">
              <w:rPr>
                <w:noProof/>
                <w:lang w:eastAsia="en-AU"/>
              </w:rPr>
              <mc:AlternateContent>
                <mc:Choice Requires="wps">
                  <w:drawing>
                    <wp:inline distT="0" distB="0" distL="0" distR="0" wp14:anchorId="4E7F1BCC" wp14:editId="7D5A4270">
                      <wp:extent cx="180000" cy="180000"/>
                      <wp:effectExtent l="0" t="0" r="0" b="0"/>
                      <wp:docPr id="11" name="Freeform 32" descr="Fixed line telephone services icon &#10;" title="Fixed line telephone services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80000" cy="180000"/>
                              </a:xfrm>
                              <a:custGeom>
                                <a:avLst/>
                                <a:gdLst/>
                                <a:ahLst/>
                                <a:cxnLst>
                                  <a:cxn ang="0">
                                    <a:pos x="179" y="146"/>
                                  </a:cxn>
                                  <a:cxn ang="0">
                                    <a:pos x="209" y="146"/>
                                  </a:cxn>
                                  <a:cxn ang="0">
                                    <a:pos x="125" y="161"/>
                                  </a:cxn>
                                  <a:cxn ang="0">
                                    <a:pos x="125" y="131"/>
                                  </a:cxn>
                                  <a:cxn ang="0">
                                    <a:pos x="125" y="161"/>
                                  </a:cxn>
                                  <a:cxn ang="0">
                                    <a:pos x="166" y="59"/>
                                  </a:cxn>
                                  <a:cxn ang="0">
                                    <a:pos x="116" y="87"/>
                                  </a:cxn>
                                  <a:cxn ang="0">
                                    <a:pos x="109" y="58"/>
                                  </a:cxn>
                                  <a:cxn ang="0">
                                    <a:pos x="77" y="64"/>
                                  </a:cxn>
                                  <a:cxn ang="0">
                                    <a:pos x="43" y="135"/>
                                  </a:cxn>
                                  <a:cxn ang="0">
                                    <a:pos x="46" y="147"/>
                                  </a:cxn>
                                  <a:cxn ang="0">
                                    <a:pos x="77" y="247"/>
                                  </a:cxn>
                                  <a:cxn ang="0">
                                    <a:pos x="121" y="257"/>
                                  </a:cxn>
                                  <a:cxn ang="0">
                                    <a:pos x="116" y="220"/>
                                  </a:cxn>
                                  <a:cxn ang="0">
                                    <a:pos x="100" y="213"/>
                                  </a:cxn>
                                  <a:cxn ang="0">
                                    <a:pos x="106" y="169"/>
                                  </a:cxn>
                                  <a:cxn ang="0">
                                    <a:pos x="151" y="175"/>
                                  </a:cxn>
                                  <a:cxn ang="0">
                                    <a:pos x="144" y="220"/>
                                  </a:cxn>
                                  <a:cxn ang="0">
                                    <a:pos x="134" y="249"/>
                                  </a:cxn>
                                  <a:cxn ang="0">
                                    <a:pos x="190" y="257"/>
                                  </a:cxn>
                                  <a:cxn ang="0">
                                    <a:pos x="185" y="220"/>
                                  </a:cxn>
                                  <a:cxn ang="0">
                                    <a:pos x="165" y="217"/>
                                  </a:cxn>
                                  <a:cxn ang="0">
                                    <a:pos x="177" y="173"/>
                                  </a:cxn>
                                  <a:cxn ang="0">
                                    <a:pos x="205" y="169"/>
                                  </a:cxn>
                                  <a:cxn ang="0">
                                    <a:pos x="224" y="210"/>
                                  </a:cxn>
                                  <a:cxn ang="0">
                                    <a:pos x="218" y="220"/>
                                  </a:cxn>
                                  <a:cxn ang="0">
                                    <a:pos x="203" y="220"/>
                                  </a:cxn>
                                  <a:cxn ang="0">
                                    <a:pos x="198" y="257"/>
                                  </a:cxn>
                                  <a:cxn ang="0">
                                    <a:pos x="248" y="247"/>
                                  </a:cxn>
                                  <a:cxn ang="0">
                                    <a:pos x="279" y="147"/>
                                  </a:cxn>
                                  <a:cxn ang="0">
                                    <a:pos x="285" y="140"/>
                                  </a:cxn>
                                  <a:cxn ang="0">
                                    <a:pos x="162" y="0"/>
                                  </a:cxn>
                                  <a:cxn ang="0">
                                    <a:pos x="162" y="324"/>
                                  </a:cxn>
                                  <a:cxn ang="0">
                                    <a:pos x="162" y="0"/>
                                  </a:cxn>
                                  <a:cxn ang="0">
                                    <a:pos x="311" y="162"/>
                                  </a:cxn>
                                  <a:cxn ang="0">
                                    <a:pos x="13" y="162"/>
                                  </a:cxn>
                                </a:cxnLst>
                                <a:rect l="0" t="0" r="r" b="b"/>
                                <a:pathLst>
                                  <a:path w="324" h="324">
                                    <a:moveTo>
                                      <a:pt x="194" y="161"/>
                                    </a:moveTo>
                                    <a:cubicBezTo>
                                      <a:pt x="186" y="161"/>
                                      <a:pt x="179" y="155"/>
                                      <a:pt x="179" y="146"/>
                                    </a:cubicBezTo>
                                    <a:cubicBezTo>
                                      <a:pt x="179" y="138"/>
                                      <a:pt x="186" y="131"/>
                                      <a:pt x="194" y="131"/>
                                    </a:cubicBezTo>
                                    <a:cubicBezTo>
                                      <a:pt x="203" y="131"/>
                                      <a:pt x="209" y="138"/>
                                      <a:pt x="209" y="146"/>
                                    </a:cubicBezTo>
                                    <a:cubicBezTo>
                                      <a:pt x="209" y="155"/>
                                      <a:pt x="203" y="161"/>
                                      <a:pt x="194" y="161"/>
                                    </a:cubicBezTo>
                                    <a:close/>
                                    <a:moveTo>
                                      <a:pt x="125" y="161"/>
                                    </a:moveTo>
                                    <a:cubicBezTo>
                                      <a:pt x="117" y="161"/>
                                      <a:pt x="110" y="155"/>
                                      <a:pt x="110" y="146"/>
                                    </a:cubicBezTo>
                                    <a:cubicBezTo>
                                      <a:pt x="110" y="138"/>
                                      <a:pt x="117" y="131"/>
                                      <a:pt x="125" y="131"/>
                                    </a:cubicBezTo>
                                    <a:cubicBezTo>
                                      <a:pt x="134" y="131"/>
                                      <a:pt x="140" y="138"/>
                                      <a:pt x="140" y="146"/>
                                    </a:cubicBezTo>
                                    <a:cubicBezTo>
                                      <a:pt x="140" y="155"/>
                                      <a:pt x="134" y="161"/>
                                      <a:pt x="125" y="161"/>
                                    </a:cubicBezTo>
                                    <a:close/>
                                    <a:moveTo>
                                      <a:pt x="281" y="134"/>
                                    </a:moveTo>
                                    <a:cubicBezTo>
                                      <a:pt x="166" y="59"/>
                                      <a:pt x="166" y="59"/>
                                      <a:pt x="166" y="59"/>
                                    </a:cubicBezTo>
                                    <a:cubicBezTo>
                                      <a:pt x="164" y="58"/>
                                      <a:pt x="161" y="58"/>
                                      <a:pt x="159" y="59"/>
                                    </a:cubicBezTo>
                                    <a:cubicBezTo>
                                      <a:pt x="116" y="87"/>
                                      <a:pt x="116" y="87"/>
                                      <a:pt x="116" y="87"/>
                                    </a:cubicBezTo>
                                    <a:cubicBezTo>
                                      <a:pt x="116" y="64"/>
                                      <a:pt x="116" y="64"/>
                                      <a:pt x="116" y="64"/>
                                    </a:cubicBezTo>
                                    <a:cubicBezTo>
                                      <a:pt x="116" y="61"/>
                                      <a:pt x="113" y="58"/>
                                      <a:pt x="109" y="58"/>
                                    </a:cubicBezTo>
                                    <a:cubicBezTo>
                                      <a:pt x="83" y="58"/>
                                      <a:pt x="83" y="58"/>
                                      <a:pt x="83" y="58"/>
                                    </a:cubicBezTo>
                                    <a:cubicBezTo>
                                      <a:pt x="80" y="58"/>
                                      <a:pt x="77" y="61"/>
                                      <a:pt x="77" y="64"/>
                                    </a:cubicBezTo>
                                    <a:cubicBezTo>
                                      <a:pt x="77" y="112"/>
                                      <a:pt x="77" y="112"/>
                                      <a:pt x="77" y="112"/>
                                    </a:cubicBezTo>
                                    <a:cubicBezTo>
                                      <a:pt x="43" y="135"/>
                                      <a:pt x="43" y="135"/>
                                      <a:pt x="43" y="135"/>
                                    </a:cubicBezTo>
                                    <a:cubicBezTo>
                                      <a:pt x="40" y="137"/>
                                      <a:pt x="39" y="139"/>
                                      <a:pt x="40" y="142"/>
                                    </a:cubicBezTo>
                                    <a:cubicBezTo>
                                      <a:pt x="41" y="145"/>
                                      <a:pt x="43" y="147"/>
                                      <a:pt x="46" y="147"/>
                                    </a:cubicBezTo>
                                    <a:cubicBezTo>
                                      <a:pt x="77" y="147"/>
                                      <a:pt x="77" y="147"/>
                                      <a:pt x="77" y="147"/>
                                    </a:cubicBezTo>
                                    <a:cubicBezTo>
                                      <a:pt x="77" y="247"/>
                                      <a:pt x="77" y="247"/>
                                      <a:pt x="77" y="247"/>
                                    </a:cubicBezTo>
                                    <a:cubicBezTo>
                                      <a:pt x="77" y="253"/>
                                      <a:pt x="81" y="257"/>
                                      <a:pt x="87" y="257"/>
                                    </a:cubicBezTo>
                                    <a:cubicBezTo>
                                      <a:pt x="121" y="257"/>
                                      <a:pt x="121" y="257"/>
                                      <a:pt x="121" y="257"/>
                                    </a:cubicBezTo>
                                    <a:cubicBezTo>
                                      <a:pt x="118" y="256"/>
                                      <a:pt x="116" y="253"/>
                                      <a:pt x="116" y="249"/>
                                    </a:cubicBezTo>
                                    <a:cubicBezTo>
                                      <a:pt x="116" y="220"/>
                                      <a:pt x="116" y="220"/>
                                      <a:pt x="116" y="220"/>
                                    </a:cubicBezTo>
                                    <a:cubicBezTo>
                                      <a:pt x="106" y="220"/>
                                      <a:pt x="106" y="220"/>
                                      <a:pt x="106" y="220"/>
                                    </a:cubicBezTo>
                                    <a:cubicBezTo>
                                      <a:pt x="102" y="220"/>
                                      <a:pt x="100" y="217"/>
                                      <a:pt x="100" y="213"/>
                                    </a:cubicBezTo>
                                    <a:cubicBezTo>
                                      <a:pt x="100" y="175"/>
                                      <a:pt x="100" y="175"/>
                                      <a:pt x="100" y="175"/>
                                    </a:cubicBezTo>
                                    <a:cubicBezTo>
                                      <a:pt x="100" y="172"/>
                                      <a:pt x="102" y="169"/>
                                      <a:pt x="106" y="169"/>
                                    </a:cubicBezTo>
                                    <a:cubicBezTo>
                                      <a:pt x="144" y="169"/>
                                      <a:pt x="144" y="169"/>
                                      <a:pt x="144" y="169"/>
                                    </a:cubicBezTo>
                                    <a:cubicBezTo>
                                      <a:pt x="148" y="169"/>
                                      <a:pt x="151" y="172"/>
                                      <a:pt x="151" y="175"/>
                                    </a:cubicBezTo>
                                    <a:cubicBezTo>
                                      <a:pt x="151" y="213"/>
                                      <a:pt x="151" y="213"/>
                                      <a:pt x="151" y="213"/>
                                    </a:cubicBezTo>
                                    <a:cubicBezTo>
                                      <a:pt x="151" y="217"/>
                                      <a:pt x="148" y="220"/>
                                      <a:pt x="144" y="220"/>
                                    </a:cubicBezTo>
                                    <a:cubicBezTo>
                                      <a:pt x="134" y="220"/>
                                      <a:pt x="134" y="220"/>
                                      <a:pt x="134" y="220"/>
                                    </a:cubicBezTo>
                                    <a:cubicBezTo>
                                      <a:pt x="134" y="249"/>
                                      <a:pt x="134" y="249"/>
                                      <a:pt x="134" y="249"/>
                                    </a:cubicBezTo>
                                    <a:cubicBezTo>
                                      <a:pt x="134" y="253"/>
                                      <a:pt x="132" y="256"/>
                                      <a:pt x="129" y="257"/>
                                    </a:cubicBezTo>
                                    <a:cubicBezTo>
                                      <a:pt x="190" y="257"/>
                                      <a:pt x="190" y="257"/>
                                      <a:pt x="190" y="257"/>
                                    </a:cubicBezTo>
                                    <a:cubicBezTo>
                                      <a:pt x="187" y="256"/>
                                      <a:pt x="185" y="253"/>
                                      <a:pt x="185" y="249"/>
                                    </a:cubicBezTo>
                                    <a:cubicBezTo>
                                      <a:pt x="185" y="220"/>
                                      <a:pt x="185" y="220"/>
                                      <a:pt x="185" y="220"/>
                                    </a:cubicBezTo>
                                    <a:cubicBezTo>
                                      <a:pt x="170" y="220"/>
                                      <a:pt x="170" y="220"/>
                                      <a:pt x="170" y="220"/>
                                    </a:cubicBezTo>
                                    <a:cubicBezTo>
                                      <a:pt x="168" y="220"/>
                                      <a:pt x="166" y="219"/>
                                      <a:pt x="165" y="217"/>
                                    </a:cubicBezTo>
                                    <a:cubicBezTo>
                                      <a:pt x="163" y="215"/>
                                      <a:pt x="163" y="213"/>
                                      <a:pt x="164" y="211"/>
                                    </a:cubicBezTo>
                                    <a:cubicBezTo>
                                      <a:pt x="177" y="173"/>
                                      <a:pt x="177" y="173"/>
                                      <a:pt x="177" y="173"/>
                                    </a:cubicBezTo>
                                    <a:cubicBezTo>
                                      <a:pt x="178" y="171"/>
                                      <a:pt x="180" y="169"/>
                                      <a:pt x="183" y="169"/>
                                    </a:cubicBezTo>
                                    <a:cubicBezTo>
                                      <a:pt x="205" y="169"/>
                                      <a:pt x="205" y="169"/>
                                      <a:pt x="205" y="169"/>
                                    </a:cubicBezTo>
                                    <a:cubicBezTo>
                                      <a:pt x="208" y="169"/>
                                      <a:pt x="210" y="171"/>
                                      <a:pt x="211" y="173"/>
                                    </a:cubicBezTo>
                                    <a:cubicBezTo>
                                      <a:pt x="224" y="210"/>
                                      <a:pt x="224" y="210"/>
                                      <a:pt x="224" y="210"/>
                                    </a:cubicBezTo>
                                    <a:cubicBezTo>
                                      <a:pt x="224" y="211"/>
                                      <a:pt x="225" y="212"/>
                                      <a:pt x="225" y="213"/>
                                    </a:cubicBezTo>
                                    <a:cubicBezTo>
                                      <a:pt x="225" y="217"/>
                                      <a:pt x="222" y="220"/>
                                      <a:pt x="218" y="220"/>
                                    </a:cubicBezTo>
                                    <a:cubicBezTo>
                                      <a:pt x="218" y="220"/>
                                      <a:pt x="218" y="220"/>
                                      <a:pt x="218" y="220"/>
                                    </a:cubicBezTo>
                                    <a:cubicBezTo>
                                      <a:pt x="203" y="220"/>
                                      <a:pt x="203" y="220"/>
                                      <a:pt x="203" y="220"/>
                                    </a:cubicBezTo>
                                    <a:cubicBezTo>
                                      <a:pt x="203" y="249"/>
                                      <a:pt x="203" y="249"/>
                                      <a:pt x="203" y="249"/>
                                    </a:cubicBezTo>
                                    <a:cubicBezTo>
                                      <a:pt x="203" y="253"/>
                                      <a:pt x="201" y="256"/>
                                      <a:pt x="198" y="257"/>
                                    </a:cubicBezTo>
                                    <a:cubicBezTo>
                                      <a:pt x="238" y="257"/>
                                      <a:pt x="238" y="257"/>
                                      <a:pt x="238" y="257"/>
                                    </a:cubicBezTo>
                                    <a:cubicBezTo>
                                      <a:pt x="243" y="257"/>
                                      <a:pt x="248" y="253"/>
                                      <a:pt x="248" y="247"/>
                                    </a:cubicBezTo>
                                    <a:cubicBezTo>
                                      <a:pt x="248" y="147"/>
                                      <a:pt x="248" y="147"/>
                                      <a:pt x="248" y="147"/>
                                    </a:cubicBezTo>
                                    <a:cubicBezTo>
                                      <a:pt x="279" y="147"/>
                                      <a:pt x="279" y="147"/>
                                      <a:pt x="279" y="147"/>
                                    </a:cubicBezTo>
                                    <a:cubicBezTo>
                                      <a:pt x="279" y="147"/>
                                      <a:pt x="279" y="147"/>
                                      <a:pt x="279" y="147"/>
                                    </a:cubicBezTo>
                                    <a:cubicBezTo>
                                      <a:pt x="282" y="147"/>
                                      <a:pt x="285" y="144"/>
                                      <a:pt x="285" y="140"/>
                                    </a:cubicBezTo>
                                    <a:cubicBezTo>
                                      <a:pt x="285" y="138"/>
                                      <a:pt x="284" y="135"/>
                                      <a:pt x="281" y="134"/>
                                    </a:cubicBezTo>
                                    <a:close/>
                                    <a:moveTo>
                                      <a:pt x="162" y="0"/>
                                    </a:moveTo>
                                    <a:cubicBezTo>
                                      <a:pt x="73" y="0"/>
                                      <a:pt x="0" y="72"/>
                                      <a:pt x="0" y="162"/>
                                    </a:cubicBezTo>
                                    <a:cubicBezTo>
                                      <a:pt x="0" y="251"/>
                                      <a:pt x="73" y="324"/>
                                      <a:pt x="162" y="324"/>
                                    </a:cubicBezTo>
                                    <a:cubicBezTo>
                                      <a:pt x="252" y="324"/>
                                      <a:pt x="324" y="251"/>
                                      <a:pt x="324" y="162"/>
                                    </a:cubicBezTo>
                                    <a:cubicBezTo>
                                      <a:pt x="324" y="72"/>
                                      <a:pt x="252" y="0"/>
                                      <a:pt x="162" y="0"/>
                                    </a:cubicBezTo>
                                    <a:close/>
                                    <a:moveTo>
                                      <a:pt x="162" y="13"/>
                                    </a:moveTo>
                                    <a:cubicBezTo>
                                      <a:pt x="244" y="13"/>
                                      <a:pt x="311" y="80"/>
                                      <a:pt x="311" y="162"/>
                                    </a:cubicBezTo>
                                    <a:cubicBezTo>
                                      <a:pt x="311" y="244"/>
                                      <a:pt x="244" y="311"/>
                                      <a:pt x="162" y="311"/>
                                    </a:cubicBezTo>
                                    <a:cubicBezTo>
                                      <a:pt x="80" y="311"/>
                                      <a:pt x="13" y="244"/>
                                      <a:pt x="13" y="162"/>
                                    </a:cubicBezTo>
                                    <a:cubicBezTo>
                                      <a:pt x="13" y="80"/>
                                      <a:pt x="80" y="13"/>
                                      <a:pt x="162" y="13"/>
                                    </a:cubicBezTo>
                                  </a:path>
                                </a:pathLst>
                              </a:custGeom>
                              <a:solidFill>
                                <a:schemeClr val="tx2"/>
                              </a:solidFill>
                              <a:ln w="9525">
                                <a:noFill/>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4FABA56B" id="Freeform 32" o:spid="_x0000_s1026" alt="Title: Fixed line telephone services icon - Description: Fixed line telephone services icon &#10;" style="width:14.15pt;height:14.15pt;visibility:visible;mso-wrap-style:square;mso-left-percent:-10001;mso-top-percent:-10001;mso-position-horizontal:absolute;mso-position-horizontal-relative:char;mso-position-vertical:absolute;mso-position-vertical-relative:line;mso-left-percent:-10001;mso-top-percent:-10001;v-text-anchor:top" coordsize="32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" path="m194,161v-8,,-15,-6,-15,-15c179,138,186,131,194,131v9,,15,7,15,15c209,155,203,161,194,161xm125,161v-8,,-15,-6,-15,-15c110,138,117,131,125,131v9,,15,7,15,15c140,155,134,161,125,161xm281,134c166,59,166,59,166,59v-2,-1,-5,-1,-7,c116,87,116,87,116,87v,-23,,-23,,-23c116,61,113,58,109,58v-26,,-26,,-26,c80,58,77,61,77,64v,48,,48,,48c43,135,43,135,43,135v-3,2,-4,4,-3,7c41,145,43,147,46,147v31,,31,,31,c77,247,77,247,77,247v,6,4,10,10,10c121,257,121,257,121,257v-3,-1,-5,-4,-5,-8c116,220,116,220,116,220v-10,,-10,,-10,c102,220,100,217,100,213v,-38,,-38,,-38c100,172,102,169,106,169v38,,38,,38,c148,169,151,172,151,175v,38,,38,,38c151,217,148,220,144,220v-10,,-10,,-10,c134,249,134,249,134,249v,4,-2,7,-5,8c190,257,190,257,190,257v-3,-1,-5,-4,-5,-8c185,220,185,220,185,220v-15,,-15,,-15,c168,220,166,219,165,217v-2,-2,-2,-4,-1,-6c177,173,177,173,177,173v1,-2,3,-4,6,-4c205,169,205,169,205,169v3,,5,2,6,4c224,210,224,210,224,210v,1,1,2,1,3c225,217,222,220,218,220v,,,,,c203,220,203,220,203,220v,29,,29,,29c203,253,201,256,198,257v40,,40,,40,c243,257,248,253,248,247v,-100,,-100,,-100c279,147,279,147,279,147v,,,,,c282,147,285,144,285,140v,-2,-1,-5,-4,-6xm162,c73,,,72,,162v,89,73,162,162,162c252,324,324,251,324,162,324,72,252,,162,xm162,13v82,,149,67,149,149c311,244,244,311,162,311,80,311,13,244,13,162,13,80,80,13,162,13e" fillcolor="#a32020 [3215]" stroked="f">
                      <v:path arrowok="t" o:connecttype="custom" o:connectlocs="179,146;209,146;125,161;125,131;125,161;166,59;116,87;109,58;77,64;43,135;46,147;77,247;121,257;116,220;100,213;106,169;151,175;144,220;134,249;190,257;185,220;165,217;177,173;205,169;224,210;218,220;203,220;198,257;248,247;279,147;285,140;162,0;162,324;162,0;311,162;13,162" o:connectangles="0,0,0,0,0,0,0,0,0,0,0,0,0,0,0,0,0,0,0,0,0,0,0,0,0,0,0,0,0,0,0,0,0,0,0,0"/>
                      <o:lock v:ext="edit" verticies="t"/>
                      <w10:anchorlock/>
                    </v:shape>
                  </w:pict>
                </mc:Fallback>
              </mc:AlternateContent>
            </w:r>
          </w:p>
        </w:tc>
        <w:tc>
          <w:tcPr>
            <w:tcW w:w="680" w:type="dxa"/>
            <w:hideMark/>
          </w:tcPr>
          <w:p w14:paraId="6A2BE424" w14:textId="77777777" w:rsidR="00785790" w:rsidRPr="00582FBF" w:rsidRDefault="00785790" w:rsidP="00785790">
            <w:pPr>
              <w:pStyle w:val="TableTextNormal"/>
              <w:jc w:val="center"/>
              <w:rPr>
                <w:lang w:val="en-US"/>
              </w:rPr>
            </w:pPr>
          </w:p>
        </w:tc>
        <w:tc>
          <w:tcPr>
            <w:tcW w:w="680" w:type="dxa"/>
            <w:hideMark/>
          </w:tcPr>
          <w:p w14:paraId="30DC3503" w14:textId="77777777" w:rsidR="00785790" w:rsidRPr="00582FBF" w:rsidRDefault="00785790" w:rsidP="00785790">
            <w:pPr>
              <w:pStyle w:val="TableTextNormal"/>
              <w:jc w:val="center"/>
              <w:rPr>
                <w:lang w:val="en-US"/>
              </w:rPr>
            </w:pPr>
          </w:p>
        </w:tc>
        <w:tc>
          <w:tcPr>
            <w:tcW w:w="680" w:type="dxa"/>
            <w:hideMark/>
          </w:tcPr>
          <w:p w14:paraId="0AEA8F35" w14:textId="77777777" w:rsidR="00785790" w:rsidRPr="00582FBF" w:rsidRDefault="00785790" w:rsidP="00785790">
            <w:pPr>
              <w:pStyle w:val="TableTextNormal"/>
              <w:jc w:val="center"/>
              <w:rPr>
                <w:lang w:val="en-US"/>
              </w:rPr>
            </w:pPr>
          </w:p>
        </w:tc>
        <w:tc>
          <w:tcPr>
            <w:tcW w:w="680" w:type="dxa"/>
            <w:hideMark/>
          </w:tcPr>
          <w:p w14:paraId="638492EF" w14:textId="77777777" w:rsidR="00785790" w:rsidRPr="00582FBF" w:rsidRDefault="00785790" w:rsidP="00785790">
            <w:pPr>
              <w:pStyle w:val="TableTextNormal"/>
              <w:jc w:val="center"/>
              <w:rPr>
                <w:lang w:val="en-US"/>
              </w:rPr>
            </w:pPr>
          </w:p>
        </w:tc>
      </w:tr>
      <w:tr w:rsidR="00785790" w:rsidRPr="00582FBF" w14:paraId="52EE6270" w14:textId="77777777" w:rsidTr="00582FBF">
        <w:trPr>
          <w:trHeight w:val="564"/>
        </w:trPr>
        <w:tc>
          <w:tcPr>
            <w:tcW w:w="3654" w:type="dxa"/>
            <w:hideMark/>
          </w:tcPr>
          <w:p w14:paraId="26DF44B3" w14:textId="77777777" w:rsidR="00785790" w:rsidRPr="00582FBF" w:rsidRDefault="00785790" w:rsidP="00785790">
            <w:pPr>
              <w:pStyle w:val="TableTextNormal"/>
              <w:rPr>
                <w:lang w:val="en-US"/>
              </w:rPr>
            </w:pPr>
            <w:r w:rsidRPr="00582FBF">
              <w:t>Average call set up time</w:t>
            </w:r>
          </w:p>
        </w:tc>
        <w:tc>
          <w:tcPr>
            <w:tcW w:w="680" w:type="dxa"/>
            <w:hideMark/>
          </w:tcPr>
          <w:p w14:paraId="5E5B3D59" w14:textId="77777777" w:rsidR="00785790" w:rsidRPr="00582FBF" w:rsidRDefault="00785790" w:rsidP="00785790">
            <w:pPr>
              <w:pStyle w:val="TableTextNormal"/>
              <w:jc w:val="center"/>
              <w:rPr>
                <w:lang w:val="en-US"/>
              </w:rPr>
            </w:pPr>
          </w:p>
        </w:tc>
        <w:tc>
          <w:tcPr>
            <w:tcW w:w="680" w:type="dxa"/>
            <w:hideMark/>
          </w:tcPr>
          <w:p w14:paraId="6D4D739E" w14:textId="77777777" w:rsidR="00785790" w:rsidRPr="00582FBF" w:rsidRDefault="00785790" w:rsidP="00785790">
            <w:pPr>
              <w:pStyle w:val="TableTextNormal"/>
              <w:jc w:val="center"/>
              <w:rPr>
                <w:lang w:val="en-US"/>
              </w:rPr>
            </w:pPr>
          </w:p>
        </w:tc>
        <w:tc>
          <w:tcPr>
            <w:tcW w:w="680" w:type="dxa"/>
            <w:hideMark/>
          </w:tcPr>
          <w:p w14:paraId="4F597101" w14:textId="0AB3C105" w:rsidR="00785790" w:rsidRPr="00582FBF" w:rsidRDefault="00785790" w:rsidP="00785790">
            <w:pPr>
              <w:pStyle w:val="TableTextNormal"/>
              <w:jc w:val="center"/>
              <w:rPr>
                <w:lang w:val="en-US"/>
              </w:rPr>
            </w:pPr>
            <w:r w:rsidRPr="00DB655E">
              <w:rPr>
                <w:noProof/>
                <w:lang w:eastAsia="en-AU"/>
              </w:rPr>
              <mc:AlternateContent>
                <mc:Choice Requires="wps">
                  <w:drawing>
                    <wp:inline distT="0" distB="0" distL="0" distR="0" wp14:anchorId="2D0099E2" wp14:editId="0B1C4E5E">
                      <wp:extent cx="180000" cy="180000"/>
                      <wp:effectExtent l="0" t="0" r="0" b="0"/>
                      <wp:docPr id="12" name="Freeform 32" descr="Fixed line telephone services icon &#10;" title="Fixed line telephone services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80000" cy="180000"/>
                              </a:xfrm>
                              <a:custGeom>
                                <a:avLst/>
                                <a:gdLst/>
                                <a:ahLst/>
                                <a:cxnLst>
                                  <a:cxn ang="0">
                                    <a:pos x="179" y="146"/>
                                  </a:cxn>
                                  <a:cxn ang="0">
                                    <a:pos x="209" y="146"/>
                                  </a:cxn>
                                  <a:cxn ang="0">
                                    <a:pos x="125" y="161"/>
                                  </a:cxn>
                                  <a:cxn ang="0">
                                    <a:pos x="125" y="131"/>
                                  </a:cxn>
                                  <a:cxn ang="0">
                                    <a:pos x="125" y="161"/>
                                  </a:cxn>
                                  <a:cxn ang="0">
                                    <a:pos x="166" y="59"/>
                                  </a:cxn>
                                  <a:cxn ang="0">
                                    <a:pos x="116" y="87"/>
                                  </a:cxn>
                                  <a:cxn ang="0">
                                    <a:pos x="109" y="58"/>
                                  </a:cxn>
                                  <a:cxn ang="0">
                                    <a:pos x="77" y="64"/>
                                  </a:cxn>
                                  <a:cxn ang="0">
                                    <a:pos x="43" y="135"/>
                                  </a:cxn>
                                  <a:cxn ang="0">
                                    <a:pos x="46" y="147"/>
                                  </a:cxn>
                                  <a:cxn ang="0">
                                    <a:pos x="77" y="247"/>
                                  </a:cxn>
                                  <a:cxn ang="0">
                                    <a:pos x="121" y="257"/>
                                  </a:cxn>
                                  <a:cxn ang="0">
                                    <a:pos x="116" y="220"/>
                                  </a:cxn>
                                  <a:cxn ang="0">
                                    <a:pos x="100" y="213"/>
                                  </a:cxn>
                                  <a:cxn ang="0">
                                    <a:pos x="106" y="169"/>
                                  </a:cxn>
                                  <a:cxn ang="0">
                                    <a:pos x="151" y="175"/>
                                  </a:cxn>
                                  <a:cxn ang="0">
                                    <a:pos x="144" y="220"/>
                                  </a:cxn>
                                  <a:cxn ang="0">
                                    <a:pos x="134" y="249"/>
                                  </a:cxn>
                                  <a:cxn ang="0">
                                    <a:pos x="190" y="257"/>
                                  </a:cxn>
                                  <a:cxn ang="0">
                                    <a:pos x="185" y="220"/>
                                  </a:cxn>
                                  <a:cxn ang="0">
                                    <a:pos x="165" y="217"/>
                                  </a:cxn>
                                  <a:cxn ang="0">
                                    <a:pos x="177" y="173"/>
                                  </a:cxn>
                                  <a:cxn ang="0">
                                    <a:pos x="205" y="169"/>
                                  </a:cxn>
                                  <a:cxn ang="0">
                                    <a:pos x="224" y="210"/>
                                  </a:cxn>
                                  <a:cxn ang="0">
                                    <a:pos x="218" y="220"/>
                                  </a:cxn>
                                  <a:cxn ang="0">
                                    <a:pos x="203" y="220"/>
                                  </a:cxn>
                                  <a:cxn ang="0">
                                    <a:pos x="198" y="257"/>
                                  </a:cxn>
                                  <a:cxn ang="0">
                                    <a:pos x="248" y="247"/>
                                  </a:cxn>
                                  <a:cxn ang="0">
                                    <a:pos x="279" y="147"/>
                                  </a:cxn>
                                  <a:cxn ang="0">
                                    <a:pos x="285" y="140"/>
                                  </a:cxn>
                                  <a:cxn ang="0">
                                    <a:pos x="162" y="0"/>
                                  </a:cxn>
                                  <a:cxn ang="0">
                                    <a:pos x="162" y="324"/>
                                  </a:cxn>
                                  <a:cxn ang="0">
                                    <a:pos x="162" y="0"/>
                                  </a:cxn>
                                  <a:cxn ang="0">
                                    <a:pos x="311" y="162"/>
                                  </a:cxn>
                                  <a:cxn ang="0">
                                    <a:pos x="13" y="162"/>
                                  </a:cxn>
                                </a:cxnLst>
                                <a:rect l="0" t="0" r="r" b="b"/>
                                <a:pathLst>
                                  <a:path w="324" h="324">
                                    <a:moveTo>
                                      <a:pt x="194" y="161"/>
                                    </a:moveTo>
                                    <a:cubicBezTo>
                                      <a:pt x="186" y="161"/>
                                      <a:pt x="179" y="155"/>
                                      <a:pt x="179" y="146"/>
                                    </a:cubicBezTo>
                                    <a:cubicBezTo>
                                      <a:pt x="179" y="138"/>
                                      <a:pt x="186" y="131"/>
                                      <a:pt x="194" y="131"/>
                                    </a:cubicBezTo>
                                    <a:cubicBezTo>
                                      <a:pt x="203" y="131"/>
                                      <a:pt x="209" y="138"/>
                                      <a:pt x="209" y="146"/>
                                    </a:cubicBezTo>
                                    <a:cubicBezTo>
                                      <a:pt x="209" y="155"/>
                                      <a:pt x="203" y="161"/>
                                      <a:pt x="194" y="161"/>
                                    </a:cubicBezTo>
                                    <a:close/>
                                    <a:moveTo>
                                      <a:pt x="125" y="161"/>
                                    </a:moveTo>
                                    <a:cubicBezTo>
                                      <a:pt x="117" y="161"/>
                                      <a:pt x="110" y="155"/>
                                      <a:pt x="110" y="146"/>
                                    </a:cubicBezTo>
                                    <a:cubicBezTo>
                                      <a:pt x="110" y="138"/>
                                      <a:pt x="117" y="131"/>
                                      <a:pt x="125" y="131"/>
                                    </a:cubicBezTo>
                                    <a:cubicBezTo>
                                      <a:pt x="134" y="131"/>
                                      <a:pt x="140" y="138"/>
                                      <a:pt x="140" y="146"/>
                                    </a:cubicBezTo>
                                    <a:cubicBezTo>
                                      <a:pt x="140" y="155"/>
                                      <a:pt x="134" y="161"/>
                                      <a:pt x="125" y="161"/>
                                    </a:cubicBezTo>
                                    <a:close/>
                                    <a:moveTo>
                                      <a:pt x="281" y="134"/>
                                    </a:moveTo>
                                    <a:cubicBezTo>
                                      <a:pt x="166" y="59"/>
                                      <a:pt x="166" y="59"/>
                                      <a:pt x="166" y="59"/>
                                    </a:cubicBezTo>
                                    <a:cubicBezTo>
                                      <a:pt x="164" y="58"/>
                                      <a:pt x="161" y="58"/>
                                      <a:pt x="159" y="59"/>
                                    </a:cubicBezTo>
                                    <a:cubicBezTo>
                                      <a:pt x="116" y="87"/>
                                      <a:pt x="116" y="87"/>
                                      <a:pt x="116" y="87"/>
                                    </a:cubicBezTo>
                                    <a:cubicBezTo>
                                      <a:pt x="116" y="64"/>
                                      <a:pt x="116" y="64"/>
                                      <a:pt x="116" y="64"/>
                                    </a:cubicBezTo>
                                    <a:cubicBezTo>
                                      <a:pt x="116" y="61"/>
                                      <a:pt x="113" y="58"/>
                                      <a:pt x="109" y="58"/>
                                    </a:cubicBezTo>
                                    <a:cubicBezTo>
                                      <a:pt x="83" y="58"/>
                                      <a:pt x="83" y="58"/>
                                      <a:pt x="83" y="58"/>
                                    </a:cubicBezTo>
                                    <a:cubicBezTo>
                                      <a:pt x="80" y="58"/>
                                      <a:pt x="77" y="61"/>
                                      <a:pt x="77" y="64"/>
                                    </a:cubicBezTo>
                                    <a:cubicBezTo>
                                      <a:pt x="77" y="112"/>
                                      <a:pt x="77" y="112"/>
                                      <a:pt x="77" y="112"/>
                                    </a:cubicBezTo>
                                    <a:cubicBezTo>
                                      <a:pt x="43" y="135"/>
                                      <a:pt x="43" y="135"/>
                                      <a:pt x="43" y="135"/>
                                    </a:cubicBezTo>
                                    <a:cubicBezTo>
                                      <a:pt x="40" y="137"/>
                                      <a:pt x="39" y="139"/>
                                      <a:pt x="40" y="142"/>
                                    </a:cubicBezTo>
                                    <a:cubicBezTo>
                                      <a:pt x="41" y="145"/>
                                      <a:pt x="43" y="147"/>
                                      <a:pt x="46" y="147"/>
                                    </a:cubicBezTo>
                                    <a:cubicBezTo>
                                      <a:pt x="77" y="147"/>
                                      <a:pt x="77" y="147"/>
                                      <a:pt x="77" y="147"/>
                                    </a:cubicBezTo>
                                    <a:cubicBezTo>
                                      <a:pt x="77" y="247"/>
                                      <a:pt x="77" y="247"/>
                                      <a:pt x="77" y="247"/>
                                    </a:cubicBezTo>
                                    <a:cubicBezTo>
                                      <a:pt x="77" y="253"/>
                                      <a:pt x="81" y="257"/>
                                      <a:pt x="87" y="257"/>
                                    </a:cubicBezTo>
                                    <a:cubicBezTo>
                                      <a:pt x="121" y="257"/>
                                      <a:pt x="121" y="257"/>
                                      <a:pt x="121" y="257"/>
                                    </a:cubicBezTo>
                                    <a:cubicBezTo>
                                      <a:pt x="118" y="256"/>
                                      <a:pt x="116" y="253"/>
                                      <a:pt x="116" y="249"/>
                                    </a:cubicBezTo>
                                    <a:cubicBezTo>
                                      <a:pt x="116" y="220"/>
                                      <a:pt x="116" y="220"/>
                                      <a:pt x="116" y="220"/>
                                    </a:cubicBezTo>
                                    <a:cubicBezTo>
                                      <a:pt x="106" y="220"/>
                                      <a:pt x="106" y="220"/>
                                      <a:pt x="106" y="220"/>
                                    </a:cubicBezTo>
                                    <a:cubicBezTo>
                                      <a:pt x="102" y="220"/>
                                      <a:pt x="100" y="217"/>
                                      <a:pt x="100" y="213"/>
                                    </a:cubicBezTo>
                                    <a:cubicBezTo>
                                      <a:pt x="100" y="175"/>
                                      <a:pt x="100" y="175"/>
                                      <a:pt x="100" y="175"/>
                                    </a:cubicBezTo>
                                    <a:cubicBezTo>
                                      <a:pt x="100" y="172"/>
                                      <a:pt x="102" y="169"/>
                                      <a:pt x="106" y="169"/>
                                    </a:cubicBezTo>
                                    <a:cubicBezTo>
                                      <a:pt x="144" y="169"/>
                                      <a:pt x="144" y="169"/>
                                      <a:pt x="144" y="169"/>
                                    </a:cubicBezTo>
                                    <a:cubicBezTo>
                                      <a:pt x="148" y="169"/>
                                      <a:pt x="151" y="172"/>
                                      <a:pt x="151" y="175"/>
                                    </a:cubicBezTo>
                                    <a:cubicBezTo>
                                      <a:pt x="151" y="213"/>
                                      <a:pt x="151" y="213"/>
                                      <a:pt x="151" y="213"/>
                                    </a:cubicBezTo>
                                    <a:cubicBezTo>
                                      <a:pt x="151" y="217"/>
                                      <a:pt x="148" y="220"/>
                                      <a:pt x="144" y="220"/>
                                    </a:cubicBezTo>
                                    <a:cubicBezTo>
                                      <a:pt x="134" y="220"/>
                                      <a:pt x="134" y="220"/>
                                      <a:pt x="134" y="220"/>
                                    </a:cubicBezTo>
                                    <a:cubicBezTo>
                                      <a:pt x="134" y="249"/>
                                      <a:pt x="134" y="249"/>
                                      <a:pt x="134" y="249"/>
                                    </a:cubicBezTo>
                                    <a:cubicBezTo>
                                      <a:pt x="134" y="253"/>
                                      <a:pt x="132" y="256"/>
                                      <a:pt x="129" y="257"/>
                                    </a:cubicBezTo>
                                    <a:cubicBezTo>
                                      <a:pt x="190" y="257"/>
                                      <a:pt x="190" y="257"/>
                                      <a:pt x="190" y="257"/>
                                    </a:cubicBezTo>
                                    <a:cubicBezTo>
                                      <a:pt x="187" y="256"/>
                                      <a:pt x="185" y="253"/>
                                      <a:pt x="185" y="249"/>
                                    </a:cubicBezTo>
                                    <a:cubicBezTo>
                                      <a:pt x="185" y="220"/>
                                      <a:pt x="185" y="220"/>
                                      <a:pt x="185" y="220"/>
                                    </a:cubicBezTo>
                                    <a:cubicBezTo>
                                      <a:pt x="170" y="220"/>
                                      <a:pt x="170" y="220"/>
                                      <a:pt x="170" y="220"/>
                                    </a:cubicBezTo>
                                    <a:cubicBezTo>
                                      <a:pt x="168" y="220"/>
                                      <a:pt x="166" y="219"/>
                                      <a:pt x="165" y="217"/>
                                    </a:cubicBezTo>
                                    <a:cubicBezTo>
                                      <a:pt x="163" y="215"/>
                                      <a:pt x="163" y="213"/>
                                      <a:pt x="164" y="211"/>
                                    </a:cubicBezTo>
                                    <a:cubicBezTo>
                                      <a:pt x="177" y="173"/>
                                      <a:pt x="177" y="173"/>
                                      <a:pt x="177" y="173"/>
                                    </a:cubicBezTo>
                                    <a:cubicBezTo>
                                      <a:pt x="178" y="171"/>
                                      <a:pt x="180" y="169"/>
                                      <a:pt x="183" y="169"/>
                                    </a:cubicBezTo>
                                    <a:cubicBezTo>
                                      <a:pt x="205" y="169"/>
                                      <a:pt x="205" y="169"/>
                                      <a:pt x="205" y="169"/>
                                    </a:cubicBezTo>
                                    <a:cubicBezTo>
                                      <a:pt x="208" y="169"/>
                                      <a:pt x="210" y="171"/>
                                      <a:pt x="211" y="173"/>
                                    </a:cubicBezTo>
                                    <a:cubicBezTo>
                                      <a:pt x="224" y="210"/>
                                      <a:pt x="224" y="210"/>
                                      <a:pt x="224" y="210"/>
                                    </a:cubicBezTo>
                                    <a:cubicBezTo>
                                      <a:pt x="224" y="211"/>
                                      <a:pt x="225" y="212"/>
                                      <a:pt x="225" y="213"/>
                                    </a:cubicBezTo>
                                    <a:cubicBezTo>
                                      <a:pt x="225" y="217"/>
                                      <a:pt x="222" y="220"/>
                                      <a:pt x="218" y="220"/>
                                    </a:cubicBezTo>
                                    <a:cubicBezTo>
                                      <a:pt x="218" y="220"/>
                                      <a:pt x="218" y="220"/>
                                      <a:pt x="218" y="220"/>
                                    </a:cubicBezTo>
                                    <a:cubicBezTo>
                                      <a:pt x="203" y="220"/>
                                      <a:pt x="203" y="220"/>
                                      <a:pt x="203" y="220"/>
                                    </a:cubicBezTo>
                                    <a:cubicBezTo>
                                      <a:pt x="203" y="249"/>
                                      <a:pt x="203" y="249"/>
                                      <a:pt x="203" y="249"/>
                                    </a:cubicBezTo>
                                    <a:cubicBezTo>
                                      <a:pt x="203" y="253"/>
                                      <a:pt x="201" y="256"/>
                                      <a:pt x="198" y="257"/>
                                    </a:cubicBezTo>
                                    <a:cubicBezTo>
                                      <a:pt x="238" y="257"/>
                                      <a:pt x="238" y="257"/>
                                      <a:pt x="238" y="257"/>
                                    </a:cubicBezTo>
                                    <a:cubicBezTo>
                                      <a:pt x="243" y="257"/>
                                      <a:pt x="248" y="253"/>
                                      <a:pt x="248" y="247"/>
                                    </a:cubicBezTo>
                                    <a:cubicBezTo>
                                      <a:pt x="248" y="147"/>
                                      <a:pt x="248" y="147"/>
                                      <a:pt x="248" y="147"/>
                                    </a:cubicBezTo>
                                    <a:cubicBezTo>
                                      <a:pt x="279" y="147"/>
                                      <a:pt x="279" y="147"/>
                                      <a:pt x="279" y="147"/>
                                    </a:cubicBezTo>
                                    <a:cubicBezTo>
                                      <a:pt x="279" y="147"/>
                                      <a:pt x="279" y="147"/>
                                      <a:pt x="279" y="147"/>
                                    </a:cubicBezTo>
                                    <a:cubicBezTo>
                                      <a:pt x="282" y="147"/>
                                      <a:pt x="285" y="144"/>
                                      <a:pt x="285" y="140"/>
                                    </a:cubicBezTo>
                                    <a:cubicBezTo>
                                      <a:pt x="285" y="138"/>
                                      <a:pt x="284" y="135"/>
                                      <a:pt x="281" y="134"/>
                                    </a:cubicBezTo>
                                    <a:close/>
                                    <a:moveTo>
                                      <a:pt x="162" y="0"/>
                                    </a:moveTo>
                                    <a:cubicBezTo>
                                      <a:pt x="73" y="0"/>
                                      <a:pt x="0" y="72"/>
                                      <a:pt x="0" y="162"/>
                                    </a:cubicBezTo>
                                    <a:cubicBezTo>
                                      <a:pt x="0" y="251"/>
                                      <a:pt x="73" y="324"/>
                                      <a:pt x="162" y="324"/>
                                    </a:cubicBezTo>
                                    <a:cubicBezTo>
                                      <a:pt x="252" y="324"/>
                                      <a:pt x="324" y="251"/>
                                      <a:pt x="324" y="162"/>
                                    </a:cubicBezTo>
                                    <a:cubicBezTo>
                                      <a:pt x="324" y="72"/>
                                      <a:pt x="252" y="0"/>
                                      <a:pt x="162" y="0"/>
                                    </a:cubicBezTo>
                                    <a:close/>
                                    <a:moveTo>
                                      <a:pt x="162" y="13"/>
                                    </a:moveTo>
                                    <a:cubicBezTo>
                                      <a:pt x="244" y="13"/>
                                      <a:pt x="311" y="80"/>
                                      <a:pt x="311" y="162"/>
                                    </a:cubicBezTo>
                                    <a:cubicBezTo>
                                      <a:pt x="311" y="244"/>
                                      <a:pt x="244" y="311"/>
                                      <a:pt x="162" y="311"/>
                                    </a:cubicBezTo>
                                    <a:cubicBezTo>
                                      <a:pt x="80" y="311"/>
                                      <a:pt x="13" y="244"/>
                                      <a:pt x="13" y="162"/>
                                    </a:cubicBezTo>
                                    <a:cubicBezTo>
                                      <a:pt x="13" y="80"/>
                                      <a:pt x="80" y="13"/>
                                      <a:pt x="162" y="13"/>
                                    </a:cubicBezTo>
                                  </a:path>
                                </a:pathLst>
                              </a:custGeom>
                              <a:solidFill>
                                <a:schemeClr val="tx2"/>
                              </a:solidFill>
                              <a:ln w="9525">
                                <a:noFill/>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24906CF6" id="Freeform 32" o:spid="_x0000_s1026" alt="Title: Fixed line telephone services icon - Description: Fixed line telephone services icon &#10;" style="width:14.15pt;height:14.15pt;visibility:visible;mso-wrap-style:square;mso-left-percent:-10001;mso-top-percent:-10001;mso-position-horizontal:absolute;mso-position-horizontal-relative:char;mso-position-vertical:absolute;mso-position-vertical-relative:line;mso-left-percent:-10001;mso-top-percent:-10001;v-text-anchor:top" coordsize="32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" path="m194,161v-8,,-15,-6,-15,-15c179,138,186,131,194,131v9,,15,7,15,15c209,155,203,161,194,161xm125,161v-8,,-15,-6,-15,-15c110,138,117,131,125,131v9,,15,7,15,15c140,155,134,161,125,161xm281,134c166,59,166,59,166,59v-2,-1,-5,-1,-7,c116,87,116,87,116,87v,-23,,-23,,-23c116,61,113,58,109,58v-26,,-26,,-26,c80,58,77,61,77,64v,48,,48,,48c43,135,43,135,43,135v-3,2,-4,4,-3,7c41,145,43,147,46,147v31,,31,,31,c77,247,77,247,77,247v,6,4,10,10,10c121,257,121,257,121,257v-3,-1,-5,-4,-5,-8c116,220,116,220,116,220v-10,,-10,,-10,c102,220,100,217,100,213v,-38,,-38,,-38c100,172,102,169,106,169v38,,38,,38,c148,169,151,172,151,175v,38,,38,,38c151,217,148,220,144,220v-10,,-10,,-10,c134,249,134,249,134,249v,4,-2,7,-5,8c190,257,190,257,190,257v-3,-1,-5,-4,-5,-8c185,220,185,220,185,220v-15,,-15,,-15,c168,220,166,219,165,217v-2,-2,-2,-4,-1,-6c177,173,177,173,177,173v1,-2,3,-4,6,-4c205,169,205,169,205,169v3,,5,2,6,4c224,210,224,210,224,210v,1,1,2,1,3c225,217,222,220,218,220v,,,,,c203,220,203,220,203,220v,29,,29,,29c203,253,201,256,198,257v40,,40,,40,c243,257,248,253,248,247v,-100,,-100,,-100c279,147,279,147,279,147v,,,,,c282,147,285,144,285,140v,-2,-1,-5,-4,-6xm162,c73,,,72,,162v,89,73,162,162,162c252,324,324,251,324,162,324,72,252,,162,xm162,13v82,,149,67,149,149c311,244,244,311,162,311,80,311,13,244,13,162,13,80,80,13,162,13e" fillcolor="#a32020 [3215]" stroked="f">
                      <v:path arrowok="t" o:connecttype="custom" o:connectlocs="179,146;209,146;125,161;125,131;125,161;166,59;116,87;109,58;77,64;43,135;46,147;77,247;121,257;116,220;100,213;106,169;151,175;144,220;134,249;190,257;185,220;165,217;177,173;205,169;224,210;218,220;203,220;198,257;248,247;279,147;285,140;162,0;162,324;162,0;311,162;13,162" o:connectangles="0,0,0,0,0,0,0,0,0,0,0,0,0,0,0,0,0,0,0,0,0,0,0,0,0,0,0,0,0,0,0,0,0,0,0,0"/>
                      <o:lock v:ext="edit" verticies="t"/>
                      <w10:anchorlock/>
                    </v:shape>
                  </w:pict>
                </mc:Fallback>
              </mc:AlternateContent>
            </w:r>
          </w:p>
        </w:tc>
        <w:tc>
          <w:tcPr>
            <w:tcW w:w="680" w:type="dxa"/>
            <w:hideMark/>
          </w:tcPr>
          <w:p w14:paraId="35510FE7" w14:textId="77777777" w:rsidR="00785790" w:rsidRPr="00582FBF" w:rsidRDefault="00785790" w:rsidP="00785790">
            <w:pPr>
              <w:pStyle w:val="TableTextNormal"/>
              <w:jc w:val="center"/>
              <w:rPr>
                <w:lang w:val="en-US"/>
              </w:rPr>
            </w:pPr>
          </w:p>
        </w:tc>
        <w:tc>
          <w:tcPr>
            <w:tcW w:w="680" w:type="dxa"/>
            <w:hideMark/>
          </w:tcPr>
          <w:p w14:paraId="01DBD0E9" w14:textId="165FADBE" w:rsidR="00785790" w:rsidRPr="00582FBF" w:rsidRDefault="00350527" w:rsidP="00785790">
            <w:pPr>
              <w:pStyle w:val="TableTextNormal"/>
              <w:jc w:val="center"/>
              <w:rPr>
                <w:lang w:val="en-US"/>
              </w:rPr>
            </w:pPr>
            <w:r w:rsidRPr="008F3B97">
              <w:rPr>
                <w:noProof/>
                <w:lang w:eastAsia="en-AU"/>
              </w:rPr>
              <mc:AlternateContent>
                <mc:Choice Requires="wps">
                  <w:drawing>
                    <wp:inline distT="0" distB="0" distL="0" distR="0" wp14:anchorId="17259753" wp14:editId="182B1868">
                      <wp:extent cx="180000" cy="180000"/>
                      <wp:effectExtent l="0" t="0" r="0" b="0"/>
                      <wp:docPr id="40" name="Freeform 8" descr="Mobile telephone services icon " title="Mobile telephone services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80000" cy="180000"/>
                              </a:xfrm>
                              <a:custGeom>
                                <a:avLst/>
                                <a:gdLst/>
                                <a:ahLst/>
                                <a:cxnLst>
                                  <a:cxn ang="0">
                                    <a:pos x="215" y="238"/>
                                  </a:cxn>
                                  <a:cxn ang="0">
                                    <a:pos x="108" y="238"/>
                                  </a:cxn>
                                  <a:cxn ang="0">
                                    <a:pos x="108" y="78"/>
                                  </a:cxn>
                                  <a:cxn ang="0">
                                    <a:pos x="215" y="78"/>
                                  </a:cxn>
                                  <a:cxn ang="0">
                                    <a:pos x="215" y="238"/>
                                  </a:cxn>
                                  <a:cxn ang="0">
                                    <a:pos x="161" y="273"/>
                                  </a:cxn>
                                  <a:cxn ang="0">
                                    <a:pos x="149" y="261"/>
                                  </a:cxn>
                                  <a:cxn ang="0">
                                    <a:pos x="161" y="249"/>
                                  </a:cxn>
                                  <a:cxn ang="0">
                                    <a:pos x="173" y="261"/>
                                  </a:cxn>
                                  <a:cxn ang="0">
                                    <a:pos x="161" y="273"/>
                                  </a:cxn>
                                  <a:cxn ang="0">
                                    <a:pos x="149" y="57"/>
                                  </a:cxn>
                                  <a:cxn ang="0">
                                    <a:pos x="173" y="57"/>
                                  </a:cxn>
                                  <a:cxn ang="0">
                                    <a:pos x="178" y="62"/>
                                  </a:cxn>
                                  <a:cxn ang="0">
                                    <a:pos x="173" y="67"/>
                                  </a:cxn>
                                  <a:cxn ang="0">
                                    <a:pos x="149" y="67"/>
                                  </a:cxn>
                                  <a:cxn ang="0">
                                    <a:pos x="144" y="62"/>
                                  </a:cxn>
                                  <a:cxn ang="0">
                                    <a:pos x="149" y="57"/>
                                  </a:cxn>
                                  <a:cxn ang="0">
                                    <a:pos x="215" y="39"/>
                                  </a:cxn>
                                  <a:cxn ang="0">
                                    <a:pos x="107" y="39"/>
                                  </a:cxn>
                                  <a:cxn ang="0">
                                    <a:pos x="89" y="57"/>
                                  </a:cxn>
                                  <a:cxn ang="0">
                                    <a:pos x="89" y="266"/>
                                  </a:cxn>
                                  <a:cxn ang="0">
                                    <a:pos x="107" y="284"/>
                                  </a:cxn>
                                  <a:cxn ang="0">
                                    <a:pos x="215" y="284"/>
                                  </a:cxn>
                                  <a:cxn ang="0">
                                    <a:pos x="233" y="266"/>
                                  </a:cxn>
                                  <a:cxn ang="0">
                                    <a:pos x="233" y="57"/>
                                  </a:cxn>
                                  <a:cxn ang="0">
                                    <a:pos x="215" y="39"/>
                                  </a:cxn>
                                  <a:cxn ang="0">
                                    <a:pos x="161" y="311"/>
                                  </a:cxn>
                                  <a:cxn ang="0">
                                    <a:pos x="12" y="162"/>
                                  </a:cxn>
                                  <a:cxn ang="0">
                                    <a:pos x="161" y="13"/>
                                  </a:cxn>
                                  <a:cxn ang="0">
                                    <a:pos x="310" y="162"/>
                                  </a:cxn>
                                  <a:cxn ang="0">
                                    <a:pos x="161" y="311"/>
                                  </a:cxn>
                                  <a:cxn ang="0">
                                    <a:pos x="161" y="0"/>
                                  </a:cxn>
                                  <a:cxn ang="0">
                                    <a:pos x="0" y="162"/>
                                  </a:cxn>
                                  <a:cxn ang="0">
                                    <a:pos x="161" y="324"/>
                                  </a:cxn>
                                  <a:cxn ang="0">
                                    <a:pos x="323" y="162"/>
                                  </a:cxn>
                                  <a:cxn ang="0">
                                    <a:pos x="161" y="0"/>
                                  </a:cxn>
                                </a:cxnLst>
                                <a:rect l="0" t="0" r="r" b="b"/>
                                <a:pathLst>
                                  <a:path w="323" h="324">
                                    <a:moveTo>
                                      <a:pt x="215" y="238"/>
                                    </a:moveTo>
                                    <a:cubicBezTo>
                                      <a:pt x="108" y="238"/>
                                      <a:pt x="108" y="238"/>
                                      <a:pt x="108" y="238"/>
                                    </a:cubicBezTo>
                                    <a:cubicBezTo>
                                      <a:pt x="108" y="78"/>
                                      <a:pt x="108" y="78"/>
                                      <a:pt x="108" y="78"/>
                                    </a:cubicBezTo>
                                    <a:cubicBezTo>
                                      <a:pt x="215" y="78"/>
                                      <a:pt x="215" y="78"/>
                                      <a:pt x="215" y="78"/>
                                    </a:cubicBezTo>
                                    <a:lnTo>
                                      <a:pt x="215" y="238"/>
                                    </a:lnTo>
                                    <a:close/>
                                    <a:moveTo>
                                      <a:pt x="161" y="273"/>
                                    </a:moveTo>
                                    <a:cubicBezTo>
                                      <a:pt x="154" y="273"/>
                                      <a:pt x="149" y="267"/>
                                      <a:pt x="149" y="261"/>
                                    </a:cubicBezTo>
                                    <a:cubicBezTo>
                                      <a:pt x="149" y="254"/>
                                      <a:pt x="154" y="249"/>
                                      <a:pt x="161" y="249"/>
                                    </a:cubicBezTo>
                                    <a:cubicBezTo>
                                      <a:pt x="168" y="249"/>
                                      <a:pt x="173" y="254"/>
                                      <a:pt x="173" y="261"/>
                                    </a:cubicBezTo>
                                    <a:cubicBezTo>
                                      <a:pt x="173" y="267"/>
                                      <a:pt x="168" y="273"/>
                                      <a:pt x="161" y="273"/>
                                    </a:cubicBezTo>
                                    <a:close/>
                                    <a:moveTo>
                                      <a:pt x="149" y="57"/>
                                    </a:moveTo>
                                    <a:cubicBezTo>
                                      <a:pt x="173" y="57"/>
                                      <a:pt x="173" y="57"/>
                                      <a:pt x="173" y="57"/>
                                    </a:cubicBezTo>
                                    <a:cubicBezTo>
                                      <a:pt x="176" y="57"/>
                                      <a:pt x="178" y="59"/>
                                      <a:pt x="178" y="62"/>
                                    </a:cubicBezTo>
                                    <a:cubicBezTo>
                                      <a:pt x="178" y="65"/>
                                      <a:pt x="176" y="67"/>
                                      <a:pt x="173" y="67"/>
                                    </a:cubicBezTo>
                                    <a:cubicBezTo>
                                      <a:pt x="149" y="67"/>
                                      <a:pt x="149" y="67"/>
                                      <a:pt x="149" y="67"/>
                                    </a:cubicBezTo>
                                    <a:cubicBezTo>
                                      <a:pt x="146" y="67"/>
                                      <a:pt x="144" y="65"/>
                                      <a:pt x="144" y="62"/>
                                    </a:cubicBezTo>
                                    <a:cubicBezTo>
                                      <a:pt x="144" y="59"/>
                                      <a:pt x="146" y="57"/>
                                      <a:pt x="149" y="57"/>
                                    </a:cubicBezTo>
                                    <a:close/>
                                    <a:moveTo>
                                      <a:pt x="215" y="39"/>
                                    </a:moveTo>
                                    <a:cubicBezTo>
                                      <a:pt x="107" y="39"/>
                                      <a:pt x="107" y="39"/>
                                      <a:pt x="107" y="39"/>
                                    </a:cubicBezTo>
                                    <a:cubicBezTo>
                                      <a:pt x="97" y="39"/>
                                      <a:pt x="89" y="47"/>
                                      <a:pt x="89" y="57"/>
                                    </a:cubicBezTo>
                                    <a:cubicBezTo>
                                      <a:pt x="89" y="266"/>
                                      <a:pt x="89" y="266"/>
                                      <a:pt x="89" y="266"/>
                                    </a:cubicBezTo>
                                    <a:cubicBezTo>
                                      <a:pt x="89" y="276"/>
                                      <a:pt x="97" y="284"/>
                                      <a:pt x="107" y="284"/>
                                    </a:cubicBezTo>
                                    <a:cubicBezTo>
                                      <a:pt x="215" y="284"/>
                                      <a:pt x="215" y="284"/>
                                      <a:pt x="215" y="284"/>
                                    </a:cubicBezTo>
                                    <a:cubicBezTo>
                                      <a:pt x="225" y="284"/>
                                      <a:pt x="233" y="276"/>
                                      <a:pt x="233" y="266"/>
                                    </a:cubicBezTo>
                                    <a:cubicBezTo>
                                      <a:pt x="233" y="57"/>
                                      <a:pt x="233" y="57"/>
                                      <a:pt x="233" y="57"/>
                                    </a:cubicBezTo>
                                    <a:cubicBezTo>
                                      <a:pt x="233" y="47"/>
                                      <a:pt x="225" y="39"/>
                                      <a:pt x="215" y="39"/>
                                    </a:cubicBezTo>
                                    <a:close/>
                                    <a:moveTo>
                                      <a:pt x="161" y="311"/>
                                    </a:moveTo>
                                    <a:cubicBezTo>
                                      <a:pt x="79" y="311"/>
                                      <a:pt x="12" y="244"/>
                                      <a:pt x="12" y="162"/>
                                    </a:cubicBezTo>
                                    <a:cubicBezTo>
                                      <a:pt x="12" y="79"/>
                                      <a:pt x="79" y="13"/>
                                      <a:pt x="161" y="13"/>
                                    </a:cubicBezTo>
                                    <a:cubicBezTo>
                                      <a:pt x="243" y="13"/>
                                      <a:pt x="310" y="79"/>
                                      <a:pt x="310" y="162"/>
                                    </a:cubicBezTo>
                                    <a:cubicBezTo>
                                      <a:pt x="310" y="244"/>
                                      <a:pt x="243" y="311"/>
                                      <a:pt x="161" y="311"/>
                                    </a:cubicBezTo>
                                    <a:close/>
                                    <a:moveTo>
                                      <a:pt x="161" y="0"/>
                                    </a:moveTo>
                                    <a:cubicBezTo>
                                      <a:pt x="72" y="0"/>
                                      <a:pt x="0" y="72"/>
                                      <a:pt x="0" y="162"/>
                                    </a:cubicBezTo>
                                    <a:cubicBezTo>
                                      <a:pt x="0" y="251"/>
                                      <a:pt x="72" y="324"/>
                                      <a:pt x="161" y="324"/>
                                    </a:cubicBezTo>
                                    <a:cubicBezTo>
                                      <a:pt x="250" y="324"/>
                                      <a:pt x="323" y="251"/>
                                      <a:pt x="323" y="162"/>
                                    </a:cubicBezTo>
                                    <a:cubicBezTo>
                                      <a:pt x="323" y="72"/>
                                      <a:pt x="250" y="0"/>
                                      <a:pt x="161" y="0"/>
                                    </a:cubicBezTo>
                                    <a:close/>
                                  </a:path>
                                </a:pathLst>
                              </a:custGeom>
                              <a:solidFill>
                                <a:schemeClr val="tx2"/>
                              </a:solidFill>
                              <a:ln w="9525">
                                <a:noFill/>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4CA5B0A3" id="Freeform 8" o:spid="_x0000_s1026" alt="Title: Mobile telephone services icon - Description: Mobile telephone services icon " style="width:14.15pt;height:14.15pt;visibility:visible;mso-wrap-style:square;mso-left-percent:-10001;mso-top-percent:-10001;mso-position-horizontal:absolute;mso-position-horizontal-relative:char;mso-position-vertical:absolute;mso-position-vertical-relative:line;mso-left-percent:-10001;mso-top-percent:-10001;v-text-anchor:top" coordsize="323,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" path="m215,238v-107,,-107,,-107,c108,78,108,78,108,78v107,,107,,107,l215,238xm161,273v-7,,-12,-6,-12,-12c149,254,154,249,161,249v7,,12,5,12,12c173,267,168,273,161,273xm149,57v24,,24,,24,c176,57,178,59,178,62v,3,-2,5,-5,5c149,67,149,67,149,67v-3,,-5,-2,-5,-5c144,59,146,57,149,57xm215,39v-108,,-108,,-108,c97,39,89,47,89,57v,209,,209,,209c89,276,97,284,107,284v108,,108,,108,c225,284,233,276,233,266v,-209,,-209,,-209c233,47,225,39,215,39xm161,311c79,311,12,244,12,162,12,79,79,13,161,13v82,,149,66,149,149c310,244,243,311,161,311xm161,c72,,,72,,162v,89,72,162,161,162c250,324,323,251,323,162,323,72,250,,161,xe" fillcolor="#a32020 [3215]" stroked="f">
                      <v:path arrowok="t" o:connecttype="custom" o:connectlocs="215,238;108,238;108,78;215,78;215,238;161,273;149,261;161,249;173,261;161,273;149,57;173,57;178,62;173,67;149,67;144,62;149,57;215,39;107,39;89,57;89,266;107,284;215,284;233,266;233,57;215,39;161,311;12,162;161,13;310,162;161,311;161,0;0,162;161,324;323,162;161,0" o:connectangles="0,0,0,0,0,0,0,0,0,0,0,0,0,0,0,0,0,0,0,0,0,0,0,0,0,0,0,0,0,0,0,0,0,0,0,0"/>
                      <o:lock v:ext="edit" verticies="t"/>
                      <w10:anchorlock/>
                    </v:shape>
                  </w:pict>
                </mc:Fallback>
              </mc:AlternateContent>
            </w:r>
          </w:p>
        </w:tc>
        <w:tc>
          <w:tcPr>
            <w:tcW w:w="680" w:type="dxa"/>
            <w:hideMark/>
          </w:tcPr>
          <w:p w14:paraId="68EA32C3" w14:textId="77777777" w:rsidR="00785790" w:rsidRPr="00582FBF" w:rsidRDefault="00785790" w:rsidP="00785790">
            <w:pPr>
              <w:pStyle w:val="TableTextNormal"/>
              <w:jc w:val="center"/>
              <w:rPr>
                <w:lang w:val="en-US"/>
              </w:rPr>
            </w:pPr>
          </w:p>
        </w:tc>
        <w:tc>
          <w:tcPr>
            <w:tcW w:w="680" w:type="dxa"/>
            <w:hideMark/>
          </w:tcPr>
          <w:p w14:paraId="7BAA64EA" w14:textId="77777777" w:rsidR="00785790" w:rsidRPr="00582FBF" w:rsidRDefault="00785790" w:rsidP="00785790">
            <w:pPr>
              <w:pStyle w:val="TableTextNormal"/>
              <w:jc w:val="center"/>
              <w:rPr>
                <w:lang w:val="en-US"/>
              </w:rPr>
            </w:pPr>
          </w:p>
        </w:tc>
      </w:tr>
      <w:tr w:rsidR="00582FBF" w:rsidRPr="00582FBF" w14:paraId="02650E0D" w14:textId="77777777" w:rsidTr="00582FBF">
        <w:trPr>
          <w:trHeight w:val="564"/>
        </w:trPr>
        <w:tc>
          <w:tcPr>
            <w:tcW w:w="3654" w:type="dxa"/>
            <w:hideMark/>
          </w:tcPr>
          <w:p w14:paraId="1E433F3A" w14:textId="1751C4E3" w:rsidR="00582FBF" w:rsidRPr="00582FBF" w:rsidRDefault="000B0990" w:rsidP="00582FBF">
            <w:pPr>
              <w:pStyle w:val="TableTextNormal"/>
              <w:rPr>
                <w:lang w:val="en-US"/>
              </w:rPr>
            </w:pPr>
            <w:r>
              <w:t>Call drop</w:t>
            </w:r>
            <w:r w:rsidR="00582FBF" w:rsidRPr="00582FBF">
              <w:t>out rate</w:t>
            </w:r>
          </w:p>
        </w:tc>
        <w:tc>
          <w:tcPr>
            <w:tcW w:w="680" w:type="dxa"/>
            <w:hideMark/>
          </w:tcPr>
          <w:p w14:paraId="14DD5410" w14:textId="77777777" w:rsidR="00582FBF" w:rsidRPr="00582FBF" w:rsidRDefault="00582FBF" w:rsidP="00785790">
            <w:pPr>
              <w:pStyle w:val="TableTextNormal"/>
              <w:jc w:val="center"/>
              <w:rPr>
                <w:lang w:val="en-US"/>
              </w:rPr>
            </w:pPr>
          </w:p>
        </w:tc>
        <w:tc>
          <w:tcPr>
            <w:tcW w:w="680" w:type="dxa"/>
            <w:hideMark/>
          </w:tcPr>
          <w:p w14:paraId="09EEA1F0" w14:textId="77777777" w:rsidR="00582FBF" w:rsidRPr="00582FBF" w:rsidRDefault="00582FBF" w:rsidP="00785790">
            <w:pPr>
              <w:pStyle w:val="TableTextNormal"/>
              <w:jc w:val="center"/>
              <w:rPr>
                <w:lang w:val="en-US"/>
              </w:rPr>
            </w:pPr>
          </w:p>
        </w:tc>
        <w:tc>
          <w:tcPr>
            <w:tcW w:w="680" w:type="dxa"/>
            <w:hideMark/>
          </w:tcPr>
          <w:p w14:paraId="22C7298A" w14:textId="77777777" w:rsidR="00582FBF" w:rsidRPr="00582FBF" w:rsidRDefault="00582FBF" w:rsidP="00785790">
            <w:pPr>
              <w:pStyle w:val="TableTextNormal"/>
              <w:jc w:val="center"/>
              <w:rPr>
                <w:lang w:val="en-US"/>
              </w:rPr>
            </w:pPr>
          </w:p>
        </w:tc>
        <w:tc>
          <w:tcPr>
            <w:tcW w:w="680" w:type="dxa"/>
            <w:hideMark/>
          </w:tcPr>
          <w:p w14:paraId="4D915332" w14:textId="77777777" w:rsidR="00582FBF" w:rsidRPr="00582FBF" w:rsidRDefault="00582FBF" w:rsidP="00785790">
            <w:pPr>
              <w:pStyle w:val="TableTextNormal"/>
              <w:jc w:val="center"/>
              <w:rPr>
                <w:lang w:val="en-US"/>
              </w:rPr>
            </w:pPr>
          </w:p>
        </w:tc>
        <w:tc>
          <w:tcPr>
            <w:tcW w:w="680" w:type="dxa"/>
            <w:hideMark/>
          </w:tcPr>
          <w:p w14:paraId="5B318A9E" w14:textId="0EF9B2FD" w:rsidR="00582FBF" w:rsidRPr="00582FBF" w:rsidRDefault="00350527" w:rsidP="00785790">
            <w:pPr>
              <w:pStyle w:val="TableTextNormal"/>
              <w:jc w:val="center"/>
              <w:rPr>
                <w:lang w:val="en-US"/>
              </w:rPr>
            </w:pPr>
            <w:r w:rsidRPr="008F3B97">
              <w:rPr>
                <w:noProof/>
                <w:lang w:eastAsia="en-AU"/>
              </w:rPr>
              <mc:AlternateContent>
                <mc:Choice Requires="wps">
                  <w:drawing>
                    <wp:inline distT="0" distB="0" distL="0" distR="0" wp14:anchorId="4919B469" wp14:editId="7A2AEF7E">
                      <wp:extent cx="180000" cy="180000"/>
                      <wp:effectExtent l="0" t="0" r="0" b="0"/>
                      <wp:docPr id="41" name="Freeform 8" descr="Mobile telephone services icon " title="Mobile telephone services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80000" cy="180000"/>
                              </a:xfrm>
                              <a:custGeom>
                                <a:avLst/>
                                <a:gdLst/>
                                <a:ahLst/>
                                <a:cxnLst>
                                  <a:cxn ang="0">
                                    <a:pos x="215" y="238"/>
                                  </a:cxn>
                                  <a:cxn ang="0">
                                    <a:pos x="108" y="238"/>
                                  </a:cxn>
                                  <a:cxn ang="0">
                                    <a:pos x="108" y="78"/>
                                  </a:cxn>
                                  <a:cxn ang="0">
                                    <a:pos x="215" y="78"/>
                                  </a:cxn>
                                  <a:cxn ang="0">
                                    <a:pos x="215" y="238"/>
                                  </a:cxn>
                                  <a:cxn ang="0">
                                    <a:pos x="161" y="273"/>
                                  </a:cxn>
                                  <a:cxn ang="0">
                                    <a:pos x="149" y="261"/>
                                  </a:cxn>
                                  <a:cxn ang="0">
                                    <a:pos x="161" y="249"/>
                                  </a:cxn>
                                  <a:cxn ang="0">
                                    <a:pos x="173" y="261"/>
                                  </a:cxn>
                                  <a:cxn ang="0">
                                    <a:pos x="161" y="273"/>
                                  </a:cxn>
                                  <a:cxn ang="0">
                                    <a:pos x="149" y="57"/>
                                  </a:cxn>
                                  <a:cxn ang="0">
                                    <a:pos x="173" y="57"/>
                                  </a:cxn>
                                  <a:cxn ang="0">
                                    <a:pos x="178" y="62"/>
                                  </a:cxn>
                                  <a:cxn ang="0">
                                    <a:pos x="173" y="67"/>
                                  </a:cxn>
                                  <a:cxn ang="0">
                                    <a:pos x="149" y="67"/>
                                  </a:cxn>
                                  <a:cxn ang="0">
                                    <a:pos x="144" y="62"/>
                                  </a:cxn>
                                  <a:cxn ang="0">
                                    <a:pos x="149" y="57"/>
                                  </a:cxn>
                                  <a:cxn ang="0">
                                    <a:pos x="215" y="39"/>
                                  </a:cxn>
                                  <a:cxn ang="0">
                                    <a:pos x="107" y="39"/>
                                  </a:cxn>
                                  <a:cxn ang="0">
                                    <a:pos x="89" y="57"/>
                                  </a:cxn>
                                  <a:cxn ang="0">
                                    <a:pos x="89" y="266"/>
                                  </a:cxn>
                                  <a:cxn ang="0">
                                    <a:pos x="107" y="284"/>
                                  </a:cxn>
                                  <a:cxn ang="0">
                                    <a:pos x="215" y="284"/>
                                  </a:cxn>
                                  <a:cxn ang="0">
                                    <a:pos x="233" y="266"/>
                                  </a:cxn>
                                  <a:cxn ang="0">
                                    <a:pos x="233" y="57"/>
                                  </a:cxn>
                                  <a:cxn ang="0">
                                    <a:pos x="215" y="39"/>
                                  </a:cxn>
                                  <a:cxn ang="0">
                                    <a:pos x="161" y="311"/>
                                  </a:cxn>
                                  <a:cxn ang="0">
                                    <a:pos x="12" y="162"/>
                                  </a:cxn>
                                  <a:cxn ang="0">
                                    <a:pos x="161" y="13"/>
                                  </a:cxn>
                                  <a:cxn ang="0">
                                    <a:pos x="310" y="162"/>
                                  </a:cxn>
                                  <a:cxn ang="0">
                                    <a:pos x="161" y="311"/>
                                  </a:cxn>
                                  <a:cxn ang="0">
                                    <a:pos x="161" y="0"/>
                                  </a:cxn>
                                  <a:cxn ang="0">
                                    <a:pos x="0" y="162"/>
                                  </a:cxn>
                                  <a:cxn ang="0">
                                    <a:pos x="161" y="324"/>
                                  </a:cxn>
                                  <a:cxn ang="0">
                                    <a:pos x="323" y="162"/>
                                  </a:cxn>
                                  <a:cxn ang="0">
                                    <a:pos x="161" y="0"/>
                                  </a:cxn>
                                </a:cxnLst>
                                <a:rect l="0" t="0" r="r" b="b"/>
                                <a:pathLst>
                                  <a:path w="323" h="324">
                                    <a:moveTo>
                                      <a:pt x="215" y="238"/>
                                    </a:moveTo>
                                    <a:cubicBezTo>
                                      <a:pt x="108" y="238"/>
                                      <a:pt x="108" y="238"/>
                                      <a:pt x="108" y="238"/>
                                    </a:cubicBezTo>
                                    <a:cubicBezTo>
                                      <a:pt x="108" y="78"/>
                                      <a:pt x="108" y="78"/>
                                      <a:pt x="108" y="78"/>
                                    </a:cubicBezTo>
                                    <a:cubicBezTo>
                                      <a:pt x="215" y="78"/>
                                      <a:pt x="215" y="78"/>
                                      <a:pt x="215" y="78"/>
                                    </a:cubicBezTo>
                                    <a:lnTo>
                                      <a:pt x="215" y="238"/>
                                    </a:lnTo>
                                    <a:close/>
                                    <a:moveTo>
                                      <a:pt x="161" y="273"/>
                                    </a:moveTo>
                                    <a:cubicBezTo>
                                      <a:pt x="154" y="273"/>
                                      <a:pt x="149" y="267"/>
                                      <a:pt x="149" y="261"/>
                                    </a:cubicBezTo>
                                    <a:cubicBezTo>
                                      <a:pt x="149" y="254"/>
                                      <a:pt x="154" y="249"/>
                                      <a:pt x="161" y="249"/>
                                    </a:cubicBezTo>
                                    <a:cubicBezTo>
                                      <a:pt x="168" y="249"/>
                                      <a:pt x="173" y="254"/>
                                      <a:pt x="173" y="261"/>
                                    </a:cubicBezTo>
                                    <a:cubicBezTo>
                                      <a:pt x="173" y="267"/>
                                      <a:pt x="168" y="273"/>
                                      <a:pt x="161" y="273"/>
                                    </a:cubicBezTo>
                                    <a:close/>
                                    <a:moveTo>
                                      <a:pt x="149" y="57"/>
                                    </a:moveTo>
                                    <a:cubicBezTo>
                                      <a:pt x="173" y="57"/>
                                      <a:pt x="173" y="57"/>
                                      <a:pt x="173" y="57"/>
                                    </a:cubicBezTo>
                                    <a:cubicBezTo>
                                      <a:pt x="176" y="57"/>
                                      <a:pt x="178" y="59"/>
                                      <a:pt x="178" y="62"/>
                                    </a:cubicBezTo>
                                    <a:cubicBezTo>
                                      <a:pt x="178" y="65"/>
                                      <a:pt x="176" y="67"/>
                                      <a:pt x="173" y="67"/>
                                    </a:cubicBezTo>
                                    <a:cubicBezTo>
                                      <a:pt x="149" y="67"/>
                                      <a:pt x="149" y="67"/>
                                      <a:pt x="149" y="67"/>
                                    </a:cubicBezTo>
                                    <a:cubicBezTo>
                                      <a:pt x="146" y="67"/>
                                      <a:pt x="144" y="65"/>
                                      <a:pt x="144" y="62"/>
                                    </a:cubicBezTo>
                                    <a:cubicBezTo>
                                      <a:pt x="144" y="59"/>
                                      <a:pt x="146" y="57"/>
                                      <a:pt x="149" y="57"/>
                                    </a:cubicBezTo>
                                    <a:close/>
                                    <a:moveTo>
                                      <a:pt x="215" y="39"/>
                                    </a:moveTo>
                                    <a:cubicBezTo>
                                      <a:pt x="107" y="39"/>
                                      <a:pt x="107" y="39"/>
                                      <a:pt x="107" y="39"/>
                                    </a:cubicBezTo>
                                    <a:cubicBezTo>
                                      <a:pt x="97" y="39"/>
                                      <a:pt x="89" y="47"/>
                                      <a:pt x="89" y="57"/>
                                    </a:cubicBezTo>
                                    <a:cubicBezTo>
                                      <a:pt x="89" y="266"/>
                                      <a:pt x="89" y="266"/>
                                      <a:pt x="89" y="266"/>
                                    </a:cubicBezTo>
                                    <a:cubicBezTo>
                                      <a:pt x="89" y="276"/>
                                      <a:pt x="97" y="284"/>
                                      <a:pt x="107" y="284"/>
                                    </a:cubicBezTo>
                                    <a:cubicBezTo>
                                      <a:pt x="215" y="284"/>
                                      <a:pt x="215" y="284"/>
                                      <a:pt x="215" y="284"/>
                                    </a:cubicBezTo>
                                    <a:cubicBezTo>
                                      <a:pt x="225" y="284"/>
                                      <a:pt x="233" y="276"/>
                                      <a:pt x="233" y="266"/>
                                    </a:cubicBezTo>
                                    <a:cubicBezTo>
                                      <a:pt x="233" y="57"/>
                                      <a:pt x="233" y="57"/>
                                      <a:pt x="233" y="57"/>
                                    </a:cubicBezTo>
                                    <a:cubicBezTo>
                                      <a:pt x="233" y="47"/>
                                      <a:pt x="225" y="39"/>
                                      <a:pt x="215" y="39"/>
                                    </a:cubicBezTo>
                                    <a:close/>
                                    <a:moveTo>
                                      <a:pt x="161" y="311"/>
                                    </a:moveTo>
                                    <a:cubicBezTo>
                                      <a:pt x="79" y="311"/>
                                      <a:pt x="12" y="244"/>
                                      <a:pt x="12" y="162"/>
                                    </a:cubicBezTo>
                                    <a:cubicBezTo>
                                      <a:pt x="12" y="79"/>
                                      <a:pt x="79" y="13"/>
                                      <a:pt x="161" y="13"/>
                                    </a:cubicBezTo>
                                    <a:cubicBezTo>
                                      <a:pt x="243" y="13"/>
                                      <a:pt x="310" y="79"/>
                                      <a:pt x="310" y="162"/>
                                    </a:cubicBezTo>
                                    <a:cubicBezTo>
                                      <a:pt x="310" y="244"/>
                                      <a:pt x="243" y="311"/>
                                      <a:pt x="161" y="311"/>
                                    </a:cubicBezTo>
                                    <a:close/>
                                    <a:moveTo>
                                      <a:pt x="161" y="0"/>
                                    </a:moveTo>
                                    <a:cubicBezTo>
                                      <a:pt x="72" y="0"/>
                                      <a:pt x="0" y="72"/>
                                      <a:pt x="0" y="162"/>
                                    </a:cubicBezTo>
                                    <a:cubicBezTo>
                                      <a:pt x="0" y="251"/>
                                      <a:pt x="72" y="324"/>
                                      <a:pt x="161" y="324"/>
                                    </a:cubicBezTo>
                                    <a:cubicBezTo>
                                      <a:pt x="250" y="324"/>
                                      <a:pt x="323" y="251"/>
                                      <a:pt x="323" y="162"/>
                                    </a:cubicBezTo>
                                    <a:cubicBezTo>
                                      <a:pt x="323" y="72"/>
                                      <a:pt x="250" y="0"/>
                                      <a:pt x="161" y="0"/>
                                    </a:cubicBezTo>
                                    <a:close/>
                                  </a:path>
                                </a:pathLst>
                              </a:custGeom>
                              <a:solidFill>
                                <a:schemeClr val="tx2"/>
                              </a:solidFill>
                              <a:ln w="9525">
                                <a:noFill/>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42D3D3AF" id="Freeform 8" o:spid="_x0000_s1026" alt="Title: Mobile telephone services icon - Description: Mobile telephone services icon " style="width:14.15pt;height:14.15pt;visibility:visible;mso-wrap-style:square;mso-left-percent:-10001;mso-top-percent:-10001;mso-position-horizontal:absolute;mso-position-horizontal-relative:char;mso-position-vertical:absolute;mso-position-vertical-relative:line;mso-left-percent:-10001;mso-top-percent:-10001;v-text-anchor:top" coordsize="323,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" path="m215,238v-107,,-107,,-107,c108,78,108,78,108,78v107,,107,,107,l215,238xm161,273v-7,,-12,-6,-12,-12c149,254,154,249,161,249v7,,12,5,12,12c173,267,168,273,161,273xm149,57v24,,24,,24,c176,57,178,59,178,62v,3,-2,5,-5,5c149,67,149,67,149,67v-3,,-5,-2,-5,-5c144,59,146,57,149,57xm215,39v-108,,-108,,-108,c97,39,89,47,89,57v,209,,209,,209c89,276,97,284,107,284v108,,108,,108,c225,284,233,276,233,266v,-209,,-209,,-209c233,47,225,39,215,39xm161,311c79,311,12,244,12,162,12,79,79,13,161,13v82,,149,66,149,149c310,244,243,311,161,311xm161,c72,,,72,,162v,89,72,162,161,162c250,324,323,251,323,162,323,72,250,,161,xe" fillcolor="#a32020 [3215]" stroked="f">
                      <v:path arrowok="t" o:connecttype="custom" o:connectlocs="215,238;108,238;108,78;215,78;215,238;161,273;149,261;161,249;173,261;161,273;149,57;173,57;178,62;173,67;149,67;144,62;149,57;215,39;107,39;89,57;89,266;107,284;215,284;233,266;233,57;215,39;161,311;12,162;161,13;310,162;161,311;161,0;0,162;161,324;323,162;161,0" o:connectangles="0,0,0,0,0,0,0,0,0,0,0,0,0,0,0,0,0,0,0,0,0,0,0,0,0,0,0,0,0,0,0,0,0,0,0,0"/>
                      <o:lock v:ext="edit" verticies="t"/>
                      <w10:anchorlock/>
                    </v:shape>
                  </w:pict>
                </mc:Fallback>
              </mc:AlternateContent>
            </w:r>
          </w:p>
        </w:tc>
        <w:tc>
          <w:tcPr>
            <w:tcW w:w="680" w:type="dxa"/>
            <w:hideMark/>
          </w:tcPr>
          <w:p w14:paraId="169FA6FE" w14:textId="77777777" w:rsidR="00582FBF" w:rsidRPr="00582FBF" w:rsidRDefault="00582FBF" w:rsidP="00785790">
            <w:pPr>
              <w:pStyle w:val="TableTextNormal"/>
              <w:jc w:val="center"/>
              <w:rPr>
                <w:lang w:val="en-US"/>
              </w:rPr>
            </w:pPr>
          </w:p>
        </w:tc>
        <w:tc>
          <w:tcPr>
            <w:tcW w:w="680" w:type="dxa"/>
            <w:hideMark/>
          </w:tcPr>
          <w:p w14:paraId="05D61EB7" w14:textId="77777777" w:rsidR="00582FBF" w:rsidRPr="00582FBF" w:rsidRDefault="00582FBF" w:rsidP="00785790">
            <w:pPr>
              <w:pStyle w:val="TableTextNormal"/>
              <w:jc w:val="center"/>
              <w:rPr>
                <w:lang w:val="en-US"/>
              </w:rPr>
            </w:pPr>
          </w:p>
        </w:tc>
      </w:tr>
    </w:tbl>
    <w:p w14:paraId="5D31F2B8" w14:textId="77777777" w:rsidR="00F61130" w:rsidRDefault="00F61130" w:rsidP="00F61130">
      <w:pPr>
        <w:pStyle w:val="Sources"/>
      </w:pPr>
      <w:r>
        <w:t>* Commencing from 2019.</w:t>
      </w:r>
    </w:p>
    <w:p w14:paraId="787F91DC" w14:textId="77777777" w:rsidR="00785790" w:rsidRPr="008076CB" w:rsidRDefault="00785790" w:rsidP="00785790">
      <w:pPr>
        <w:pStyle w:val="Sources"/>
      </w:pPr>
      <w:r>
        <w:t>No telecommunications-specific safeguard identified</w:t>
      </w:r>
      <w:r w:rsidRPr="00225950">
        <w:t xml:space="preserve">: </w:t>
      </w:r>
      <w:r w:rsidRPr="008F3B97">
        <w:rPr>
          <w:rFonts w:ascii="Arial Unicode MS" w:eastAsia="Arial Unicode MS" w:hAnsi="Arial Unicode MS" w:cs="Arial Unicode MS"/>
          <w:szCs w:val="22"/>
        </w:rPr>
        <w:t>BLANK</w:t>
      </w:r>
    </w:p>
    <w:p w14:paraId="510BA340" w14:textId="339255DF" w:rsidR="00785790" w:rsidRPr="00225950" w:rsidRDefault="00785790" w:rsidP="00785790">
      <w:pPr>
        <w:pStyle w:val="Sources"/>
      </w:pPr>
      <w:r w:rsidRPr="00225950">
        <w:t>Mobile services:</w:t>
      </w:r>
      <w:r>
        <w:t xml:space="preserve"> </w:t>
      </w:r>
      <w:r w:rsidR="00350527" w:rsidRPr="008F3B97">
        <w:rPr>
          <w:noProof/>
          <w:lang w:eastAsia="en-AU"/>
        </w:rPr>
        <mc:AlternateContent>
          <mc:Choice Requires="wps">
            <w:drawing>
              <wp:inline distT="0" distB="0" distL="0" distR="0" wp14:anchorId="2C90B06B" wp14:editId="45CCD419">
                <wp:extent cx="180000" cy="180000"/>
                <wp:effectExtent l="0" t="0" r="0" b="0"/>
                <wp:docPr id="42" name="Freeform 8" descr="Mobile telephone services icon " title="Mobile telephone services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80000" cy="180000"/>
                        </a:xfrm>
                        <a:custGeom>
                          <a:avLst/>
                          <a:gdLst/>
                          <a:ahLst/>
                          <a:cxnLst>
                            <a:cxn ang="0">
                              <a:pos x="215" y="238"/>
                            </a:cxn>
                            <a:cxn ang="0">
                              <a:pos x="108" y="238"/>
                            </a:cxn>
                            <a:cxn ang="0">
                              <a:pos x="108" y="78"/>
                            </a:cxn>
                            <a:cxn ang="0">
                              <a:pos x="215" y="78"/>
                            </a:cxn>
                            <a:cxn ang="0">
                              <a:pos x="215" y="238"/>
                            </a:cxn>
                            <a:cxn ang="0">
                              <a:pos x="161" y="273"/>
                            </a:cxn>
                            <a:cxn ang="0">
                              <a:pos x="149" y="261"/>
                            </a:cxn>
                            <a:cxn ang="0">
                              <a:pos x="161" y="249"/>
                            </a:cxn>
                            <a:cxn ang="0">
                              <a:pos x="173" y="261"/>
                            </a:cxn>
                            <a:cxn ang="0">
                              <a:pos x="161" y="273"/>
                            </a:cxn>
                            <a:cxn ang="0">
                              <a:pos x="149" y="57"/>
                            </a:cxn>
                            <a:cxn ang="0">
                              <a:pos x="173" y="57"/>
                            </a:cxn>
                            <a:cxn ang="0">
                              <a:pos x="178" y="62"/>
                            </a:cxn>
                            <a:cxn ang="0">
                              <a:pos x="173" y="67"/>
                            </a:cxn>
                            <a:cxn ang="0">
                              <a:pos x="149" y="67"/>
                            </a:cxn>
                            <a:cxn ang="0">
                              <a:pos x="144" y="62"/>
                            </a:cxn>
                            <a:cxn ang="0">
                              <a:pos x="149" y="57"/>
                            </a:cxn>
                            <a:cxn ang="0">
                              <a:pos x="215" y="39"/>
                            </a:cxn>
                            <a:cxn ang="0">
                              <a:pos x="107" y="39"/>
                            </a:cxn>
                            <a:cxn ang="0">
                              <a:pos x="89" y="57"/>
                            </a:cxn>
                            <a:cxn ang="0">
                              <a:pos x="89" y="266"/>
                            </a:cxn>
                            <a:cxn ang="0">
                              <a:pos x="107" y="284"/>
                            </a:cxn>
                            <a:cxn ang="0">
                              <a:pos x="215" y="284"/>
                            </a:cxn>
                            <a:cxn ang="0">
                              <a:pos x="233" y="266"/>
                            </a:cxn>
                            <a:cxn ang="0">
                              <a:pos x="233" y="57"/>
                            </a:cxn>
                            <a:cxn ang="0">
                              <a:pos x="215" y="39"/>
                            </a:cxn>
                            <a:cxn ang="0">
                              <a:pos x="161" y="311"/>
                            </a:cxn>
                            <a:cxn ang="0">
                              <a:pos x="12" y="162"/>
                            </a:cxn>
                            <a:cxn ang="0">
                              <a:pos x="161" y="13"/>
                            </a:cxn>
                            <a:cxn ang="0">
                              <a:pos x="310" y="162"/>
                            </a:cxn>
                            <a:cxn ang="0">
                              <a:pos x="161" y="311"/>
                            </a:cxn>
                            <a:cxn ang="0">
                              <a:pos x="161" y="0"/>
                            </a:cxn>
                            <a:cxn ang="0">
                              <a:pos x="0" y="162"/>
                            </a:cxn>
                            <a:cxn ang="0">
                              <a:pos x="161" y="324"/>
                            </a:cxn>
                            <a:cxn ang="0">
                              <a:pos x="323" y="162"/>
                            </a:cxn>
                            <a:cxn ang="0">
                              <a:pos x="161" y="0"/>
                            </a:cxn>
                          </a:cxnLst>
                          <a:rect l="0" t="0" r="r" b="b"/>
                          <a:pathLst>
                            <a:path w="323" h="324">
                              <a:moveTo>
                                <a:pt x="215" y="238"/>
                              </a:moveTo>
                              <a:cubicBezTo>
                                <a:pt x="108" y="238"/>
                                <a:pt x="108" y="238"/>
                                <a:pt x="108" y="238"/>
                              </a:cubicBezTo>
                              <a:cubicBezTo>
                                <a:pt x="108" y="78"/>
                                <a:pt x="108" y="78"/>
                                <a:pt x="108" y="78"/>
                              </a:cubicBezTo>
                              <a:cubicBezTo>
                                <a:pt x="215" y="78"/>
                                <a:pt x="215" y="78"/>
                                <a:pt x="215" y="78"/>
                              </a:cubicBezTo>
                              <a:lnTo>
                                <a:pt x="215" y="238"/>
                              </a:lnTo>
                              <a:close/>
                              <a:moveTo>
                                <a:pt x="161" y="273"/>
                              </a:moveTo>
                              <a:cubicBezTo>
                                <a:pt x="154" y="273"/>
                                <a:pt x="149" y="267"/>
                                <a:pt x="149" y="261"/>
                              </a:cubicBezTo>
                              <a:cubicBezTo>
                                <a:pt x="149" y="254"/>
                                <a:pt x="154" y="249"/>
                                <a:pt x="161" y="249"/>
                              </a:cubicBezTo>
                              <a:cubicBezTo>
                                <a:pt x="168" y="249"/>
                                <a:pt x="173" y="254"/>
                                <a:pt x="173" y="261"/>
                              </a:cubicBezTo>
                              <a:cubicBezTo>
                                <a:pt x="173" y="267"/>
                                <a:pt x="168" y="273"/>
                                <a:pt x="161" y="273"/>
                              </a:cubicBezTo>
                              <a:close/>
                              <a:moveTo>
                                <a:pt x="149" y="57"/>
                              </a:moveTo>
                              <a:cubicBezTo>
                                <a:pt x="173" y="57"/>
                                <a:pt x="173" y="57"/>
                                <a:pt x="173" y="57"/>
                              </a:cubicBezTo>
                              <a:cubicBezTo>
                                <a:pt x="176" y="57"/>
                                <a:pt x="178" y="59"/>
                                <a:pt x="178" y="62"/>
                              </a:cubicBezTo>
                              <a:cubicBezTo>
                                <a:pt x="178" y="65"/>
                                <a:pt x="176" y="67"/>
                                <a:pt x="173" y="67"/>
                              </a:cubicBezTo>
                              <a:cubicBezTo>
                                <a:pt x="149" y="67"/>
                                <a:pt x="149" y="67"/>
                                <a:pt x="149" y="67"/>
                              </a:cubicBezTo>
                              <a:cubicBezTo>
                                <a:pt x="146" y="67"/>
                                <a:pt x="144" y="65"/>
                                <a:pt x="144" y="62"/>
                              </a:cubicBezTo>
                              <a:cubicBezTo>
                                <a:pt x="144" y="59"/>
                                <a:pt x="146" y="57"/>
                                <a:pt x="149" y="57"/>
                              </a:cubicBezTo>
                              <a:close/>
                              <a:moveTo>
                                <a:pt x="215" y="39"/>
                              </a:moveTo>
                              <a:cubicBezTo>
                                <a:pt x="107" y="39"/>
                                <a:pt x="107" y="39"/>
                                <a:pt x="107" y="39"/>
                              </a:cubicBezTo>
                              <a:cubicBezTo>
                                <a:pt x="97" y="39"/>
                                <a:pt x="89" y="47"/>
                                <a:pt x="89" y="57"/>
                              </a:cubicBezTo>
                              <a:cubicBezTo>
                                <a:pt x="89" y="266"/>
                                <a:pt x="89" y="266"/>
                                <a:pt x="89" y="266"/>
                              </a:cubicBezTo>
                              <a:cubicBezTo>
                                <a:pt x="89" y="276"/>
                                <a:pt x="97" y="284"/>
                                <a:pt x="107" y="284"/>
                              </a:cubicBezTo>
                              <a:cubicBezTo>
                                <a:pt x="215" y="284"/>
                                <a:pt x="215" y="284"/>
                                <a:pt x="215" y="284"/>
                              </a:cubicBezTo>
                              <a:cubicBezTo>
                                <a:pt x="225" y="284"/>
                                <a:pt x="233" y="276"/>
                                <a:pt x="233" y="266"/>
                              </a:cubicBezTo>
                              <a:cubicBezTo>
                                <a:pt x="233" y="57"/>
                                <a:pt x="233" y="57"/>
                                <a:pt x="233" y="57"/>
                              </a:cubicBezTo>
                              <a:cubicBezTo>
                                <a:pt x="233" y="47"/>
                                <a:pt x="225" y="39"/>
                                <a:pt x="215" y="39"/>
                              </a:cubicBezTo>
                              <a:close/>
                              <a:moveTo>
                                <a:pt x="161" y="311"/>
                              </a:moveTo>
                              <a:cubicBezTo>
                                <a:pt x="79" y="311"/>
                                <a:pt x="12" y="244"/>
                                <a:pt x="12" y="162"/>
                              </a:cubicBezTo>
                              <a:cubicBezTo>
                                <a:pt x="12" y="79"/>
                                <a:pt x="79" y="13"/>
                                <a:pt x="161" y="13"/>
                              </a:cubicBezTo>
                              <a:cubicBezTo>
                                <a:pt x="243" y="13"/>
                                <a:pt x="310" y="79"/>
                                <a:pt x="310" y="162"/>
                              </a:cubicBezTo>
                              <a:cubicBezTo>
                                <a:pt x="310" y="244"/>
                                <a:pt x="243" y="311"/>
                                <a:pt x="161" y="311"/>
                              </a:cubicBezTo>
                              <a:close/>
                              <a:moveTo>
                                <a:pt x="161" y="0"/>
                              </a:moveTo>
                              <a:cubicBezTo>
                                <a:pt x="72" y="0"/>
                                <a:pt x="0" y="72"/>
                                <a:pt x="0" y="162"/>
                              </a:cubicBezTo>
                              <a:cubicBezTo>
                                <a:pt x="0" y="251"/>
                                <a:pt x="72" y="324"/>
                                <a:pt x="161" y="324"/>
                              </a:cubicBezTo>
                              <a:cubicBezTo>
                                <a:pt x="250" y="324"/>
                                <a:pt x="323" y="251"/>
                                <a:pt x="323" y="162"/>
                              </a:cubicBezTo>
                              <a:cubicBezTo>
                                <a:pt x="323" y="72"/>
                                <a:pt x="250" y="0"/>
                                <a:pt x="161" y="0"/>
                              </a:cubicBezTo>
                              <a:close/>
                            </a:path>
                          </a:pathLst>
                        </a:custGeom>
                        <a:solidFill>
                          <a:schemeClr val="tx2"/>
                        </a:solidFill>
                        <a:ln w="9525">
                          <a:noFill/>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51644797" id="Freeform 8" o:spid="_x0000_s1026" alt="Title: Mobile telephone services icon - Description: Mobile telephone services icon " style="width:14.15pt;height:14.15pt;visibility:visible;mso-wrap-style:square;mso-left-percent:-10001;mso-top-percent:-10001;mso-position-horizontal:absolute;mso-position-horizontal-relative:char;mso-position-vertical:absolute;mso-position-vertical-relative:line;mso-left-percent:-10001;mso-top-percent:-10001;v-text-anchor:top" coordsize="323,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" path="m215,238v-107,,-107,,-107,c108,78,108,78,108,78v107,,107,,107,l215,238xm161,273v-7,,-12,-6,-12,-12c149,254,154,249,161,249v7,,12,5,12,12c173,267,168,273,161,273xm149,57v24,,24,,24,c176,57,178,59,178,62v,3,-2,5,-5,5c149,67,149,67,149,67v-3,,-5,-2,-5,-5c144,59,146,57,149,57xm215,39v-108,,-108,,-108,c97,39,89,47,89,57v,209,,209,,209c89,276,97,284,107,284v108,,108,,108,c225,284,233,276,233,266v,-209,,-209,,-209c233,47,225,39,215,39xm161,311c79,311,12,244,12,162,12,79,79,13,161,13v82,,149,66,149,149c310,244,243,311,161,311xm161,c72,,,72,,162v,89,72,162,161,162c250,324,323,251,323,162,323,72,250,,161,xe" fillcolor="#a32020 [3215]" stroked="f">
                <v:path arrowok="t" o:connecttype="custom" o:connectlocs="215,238;108,238;108,78;215,78;215,238;161,273;149,261;161,249;173,261;161,273;149,57;173,57;178,62;173,67;149,67;144,62;149,57;215,39;107,39;89,57;89,266;107,284;215,284;233,266;233,57;215,39;161,311;12,162;161,13;310,162;161,311;161,0;0,162;161,324;323,162;161,0" o:connectangles="0,0,0,0,0,0,0,0,0,0,0,0,0,0,0,0,0,0,0,0,0,0,0,0,0,0,0,0,0,0,0,0,0,0,0,0"/>
                <o:lock v:ext="edit" verticies="t"/>
                <w10:anchorlock/>
              </v:shape>
            </w:pict>
          </mc:Fallback>
        </mc:AlternateContent>
      </w:r>
    </w:p>
    <w:p w14:paraId="4682B1AE" w14:textId="04637923" w:rsidR="00785790" w:rsidRPr="00225950" w:rsidRDefault="00785790" w:rsidP="00785790">
      <w:pPr>
        <w:pStyle w:val="Sources"/>
      </w:pPr>
      <w:r w:rsidRPr="00785790">
        <w:t>Fixed line telephone services</w:t>
      </w:r>
      <w:r w:rsidRPr="00225950">
        <w:t>:</w:t>
      </w:r>
      <w:r w:rsidRPr="00225950">
        <w:rPr>
          <w:color w:val="DB536A" w:themeColor="accent4"/>
        </w:rPr>
        <w:t xml:space="preserve"> </w:t>
      </w:r>
      <w:r w:rsidRPr="00DB655E">
        <w:rPr>
          <w:noProof/>
          <w:lang w:eastAsia="en-AU"/>
        </w:rPr>
        <mc:AlternateContent>
          <mc:Choice Requires="wps">
            <w:drawing>
              <wp:inline distT="0" distB="0" distL="0" distR="0" wp14:anchorId="2F40D5BF" wp14:editId="6554D4C1">
                <wp:extent cx="180000" cy="180000"/>
                <wp:effectExtent l="0" t="0" r="0" b="0"/>
                <wp:docPr id="16" name="Freeform 32" descr="Fixed line telephone services icon &#10;" title="Fixed line telephone services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80000" cy="180000"/>
                        </a:xfrm>
                        <a:custGeom>
                          <a:avLst/>
                          <a:gdLst/>
                          <a:ahLst/>
                          <a:cxnLst>
                            <a:cxn ang="0">
                              <a:pos x="179" y="146"/>
                            </a:cxn>
                            <a:cxn ang="0">
                              <a:pos x="209" y="146"/>
                            </a:cxn>
                            <a:cxn ang="0">
                              <a:pos x="125" y="161"/>
                            </a:cxn>
                            <a:cxn ang="0">
                              <a:pos x="125" y="131"/>
                            </a:cxn>
                            <a:cxn ang="0">
                              <a:pos x="125" y="161"/>
                            </a:cxn>
                            <a:cxn ang="0">
                              <a:pos x="166" y="59"/>
                            </a:cxn>
                            <a:cxn ang="0">
                              <a:pos x="116" y="87"/>
                            </a:cxn>
                            <a:cxn ang="0">
                              <a:pos x="109" y="58"/>
                            </a:cxn>
                            <a:cxn ang="0">
                              <a:pos x="77" y="64"/>
                            </a:cxn>
                            <a:cxn ang="0">
                              <a:pos x="43" y="135"/>
                            </a:cxn>
                            <a:cxn ang="0">
                              <a:pos x="46" y="147"/>
                            </a:cxn>
                            <a:cxn ang="0">
                              <a:pos x="77" y="247"/>
                            </a:cxn>
                            <a:cxn ang="0">
                              <a:pos x="121" y="257"/>
                            </a:cxn>
                            <a:cxn ang="0">
                              <a:pos x="116" y="220"/>
                            </a:cxn>
                            <a:cxn ang="0">
                              <a:pos x="100" y="213"/>
                            </a:cxn>
                            <a:cxn ang="0">
                              <a:pos x="106" y="169"/>
                            </a:cxn>
                            <a:cxn ang="0">
                              <a:pos x="151" y="175"/>
                            </a:cxn>
                            <a:cxn ang="0">
                              <a:pos x="144" y="220"/>
                            </a:cxn>
                            <a:cxn ang="0">
                              <a:pos x="134" y="249"/>
                            </a:cxn>
                            <a:cxn ang="0">
                              <a:pos x="190" y="257"/>
                            </a:cxn>
                            <a:cxn ang="0">
                              <a:pos x="185" y="220"/>
                            </a:cxn>
                            <a:cxn ang="0">
                              <a:pos x="165" y="217"/>
                            </a:cxn>
                            <a:cxn ang="0">
                              <a:pos x="177" y="173"/>
                            </a:cxn>
                            <a:cxn ang="0">
                              <a:pos x="205" y="169"/>
                            </a:cxn>
                            <a:cxn ang="0">
                              <a:pos x="224" y="210"/>
                            </a:cxn>
                            <a:cxn ang="0">
                              <a:pos x="218" y="220"/>
                            </a:cxn>
                            <a:cxn ang="0">
                              <a:pos x="203" y="220"/>
                            </a:cxn>
                            <a:cxn ang="0">
                              <a:pos x="198" y="257"/>
                            </a:cxn>
                            <a:cxn ang="0">
                              <a:pos x="248" y="247"/>
                            </a:cxn>
                            <a:cxn ang="0">
                              <a:pos x="279" y="147"/>
                            </a:cxn>
                            <a:cxn ang="0">
                              <a:pos x="285" y="140"/>
                            </a:cxn>
                            <a:cxn ang="0">
                              <a:pos x="162" y="0"/>
                            </a:cxn>
                            <a:cxn ang="0">
                              <a:pos x="162" y="324"/>
                            </a:cxn>
                            <a:cxn ang="0">
                              <a:pos x="162" y="0"/>
                            </a:cxn>
                            <a:cxn ang="0">
                              <a:pos x="311" y="162"/>
                            </a:cxn>
                            <a:cxn ang="0">
                              <a:pos x="13" y="162"/>
                            </a:cxn>
                          </a:cxnLst>
                          <a:rect l="0" t="0" r="r" b="b"/>
                          <a:pathLst>
                            <a:path w="324" h="324">
                              <a:moveTo>
                                <a:pt x="194" y="161"/>
                              </a:moveTo>
                              <a:cubicBezTo>
                                <a:pt x="186" y="161"/>
                                <a:pt x="179" y="155"/>
                                <a:pt x="179" y="146"/>
                              </a:cubicBezTo>
                              <a:cubicBezTo>
                                <a:pt x="179" y="138"/>
                                <a:pt x="186" y="131"/>
                                <a:pt x="194" y="131"/>
                              </a:cubicBezTo>
                              <a:cubicBezTo>
                                <a:pt x="203" y="131"/>
                                <a:pt x="209" y="138"/>
                                <a:pt x="209" y="146"/>
                              </a:cubicBezTo>
                              <a:cubicBezTo>
                                <a:pt x="209" y="155"/>
                                <a:pt x="203" y="161"/>
                                <a:pt x="194" y="161"/>
                              </a:cubicBezTo>
                              <a:close/>
                              <a:moveTo>
                                <a:pt x="125" y="161"/>
                              </a:moveTo>
                              <a:cubicBezTo>
                                <a:pt x="117" y="161"/>
                                <a:pt x="110" y="155"/>
                                <a:pt x="110" y="146"/>
                              </a:cubicBezTo>
                              <a:cubicBezTo>
                                <a:pt x="110" y="138"/>
                                <a:pt x="117" y="131"/>
                                <a:pt x="125" y="131"/>
                              </a:cubicBezTo>
                              <a:cubicBezTo>
                                <a:pt x="134" y="131"/>
                                <a:pt x="140" y="138"/>
                                <a:pt x="140" y="146"/>
                              </a:cubicBezTo>
                              <a:cubicBezTo>
                                <a:pt x="140" y="155"/>
                                <a:pt x="134" y="161"/>
                                <a:pt x="125" y="161"/>
                              </a:cubicBezTo>
                              <a:close/>
                              <a:moveTo>
                                <a:pt x="281" y="134"/>
                              </a:moveTo>
                              <a:cubicBezTo>
                                <a:pt x="166" y="59"/>
                                <a:pt x="166" y="59"/>
                                <a:pt x="166" y="59"/>
                              </a:cubicBezTo>
                              <a:cubicBezTo>
                                <a:pt x="164" y="58"/>
                                <a:pt x="161" y="58"/>
                                <a:pt x="159" y="59"/>
                              </a:cubicBezTo>
                              <a:cubicBezTo>
                                <a:pt x="116" y="87"/>
                                <a:pt x="116" y="87"/>
                                <a:pt x="116" y="87"/>
                              </a:cubicBezTo>
                              <a:cubicBezTo>
                                <a:pt x="116" y="64"/>
                                <a:pt x="116" y="64"/>
                                <a:pt x="116" y="64"/>
                              </a:cubicBezTo>
                              <a:cubicBezTo>
                                <a:pt x="116" y="61"/>
                                <a:pt x="113" y="58"/>
                                <a:pt x="109" y="58"/>
                              </a:cubicBezTo>
                              <a:cubicBezTo>
                                <a:pt x="83" y="58"/>
                                <a:pt x="83" y="58"/>
                                <a:pt x="83" y="58"/>
                              </a:cubicBezTo>
                              <a:cubicBezTo>
                                <a:pt x="80" y="58"/>
                                <a:pt x="77" y="61"/>
                                <a:pt x="77" y="64"/>
                              </a:cubicBezTo>
                              <a:cubicBezTo>
                                <a:pt x="77" y="112"/>
                                <a:pt x="77" y="112"/>
                                <a:pt x="77" y="112"/>
                              </a:cubicBezTo>
                              <a:cubicBezTo>
                                <a:pt x="43" y="135"/>
                                <a:pt x="43" y="135"/>
                                <a:pt x="43" y="135"/>
                              </a:cubicBezTo>
                              <a:cubicBezTo>
                                <a:pt x="40" y="137"/>
                                <a:pt x="39" y="139"/>
                                <a:pt x="40" y="142"/>
                              </a:cubicBezTo>
                              <a:cubicBezTo>
                                <a:pt x="41" y="145"/>
                                <a:pt x="43" y="147"/>
                                <a:pt x="46" y="147"/>
                              </a:cubicBezTo>
                              <a:cubicBezTo>
                                <a:pt x="77" y="147"/>
                                <a:pt x="77" y="147"/>
                                <a:pt x="77" y="147"/>
                              </a:cubicBezTo>
                              <a:cubicBezTo>
                                <a:pt x="77" y="247"/>
                                <a:pt x="77" y="247"/>
                                <a:pt x="77" y="247"/>
                              </a:cubicBezTo>
                              <a:cubicBezTo>
                                <a:pt x="77" y="253"/>
                                <a:pt x="81" y="257"/>
                                <a:pt x="87" y="257"/>
                              </a:cubicBezTo>
                              <a:cubicBezTo>
                                <a:pt x="121" y="257"/>
                                <a:pt x="121" y="257"/>
                                <a:pt x="121" y="257"/>
                              </a:cubicBezTo>
                              <a:cubicBezTo>
                                <a:pt x="118" y="256"/>
                                <a:pt x="116" y="253"/>
                                <a:pt x="116" y="249"/>
                              </a:cubicBezTo>
                              <a:cubicBezTo>
                                <a:pt x="116" y="220"/>
                                <a:pt x="116" y="220"/>
                                <a:pt x="116" y="220"/>
                              </a:cubicBezTo>
                              <a:cubicBezTo>
                                <a:pt x="106" y="220"/>
                                <a:pt x="106" y="220"/>
                                <a:pt x="106" y="220"/>
                              </a:cubicBezTo>
                              <a:cubicBezTo>
                                <a:pt x="102" y="220"/>
                                <a:pt x="100" y="217"/>
                                <a:pt x="100" y="213"/>
                              </a:cubicBezTo>
                              <a:cubicBezTo>
                                <a:pt x="100" y="175"/>
                                <a:pt x="100" y="175"/>
                                <a:pt x="100" y="175"/>
                              </a:cubicBezTo>
                              <a:cubicBezTo>
                                <a:pt x="100" y="172"/>
                                <a:pt x="102" y="169"/>
                                <a:pt x="106" y="169"/>
                              </a:cubicBezTo>
                              <a:cubicBezTo>
                                <a:pt x="144" y="169"/>
                                <a:pt x="144" y="169"/>
                                <a:pt x="144" y="169"/>
                              </a:cubicBezTo>
                              <a:cubicBezTo>
                                <a:pt x="148" y="169"/>
                                <a:pt x="151" y="172"/>
                                <a:pt x="151" y="175"/>
                              </a:cubicBezTo>
                              <a:cubicBezTo>
                                <a:pt x="151" y="213"/>
                                <a:pt x="151" y="213"/>
                                <a:pt x="151" y="213"/>
                              </a:cubicBezTo>
                              <a:cubicBezTo>
                                <a:pt x="151" y="217"/>
                                <a:pt x="148" y="220"/>
                                <a:pt x="144" y="220"/>
                              </a:cubicBezTo>
                              <a:cubicBezTo>
                                <a:pt x="134" y="220"/>
                                <a:pt x="134" y="220"/>
                                <a:pt x="134" y="220"/>
                              </a:cubicBezTo>
                              <a:cubicBezTo>
                                <a:pt x="134" y="249"/>
                                <a:pt x="134" y="249"/>
                                <a:pt x="134" y="249"/>
                              </a:cubicBezTo>
                              <a:cubicBezTo>
                                <a:pt x="134" y="253"/>
                                <a:pt x="132" y="256"/>
                                <a:pt x="129" y="257"/>
                              </a:cubicBezTo>
                              <a:cubicBezTo>
                                <a:pt x="190" y="257"/>
                                <a:pt x="190" y="257"/>
                                <a:pt x="190" y="257"/>
                              </a:cubicBezTo>
                              <a:cubicBezTo>
                                <a:pt x="187" y="256"/>
                                <a:pt x="185" y="253"/>
                                <a:pt x="185" y="249"/>
                              </a:cubicBezTo>
                              <a:cubicBezTo>
                                <a:pt x="185" y="220"/>
                                <a:pt x="185" y="220"/>
                                <a:pt x="185" y="220"/>
                              </a:cubicBezTo>
                              <a:cubicBezTo>
                                <a:pt x="170" y="220"/>
                                <a:pt x="170" y="220"/>
                                <a:pt x="170" y="220"/>
                              </a:cubicBezTo>
                              <a:cubicBezTo>
                                <a:pt x="168" y="220"/>
                                <a:pt x="166" y="219"/>
                                <a:pt x="165" y="217"/>
                              </a:cubicBezTo>
                              <a:cubicBezTo>
                                <a:pt x="163" y="215"/>
                                <a:pt x="163" y="213"/>
                                <a:pt x="164" y="211"/>
                              </a:cubicBezTo>
                              <a:cubicBezTo>
                                <a:pt x="177" y="173"/>
                                <a:pt x="177" y="173"/>
                                <a:pt x="177" y="173"/>
                              </a:cubicBezTo>
                              <a:cubicBezTo>
                                <a:pt x="178" y="171"/>
                                <a:pt x="180" y="169"/>
                                <a:pt x="183" y="169"/>
                              </a:cubicBezTo>
                              <a:cubicBezTo>
                                <a:pt x="205" y="169"/>
                                <a:pt x="205" y="169"/>
                                <a:pt x="205" y="169"/>
                              </a:cubicBezTo>
                              <a:cubicBezTo>
                                <a:pt x="208" y="169"/>
                                <a:pt x="210" y="171"/>
                                <a:pt x="211" y="173"/>
                              </a:cubicBezTo>
                              <a:cubicBezTo>
                                <a:pt x="224" y="210"/>
                                <a:pt x="224" y="210"/>
                                <a:pt x="224" y="210"/>
                              </a:cubicBezTo>
                              <a:cubicBezTo>
                                <a:pt x="224" y="211"/>
                                <a:pt x="225" y="212"/>
                                <a:pt x="225" y="213"/>
                              </a:cubicBezTo>
                              <a:cubicBezTo>
                                <a:pt x="225" y="217"/>
                                <a:pt x="222" y="220"/>
                                <a:pt x="218" y="220"/>
                              </a:cubicBezTo>
                              <a:cubicBezTo>
                                <a:pt x="218" y="220"/>
                                <a:pt x="218" y="220"/>
                                <a:pt x="218" y="220"/>
                              </a:cubicBezTo>
                              <a:cubicBezTo>
                                <a:pt x="203" y="220"/>
                                <a:pt x="203" y="220"/>
                                <a:pt x="203" y="220"/>
                              </a:cubicBezTo>
                              <a:cubicBezTo>
                                <a:pt x="203" y="249"/>
                                <a:pt x="203" y="249"/>
                                <a:pt x="203" y="249"/>
                              </a:cubicBezTo>
                              <a:cubicBezTo>
                                <a:pt x="203" y="253"/>
                                <a:pt x="201" y="256"/>
                                <a:pt x="198" y="257"/>
                              </a:cubicBezTo>
                              <a:cubicBezTo>
                                <a:pt x="238" y="257"/>
                                <a:pt x="238" y="257"/>
                                <a:pt x="238" y="257"/>
                              </a:cubicBezTo>
                              <a:cubicBezTo>
                                <a:pt x="243" y="257"/>
                                <a:pt x="248" y="253"/>
                                <a:pt x="248" y="247"/>
                              </a:cubicBezTo>
                              <a:cubicBezTo>
                                <a:pt x="248" y="147"/>
                                <a:pt x="248" y="147"/>
                                <a:pt x="248" y="147"/>
                              </a:cubicBezTo>
                              <a:cubicBezTo>
                                <a:pt x="279" y="147"/>
                                <a:pt x="279" y="147"/>
                                <a:pt x="279" y="147"/>
                              </a:cubicBezTo>
                              <a:cubicBezTo>
                                <a:pt x="279" y="147"/>
                                <a:pt x="279" y="147"/>
                                <a:pt x="279" y="147"/>
                              </a:cubicBezTo>
                              <a:cubicBezTo>
                                <a:pt x="282" y="147"/>
                                <a:pt x="285" y="144"/>
                                <a:pt x="285" y="140"/>
                              </a:cubicBezTo>
                              <a:cubicBezTo>
                                <a:pt x="285" y="138"/>
                                <a:pt x="284" y="135"/>
                                <a:pt x="281" y="134"/>
                              </a:cubicBezTo>
                              <a:close/>
                              <a:moveTo>
                                <a:pt x="162" y="0"/>
                              </a:moveTo>
                              <a:cubicBezTo>
                                <a:pt x="73" y="0"/>
                                <a:pt x="0" y="72"/>
                                <a:pt x="0" y="162"/>
                              </a:cubicBezTo>
                              <a:cubicBezTo>
                                <a:pt x="0" y="251"/>
                                <a:pt x="73" y="324"/>
                                <a:pt x="162" y="324"/>
                              </a:cubicBezTo>
                              <a:cubicBezTo>
                                <a:pt x="252" y="324"/>
                                <a:pt x="324" y="251"/>
                                <a:pt x="324" y="162"/>
                              </a:cubicBezTo>
                              <a:cubicBezTo>
                                <a:pt x="324" y="72"/>
                                <a:pt x="252" y="0"/>
                                <a:pt x="162" y="0"/>
                              </a:cubicBezTo>
                              <a:close/>
                              <a:moveTo>
                                <a:pt x="162" y="13"/>
                              </a:moveTo>
                              <a:cubicBezTo>
                                <a:pt x="244" y="13"/>
                                <a:pt x="311" y="80"/>
                                <a:pt x="311" y="162"/>
                              </a:cubicBezTo>
                              <a:cubicBezTo>
                                <a:pt x="311" y="244"/>
                                <a:pt x="244" y="311"/>
                                <a:pt x="162" y="311"/>
                              </a:cubicBezTo>
                              <a:cubicBezTo>
                                <a:pt x="80" y="311"/>
                                <a:pt x="13" y="244"/>
                                <a:pt x="13" y="162"/>
                              </a:cubicBezTo>
                              <a:cubicBezTo>
                                <a:pt x="13" y="80"/>
                                <a:pt x="80" y="13"/>
                                <a:pt x="162" y="13"/>
                              </a:cubicBezTo>
                            </a:path>
                          </a:pathLst>
                        </a:custGeom>
                        <a:solidFill>
                          <a:schemeClr val="tx2"/>
                        </a:solidFill>
                        <a:ln w="9525">
                          <a:noFill/>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629C62DD" id="Freeform 32" o:spid="_x0000_s1026" alt="Title: Fixed line telephone services icon - Description: Fixed line telephone services icon &#10;" style="width:14.15pt;height:14.15pt;visibility:visible;mso-wrap-style:square;mso-left-percent:-10001;mso-top-percent:-10001;mso-position-horizontal:absolute;mso-position-horizontal-relative:char;mso-position-vertical:absolute;mso-position-vertical-relative:line;mso-left-percent:-10001;mso-top-percent:-10001;v-text-anchor:top" coordsize="32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" path="m194,161v-8,,-15,-6,-15,-15c179,138,186,131,194,131v9,,15,7,15,15c209,155,203,161,194,161xm125,161v-8,,-15,-6,-15,-15c110,138,117,131,125,131v9,,15,7,15,15c140,155,134,161,125,161xm281,134c166,59,166,59,166,59v-2,-1,-5,-1,-7,c116,87,116,87,116,87v,-23,,-23,,-23c116,61,113,58,109,58v-26,,-26,,-26,c80,58,77,61,77,64v,48,,48,,48c43,135,43,135,43,135v-3,2,-4,4,-3,7c41,145,43,147,46,147v31,,31,,31,c77,247,77,247,77,247v,6,4,10,10,10c121,257,121,257,121,257v-3,-1,-5,-4,-5,-8c116,220,116,220,116,220v-10,,-10,,-10,c102,220,100,217,100,213v,-38,,-38,,-38c100,172,102,169,106,169v38,,38,,38,c148,169,151,172,151,175v,38,,38,,38c151,217,148,220,144,220v-10,,-10,,-10,c134,249,134,249,134,249v,4,-2,7,-5,8c190,257,190,257,190,257v-3,-1,-5,-4,-5,-8c185,220,185,220,185,220v-15,,-15,,-15,c168,220,166,219,165,217v-2,-2,-2,-4,-1,-6c177,173,177,173,177,173v1,-2,3,-4,6,-4c205,169,205,169,205,169v3,,5,2,6,4c224,210,224,210,224,210v,1,1,2,1,3c225,217,222,220,218,220v,,,,,c203,220,203,220,203,220v,29,,29,,29c203,253,201,256,198,257v40,,40,,40,c243,257,248,253,248,247v,-100,,-100,,-100c279,147,279,147,279,147v,,,,,c282,147,285,144,285,140v,-2,-1,-5,-4,-6xm162,c73,,,72,,162v,89,73,162,162,162c252,324,324,251,324,162,324,72,252,,162,xm162,13v82,,149,67,149,149c311,244,244,311,162,311,80,311,13,244,13,162,13,80,80,13,162,13e" fillcolor="#a32020 [3215]" stroked="f">
                <v:path arrowok="t" o:connecttype="custom" o:connectlocs="179,146;209,146;125,161;125,131;125,161;166,59;116,87;109,58;77,64;43,135;46,147;77,247;121,257;116,220;100,213;106,169;151,175;144,220;134,249;190,257;185,220;165,217;177,173;205,169;224,210;218,220;203,220;198,257;248,247;279,147;285,140;162,0;162,324;162,0;311,162;13,162" o:connectangles="0,0,0,0,0,0,0,0,0,0,0,0,0,0,0,0,0,0,0,0,0,0,0,0,0,0,0,0,0,0,0,0,0,0,0,0"/>
                <o:lock v:ext="edit" verticies="t"/>
                <w10:anchorlock/>
              </v:shape>
            </w:pict>
          </mc:Fallback>
        </mc:AlternateContent>
      </w:r>
    </w:p>
    <w:p w14:paraId="0617029D" w14:textId="0D014590" w:rsidR="00222FFB" w:rsidRDefault="0054392C" w:rsidP="00325598">
      <w:pPr>
        <w:pStyle w:val="styeheading5"/>
      </w:pPr>
      <w:r w:rsidRPr="0054392C">
        <w:t>New service connection times</w:t>
      </w:r>
    </w:p>
    <w:p w14:paraId="5C4F9A2B" w14:textId="0A683769" w:rsidR="00222FFB" w:rsidRPr="00225950" w:rsidRDefault="00407996" w:rsidP="000B0990">
      <w:pPr>
        <w:pStyle w:val="PwCNormal"/>
      </w:pPr>
      <w:r w:rsidRPr="00407996">
        <w:t>Many countries set requirements on the time taken to establish a new connection for a fixed t</w:t>
      </w:r>
      <w:r w:rsidR="00D76E4F">
        <w:t>elephone service</w:t>
      </w:r>
      <w:r w:rsidR="00F32575">
        <w:t xml:space="preserve">. Of the countries examined, </w:t>
      </w:r>
      <w:r w:rsidR="00817B19">
        <w:t>new connection timeframes (where present)</w:t>
      </w:r>
      <w:r w:rsidR="00F32575">
        <w:t xml:space="preserve"> </w:t>
      </w:r>
      <w:r w:rsidR="00D76E4F">
        <w:t>rang</w:t>
      </w:r>
      <w:r w:rsidR="00F32575">
        <w:t>e</w:t>
      </w:r>
      <w:r w:rsidR="00D76E4F">
        <w:t xml:space="preserve"> from </w:t>
      </w:r>
      <w:r w:rsidR="003316DD">
        <w:t>2</w:t>
      </w:r>
      <w:r w:rsidRPr="00407996">
        <w:t xml:space="preserve"> days to 15 days. </w:t>
      </w:r>
      <w:r w:rsidR="000B0990" w:rsidRPr="000B0990">
        <w:t>In Australia, the time allowed by the regulator is a function of whether the infrastructure already exists (ie there is an active phone line connected to the residence or the residence is close to nearby infrastructure), as well as the geographical location and the size of the population in the area</w:t>
      </w:r>
      <w:r w:rsidRPr="00407996">
        <w:t>. Singapore requires new telephone</w:t>
      </w:r>
      <w:r w:rsidR="00D76E4F">
        <w:t xml:space="preserve"> connections to be made within five</w:t>
      </w:r>
      <w:r w:rsidRPr="00407996">
        <w:t xml:space="preserve"> days. </w:t>
      </w:r>
      <w:r w:rsidR="008225A9">
        <w:t xml:space="preserve">France monitors new connection timeframes, </w:t>
      </w:r>
      <w:r w:rsidR="002F1DBC">
        <w:t>but specific metrics were not identified in a desktop review of publicly available information</w:t>
      </w:r>
      <w:r w:rsidR="008225A9">
        <w:t xml:space="preserve">. </w:t>
      </w:r>
      <w:r w:rsidR="00A2407E">
        <w:t xml:space="preserve">In the UK, </w:t>
      </w:r>
      <w:r w:rsidR="00A2407E" w:rsidRPr="00A2407E">
        <w:t xml:space="preserve">Ofcom publishes the average number of days taken for landline and broadband services to be provided within </w:t>
      </w:r>
      <w:r w:rsidR="00817B19">
        <w:t>its</w:t>
      </w:r>
      <w:r w:rsidR="00817B19" w:rsidRPr="00A2407E">
        <w:t xml:space="preserve"> </w:t>
      </w:r>
      <w:r w:rsidR="00A2407E" w:rsidRPr="00A2407E">
        <w:t>annual service quality report.</w:t>
      </w:r>
      <w:r w:rsidR="00274F23">
        <w:t xml:space="preserve"> In addition, t</w:t>
      </w:r>
      <w:r w:rsidR="00A2407E" w:rsidRPr="00407996">
        <w:t>he UK’s new automatic compensation scheme</w:t>
      </w:r>
      <w:r w:rsidR="00D76E4F">
        <w:t xml:space="preserve"> (to </w:t>
      </w:r>
      <w:r w:rsidR="00884696">
        <w:t>come into effect</w:t>
      </w:r>
      <w:r w:rsidR="00D76E4F">
        <w:t xml:space="preserve"> in 2019)</w:t>
      </w:r>
      <w:r w:rsidR="00A2407E" w:rsidRPr="00407996">
        <w:t xml:space="preserve"> will require service providers to financially compensate consumers where </w:t>
      </w:r>
      <w:r w:rsidR="00635C31">
        <w:t xml:space="preserve">there is a </w:t>
      </w:r>
      <w:r w:rsidR="00635C31" w:rsidRPr="008225A9">
        <w:rPr>
          <w:rFonts w:eastAsia="Georgia"/>
        </w:rPr>
        <w:t>delay in the commencement of a landline and/or broadband service beyond the date committed to by the service provider</w:t>
      </w:r>
      <w:r w:rsidR="00A2407E" w:rsidRPr="00407996">
        <w:t>.</w:t>
      </w:r>
      <w:r w:rsidR="00A2407E">
        <w:t xml:space="preserve"> Canada</w:t>
      </w:r>
      <w:r w:rsidR="00817B19">
        <w:t>,</w:t>
      </w:r>
      <w:r w:rsidR="009B5867">
        <w:t xml:space="preserve"> </w:t>
      </w:r>
      <w:r w:rsidR="00A2407E">
        <w:t>New Zealand</w:t>
      </w:r>
      <w:r w:rsidR="00817B19">
        <w:t xml:space="preserve"> and the USA</w:t>
      </w:r>
      <w:r w:rsidRPr="00407996">
        <w:t xml:space="preserve"> do not appear to place any requirements on telephone connection times</w:t>
      </w:r>
      <w:r w:rsidR="003F5610">
        <w:t xml:space="preserve"> for retail services</w:t>
      </w:r>
      <w:r w:rsidR="00A2407E">
        <w:t>.</w:t>
      </w:r>
    </w:p>
    <w:p w14:paraId="0552B9A5" w14:textId="2A1DF90E" w:rsidR="00CD4642" w:rsidRDefault="00CD4642" w:rsidP="00325598">
      <w:pPr>
        <w:pStyle w:val="styeheading5"/>
      </w:pPr>
      <w:r>
        <w:lastRenderedPageBreak/>
        <w:t>New installation appointments met</w:t>
      </w:r>
    </w:p>
    <w:p w14:paraId="3FB84042" w14:textId="33FF70AA" w:rsidR="00CD4642" w:rsidRDefault="00CC6D1D" w:rsidP="009E79D7">
      <w:pPr>
        <w:pStyle w:val="PwCNormal"/>
        <w:keepNext/>
      </w:pPr>
      <w:r>
        <w:t>More than half</w:t>
      </w:r>
      <w:r w:rsidR="005341BE">
        <w:t xml:space="preserve"> of</w:t>
      </w:r>
      <w:r w:rsidR="00476841">
        <w:t xml:space="preserve"> countries examined </w:t>
      </w:r>
      <w:r w:rsidR="00CD4642">
        <w:t xml:space="preserve">do not impose requirements on meeting installation </w:t>
      </w:r>
      <w:r w:rsidR="008D1B43">
        <w:t>appointments</w:t>
      </w:r>
      <w:r w:rsidR="00CD4642">
        <w:t>.</w:t>
      </w:r>
    </w:p>
    <w:p w14:paraId="5032902D" w14:textId="68DA0883" w:rsidR="00CD4642" w:rsidRDefault="00CD4642" w:rsidP="009E79D7">
      <w:pPr>
        <w:pStyle w:val="PwCNormal"/>
        <w:keepLines/>
      </w:pPr>
      <w:r>
        <w:t xml:space="preserve">In Canada, some </w:t>
      </w:r>
      <w:r w:rsidR="00912CB8">
        <w:t xml:space="preserve">fixed telephone service </w:t>
      </w:r>
      <w:r>
        <w:t xml:space="preserve">providers with a large market share are required to meet </w:t>
      </w:r>
      <w:r w:rsidR="00912CB8">
        <w:t>90 per cent</w:t>
      </w:r>
      <w:r w:rsidRPr="00CD4642">
        <w:t xml:space="preserve"> or more of installation appointments. Where </w:t>
      </w:r>
      <w:r>
        <w:t xml:space="preserve">these large providers do not </w:t>
      </w:r>
      <w:r w:rsidRPr="00CD4642">
        <w:t>meet the standard for three consecutive months, an exception report identifying the problem an</w:t>
      </w:r>
      <w:r>
        <w:t>d course of action to rectify is filed</w:t>
      </w:r>
      <w:r w:rsidR="00670780">
        <w:t xml:space="preserve"> by the Incumbent Local Exchange Carrier</w:t>
      </w:r>
      <w:r w:rsidRPr="00CD4642">
        <w:t>. The service standard must be</w:t>
      </w:r>
      <w:r>
        <w:t xml:space="preserve"> met for three months before </w:t>
      </w:r>
      <w:r w:rsidR="00670780">
        <w:t>the requirement to</w:t>
      </w:r>
      <w:r w:rsidRPr="00CD4642">
        <w:t xml:space="preserve"> file an exception report</w:t>
      </w:r>
      <w:r w:rsidR="00670780">
        <w:t xml:space="preserve"> ceases</w:t>
      </w:r>
      <w:r w:rsidRPr="00CD4642">
        <w:t>.</w:t>
      </w:r>
    </w:p>
    <w:p w14:paraId="5C5D27BF" w14:textId="5A7A6B03" w:rsidR="001D2B03" w:rsidRDefault="001D2B03" w:rsidP="00471E95">
      <w:pPr>
        <w:pStyle w:val="PwCNormal"/>
      </w:pPr>
      <w:r>
        <w:t xml:space="preserve">Under the </w:t>
      </w:r>
      <w:r w:rsidR="006B0B8B">
        <w:t>UK’s</w:t>
      </w:r>
      <w:r>
        <w:t xml:space="preserve"> automatic compensation scheme, due to commence in 2019, service providers will be required to pay a financial penalty where they miss an appointment.</w:t>
      </w:r>
    </w:p>
    <w:p w14:paraId="22BFEE29" w14:textId="655191C9" w:rsidR="004C0237" w:rsidRDefault="004C0237" w:rsidP="00325598">
      <w:pPr>
        <w:pStyle w:val="styeheading5"/>
      </w:pPr>
      <w:r>
        <w:t>Call success rate</w:t>
      </w:r>
    </w:p>
    <w:p w14:paraId="4DF2DE6A" w14:textId="702F5298" w:rsidR="00EA31A4" w:rsidRDefault="00407996" w:rsidP="00407996">
      <w:pPr>
        <w:pStyle w:val="PwCNormal"/>
      </w:pPr>
      <w:r w:rsidRPr="00407996">
        <w:t>Call success rates are only monitored in France and Singapore</w:t>
      </w:r>
      <w:r w:rsidR="007740DD">
        <w:t xml:space="preserve">. In Singapore this is based on monitoring </w:t>
      </w:r>
      <w:r w:rsidR="006B0B8B">
        <w:t xml:space="preserve">by the regulator </w:t>
      </w:r>
      <w:r w:rsidR="00084F75">
        <w:t xml:space="preserve">of </w:t>
      </w:r>
      <w:r w:rsidR="007740DD">
        <w:t>network traffic logs</w:t>
      </w:r>
      <w:r w:rsidR="002F1DBC">
        <w:t>, however in France it is not clear how this is measured</w:t>
      </w:r>
      <w:r w:rsidRPr="00407996">
        <w:t>. In France, this applies to fixed telephone services, while in Singapore it applies to mobile telephone services.</w:t>
      </w:r>
    </w:p>
    <w:p w14:paraId="36A77175" w14:textId="304DBAA1" w:rsidR="004C0237" w:rsidRDefault="004C0237" w:rsidP="00325598">
      <w:pPr>
        <w:pStyle w:val="styeheading5"/>
      </w:pPr>
      <w:r>
        <w:t>Call clarity and fidelity</w:t>
      </w:r>
    </w:p>
    <w:p w14:paraId="30FD7494" w14:textId="23DE8736" w:rsidR="00EA31A4" w:rsidRDefault="00912CB8" w:rsidP="00EA31A4">
      <w:pPr>
        <w:pStyle w:val="PwCNormal"/>
      </w:pPr>
      <w:r>
        <w:t xml:space="preserve">France is the only country </w:t>
      </w:r>
      <w:r w:rsidR="00084F75">
        <w:t xml:space="preserve">examined </w:t>
      </w:r>
      <w:r w:rsidR="00476841">
        <w:t>in</w:t>
      </w:r>
      <w:r w:rsidR="00084F75">
        <w:t xml:space="preserve"> this report </w:t>
      </w:r>
      <w:r w:rsidR="00476841">
        <w:t>that</w:t>
      </w:r>
      <w:r w:rsidR="00084F75">
        <w:t xml:space="preserve"> </w:t>
      </w:r>
      <w:r>
        <w:t>monitor</w:t>
      </w:r>
      <w:r w:rsidR="00084F75">
        <w:t>s</w:t>
      </w:r>
      <w:r>
        <w:t xml:space="preserve"> call clarity and fidelity of local fixed telephone service calls using speech quality </w:t>
      </w:r>
      <w:r w:rsidR="00084F75">
        <w:t xml:space="preserve">as </w:t>
      </w:r>
      <w:r>
        <w:t>the metric. This information is made available to the public.</w:t>
      </w:r>
    </w:p>
    <w:p w14:paraId="3820679F" w14:textId="49C54E21" w:rsidR="004C0237" w:rsidRDefault="00162D62" w:rsidP="00325598">
      <w:pPr>
        <w:pStyle w:val="styeheading5"/>
      </w:pPr>
      <w:r>
        <w:t>Call set up time</w:t>
      </w:r>
    </w:p>
    <w:p w14:paraId="3B8ADB28" w14:textId="041F19B5" w:rsidR="00EA31A4" w:rsidRDefault="00912CB8" w:rsidP="00471E95">
      <w:pPr>
        <w:pStyle w:val="PwCNormal"/>
        <w:numPr>
          <w:ilvl w:val="0"/>
          <w:numId w:val="0"/>
        </w:numPr>
      </w:pPr>
      <w:r w:rsidRPr="00407996">
        <w:t xml:space="preserve">Call </w:t>
      </w:r>
      <w:r>
        <w:t>set up times</w:t>
      </w:r>
      <w:r w:rsidR="00FC2E26">
        <w:t>,</w:t>
      </w:r>
      <w:r>
        <w:t xml:space="preserve"> </w:t>
      </w:r>
      <w:r w:rsidR="00FC2E26" w:rsidRPr="006602A7">
        <w:t xml:space="preserve">the length of time, measured in seconds, required to </w:t>
      </w:r>
      <w:r w:rsidR="00FC2E26">
        <w:t>establish a call between users,</w:t>
      </w:r>
      <w:r w:rsidR="00FC2E26" w:rsidRPr="00407996">
        <w:t xml:space="preserve"> </w:t>
      </w:r>
      <w:r w:rsidR="000B0990">
        <w:t>is</w:t>
      </w:r>
      <w:r w:rsidRPr="00407996">
        <w:t xml:space="preserve"> monitored in France and Singapore</w:t>
      </w:r>
      <w:r>
        <w:t xml:space="preserve">. </w:t>
      </w:r>
      <w:r w:rsidRPr="00407996">
        <w:t>In France, this applies to fixed telephone services, while in Singapore it applies to mobile telephone services.</w:t>
      </w:r>
    </w:p>
    <w:p w14:paraId="4E34189A" w14:textId="77777777" w:rsidR="004C0237" w:rsidRDefault="004C0237" w:rsidP="00325598">
      <w:pPr>
        <w:pStyle w:val="styeheading5"/>
      </w:pPr>
      <w:r>
        <w:t>Call dropout</w:t>
      </w:r>
    </w:p>
    <w:p w14:paraId="552CC3D9" w14:textId="3F10F8A3" w:rsidR="004C0237" w:rsidRDefault="00912CB8" w:rsidP="009237CA">
      <w:pPr>
        <w:pStyle w:val="PwCNormal"/>
      </w:pPr>
      <w:r>
        <w:t xml:space="preserve">Singapore is the only country </w:t>
      </w:r>
      <w:r w:rsidR="00274F23">
        <w:t>consider</w:t>
      </w:r>
      <w:r w:rsidR="00084F75">
        <w:t>ed</w:t>
      </w:r>
      <w:r w:rsidR="00274F23">
        <w:t xml:space="preserve"> in this review that appears to </w:t>
      </w:r>
      <w:r w:rsidR="00E86DD4">
        <w:t>publicly monitor and release information on call dropouts in relation to mobile services. Typically the call dropout rates in Singapore are very low, a</w:t>
      </w:r>
      <w:r w:rsidR="005341BE">
        <w:t>t</w:t>
      </w:r>
      <w:r w:rsidR="00E86DD4">
        <w:t xml:space="preserve"> </w:t>
      </w:r>
      <w:r w:rsidR="00274F23">
        <w:t xml:space="preserve">below </w:t>
      </w:r>
      <w:r w:rsidR="00AA7F48">
        <w:t>0.5 per cent</w:t>
      </w:r>
      <w:r w:rsidR="00274F23">
        <w:t>.</w:t>
      </w:r>
      <w:r w:rsidR="002F1DBC">
        <w:rPr>
          <w:rStyle w:val="FootnoteReference"/>
        </w:rPr>
        <w:footnoteReference w:id="13"/>
      </w:r>
    </w:p>
    <w:p w14:paraId="0742CF06" w14:textId="71B6A50A" w:rsidR="00FE3B4F" w:rsidRDefault="00325598" w:rsidP="00325598">
      <w:pPr>
        <w:pStyle w:val="Heading4"/>
        <w:numPr>
          <w:ilvl w:val="0"/>
          <w:numId w:val="0"/>
        </w:numPr>
        <w:ind w:left="851" w:hanging="851"/>
      </w:pPr>
      <w:r>
        <w:lastRenderedPageBreak/>
        <w:t>2.1.2</w:t>
      </w:r>
      <w:r>
        <w:tab/>
      </w:r>
      <w:r w:rsidR="00C649E1">
        <w:t>Data connections</w:t>
      </w:r>
    </w:p>
    <w:p w14:paraId="2809993D" w14:textId="650E981D" w:rsidR="00915BA0" w:rsidRPr="00915BA0" w:rsidRDefault="00915BA0" w:rsidP="00F61130">
      <w:pPr>
        <w:pStyle w:val="PwCNormal"/>
        <w:keepNext/>
        <w:keepLines/>
      </w:pPr>
      <w:r>
        <w:t>The following summarises where each country appears to have a reliability measure in place relating to data connections.</w:t>
      </w:r>
    </w:p>
    <w:p w14:paraId="64B71391" w14:textId="2A2A0FC9" w:rsidR="00FE3B4F" w:rsidRDefault="00FE3B4F" w:rsidP="00F61130">
      <w:pPr>
        <w:pStyle w:val="Caption"/>
      </w:pPr>
      <w:r>
        <w:t xml:space="preserve">Table </w:t>
      </w:r>
      <w:r w:rsidR="000B0990">
        <w:rPr>
          <w:noProof/>
        </w:rPr>
        <w:fldChar w:fldCharType="begin"/>
      </w:r>
      <w:r w:rsidR="000B0990">
        <w:rPr>
          <w:noProof/>
        </w:rPr>
        <w:instrText xml:space="preserve"> SEQ Table \* ARABIC </w:instrText>
      </w:r>
      <w:r w:rsidR="000B0990">
        <w:rPr>
          <w:noProof/>
        </w:rPr>
        <w:fldChar w:fldCharType="separate"/>
      </w:r>
      <w:r w:rsidR="00AE12E7">
        <w:rPr>
          <w:noProof/>
        </w:rPr>
        <w:t>2</w:t>
      </w:r>
      <w:r w:rsidR="000B0990">
        <w:rPr>
          <w:noProof/>
        </w:rPr>
        <w:fldChar w:fldCharType="end"/>
      </w:r>
      <w:r>
        <w:t xml:space="preserve"> Data connection by country</w:t>
      </w:r>
    </w:p>
    <w:tbl>
      <w:tblPr>
        <w:tblStyle w:val="Tables-APBase"/>
        <w:tblW w:w="8414" w:type="dxa"/>
        <w:tblLook w:val="06A0" w:firstRow="1" w:lastRow="0" w:firstColumn="1" w:lastColumn="0" w:noHBand="1" w:noVBand="1"/>
        <w:tblCaption w:val="Summary of data connection service reliability safeguards across countries"/>
        <w:tblDescription w:val="This table summarises the presence of service reliability safeguards relating to data connections.&#10;Australia, Canada and the United States of America has no safeguards for data connections.&#10;New Zealand and the United Kingdom have safeguards for new service connection times for data connections, noting that the UK safeguards commence from 2019.&#10;France and Singapore have safeguards for data/packet loss for data connections."/>
      </w:tblPr>
      <w:tblGrid>
        <w:gridCol w:w="3654"/>
        <w:gridCol w:w="680"/>
        <w:gridCol w:w="680"/>
        <w:gridCol w:w="680"/>
        <w:gridCol w:w="680"/>
        <w:gridCol w:w="680"/>
        <w:gridCol w:w="680"/>
        <w:gridCol w:w="680"/>
      </w:tblGrid>
      <w:tr w:rsidR="00582FBF" w:rsidRPr="00582FBF" w14:paraId="3EC48DF3" w14:textId="77777777" w:rsidTr="00582FBF">
        <w:trPr>
          <w:cnfStyle w:val="100000000000" w:firstRow="1" w:lastRow="0" w:firstColumn="0" w:lastColumn="0" w:oddVBand="0" w:evenVBand="0" w:oddHBand="0" w:evenHBand="0" w:firstRowFirstColumn="0" w:firstRowLastColumn="0" w:lastRowFirstColumn="0" w:lastRowLastColumn="0"/>
          <w:cantSplit/>
          <w:trHeight w:val="1700"/>
        </w:trPr>
        <w:tc>
          <w:tcPr>
            <w:cnfStyle w:val="000000000100" w:firstRow="0" w:lastRow="0" w:firstColumn="0" w:lastColumn="0" w:oddVBand="0" w:evenVBand="0" w:oddHBand="0" w:evenHBand="0" w:firstRowFirstColumn="1" w:firstRowLastColumn="0" w:lastRowFirstColumn="0" w:lastRowLastColumn="0"/>
            <w:tcW w:w="3654" w:type="dxa"/>
            <w:hideMark/>
          </w:tcPr>
          <w:p w14:paraId="44597294" w14:textId="291CFAEE" w:rsidR="00582FBF" w:rsidRPr="00582FBF" w:rsidRDefault="00582FBF" w:rsidP="00F61130">
            <w:pPr>
              <w:pStyle w:val="TableColumnHeadingNormal"/>
              <w:rPr>
                <w:lang w:val="en-US"/>
              </w:rPr>
            </w:pPr>
          </w:p>
        </w:tc>
        <w:tc>
          <w:tcPr>
            <w:tcW w:w="680" w:type="dxa"/>
            <w:textDirection w:val="btLr"/>
            <w:vAlign w:val="center"/>
            <w:hideMark/>
          </w:tcPr>
          <w:p w14:paraId="368D6F35" w14:textId="77777777" w:rsidR="00582FBF" w:rsidRPr="00582FBF" w:rsidRDefault="00582FBF" w:rsidP="00F61130">
            <w:pPr>
              <w:pStyle w:val="TableColumnHeadingNormal"/>
              <w:ind w:left="113" w:right="113"/>
              <w:jc w:val="left"/>
              <w:cnfStyle w:val="100000000000" w:firstRow="1" w:lastRow="0" w:firstColumn="0" w:lastColumn="0" w:oddVBand="0" w:evenVBand="0" w:oddHBand="0" w:evenHBand="0" w:firstRowFirstColumn="0" w:firstRowLastColumn="0" w:lastRowFirstColumn="0" w:lastRowLastColumn="0"/>
              <w:rPr>
                <w:lang w:val="en-US"/>
              </w:rPr>
            </w:pPr>
            <w:r w:rsidRPr="00582FBF">
              <w:rPr>
                <w:bCs/>
              </w:rPr>
              <w:t>Australia</w:t>
            </w:r>
          </w:p>
        </w:tc>
        <w:tc>
          <w:tcPr>
            <w:tcW w:w="680" w:type="dxa"/>
            <w:textDirection w:val="btLr"/>
            <w:vAlign w:val="center"/>
            <w:hideMark/>
          </w:tcPr>
          <w:p w14:paraId="6AF01D1E" w14:textId="77777777" w:rsidR="00582FBF" w:rsidRPr="00582FBF" w:rsidRDefault="00582FBF" w:rsidP="00F61130">
            <w:pPr>
              <w:pStyle w:val="TableColumnHeadingNormal"/>
              <w:ind w:left="113" w:right="113"/>
              <w:jc w:val="left"/>
              <w:cnfStyle w:val="100000000000" w:firstRow="1" w:lastRow="0" w:firstColumn="0" w:lastColumn="0" w:oddVBand="0" w:evenVBand="0" w:oddHBand="0" w:evenHBand="0" w:firstRowFirstColumn="0" w:firstRowLastColumn="0" w:lastRowFirstColumn="0" w:lastRowLastColumn="0"/>
              <w:rPr>
                <w:lang w:val="en-US"/>
              </w:rPr>
            </w:pPr>
            <w:r w:rsidRPr="00582FBF">
              <w:rPr>
                <w:bCs/>
              </w:rPr>
              <w:t>Canada</w:t>
            </w:r>
          </w:p>
        </w:tc>
        <w:tc>
          <w:tcPr>
            <w:tcW w:w="680" w:type="dxa"/>
            <w:textDirection w:val="btLr"/>
            <w:vAlign w:val="center"/>
            <w:hideMark/>
          </w:tcPr>
          <w:p w14:paraId="1899F213" w14:textId="77777777" w:rsidR="00582FBF" w:rsidRPr="00582FBF" w:rsidRDefault="00582FBF" w:rsidP="00F61130">
            <w:pPr>
              <w:pStyle w:val="TableColumnHeadingNormal"/>
              <w:ind w:left="113" w:right="113"/>
              <w:jc w:val="left"/>
              <w:cnfStyle w:val="100000000000" w:firstRow="1" w:lastRow="0" w:firstColumn="0" w:lastColumn="0" w:oddVBand="0" w:evenVBand="0" w:oddHBand="0" w:evenHBand="0" w:firstRowFirstColumn="0" w:firstRowLastColumn="0" w:lastRowFirstColumn="0" w:lastRowLastColumn="0"/>
              <w:rPr>
                <w:lang w:val="en-US"/>
              </w:rPr>
            </w:pPr>
            <w:r w:rsidRPr="00582FBF">
              <w:rPr>
                <w:bCs/>
              </w:rPr>
              <w:t>France</w:t>
            </w:r>
          </w:p>
        </w:tc>
        <w:tc>
          <w:tcPr>
            <w:tcW w:w="680" w:type="dxa"/>
            <w:textDirection w:val="btLr"/>
            <w:vAlign w:val="center"/>
            <w:hideMark/>
          </w:tcPr>
          <w:p w14:paraId="64E88536" w14:textId="77777777" w:rsidR="00582FBF" w:rsidRPr="00582FBF" w:rsidRDefault="00582FBF" w:rsidP="00F61130">
            <w:pPr>
              <w:pStyle w:val="TableColumnHeadingNormal"/>
              <w:ind w:left="113" w:right="113"/>
              <w:jc w:val="left"/>
              <w:cnfStyle w:val="100000000000" w:firstRow="1" w:lastRow="0" w:firstColumn="0" w:lastColumn="0" w:oddVBand="0" w:evenVBand="0" w:oddHBand="0" w:evenHBand="0" w:firstRowFirstColumn="0" w:firstRowLastColumn="0" w:lastRowFirstColumn="0" w:lastRowLastColumn="0"/>
              <w:rPr>
                <w:lang w:val="en-US"/>
              </w:rPr>
            </w:pPr>
            <w:r w:rsidRPr="00582FBF">
              <w:rPr>
                <w:bCs/>
              </w:rPr>
              <w:t>New Zealand</w:t>
            </w:r>
          </w:p>
        </w:tc>
        <w:tc>
          <w:tcPr>
            <w:tcW w:w="680" w:type="dxa"/>
            <w:textDirection w:val="btLr"/>
            <w:vAlign w:val="center"/>
            <w:hideMark/>
          </w:tcPr>
          <w:p w14:paraId="474B5F4E" w14:textId="77777777" w:rsidR="00582FBF" w:rsidRPr="00582FBF" w:rsidRDefault="00582FBF" w:rsidP="00F61130">
            <w:pPr>
              <w:pStyle w:val="TableColumnHeadingNormal"/>
              <w:ind w:left="113" w:right="113"/>
              <w:jc w:val="left"/>
              <w:cnfStyle w:val="100000000000" w:firstRow="1" w:lastRow="0" w:firstColumn="0" w:lastColumn="0" w:oddVBand="0" w:evenVBand="0" w:oddHBand="0" w:evenHBand="0" w:firstRowFirstColumn="0" w:firstRowLastColumn="0" w:lastRowFirstColumn="0" w:lastRowLastColumn="0"/>
              <w:rPr>
                <w:lang w:val="en-US"/>
              </w:rPr>
            </w:pPr>
            <w:r w:rsidRPr="00582FBF">
              <w:rPr>
                <w:bCs/>
              </w:rPr>
              <w:t>Singapore</w:t>
            </w:r>
          </w:p>
        </w:tc>
        <w:tc>
          <w:tcPr>
            <w:tcW w:w="680" w:type="dxa"/>
            <w:textDirection w:val="btLr"/>
            <w:vAlign w:val="center"/>
            <w:hideMark/>
          </w:tcPr>
          <w:p w14:paraId="31940263" w14:textId="3951603D" w:rsidR="00582FBF" w:rsidRPr="00582FBF" w:rsidRDefault="00582FBF" w:rsidP="00F61130">
            <w:pPr>
              <w:pStyle w:val="TableColumnHeadingNormal"/>
              <w:ind w:left="113" w:right="113"/>
              <w:jc w:val="left"/>
              <w:cnfStyle w:val="100000000000" w:firstRow="1" w:lastRow="0" w:firstColumn="0" w:lastColumn="0" w:oddVBand="0" w:evenVBand="0" w:oddHBand="0" w:evenHBand="0" w:firstRowFirstColumn="0" w:firstRowLastColumn="0" w:lastRowFirstColumn="0" w:lastRowLastColumn="0"/>
              <w:rPr>
                <w:lang w:val="en-US"/>
              </w:rPr>
            </w:pPr>
            <w:r w:rsidRPr="00582FBF">
              <w:rPr>
                <w:bCs/>
              </w:rPr>
              <w:t>UK</w:t>
            </w:r>
            <w:r w:rsidR="00F61130">
              <w:rPr>
                <w:bCs/>
              </w:rPr>
              <w:t>*</w:t>
            </w:r>
          </w:p>
        </w:tc>
        <w:tc>
          <w:tcPr>
            <w:tcW w:w="680" w:type="dxa"/>
            <w:textDirection w:val="btLr"/>
            <w:vAlign w:val="center"/>
            <w:hideMark/>
          </w:tcPr>
          <w:p w14:paraId="162C5BA5" w14:textId="77777777" w:rsidR="00582FBF" w:rsidRPr="00582FBF" w:rsidRDefault="00582FBF" w:rsidP="00F61130">
            <w:pPr>
              <w:pStyle w:val="TableColumnHeadingNormal"/>
              <w:ind w:left="113" w:right="113"/>
              <w:jc w:val="left"/>
              <w:cnfStyle w:val="100000000000" w:firstRow="1" w:lastRow="0" w:firstColumn="0" w:lastColumn="0" w:oddVBand="0" w:evenVBand="0" w:oddHBand="0" w:evenHBand="0" w:firstRowFirstColumn="0" w:firstRowLastColumn="0" w:lastRowFirstColumn="0" w:lastRowLastColumn="0"/>
              <w:rPr>
                <w:lang w:val="en-US"/>
              </w:rPr>
            </w:pPr>
            <w:r w:rsidRPr="00582FBF">
              <w:rPr>
                <w:bCs/>
              </w:rPr>
              <w:t>USA</w:t>
            </w:r>
          </w:p>
        </w:tc>
      </w:tr>
      <w:tr w:rsidR="00582FBF" w:rsidRPr="00582FBF" w14:paraId="40B0842B" w14:textId="77777777" w:rsidTr="00582FBF">
        <w:trPr>
          <w:trHeight w:val="564"/>
        </w:trPr>
        <w:tc>
          <w:tcPr>
            <w:tcW w:w="3654" w:type="dxa"/>
            <w:hideMark/>
          </w:tcPr>
          <w:p w14:paraId="15868849" w14:textId="77777777" w:rsidR="00582FBF" w:rsidRPr="006D08BB" w:rsidRDefault="00582FBF" w:rsidP="00F61130">
            <w:pPr>
              <w:pStyle w:val="TableTextNormal"/>
              <w:keepNext/>
              <w:keepLines/>
            </w:pPr>
            <w:r w:rsidRPr="006D08BB">
              <w:t>New service connection times</w:t>
            </w:r>
          </w:p>
        </w:tc>
        <w:tc>
          <w:tcPr>
            <w:tcW w:w="680" w:type="dxa"/>
            <w:hideMark/>
          </w:tcPr>
          <w:p w14:paraId="6527064C" w14:textId="77777777" w:rsidR="00582FBF" w:rsidRPr="006D08BB" w:rsidRDefault="00582FBF" w:rsidP="00F61130">
            <w:pPr>
              <w:pStyle w:val="TableTextNormal"/>
              <w:keepNext/>
              <w:keepLines/>
              <w:jc w:val="center"/>
            </w:pPr>
          </w:p>
        </w:tc>
        <w:tc>
          <w:tcPr>
            <w:tcW w:w="680" w:type="dxa"/>
            <w:hideMark/>
          </w:tcPr>
          <w:p w14:paraId="25299124" w14:textId="77777777" w:rsidR="00582FBF" w:rsidRPr="006D08BB" w:rsidRDefault="00582FBF" w:rsidP="00F61130">
            <w:pPr>
              <w:pStyle w:val="TableTextNormal"/>
              <w:keepNext/>
              <w:keepLines/>
              <w:jc w:val="center"/>
            </w:pPr>
          </w:p>
        </w:tc>
        <w:tc>
          <w:tcPr>
            <w:tcW w:w="680" w:type="dxa"/>
            <w:hideMark/>
          </w:tcPr>
          <w:p w14:paraId="46B1CB66" w14:textId="77777777" w:rsidR="00582FBF" w:rsidRPr="006D08BB" w:rsidRDefault="00582FBF" w:rsidP="00F61130">
            <w:pPr>
              <w:pStyle w:val="TableTextNormal"/>
              <w:keepNext/>
              <w:keepLines/>
              <w:jc w:val="center"/>
            </w:pPr>
          </w:p>
        </w:tc>
        <w:tc>
          <w:tcPr>
            <w:tcW w:w="680" w:type="dxa"/>
            <w:hideMark/>
          </w:tcPr>
          <w:p w14:paraId="2DD4E02C" w14:textId="21845D16" w:rsidR="00582FBF" w:rsidRPr="006D08BB" w:rsidRDefault="006D08BB" w:rsidP="00F61130">
            <w:pPr>
              <w:pStyle w:val="TableTextNormal"/>
              <w:keepNext/>
              <w:keepLines/>
              <w:jc w:val="center"/>
            </w:pPr>
            <w:r w:rsidRPr="008F3B97">
              <w:rPr>
                <w:noProof/>
                <w:color w:val="DB536A" w:themeColor="accent4"/>
                <w:lang w:eastAsia="en-AU"/>
              </w:rPr>
              <mc:AlternateContent>
                <mc:Choice Requires="wps">
                  <w:drawing>
                    <wp:inline distT="0" distB="0" distL="0" distR="0" wp14:anchorId="6DF3E96F" wp14:editId="2B123AA0">
                      <wp:extent cx="180000" cy="180000"/>
                      <wp:effectExtent l="0" t="0" r="0" b="0"/>
                      <wp:docPr id="17" name="Freeform 19" descr="Internet services icon" title="Internet services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80000" cy="180000"/>
                              </a:xfrm>
                              <a:custGeom>
                                <a:avLst/>
                                <a:gdLst/>
                                <a:ahLst/>
                                <a:cxnLst>
                                  <a:cxn ang="0">
                                    <a:pos x="263" y="232"/>
                                  </a:cxn>
                                  <a:cxn ang="0">
                                    <a:pos x="259" y="234"/>
                                  </a:cxn>
                                  <a:cxn ang="0">
                                    <a:pos x="255" y="232"/>
                                  </a:cxn>
                                  <a:cxn ang="0">
                                    <a:pos x="254" y="229"/>
                                  </a:cxn>
                                  <a:cxn ang="0">
                                    <a:pos x="255" y="225"/>
                                  </a:cxn>
                                  <a:cxn ang="0">
                                    <a:pos x="263" y="225"/>
                                  </a:cxn>
                                  <a:cxn ang="0">
                                    <a:pos x="264" y="229"/>
                                  </a:cxn>
                                  <a:cxn ang="0">
                                    <a:pos x="263" y="232"/>
                                  </a:cxn>
                                  <a:cxn ang="0">
                                    <a:pos x="133" y="223"/>
                                  </a:cxn>
                                  <a:cxn ang="0">
                                    <a:pos x="141" y="211"/>
                                  </a:cxn>
                                  <a:cxn ang="0">
                                    <a:pos x="183" y="211"/>
                                  </a:cxn>
                                  <a:cxn ang="0">
                                    <a:pos x="191" y="223"/>
                                  </a:cxn>
                                  <a:cxn ang="0">
                                    <a:pos x="133" y="223"/>
                                  </a:cxn>
                                  <a:cxn ang="0">
                                    <a:pos x="277" y="224"/>
                                  </a:cxn>
                                  <a:cxn ang="0">
                                    <a:pos x="277" y="222"/>
                                  </a:cxn>
                                  <a:cxn ang="0">
                                    <a:pos x="277" y="222"/>
                                  </a:cxn>
                                  <a:cxn ang="0">
                                    <a:pos x="276" y="221"/>
                                  </a:cxn>
                                  <a:cxn ang="0">
                                    <a:pos x="250" y="189"/>
                                  </a:cxn>
                                  <a:cxn ang="0">
                                    <a:pos x="245" y="186"/>
                                  </a:cxn>
                                  <a:cxn ang="0">
                                    <a:pos x="78" y="186"/>
                                  </a:cxn>
                                  <a:cxn ang="0">
                                    <a:pos x="73" y="189"/>
                                  </a:cxn>
                                  <a:cxn ang="0">
                                    <a:pos x="48" y="221"/>
                                  </a:cxn>
                                  <a:cxn ang="0">
                                    <a:pos x="47" y="222"/>
                                  </a:cxn>
                                  <a:cxn ang="0">
                                    <a:pos x="47" y="222"/>
                                  </a:cxn>
                                  <a:cxn ang="0">
                                    <a:pos x="47" y="224"/>
                                  </a:cxn>
                                  <a:cxn ang="0">
                                    <a:pos x="46" y="224"/>
                                  </a:cxn>
                                  <a:cxn ang="0">
                                    <a:pos x="46" y="233"/>
                                  </a:cxn>
                                  <a:cxn ang="0">
                                    <a:pos x="53" y="239"/>
                                  </a:cxn>
                                  <a:cxn ang="0">
                                    <a:pos x="271" y="239"/>
                                  </a:cxn>
                                  <a:cxn ang="0">
                                    <a:pos x="277" y="233"/>
                                  </a:cxn>
                                  <a:cxn ang="0">
                                    <a:pos x="277" y="224"/>
                                  </a:cxn>
                                  <a:cxn ang="0">
                                    <a:pos x="277" y="224"/>
                                  </a:cxn>
                                  <a:cxn ang="0">
                                    <a:pos x="88" y="75"/>
                                  </a:cxn>
                                  <a:cxn ang="0">
                                    <a:pos x="235" y="75"/>
                                  </a:cxn>
                                  <a:cxn ang="0">
                                    <a:pos x="235" y="163"/>
                                  </a:cxn>
                                  <a:cxn ang="0">
                                    <a:pos x="88" y="163"/>
                                  </a:cxn>
                                  <a:cxn ang="0">
                                    <a:pos x="88" y="75"/>
                                  </a:cxn>
                                  <a:cxn ang="0">
                                    <a:pos x="81" y="179"/>
                                  </a:cxn>
                                  <a:cxn ang="0">
                                    <a:pos x="243" y="179"/>
                                  </a:cxn>
                                  <a:cxn ang="0">
                                    <a:pos x="251" y="171"/>
                                  </a:cxn>
                                  <a:cxn ang="0">
                                    <a:pos x="251" y="67"/>
                                  </a:cxn>
                                  <a:cxn ang="0">
                                    <a:pos x="243" y="59"/>
                                  </a:cxn>
                                  <a:cxn ang="0">
                                    <a:pos x="81" y="59"/>
                                  </a:cxn>
                                  <a:cxn ang="0">
                                    <a:pos x="73" y="67"/>
                                  </a:cxn>
                                  <a:cxn ang="0">
                                    <a:pos x="73" y="171"/>
                                  </a:cxn>
                                  <a:cxn ang="0">
                                    <a:pos x="81" y="179"/>
                                  </a:cxn>
                                  <a:cxn ang="0">
                                    <a:pos x="162" y="310"/>
                                  </a:cxn>
                                  <a:cxn ang="0">
                                    <a:pos x="13" y="162"/>
                                  </a:cxn>
                                  <a:cxn ang="0">
                                    <a:pos x="162" y="13"/>
                                  </a:cxn>
                                  <a:cxn ang="0">
                                    <a:pos x="311" y="162"/>
                                  </a:cxn>
                                  <a:cxn ang="0">
                                    <a:pos x="162" y="310"/>
                                  </a:cxn>
                                  <a:cxn ang="0">
                                    <a:pos x="162" y="0"/>
                                  </a:cxn>
                                  <a:cxn ang="0">
                                    <a:pos x="0" y="162"/>
                                  </a:cxn>
                                  <a:cxn ang="0">
                                    <a:pos x="162" y="323"/>
                                  </a:cxn>
                                  <a:cxn ang="0">
                                    <a:pos x="324" y="162"/>
                                  </a:cxn>
                                  <a:cxn ang="0">
                                    <a:pos x="162" y="0"/>
                                  </a:cxn>
                                </a:cxnLst>
                                <a:rect l="0" t="0" r="r" b="b"/>
                                <a:pathLst>
                                  <a:path w="324" h="323">
                                    <a:moveTo>
                                      <a:pt x="263" y="232"/>
                                    </a:moveTo>
                                    <a:cubicBezTo>
                                      <a:pt x="262" y="233"/>
                                      <a:pt x="261" y="234"/>
                                      <a:pt x="259" y="234"/>
                                    </a:cubicBezTo>
                                    <a:cubicBezTo>
                                      <a:pt x="258" y="234"/>
                                      <a:pt x="257" y="233"/>
                                      <a:pt x="255" y="232"/>
                                    </a:cubicBezTo>
                                    <a:cubicBezTo>
                                      <a:pt x="255" y="231"/>
                                      <a:pt x="254" y="230"/>
                                      <a:pt x="254" y="229"/>
                                    </a:cubicBezTo>
                                    <a:cubicBezTo>
                                      <a:pt x="254" y="227"/>
                                      <a:pt x="255" y="226"/>
                                      <a:pt x="255" y="225"/>
                                    </a:cubicBezTo>
                                    <a:cubicBezTo>
                                      <a:pt x="258" y="223"/>
                                      <a:pt x="261" y="223"/>
                                      <a:pt x="263" y="225"/>
                                    </a:cubicBezTo>
                                    <a:cubicBezTo>
                                      <a:pt x="264" y="226"/>
                                      <a:pt x="264" y="227"/>
                                      <a:pt x="264" y="229"/>
                                    </a:cubicBezTo>
                                    <a:cubicBezTo>
                                      <a:pt x="264" y="230"/>
                                      <a:pt x="264" y="231"/>
                                      <a:pt x="263" y="232"/>
                                    </a:cubicBezTo>
                                    <a:close/>
                                    <a:moveTo>
                                      <a:pt x="133" y="223"/>
                                    </a:moveTo>
                                    <a:cubicBezTo>
                                      <a:pt x="141" y="211"/>
                                      <a:pt x="141" y="211"/>
                                      <a:pt x="141" y="211"/>
                                    </a:cubicBezTo>
                                    <a:cubicBezTo>
                                      <a:pt x="183" y="211"/>
                                      <a:pt x="183" y="211"/>
                                      <a:pt x="183" y="211"/>
                                    </a:cubicBezTo>
                                    <a:cubicBezTo>
                                      <a:pt x="191" y="223"/>
                                      <a:pt x="191" y="223"/>
                                      <a:pt x="191" y="223"/>
                                    </a:cubicBezTo>
                                    <a:lnTo>
                                      <a:pt x="133" y="223"/>
                                    </a:lnTo>
                                    <a:close/>
                                    <a:moveTo>
                                      <a:pt x="277" y="224"/>
                                    </a:moveTo>
                                    <a:cubicBezTo>
                                      <a:pt x="277" y="224"/>
                                      <a:pt x="277" y="223"/>
                                      <a:pt x="277" y="222"/>
                                    </a:cubicBezTo>
                                    <a:cubicBezTo>
                                      <a:pt x="277" y="222"/>
                                      <a:pt x="277" y="222"/>
                                      <a:pt x="277" y="222"/>
                                    </a:cubicBezTo>
                                    <a:cubicBezTo>
                                      <a:pt x="277" y="221"/>
                                      <a:pt x="276" y="221"/>
                                      <a:pt x="276" y="221"/>
                                    </a:cubicBezTo>
                                    <a:cubicBezTo>
                                      <a:pt x="250" y="189"/>
                                      <a:pt x="250" y="189"/>
                                      <a:pt x="250" y="189"/>
                                    </a:cubicBezTo>
                                    <a:cubicBezTo>
                                      <a:pt x="249" y="187"/>
                                      <a:pt x="247" y="186"/>
                                      <a:pt x="245" y="186"/>
                                    </a:cubicBezTo>
                                    <a:cubicBezTo>
                                      <a:pt x="78" y="186"/>
                                      <a:pt x="78" y="186"/>
                                      <a:pt x="78" y="186"/>
                                    </a:cubicBezTo>
                                    <a:cubicBezTo>
                                      <a:pt x="77" y="186"/>
                                      <a:pt x="75" y="187"/>
                                      <a:pt x="73" y="189"/>
                                    </a:cubicBezTo>
                                    <a:cubicBezTo>
                                      <a:pt x="48" y="221"/>
                                      <a:pt x="48" y="221"/>
                                      <a:pt x="48" y="221"/>
                                    </a:cubicBezTo>
                                    <a:cubicBezTo>
                                      <a:pt x="48" y="221"/>
                                      <a:pt x="47" y="221"/>
                                      <a:pt x="47" y="222"/>
                                    </a:cubicBezTo>
                                    <a:cubicBezTo>
                                      <a:pt x="47" y="222"/>
                                      <a:pt x="47" y="222"/>
                                      <a:pt x="47" y="222"/>
                                    </a:cubicBezTo>
                                    <a:cubicBezTo>
                                      <a:pt x="47" y="223"/>
                                      <a:pt x="47" y="224"/>
                                      <a:pt x="47" y="224"/>
                                    </a:cubicBezTo>
                                    <a:cubicBezTo>
                                      <a:pt x="46" y="224"/>
                                      <a:pt x="46" y="224"/>
                                      <a:pt x="46" y="224"/>
                                    </a:cubicBezTo>
                                    <a:cubicBezTo>
                                      <a:pt x="46" y="233"/>
                                      <a:pt x="46" y="233"/>
                                      <a:pt x="46" y="233"/>
                                    </a:cubicBezTo>
                                    <a:cubicBezTo>
                                      <a:pt x="46" y="236"/>
                                      <a:pt x="49" y="239"/>
                                      <a:pt x="53" y="239"/>
                                    </a:cubicBezTo>
                                    <a:cubicBezTo>
                                      <a:pt x="271" y="239"/>
                                      <a:pt x="271" y="239"/>
                                      <a:pt x="271" y="239"/>
                                    </a:cubicBezTo>
                                    <a:cubicBezTo>
                                      <a:pt x="274" y="239"/>
                                      <a:pt x="277" y="236"/>
                                      <a:pt x="277" y="233"/>
                                    </a:cubicBezTo>
                                    <a:cubicBezTo>
                                      <a:pt x="277" y="224"/>
                                      <a:pt x="277" y="224"/>
                                      <a:pt x="277" y="224"/>
                                    </a:cubicBezTo>
                                    <a:cubicBezTo>
                                      <a:pt x="277" y="224"/>
                                      <a:pt x="277" y="224"/>
                                      <a:pt x="277" y="224"/>
                                    </a:cubicBezTo>
                                    <a:close/>
                                    <a:moveTo>
                                      <a:pt x="88" y="75"/>
                                    </a:moveTo>
                                    <a:cubicBezTo>
                                      <a:pt x="235" y="75"/>
                                      <a:pt x="235" y="75"/>
                                      <a:pt x="235" y="75"/>
                                    </a:cubicBezTo>
                                    <a:cubicBezTo>
                                      <a:pt x="235" y="163"/>
                                      <a:pt x="235" y="163"/>
                                      <a:pt x="235" y="163"/>
                                    </a:cubicBezTo>
                                    <a:cubicBezTo>
                                      <a:pt x="88" y="163"/>
                                      <a:pt x="88" y="163"/>
                                      <a:pt x="88" y="163"/>
                                    </a:cubicBezTo>
                                    <a:lnTo>
                                      <a:pt x="88" y="75"/>
                                    </a:lnTo>
                                    <a:close/>
                                    <a:moveTo>
                                      <a:pt x="81" y="179"/>
                                    </a:moveTo>
                                    <a:cubicBezTo>
                                      <a:pt x="243" y="179"/>
                                      <a:pt x="243" y="179"/>
                                      <a:pt x="243" y="179"/>
                                    </a:cubicBezTo>
                                    <a:cubicBezTo>
                                      <a:pt x="247" y="179"/>
                                      <a:pt x="251" y="175"/>
                                      <a:pt x="251" y="171"/>
                                    </a:cubicBezTo>
                                    <a:cubicBezTo>
                                      <a:pt x="251" y="67"/>
                                      <a:pt x="251" y="67"/>
                                      <a:pt x="251" y="67"/>
                                    </a:cubicBezTo>
                                    <a:cubicBezTo>
                                      <a:pt x="251" y="63"/>
                                      <a:pt x="247" y="59"/>
                                      <a:pt x="243" y="59"/>
                                    </a:cubicBezTo>
                                    <a:cubicBezTo>
                                      <a:pt x="81" y="59"/>
                                      <a:pt x="81" y="59"/>
                                      <a:pt x="81" y="59"/>
                                    </a:cubicBezTo>
                                    <a:cubicBezTo>
                                      <a:pt x="77" y="59"/>
                                      <a:pt x="73" y="63"/>
                                      <a:pt x="73" y="67"/>
                                    </a:cubicBezTo>
                                    <a:cubicBezTo>
                                      <a:pt x="73" y="171"/>
                                      <a:pt x="73" y="171"/>
                                      <a:pt x="73" y="171"/>
                                    </a:cubicBezTo>
                                    <a:cubicBezTo>
                                      <a:pt x="73" y="175"/>
                                      <a:pt x="77" y="179"/>
                                      <a:pt x="81" y="179"/>
                                    </a:cubicBezTo>
                                    <a:close/>
                                    <a:moveTo>
                                      <a:pt x="162" y="310"/>
                                    </a:moveTo>
                                    <a:cubicBezTo>
                                      <a:pt x="80" y="310"/>
                                      <a:pt x="13" y="244"/>
                                      <a:pt x="13" y="162"/>
                                    </a:cubicBezTo>
                                    <a:cubicBezTo>
                                      <a:pt x="13" y="80"/>
                                      <a:pt x="80" y="13"/>
                                      <a:pt x="162" y="13"/>
                                    </a:cubicBezTo>
                                    <a:cubicBezTo>
                                      <a:pt x="244" y="13"/>
                                      <a:pt x="311" y="80"/>
                                      <a:pt x="311" y="162"/>
                                    </a:cubicBezTo>
                                    <a:cubicBezTo>
                                      <a:pt x="311" y="244"/>
                                      <a:pt x="244" y="310"/>
                                      <a:pt x="162" y="310"/>
                                    </a:cubicBezTo>
                                    <a:close/>
                                    <a:moveTo>
                                      <a:pt x="162" y="0"/>
                                    </a:moveTo>
                                    <a:cubicBezTo>
                                      <a:pt x="72" y="0"/>
                                      <a:pt x="0" y="72"/>
                                      <a:pt x="0" y="162"/>
                                    </a:cubicBezTo>
                                    <a:cubicBezTo>
                                      <a:pt x="0" y="251"/>
                                      <a:pt x="72" y="323"/>
                                      <a:pt x="162" y="323"/>
                                    </a:cubicBezTo>
                                    <a:cubicBezTo>
                                      <a:pt x="251" y="323"/>
                                      <a:pt x="324" y="251"/>
                                      <a:pt x="324" y="162"/>
                                    </a:cubicBezTo>
                                    <a:cubicBezTo>
                                      <a:pt x="324" y="72"/>
                                      <a:pt x="251" y="0"/>
                                      <a:pt x="162" y="0"/>
                                    </a:cubicBezTo>
                                    <a:close/>
                                  </a:path>
                                </a:pathLst>
                              </a:custGeom>
                              <a:solidFill>
                                <a:schemeClr val="tx2"/>
                              </a:solidFill>
                              <a:ln w="9525">
                                <a:noFill/>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0A6382AF" id="Freeform 19" o:spid="_x0000_s1026" alt="Title: Internet services icon - Description: Internet services icon" style="width:14.15pt;height:14.15pt;visibility:visible;mso-wrap-style:square;mso-left-percent:-10001;mso-top-percent:-10001;mso-position-horizontal:absolute;mso-position-horizontal-relative:char;mso-position-vertical:absolute;mso-position-vertical-relative:line;mso-left-percent:-10001;mso-top-percent:-10001;v-text-anchor:top" coordsize="324,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" path="m263,232v-1,1,-2,2,-4,2c258,234,257,233,255,232v,-1,-1,-2,-1,-3c254,227,255,226,255,225v3,-2,6,-2,8,c264,226,264,227,264,229v,1,,2,-1,3xm133,223v8,-12,8,-12,8,-12c183,211,183,211,183,211v8,12,8,12,8,12l133,223xm277,224v,,,-1,,-2c277,222,277,222,277,222v,-1,-1,-1,-1,-1c250,189,250,189,250,189v-1,-2,-3,-3,-5,-3c78,186,78,186,78,186v-1,,-3,1,-5,3c48,221,48,221,48,221v,,-1,,-1,1c47,222,47,222,47,222v,1,,2,,2c46,224,46,224,46,224v,9,,9,,9c46,236,49,239,53,239v218,,218,,218,c274,239,277,236,277,233v,-9,,-9,,-9c277,224,277,224,277,224xm88,75v147,,147,,147,c235,163,235,163,235,163v-147,,-147,,-147,l88,75xm81,179v162,,162,,162,c247,179,251,175,251,171v,-104,,-104,,-104c251,63,247,59,243,59,81,59,81,59,81,59v-4,,-8,4,-8,8c73,171,73,171,73,171v,4,4,8,8,8xm162,310c80,310,13,244,13,162,13,80,80,13,162,13v82,,149,67,149,149c311,244,244,310,162,310xm162,c72,,,72,,162v,89,72,161,162,161c251,323,324,251,324,162,324,72,251,,162,xe" fillcolor="#a32020 [3215]" stroked="f">
                      <v:path arrowok="t" o:connecttype="custom" o:connectlocs="263,232;259,234;255,232;254,229;255,225;263,225;264,229;263,232;133,223;141,211;183,211;191,223;133,223;277,224;277,222;277,222;276,221;250,189;245,186;78,186;73,189;48,221;47,222;47,222;47,224;46,224;46,233;53,239;271,239;277,233;277,224;277,224;88,75;235,75;235,163;88,163;88,75;81,179;243,179;251,171;251,67;243,59;81,59;73,67;73,171;81,179;162,310;13,162;162,13;311,162;162,310;162,0;0,162;162,323;324,162;162,0" o:connectangles="0,0,0,0,0,0,0,0,0,0,0,0,0,0,0,0,0,0,0,0,0,0,0,0,0,0,0,0,0,0,0,0,0,0,0,0,0,0,0,0,0,0,0,0,0,0,0,0,0,0,0,0,0,0,0,0"/>
                      <o:lock v:ext="edit" verticies="t"/>
                      <w10:anchorlock/>
                    </v:shape>
                  </w:pict>
                </mc:Fallback>
              </mc:AlternateContent>
            </w:r>
          </w:p>
        </w:tc>
        <w:tc>
          <w:tcPr>
            <w:tcW w:w="680" w:type="dxa"/>
            <w:hideMark/>
          </w:tcPr>
          <w:p w14:paraId="5AA8C2D6" w14:textId="77777777" w:rsidR="00582FBF" w:rsidRPr="006D08BB" w:rsidRDefault="00582FBF" w:rsidP="00F61130">
            <w:pPr>
              <w:pStyle w:val="TableTextNormal"/>
              <w:keepNext/>
              <w:keepLines/>
              <w:jc w:val="center"/>
            </w:pPr>
          </w:p>
        </w:tc>
        <w:tc>
          <w:tcPr>
            <w:tcW w:w="680" w:type="dxa"/>
            <w:hideMark/>
          </w:tcPr>
          <w:p w14:paraId="17477731" w14:textId="74BF9E03" w:rsidR="00582FBF" w:rsidRPr="006D08BB" w:rsidRDefault="00350527" w:rsidP="00F61130">
            <w:pPr>
              <w:pStyle w:val="TableTextNormal"/>
              <w:keepNext/>
              <w:keepLines/>
              <w:jc w:val="center"/>
            </w:pPr>
            <w:r w:rsidRPr="008F3B97">
              <w:rPr>
                <w:noProof/>
                <w:color w:val="DB536A" w:themeColor="accent4"/>
                <w:lang w:eastAsia="en-AU"/>
              </w:rPr>
              <mc:AlternateContent>
                <mc:Choice Requires="wps">
                  <w:drawing>
                    <wp:inline distT="0" distB="0" distL="0" distR="0" wp14:anchorId="71BA2CC7" wp14:editId="0E54CE59">
                      <wp:extent cx="180000" cy="180000"/>
                      <wp:effectExtent l="0" t="0" r="0" b="0"/>
                      <wp:docPr id="43" name="Freeform 19" descr="Internet services icon" title="Internet services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80000" cy="180000"/>
                              </a:xfrm>
                              <a:custGeom>
                                <a:avLst/>
                                <a:gdLst/>
                                <a:ahLst/>
                                <a:cxnLst>
                                  <a:cxn ang="0">
                                    <a:pos x="263" y="232"/>
                                  </a:cxn>
                                  <a:cxn ang="0">
                                    <a:pos x="259" y="234"/>
                                  </a:cxn>
                                  <a:cxn ang="0">
                                    <a:pos x="255" y="232"/>
                                  </a:cxn>
                                  <a:cxn ang="0">
                                    <a:pos x="254" y="229"/>
                                  </a:cxn>
                                  <a:cxn ang="0">
                                    <a:pos x="255" y="225"/>
                                  </a:cxn>
                                  <a:cxn ang="0">
                                    <a:pos x="263" y="225"/>
                                  </a:cxn>
                                  <a:cxn ang="0">
                                    <a:pos x="264" y="229"/>
                                  </a:cxn>
                                  <a:cxn ang="0">
                                    <a:pos x="263" y="232"/>
                                  </a:cxn>
                                  <a:cxn ang="0">
                                    <a:pos x="133" y="223"/>
                                  </a:cxn>
                                  <a:cxn ang="0">
                                    <a:pos x="141" y="211"/>
                                  </a:cxn>
                                  <a:cxn ang="0">
                                    <a:pos x="183" y="211"/>
                                  </a:cxn>
                                  <a:cxn ang="0">
                                    <a:pos x="191" y="223"/>
                                  </a:cxn>
                                  <a:cxn ang="0">
                                    <a:pos x="133" y="223"/>
                                  </a:cxn>
                                  <a:cxn ang="0">
                                    <a:pos x="277" y="224"/>
                                  </a:cxn>
                                  <a:cxn ang="0">
                                    <a:pos x="277" y="222"/>
                                  </a:cxn>
                                  <a:cxn ang="0">
                                    <a:pos x="277" y="222"/>
                                  </a:cxn>
                                  <a:cxn ang="0">
                                    <a:pos x="276" y="221"/>
                                  </a:cxn>
                                  <a:cxn ang="0">
                                    <a:pos x="250" y="189"/>
                                  </a:cxn>
                                  <a:cxn ang="0">
                                    <a:pos x="245" y="186"/>
                                  </a:cxn>
                                  <a:cxn ang="0">
                                    <a:pos x="78" y="186"/>
                                  </a:cxn>
                                  <a:cxn ang="0">
                                    <a:pos x="73" y="189"/>
                                  </a:cxn>
                                  <a:cxn ang="0">
                                    <a:pos x="48" y="221"/>
                                  </a:cxn>
                                  <a:cxn ang="0">
                                    <a:pos x="47" y="222"/>
                                  </a:cxn>
                                  <a:cxn ang="0">
                                    <a:pos x="47" y="222"/>
                                  </a:cxn>
                                  <a:cxn ang="0">
                                    <a:pos x="47" y="224"/>
                                  </a:cxn>
                                  <a:cxn ang="0">
                                    <a:pos x="46" y="224"/>
                                  </a:cxn>
                                  <a:cxn ang="0">
                                    <a:pos x="46" y="233"/>
                                  </a:cxn>
                                  <a:cxn ang="0">
                                    <a:pos x="53" y="239"/>
                                  </a:cxn>
                                  <a:cxn ang="0">
                                    <a:pos x="271" y="239"/>
                                  </a:cxn>
                                  <a:cxn ang="0">
                                    <a:pos x="277" y="233"/>
                                  </a:cxn>
                                  <a:cxn ang="0">
                                    <a:pos x="277" y="224"/>
                                  </a:cxn>
                                  <a:cxn ang="0">
                                    <a:pos x="277" y="224"/>
                                  </a:cxn>
                                  <a:cxn ang="0">
                                    <a:pos x="88" y="75"/>
                                  </a:cxn>
                                  <a:cxn ang="0">
                                    <a:pos x="235" y="75"/>
                                  </a:cxn>
                                  <a:cxn ang="0">
                                    <a:pos x="235" y="163"/>
                                  </a:cxn>
                                  <a:cxn ang="0">
                                    <a:pos x="88" y="163"/>
                                  </a:cxn>
                                  <a:cxn ang="0">
                                    <a:pos x="88" y="75"/>
                                  </a:cxn>
                                  <a:cxn ang="0">
                                    <a:pos x="81" y="179"/>
                                  </a:cxn>
                                  <a:cxn ang="0">
                                    <a:pos x="243" y="179"/>
                                  </a:cxn>
                                  <a:cxn ang="0">
                                    <a:pos x="251" y="171"/>
                                  </a:cxn>
                                  <a:cxn ang="0">
                                    <a:pos x="251" y="67"/>
                                  </a:cxn>
                                  <a:cxn ang="0">
                                    <a:pos x="243" y="59"/>
                                  </a:cxn>
                                  <a:cxn ang="0">
                                    <a:pos x="81" y="59"/>
                                  </a:cxn>
                                  <a:cxn ang="0">
                                    <a:pos x="73" y="67"/>
                                  </a:cxn>
                                  <a:cxn ang="0">
                                    <a:pos x="73" y="171"/>
                                  </a:cxn>
                                  <a:cxn ang="0">
                                    <a:pos x="81" y="179"/>
                                  </a:cxn>
                                  <a:cxn ang="0">
                                    <a:pos x="162" y="310"/>
                                  </a:cxn>
                                  <a:cxn ang="0">
                                    <a:pos x="13" y="162"/>
                                  </a:cxn>
                                  <a:cxn ang="0">
                                    <a:pos x="162" y="13"/>
                                  </a:cxn>
                                  <a:cxn ang="0">
                                    <a:pos x="311" y="162"/>
                                  </a:cxn>
                                  <a:cxn ang="0">
                                    <a:pos x="162" y="310"/>
                                  </a:cxn>
                                  <a:cxn ang="0">
                                    <a:pos x="162" y="0"/>
                                  </a:cxn>
                                  <a:cxn ang="0">
                                    <a:pos x="0" y="162"/>
                                  </a:cxn>
                                  <a:cxn ang="0">
                                    <a:pos x="162" y="323"/>
                                  </a:cxn>
                                  <a:cxn ang="0">
                                    <a:pos x="324" y="162"/>
                                  </a:cxn>
                                  <a:cxn ang="0">
                                    <a:pos x="162" y="0"/>
                                  </a:cxn>
                                </a:cxnLst>
                                <a:rect l="0" t="0" r="r" b="b"/>
                                <a:pathLst>
                                  <a:path w="324" h="323">
                                    <a:moveTo>
                                      <a:pt x="263" y="232"/>
                                    </a:moveTo>
                                    <a:cubicBezTo>
                                      <a:pt x="262" y="233"/>
                                      <a:pt x="261" y="234"/>
                                      <a:pt x="259" y="234"/>
                                    </a:cubicBezTo>
                                    <a:cubicBezTo>
                                      <a:pt x="258" y="234"/>
                                      <a:pt x="257" y="233"/>
                                      <a:pt x="255" y="232"/>
                                    </a:cubicBezTo>
                                    <a:cubicBezTo>
                                      <a:pt x="255" y="231"/>
                                      <a:pt x="254" y="230"/>
                                      <a:pt x="254" y="229"/>
                                    </a:cubicBezTo>
                                    <a:cubicBezTo>
                                      <a:pt x="254" y="227"/>
                                      <a:pt x="255" y="226"/>
                                      <a:pt x="255" y="225"/>
                                    </a:cubicBezTo>
                                    <a:cubicBezTo>
                                      <a:pt x="258" y="223"/>
                                      <a:pt x="261" y="223"/>
                                      <a:pt x="263" y="225"/>
                                    </a:cubicBezTo>
                                    <a:cubicBezTo>
                                      <a:pt x="264" y="226"/>
                                      <a:pt x="264" y="227"/>
                                      <a:pt x="264" y="229"/>
                                    </a:cubicBezTo>
                                    <a:cubicBezTo>
                                      <a:pt x="264" y="230"/>
                                      <a:pt x="264" y="231"/>
                                      <a:pt x="263" y="232"/>
                                    </a:cubicBezTo>
                                    <a:close/>
                                    <a:moveTo>
                                      <a:pt x="133" y="223"/>
                                    </a:moveTo>
                                    <a:cubicBezTo>
                                      <a:pt x="141" y="211"/>
                                      <a:pt x="141" y="211"/>
                                      <a:pt x="141" y="211"/>
                                    </a:cubicBezTo>
                                    <a:cubicBezTo>
                                      <a:pt x="183" y="211"/>
                                      <a:pt x="183" y="211"/>
                                      <a:pt x="183" y="211"/>
                                    </a:cubicBezTo>
                                    <a:cubicBezTo>
                                      <a:pt x="191" y="223"/>
                                      <a:pt x="191" y="223"/>
                                      <a:pt x="191" y="223"/>
                                    </a:cubicBezTo>
                                    <a:lnTo>
                                      <a:pt x="133" y="223"/>
                                    </a:lnTo>
                                    <a:close/>
                                    <a:moveTo>
                                      <a:pt x="277" y="224"/>
                                    </a:moveTo>
                                    <a:cubicBezTo>
                                      <a:pt x="277" y="224"/>
                                      <a:pt x="277" y="223"/>
                                      <a:pt x="277" y="222"/>
                                    </a:cubicBezTo>
                                    <a:cubicBezTo>
                                      <a:pt x="277" y="222"/>
                                      <a:pt x="277" y="222"/>
                                      <a:pt x="277" y="222"/>
                                    </a:cubicBezTo>
                                    <a:cubicBezTo>
                                      <a:pt x="277" y="221"/>
                                      <a:pt x="276" y="221"/>
                                      <a:pt x="276" y="221"/>
                                    </a:cubicBezTo>
                                    <a:cubicBezTo>
                                      <a:pt x="250" y="189"/>
                                      <a:pt x="250" y="189"/>
                                      <a:pt x="250" y="189"/>
                                    </a:cubicBezTo>
                                    <a:cubicBezTo>
                                      <a:pt x="249" y="187"/>
                                      <a:pt x="247" y="186"/>
                                      <a:pt x="245" y="186"/>
                                    </a:cubicBezTo>
                                    <a:cubicBezTo>
                                      <a:pt x="78" y="186"/>
                                      <a:pt x="78" y="186"/>
                                      <a:pt x="78" y="186"/>
                                    </a:cubicBezTo>
                                    <a:cubicBezTo>
                                      <a:pt x="77" y="186"/>
                                      <a:pt x="75" y="187"/>
                                      <a:pt x="73" y="189"/>
                                    </a:cubicBezTo>
                                    <a:cubicBezTo>
                                      <a:pt x="48" y="221"/>
                                      <a:pt x="48" y="221"/>
                                      <a:pt x="48" y="221"/>
                                    </a:cubicBezTo>
                                    <a:cubicBezTo>
                                      <a:pt x="48" y="221"/>
                                      <a:pt x="47" y="221"/>
                                      <a:pt x="47" y="222"/>
                                    </a:cubicBezTo>
                                    <a:cubicBezTo>
                                      <a:pt x="47" y="222"/>
                                      <a:pt x="47" y="222"/>
                                      <a:pt x="47" y="222"/>
                                    </a:cubicBezTo>
                                    <a:cubicBezTo>
                                      <a:pt x="47" y="223"/>
                                      <a:pt x="47" y="224"/>
                                      <a:pt x="47" y="224"/>
                                    </a:cubicBezTo>
                                    <a:cubicBezTo>
                                      <a:pt x="46" y="224"/>
                                      <a:pt x="46" y="224"/>
                                      <a:pt x="46" y="224"/>
                                    </a:cubicBezTo>
                                    <a:cubicBezTo>
                                      <a:pt x="46" y="233"/>
                                      <a:pt x="46" y="233"/>
                                      <a:pt x="46" y="233"/>
                                    </a:cubicBezTo>
                                    <a:cubicBezTo>
                                      <a:pt x="46" y="236"/>
                                      <a:pt x="49" y="239"/>
                                      <a:pt x="53" y="239"/>
                                    </a:cubicBezTo>
                                    <a:cubicBezTo>
                                      <a:pt x="271" y="239"/>
                                      <a:pt x="271" y="239"/>
                                      <a:pt x="271" y="239"/>
                                    </a:cubicBezTo>
                                    <a:cubicBezTo>
                                      <a:pt x="274" y="239"/>
                                      <a:pt x="277" y="236"/>
                                      <a:pt x="277" y="233"/>
                                    </a:cubicBezTo>
                                    <a:cubicBezTo>
                                      <a:pt x="277" y="224"/>
                                      <a:pt x="277" y="224"/>
                                      <a:pt x="277" y="224"/>
                                    </a:cubicBezTo>
                                    <a:cubicBezTo>
                                      <a:pt x="277" y="224"/>
                                      <a:pt x="277" y="224"/>
                                      <a:pt x="277" y="224"/>
                                    </a:cubicBezTo>
                                    <a:close/>
                                    <a:moveTo>
                                      <a:pt x="88" y="75"/>
                                    </a:moveTo>
                                    <a:cubicBezTo>
                                      <a:pt x="235" y="75"/>
                                      <a:pt x="235" y="75"/>
                                      <a:pt x="235" y="75"/>
                                    </a:cubicBezTo>
                                    <a:cubicBezTo>
                                      <a:pt x="235" y="163"/>
                                      <a:pt x="235" y="163"/>
                                      <a:pt x="235" y="163"/>
                                    </a:cubicBezTo>
                                    <a:cubicBezTo>
                                      <a:pt x="88" y="163"/>
                                      <a:pt x="88" y="163"/>
                                      <a:pt x="88" y="163"/>
                                    </a:cubicBezTo>
                                    <a:lnTo>
                                      <a:pt x="88" y="75"/>
                                    </a:lnTo>
                                    <a:close/>
                                    <a:moveTo>
                                      <a:pt x="81" y="179"/>
                                    </a:moveTo>
                                    <a:cubicBezTo>
                                      <a:pt x="243" y="179"/>
                                      <a:pt x="243" y="179"/>
                                      <a:pt x="243" y="179"/>
                                    </a:cubicBezTo>
                                    <a:cubicBezTo>
                                      <a:pt x="247" y="179"/>
                                      <a:pt x="251" y="175"/>
                                      <a:pt x="251" y="171"/>
                                    </a:cubicBezTo>
                                    <a:cubicBezTo>
                                      <a:pt x="251" y="67"/>
                                      <a:pt x="251" y="67"/>
                                      <a:pt x="251" y="67"/>
                                    </a:cubicBezTo>
                                    <a:cubicBezTo>
                                      <a:pt x="251" y="63"/>
                                      <a:pt x="247" y="59"/>
                                      <a:pt x="243" y="59"/>
                                    </a:cubicBezTo>
                                    <a:cubicBezTo>
                                      <a:pt x="81" y="59"/>
                                      <a:pt x="81" y="59"/>
                                      <a:pt x="81" y="59"/>
                                    </a:cubicBezTo>
                                    <a:cubicBezTo>
                                      <a:pt x="77" y="59"/>
                                      <a:pt x="73" y="63"/>
                                      <a:pt x="73" y="67"/>
                                    </a:cubicBezTo>
                                    <a:cubicBezTo>
                                      <a:pt x="73" y="171"/>
                                      <a:pt x="73" y="171"/>
                                      <a:pt x="73" y="171"/>
                                    </a:cubicBezTo>
                                    <a:cubicBezTo>
                                      <a:pt x="73" y="175"/>
                                      <a:pt x="77" y="179"/>
                                      <a:pt x="81" y="179"/>
                                    </a:cubicBezTo>
                                    <a:close/>
                                    <a:moveTo>
                                      <a:pt x="162" y="310"/>
                                    </a:moveTo>
                                    <a:cubicBezTo>
                                      <a:pt x="80" y="310"/>
                                      <a:pt x="13" y="244"/>
                                      <a:pt x="13" y="162"/>
                                    </a:cubicBezTo>
                                    <a:cubicBezTo>
                                      <a:pt x="13" y="80"/>
                                      <a:pt x="80" y="13"/>
                                      <a:pt x="162" y="13"/>
                                    </a:cubicBezTo>
                                    <a:cubicBezTo>
                                      <a:pt x="244" y="13"/>
                                      <a:pt x="311" y="80"/>
                                      <a:pt x="311" y="162"/>
                                    </a:cubicBezTo>
                                    <a:cubicBezTo>
                                      <a:pt x="311" y="244"/>
                                      <a:pt x="244" y="310"/>
                                      <a:pt x="162" y="310"/>
                                    </a:cubicBezTo>
                                    <a:close/>
                                    <a:moveTo>
                                      <a:pt x="162" y="0"/>
                                    </a:moveTo>
                                    <a:cubicBezTo>
                                      <a:pt x="72" y="0"/>
                                      <a:pt x="0" y="72"/>
                                      <a:pt x="0" y="162"/>
                                    </a:cubicBezTo>
                                    <a:cubicBezTo>
                                      <a:pt x="0" y="251"/>
                                      <a:pt x="72" y="323"/>
                                      <a:pt x="162" y="323"/>
                                    </a:cubicBezTo>
                                    <a:cubicBezTo>
                                      <a:pt x="251" y="323"/>
                                      <a:pt x="324" y="251"/>
                                      <a:pt x="324" y="162"/>
                                    </a:cubicBezTo>
                                    <a:cubicBezTo>
                                      <a:pt x="324" y="72"/>
                                      <a:pt x="251" y="0"/>
                                      <a:pt x="162" y="0"/>
                                    </a:cubicBezTo>
                                    <a:close/>
                                  </a:path>
                                </a:pathLst>
                              </a:custGeom>
                              <a:solidFill>
                                <a:schemeClr val="tx2"/>
                              </a:solidFill>
                              <a:ln w="9525">
                                <a:noFill/>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321A4243" id="Freeform 19" o:spid="_x0000_s1026" alt="Title: Internet services icon - Description: Internet services icon" style="width:14.15pt;height:14.15pt;visibility:visible;mso-wrap-style:square;mso-left-percent:-10001;mso-top-percent:-10001;mso-position-horizontal:absolute;mso-position-horizontal-relative:char;mso-position-vertical:absolute;mso-position-vertical-relative:line;mso-left-percent:-10001;mso-top-percent:-10001;v-text-anchor:top" coordsize="324,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" path="m263,232v-1,1,-2,2,-4,2c258,234,257,233,255,232v,-1,-1,-2,-1,-3c254,227,255,226,255,225v3,-2,6,-2,8,c264,226,264,227,264,229v,1,,2,-1,3xm133,223v8,-12,8,-12,8,-12c183,211,183,211,183,211v8,12,8,12,8,12l133,223xm277,224v,,,-1,,-2c277,222,277,222,277,222v,-1,-1,-1,-1,-1c250,189,250,189,250,189v-1,-2,-3,-3,-5,-3c78,186,78,186,78,186v-1,,-3,1,-5,3c48,221,48,221,48,221v,,-1,,-1,1c47,222,47,222,47,222v,1,,2,,2c46,224,46,224,46,224v,9,,9,,9c46,236,49,239,53,239v218,,218,,218,c274,239,277,236,277,233v,-9,,-9,,-9c277,224,277,224,277,224xm88,75v147,,147,,147,c235,163,235,163,235,163v-147,,-147,,-147,l88,75xm81,179v162,,162,,162,c247,179,251,175,251,171v,-104,,-104,,-104c251,63,247,59,243,59,81,59,81,59,81,59v-4,,-8,4,-8,8c73,171,73,171,73,171v,4,4,8,8,8xm162,310c80,310,13,244,13,162,13,80,80,13,162,13v82,,149,67,149,149c311,244,244,310,162,310xm162,c72,,,72,,162v,89,72,161,162,161c251,323,324,251,324,162,324,72,251,,162,xe" fillcolor="#a32020 [3215]" stroked="f">
                      <v:path arrowok="t" o:connecttype="custom" o:connectlocs="263,232;259,234;255,232;254,229;255,225;263,225;264,229;263,232;133,223;141,211;183,211;191,223;133,223;277,224;277,222;277,222;276,221;250,189;245,186;78,186;73,189;48,221;47,222;47,222;47,224;46,224;46,233;53,239;271,239;277,233;277,224;277,224;88,75;235,75;235,163;88,163;88,75;81,179;243,179;251,171;251,67;243,59;81,59;73,67;73,171;81,179;162,310;13,162;162,13;311,162;162,310;162,0;0,162;162,323;324,162;162,0" o:connectangles="0,0,0,0,0,0,0,0,0,0,0,0,0,0,0,0,0,0,0,0,0,0,0,0,0,0,0,0,0,0,0,0,0,0,0,0,0,0,0,0,0,0,0,0,0,0,0,0,0,0,0,0,0,0,0,0"/>
                      <o:lock v:ext="edit" verticies="t"/>
                      <w10:anchorlock/>
                    </v:shape>
                  </w:pict>
                </mc:Fallback>
              </mc:AlternateContent>
            </w:r>
          </w:p>
        </w:tc>
        <w:tc>
          <w:tcPr>
            <w:tcW w:w="680" w:type="dxa"/>
            <w:hideMark/>
          </w:tcPr>
          <w:p w14:paraId="2BB45869" w14:textId="77777777" w:rsidR="00582FBF" w:rsidRPr="006D08BB" w:rsidRDefault="00582FBF" w:rsidP="00F61130">
            <w:pPr>
              <w:pStyle w:val="TableTextNormal"/>
              <w:keepNext/>
              <w:keepLines/>
              <w:jc w:val="center"/>
            </w:pPr>
          </w:p>
        </w:tc>
      </w:tr>
      <w:tr w:rsidR="00582FBF" w:rsidRPr="00582FBF" w14:paraId="7547F6A5" w14:textId="77777777" w:rsidTr="00582FBF">
        <w:trPr>
          <w:trHeight w:val="564"/>
        </w:trPr>
        <w:tc>
          <w:tcPr>
            <w:tcW w:w="3654" w:type="dxa"/>
            <w:hideMark/>
          </w:tcPr>
          <w:p w14:paraId="4ECB3F29" w14:textId="01FBACF5" w:rsidR="00582FBF" w:rsidRPr="006D08BB" w:rsidRDefault="00582FBF" w:rsidP="00F61130">
            <w:pPr>
              <w:pStyle w:val="TableTextNormal"/>
              <w:keepNext/>
              <w:keepLines/>
            </w:pPr>
            <w:r w:rsidRPr="006D08BB">
              <w:t>Data/Packet loss</w:t>
            </w:r>
          </w:p>
        </w:tc>
        <w:tc>
          <w:tcPr>
            <w:tcW w:w="680" w:type="dxa"/>
            <w:hideMark/>
          </w:tcPr>
          <w:p w14:paraId="6642E40E" w14:textId="77777777" w:rsidR="00582FBF" w:rsidRPr="006D08BB" w:rsidRDefault="00582FBF" w:rsidP="00F61130">
            <w:pPr>
              <w:pStyle w:val="TableTextNormal"/>
              <w:keepNext/>
              <w:keepLines/>
              <w:jc w:val="center"/>
            </w:pPr>
          </w:p>
        </w:tc>
        <w:tc>
          <w:tcPr>
            <w:tcW w:w="680" w:type="dxa"/>
            <w:hideMark/>
          </w:tcPr>
          <w:p w14:paraId="2F33D6F6" w14:textId="77777777" w:rsidR="00582FBF" w:rsidRPr="006D08BB" w:rsidRDefault="00582FBF" w:rsidP="00F61130">
            <w:pPr>
              <w:pStyle w:val="TableTextNormal"/>
              <w:keepNext/>
              <w:keepLines/>
              <w:jc w:val="center"/>
            </w:pPr>
          </w:p>
        </w:tc>
        <w:tc>
          <w:tcPr>
            <w:tcW w:w="680" w:type="dxa"/>
            <w:hideMark/>
          </w:tcPr>
          <w:p w14:paraId="72CA6817" w14:textId="7D687D27" w:rsidR="00582FBF" w:rsidRPr="006D08BB" w:rsidRDefault="00350527" w:rsidP="00F61130">
            <w:pPr>
              <w:pStyle w:val="TableTextNormal"/>
              <w:keepNext/>
              <w:keepLines/>
              <w:jc w:val="center"/>
            </w:pPr>
            <w:r w:rsidRPr="008F3B97">
              <w:rPr>
                <w:noProof/>
                <w:color w:val="DB536A" w:themeColor="accent4"/>
                <w:lang w:eastAsia="en-AU"/>
              </w:rPr>
              <mc:AlternateContent>
                <mc:Choice Requires="wps">
                  <w:drawing>
                    <wp:inline distT="0" distB="0" distL="0" distR="0" wp14:anchorId="039040F7" wp14:editId="5018E4A0">
                      <wp:extent cx="180000" cy="180000"/>
                      <wp:effectExtent l="0" t="0" r="0" b="0"/>
                      <wp:docPr id="45" name="Freeform 19" descr="Internet services icon" title="Internet services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80000" cy="180000"/>
                              </a:xfrm>
                              <a:custGeom>
                                <a:avLst/>
                                <a:gdLst/>
                                <a:ahLst/>
                                <a:cxnLst>
                                  <a:cxn ang="0">
                                    <a:pos x="263" y="232"/>
                                  </a:cxn>
                                  <a:cxn ang="0">
                                    <a:pos x="259" y="234"/>
                                  </a:cxn>
                                  <a:cxn ang="0">
                                    <a:pos x="255" y="232"/>
                                  </a:cxn>
                                  <a:cxn ang="0">
                                    <a:pos x="254" y="229"/>
                                  </a:cxn>
                                  <a:cxn ang="0">
                                    <a:pos x="255" y="225"/>
                                  </a:cxn>
                                  <a:cxn ang="0">
                                    <a:pos x="263" y="225"/>
                                  </a:cxn>
                                  <a:cxn ang="0">
                                    <a:pos x="264" y="229"/>
                                  </a:cxn>
                                  <a:cxn ang="0">
                                    <a:pos x="263" y="232"/>
                                  </a:cxn>
                                  <a:cxn ang="0">
                                    <a:pos x="133" y="223"/>
                                  </a:cxn>
                                  <a:cxn ang="0">
                                    <a:pos x="141" y="211"/>
                                  </a:cxn>
                                  <a:cxn ang="0">
                                    <a:pos x="183" y="211"/>
                                  </a:cxn>
                                  <a:cxn ang="0">
                                    <a:pos x="191" y="223"/>
                                  </a:cxn>
                                  <a:cxn ang="0">
                                    <a:pos x="133" y="223"/>
                                  </a:cxn>
                                  <a:cxn ang="0">
                                    <a:pos x="277" y="224"/>
                                  </a:cxn>
                                  <a:cxn ang="0">
                                    <a:pos x="277" y="222"/>
                                  </a:cxn>
                                  <a:cxn ang="0">
                                    <a:pos x="277" y="222"/>
                                  </a:cxn>
                                  <a:cxn ang="0">
                                    <a:pos x="276" y="221"/>
                                  </a:cxn>
                                  <a:cxn ang="0">
                                    <a:pos x="250" y="189"/>
                                  </a:cxn>
                                  <a:cxn ang="0">
                                    <a:pos x="245" y="186"/>
                                  </a:cxn>
                                  <a:cxn ang="0">
                                    <a:pos x="78" y="186"/>
                                  </a:cxn>
                                  <a:cxn ang="0">
                                    <a:pos x="73" y="189"/>
                                  </a:cxn>
                                  <a:cxn ang="0">
                                    <a:pos x="48" y="221"/>
                                  </a:cxn>
                                  <a:cxn ang="0">
                                    <a:pos x="47" y="222"/>
                                  </a:cxn>
                                  <a:cxn ang="0">
                                    <a:pos x="47" y="222"/>
                                  </a:cxn>
                                  <a:cxn ang="0">
                                    <a:pos x="47" y="224"/>
                                  </a:cxn>
                                  <a:cxn ang="0">
                                    <a:pos x="46" y="224"/>
                                  </a:cxn>
                                  <a:cxn ang="0">
                                    <a:pos x="46" y="233"/>
                                  </a:cxn>
                                  <a:cxn ang="0">
                                    <a:pos x="53" y="239"/>
                                  </a:cxn>
                                  <a:cxn ang="0">
                                    <a:pos x="271" y="239"/>
                                  </a:cxn>
                                  <a:cxn ang="0">
                                    <a:pos x="277" y="233"/>
                                  </a:cxn>
                                  <a:cxn ang="0">
                                    <a:pos x="277" y="224"/>
                                  </a:cxn>
                                  <a:cxn ang="0">
                                    <a:pos x="277" y="224"/>
                                  </a:cxn>
                                  <a:cxn ang="0">
                                    <a:pos x="88" y="75"/>
                                  </a:cxn>
                                  <a:cxn ang="0">
                                    <a:pos x="235" y="75"/>
                                  </a:cxn>
                                  <a:cxn ang="0">
                                    <a:pos x="235" y="163"/>
                                  </a:cxn>
                                  <a:cxn ang="0">
                                    <a:pos x="88" y="163"/>
                                  </a:cxn>
                                  <a:cxn ang="0">
                                    <a:pos x="88" y="75"/>
                                  </a:cxn>
                                  <a:cxn ang="0">
                                    <a:pos x="81" y="179"/>
                                  </a:cxn>
                                  <a:cxn ang="0">
                                    <a:pos x="243" y="179"/>
                                  </a:cxn>
                                  <a:cxn ang="0">
                                    <a:pos x="251" y="171"/>
                                  </a:cxn>
                                  <a:cxn ang="0">
                                    <a:pos x="251" y="67"/>
                                  </a:cxn>
                                  <a:cxn ang="0">
                                    <a:pos x="243" y="59"/>
                                  </a:cxn>
                                  <a:cxn ang="0">
                                    <a:pos x="81" y="59"/>
                                  </a:cxn>
                                  <a:cxn ang="0">
                                    <a:pos x="73" y="67"/>
                                  </a:cxn>
                                  <a:cxn ang="0">
                                    <a:pos x="73" y="171"/>
                                  </a:cxn>
                                  <a:cxn ang="0">
                                    <a:pos x="81" y="179"/>
                                  </a:cxn>
                                  <a:cxn ang="0">
                                    <a:pos x="162" y="310"/>
                                  </a:cxn>
                                  <a:cxn ang="0">
                                    <a:pos x="13" y="162"/>
                                  </a:cxn>
                                  <a:cxn ang="0">
                                    <a:pos x="162" y="13"/>
                                  </a:cxn>
                                  <a:cxn ang="0">
                                    <a:pos x="311" y="162"/>
                                  </a:cxn>
                                  <a:cxn ang="0">
                                    <a:pos x="162" y="310"/>
                                  </a:cxn>
                                  <a:cxn ang="0">
                                    <a:pos x="162" y="0"/>
                                  </a:cxn>
                                  <a:cxn ang="0">
                                    <a:pos x="0" y="162"/>
                                  </a:cxn>
                                  <a:cxn ang="0">
                                    <a:pos x="162" y="323"/>
                                  </a:cxn>
                                  <a:cxn ang="0">
                                    <a:pos x="324" y="162"/>
                                  </a:cxn>
                                  <a:cxn ang="0">
                                    <a:pos x="162" y="0"/>
                                  </a:cxn>
                                </a:cxnLst>
                                <a:rect l="0" t="0" r="r" b="b"/>
                                <a:pathLst>
                                  <a:path w="324" h="323">
                                    <a:moveTo>
                                      <a:pt x="263" y="232"/>
                                    </a:moveTo>
                                    <a:cubicBezTo>
                                      <a:pt x="262" y="233"/>
                                      <a:pt x="261" y="234"/>
                                      <a:pt x="259" y="234"/>
                                    </a:cubicBezTo>
                                    <a:cubicBezTo>
                                      <a:pt x="258" y="234"/>
                                      <a:pt x="257" y="233"/>
                                      <a:pt x="255" y="232"/>
                                    </a:cubicBezTo>
                                    <a:cubicBezTo>
                                      <a:pt x="255" y="231"/>
                                      <a:pt x="254" y="230"/>
                                      <a:pt x="254" y="229"/>
                                    </a:cubicBezTo>
                                    <a:cubicBezTo>
                                      <a:pt x="254" y="227"/>
                                      <a:pt x="255" y="226"/>
                                      <a:pt x="255" y="225"/>
                                    </a:cubicBezTo>
                                    <a:cubicBezTo>
                                      <a:pt x="258" y="223"/>
                                      <a:pt x="261" y="223"/>
                                      <a:pt x="263" y="225"/>
                                    </a:cubicBezTo>
                                    <a:cubicBezTo>
                                      <a:pt x="264" y="226"/>
                                      <a:pt x="264" y="227"/>
                                      <a:pt x="264" y="229"/>
                                    </a:cubicBezTo>
                                    <a:cubicBezTo>
                                      <a:pt x="264" y="230"/>
                                      <a:pt x="264" y="231"/>
                                      <a:pt x="263" y="232"/>
                                    </a:cubicBezTo>
                                    <a:close/>
                                    <a:moveTo>
                                      <a:pt x="133" y="223"/>
                                    </a:moveTo>
                                    <a:cubicBezTo>
                                      <a:pt x="141" y="211"/>
                                      <a:pt x="141" y="211"/>
                                      <a:pt x="141" y="211"/>
                                    </a:cubicBezTo>
                                    <a:cubicBezTo>
                                      <a:pt x="183" y="211"/>
                                      <a:pt x="183" y="211"/>
                                      <a:pt x="183" y="211"/>
                                    </a:cubicBezTo>
                                    <a:cubicBezTo>
                                      <a:pt x="191" y="223"/>
                                      <a:pt x="191" y="223"/>
                                      <a:pt x="191" y="223"/>
                                    </a:cubicBezTo>
                                    <a:lnTo>
                                      <a:pt x="133" y="223"/>
                                    </a:lnTo>
                                    <a:close/>
                                    <a:moveTo>
                                      <a:pt x="277" y="224"/>
                                    </a:moveTo>
                                    <a:cubicBezTo>
                                      <a:pt x="277" y="224"/>
                                      <a:pt x="277" y="223"/>
                                      <a:pt x="277" y="222"/>
                                    </a:cubicBezTo>
                                    <a:cubicBezTo>
                                      <a:pt x="277" y="222"/>
                                      <a:pt x="277" y="222"/>
                                      <a:pt x="277" y="222"/>
                                    </a:cubicBezTo>
                                    <a:cubicBezTo>
                                      <a:pt x="277" y="221"/>
                                      <a:pt x="276" y="221"/>
                                      <a:pt x="276" y="221"/>
                                    </a:cubicBezTo>
                                    <a:cubicBezTo>
                                      <a:pt x="250" y="189"/>
                                      <a:pt x="250" y="189"/>
                                      <a:pt x="250" y="189"/>
                                    </a:cubicBezTo>
                                    <a:cubicBezTo>
                                      <a:pt x="249" y="187"/>
                                      <a:pt x="247" y="186"/>
                                      <a:pt x="245" y="186"/>
                                    </a:cubicBezTo>
                                    <a:cubicBezTo>
                                      <a:pt x="78" y="186"/>
                                      <a:pt x="78" y="186"/>
                                      <a:pt x="78" y="186"/>
                                    </a:cubicBezTo>
                                    <a:cubicBezTo>
                                      <a:pt x="77" y="186"/>
                                      <a:pt x="75" y="187"/>
                                      <a:pt x="73" y="189"/>
                                    </a:cubicBezTo>
                                    <a:cubicBezTo>
                                      <a:pt x="48" y="221"/>
                                      <a:pt x="48" y="221"/>
                                      <a:pt x="48" y="221"/>
                                    </a:cubicBezTo>
                                    <a:cubicBezTo>
                                      <a:pt x="48" y="221"/>
                                      <a:pt x="47" y="221"/>
                                      <a:pt x="47" y="222"/>
                                    </a:cubicBezTo>
                                    <a:cubicBezTo>
                                      <a:pt x="47" y="222"/>
                                      <a:pt x="47" y="222"/>
                                      <a:pt x="47" y="222"/>
                                    </a:cubicBezTo>
                                    <a:cubicBezTo>
                                      <a:pt x="47" y="223"/>
                                      <a:pt x="47" y="224"/>
                                      <a:pt x="47" y="224"/>
                                    </a:cubicBezTo>
                                    <a:cubicBezTo>
                                      <a:pt x="46" y="224"/>
                                      <a:pt x="46" y="224"/>
                                      <a:pt x="46" y="224"/>
                                    </a:cubicBezTo>
                                    <a:cubicBezTo>
                                      <a:pt x="46" y="233"/>
                                      <a:pt x="46" y="233"/>
                                      <a:pt x="46" y="233"/>
                                    </a:cubicBezTo>
                                    <a:cubicBezTo>
                                      <a:pt x="46" y="236"/>
                                      <a:pt x="49" y="239"/>
                                      <a:pt x="53" y="239"/>
                                    </a:cubicBezTo>
                                    <a:cubicBezTo>
                                      <a:pt x="271" y="239"/>
                                      <a:pt x="271" y="239"/>
                                      <a:pt x="271" y="239"/>
                                    </a:cubicBezTo>
                                    <a:cubicBezTo>
                                      <a:pt x="274" y="239"/>
                                      <a:pt x="277" y="236"/>
                                      <a:pt x="277" y="233"/>
                                    </a:cubicBezTo>
                                    <a:cubicBezTo>
                                      <a:pt x="277" y="224"/>
                                      <a:pt x="277" y="224"/>
                                      <a:pt x="277" y="224"/>
                                    </a:cubicBezTo>
                                    <a:cubicBezTo>
                                      <a:pt x="277" y="224"/>
                                      <a:pt x="277" y="224"/>
                                      <a:pt x="277" y="224"/>
                                    </a:cubicBezTo>
                                    <a:close/>
                                    <a:moveTo>
                                      <a:pt x="88" y="75"/>
                                    </a:moveTo>
                                    <a:cubicBezTo>
                                      <a:pt x="235" y="75"/>
                                      <a:pt x="235" y="75"/>
                                      <a:pt x="235" y="75"/>
                                    </a:cubicBezTo>
                                    <a:cubicBezTo>
                                      <a:pt x="235" y="163"/>
                                      <a:pt x="235" y="163"/>
                                      <a:pt x="235" y="163"/>
                                    </a:cubicBezTo>
                                    <a:cubicBezTo>
                                      <a:pt x="88" y="163"/>
                                      <a:pt x="88" y="163"/>
                                      <a:pt x="88" y="163"/>
                                    </a:cubicBezTo>
                                    <a:lnTo>
                                      <a:pt x="88" y="75"/>
                                    </a:lnTo>
                                    <a:close/>
                                    <a:moveTo>
                                      <a:pt x="81" y="179"/>
                                    </a:moveTo>
                                    <a:cubicBezTo>
                                      <a:pt x="243" y="179"/>
                                      <a:pt x="243" y="179"/>
                                      <a:pt x="243" y="179"/>
                                    </a:cubicBezTo>
                                    <a:cubicBezTo>
                                      <a:pt x="247" y="179"/>
                                      <a:pt x="251" y="175"/>
                                      <a:pt x="251" y="171"/>
                                    </a:cubicBezTo>
                                    <a:cubicBezTo>
                                      <a:pt x="251" y="67"/>
                                      <a:pt x="251" y="67"/>
                                      <a:pt x="251" y="67"/>
                                    </a:cubicBezTo>
                                    <a:cubicBezTo>
                                      <a:pt x="251" y="63"/>
                                      <a:pt x="247" y="59"/>
                                      <a:pt x="243" y="59"/>
                                    </a:cubicBezTo>
                                    <a:cubicBezTo>
                                      <a:pt x="81" y="59"/>
                                      <a:pt x="81" y="59"/>
                                      <a:pt x="81" y="59"/>
                                    </a:cubicBezTo>
                                    <a:cubicBezTo>
                                      <a:pt x="77" y="59"/>
                                      <a:pt x="73" y="63"/>
                                      <a:pt x="73" y="67"/>
                                    </a:cubicBezTo>
                                    <a:cubicBezTo>
                                      <a:pt x="73" y="171"/>
                                      <a:pt x="73" y="171"/>
                                      <a:pt x="73" y="171"/>
                                    </a:cubicBezTo>
                                    <a:cubicBezTo>
                                      <a:pt x="73" y="175"/>
                                      <a:pt x="77" y="179"/>
                                      <a:pt x="81" y="179"/>
                                    </a:cubicBezTo>
                                    <a:close/>
                                    <a:moveTo>
                                      <a:pt x="162" y="310"/>
                                    </a:moveTo>
                                    <a:cubicBezTo>
                                      <a:pt x="80" y="310"/>
                                      <a:pt x="13" y="244"/>
                                      <a:pt x="13" y="162"/>
                                    </a:cubicBezTo>
                                    <a:cubicBezTo>
                                      <a:pt x="13" y="80"/>
                                      <a:pt x="80" y="13"/>
                                      <a:pt x="162" y="13"/>
                                    </a:cubicBezTo>
                                    <a:cubicBezTo>
                                      <a:pt x="244" y="13"/>
                                      <a:pt x="311" y="80"/>
                                      <a:pt x="311" y="162"/>
                                    </a:cubicBezTo>
                                    <a:cubicBezTo>
                                      <a:pt x="311" y="244"/>
                                      <a:pt x="244" y="310"/>
                                      <a:pt x="162" y="310"/>
                                    </a:cubicBezTo>
                                    <a:close/>
                                    <a:moveTo>
                                      <a:pt x="162" y="0"/>
                                    </a:moveTo>
                                    <a:cubicBezTo>
                                      <a:pt x="72" y="0"/>
                                      <a:pt x="0" y="72"/>
                                      <a:pt x="0" y="162"/>
                                    </a:cubicBezTo>
                                    <a:cubicBezTo>
                                      <a:pt x="0" y="251"/>
                                      <a:pt x="72" y="323"/>
                                      <a:pt x="162" y="323"/>
                                    </a:cubicBezTo>
                                    <a:cubicBezTo>
                                      <a:pt x="251" y="323"/>
                                      <a:pt x="324" y="251"/>
                                      <a:pt x="324" y="162"/>
                                    </a:cubicBezTo>
                                    <a:cubicBezTo>
                                      <a:pt x="324" y="72"/>
                                      <a:pt x="251" y="0"/>
                                      <a:pt x="162" y="0"/>
                                    </a:cubicBezTo>
                                    <a:close/>
                                  </a:path>
                                </a:pathLst>
                              </a:custGeom>
                              <a:solidFill>
                                <a:schemeClr val="tx2"/>
                              </a:solidFill>
                              <a:ln w="9525">
                                <a:noFill/>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275DC982" id="Freeform 19" o:spid="_x0000_s1026" alt="Title: Internet services icon - Description: Internet services icon" style="width:14.15pt;height:14.15pt;visibility:visible;mso-wrap-style:square;mso-left-percent:-10001;mso-top-percent:-10001;mso-position-horizontal:absolute;mso-position-horizontal-relative:char;mso-position-vertical:absolute;mso-position-vertical-relative:line;mso-left-percent:-10001;mso-top-percent:-10001;v-text-anchor:top" coordsize="324,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" path="m263,232v-1,1,-2,2,-4,2c258,234,257,233,255,232v,-1,-1,-2,-1,-3c254,227,255,226,255,225v3,-2,6,-2,8,c264,226,264,227,264,229v,1,,2,-1,3xm133,223v8,-12,8,-12,8,-12c183,211,183,211,183,211v8,12,8,12,8,12l133,223xm277,224v,,,-1,,-2c277,222,277,222,277,222v,-1,-1,-1,-1,-1c250,189,250,189,250,189v-1,-2,-3,-3,-5,-3c78,186,78,186,78,186v-1,,-3,1,-5,3c48,221,48,221,48,221v,,-1,,-1,1c47,222,47,222,47,222v,1,,2,,2c46,224,46,224,46,224v,9,,9,,9c46,236,49,239,53,239v218,,218,,218,c274,239,277,236,277,233v,-9,,-9,,-9c277,224,277,224,277,224xm88,75v147,,147,,147,c235,163,235,163,235,163v-147,,-147,,-147,l88,75xm81,179v162,,162,,162,c247,179,251,175,251,171v,-104,,-104,,-104c251,63,247,59,243,59,81,59,81,59,81,59v-4,,-8,4,-8,8c73,171,73,171,73,171v,4,4,8,8,8xm162,310c80,310,13,244,13,162,13,80,80,13,162,13v82,,149,67,149,149c311,244,244,310,162,310xm162,c72,,,72,,162v,89,72,161,162,161c251,323,324,251,324,162,324,72,251,,162,xe" fillcolor="#a32020 [3215]" stroked="f">
                      <v:path arrowok="t" o:connecttype="custom" o:connectlocs="263,232;259,234;255,232;254,229;255,225;263,225;264,229;263,232;133,223;141,211;183,211;191,223;133,223;277,224;277,222;277,222;276,221;250,189;245,186;78,186;73,189;48,221;47,222;47,222;47,224;46,224;46,233;53,239;271,239;277,233;277,224;277,224;88,75;235,75;235,163;88,163;88,75;81,179;243,179;251,171;251,67;243,59;81,59;73,67;73,171;81,179;162,310;13,162;162,13;311,162;162,310;162,0;0,162;162,323;324,162;162,0" o:connectangles="0,0,0,0,0,0,0,0,0,0,0,0,0,0,0,0,0,0,0,0,0,0,0,0,0,0,0,0,0,0,0,0,0,0,0,0,0,0,0,0,0,0,0,0,0,0,0,0,0,0,0,0,0,0,0,0"/>
                      <o:lock v:ext="edit" verticies="t"/>
                      <w10:anchorlock/>
                    </v:shape>
                  </w:pict>
                </mc:Fallback>
              </mc:AlternateContent>
            </w:r>
          </w:p>
        </w:tc>
        <w:tc>
          <w:tcPr>
            <w:tcW w:w="680" w:type="dxa"/>
            <w:hideMark/>
          </w:tcPr>
          <w:p w14:paraId="5A083A8E" w14:textId="77777777" w:rsidR="00582FBF" w:rsidRPr="006D08BB" w:rsidRDefault="00582FBF" w:rsidP="00F61130">
            <w:pPr>
              <w:pStyle w:val="TableTextNormal"/>
              <w:keepNext/>
              <w:keepLines/>
              <w:jc w:val="center"/>
            </w:pPr>
          </w:p>
        </w:tc>
        <w:tc>
          <w:tcPr>
            <w:tcW w:w="680" w:type="dxa"/>
            <w:hideMark/>
          </w:tcPr>
          <w:p w14:paraId="08BB51B3" w14:textId="0C573FBF" w:rsidR="00582FBF" w:rsidRPr="006D08BB" w:rsidRDefault="00350527" w:rsidP="00F61130">
            <w:pPr>
              <w:pStyle w:val="TableTextNormal"/>
              <w:keepNext/>
              <w:keepLines/>
              <w:jc w:val="center"/>
            </w:pPr>
            <w:r w:rsidRPr="008F3B97">
              <w:rPr>
                <w:noProof/>
                <w:color w:val="DB536A" w:themeColor="accent4"/>
                <w:lang w:eastAsia="en-AU"/>
              </w:rPr>
              <mc:AlternateContent>
                <mc:Choice Requires="wps">
                  <w:drawing>
                    <wp:inline distT="0" distB="0" distL="0" distR="0" wp14:anchorId="4BAABBB9" wp14:editId="6FF07B3A">
                      <wp:extent cx="180000" cy="180000"/>
                      <wp:effectExtent l="0" t="0" r="0" b="0"/>
                      <wp:docPr id="44" name="Freeform 19" descr="Internet services icon" title="Internet services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80000" cy="180000"/>
                              </a:xfrm>
                              <a:custGeom>
                                <a:avLst/>
                                <a:gdLst/>
                                <a:ahLst/>
                                <a:cxnLst>
                                  <a:cxn ang="0">
                                    <a:pos x="263" y="232"/>
                                  </a:cxn>
                                  <a:cxn ang="0">
                                    <a:pos x="259" y="234"/>
                                  </a:cxn>
                                  <a:cxn ang="0">
                                    <a:pos x="255" y="232"/>
                                  </a:cxn>
                                  <a:cxn ang="0">
                                    <a:pos x="254" y="229"/>
                                  </a:cxn>
                                  <a:cxn ang="0">
                                    <a:pos x="255" y="225"/>
                                  </a:cxn>
                                  <a:cxn ang="0">
                                    <a:pos x="263" y="225"/>
                                  </a:cxn>
                                  <a:cxn ang="0">
                                    <a:pos x="264" y="229"/>
                                  </a:cxn>
                                  <a:cxn ang="0">
                                    <a:pos x="263" y="232"/>
                                  </a:cxn>
                                  <a:cxn ang="0">
                                    <a:pos x="133" y="223"/>
                                  </a:cxn>
                                  <a:cxn ang="0">
                                    <a:pos x="141" y="211"/>
                                  </a:cxn>
                                  <a:cxn ang="0">
                                    <a:pos x="183" y="211"/>
                                  </a:cxn>
                                  <a:cxn ang="0">
                                    <a:pos x="191" y="223"/>
                                  </a:cxn>
                                  <a:cxn ang="0">
                                    <a:pos x="133" y="223"/>
                                  </a:cxn>
                                  <a:cxn ang="0">
                                    <a:pos x="277" y="224"/>
                                  </a:cxn>
                                  <a:cxn ang="0">
                                    <a:pos x="277" y="222"/>
                                  </a:cxn>
                                  <a:cxn ang="0">
                                    <a:pos x="277" y="222"/>
                                  </a:cxn>
                                  <a:cxn ang="0">
                                    <a:pos x="276" y="221"/>
                                  </a:cxn>
                                  <a:cxn ang="0">
                                    <a:pos x="250" y="189"/>
                                  </a:cxn>
                                  <a:cxn ang="0">
                                    <a:pos x="245" y="186"/>
                                  </a:cxn>
                                  <a:cxn ang="0">
                                    <a:pos x="78" y="186"/>
                                  </a:cxn>
                                  <a:cxn ang="0">
                                    <a:pos x="73" y="189"/>
                                  </a:cxn>
                                  <a:cxn ang="0">
                                    <a:pos x="48" y="221"/>
                                  </a:cxn>
                                  <a:cxn ang="0">
                                    <a:pos x="47" y="222"/>
                                  </a:cxn>
                                  <a:cxn ang="0">
                                    <a:pos x="47" y="222"/>
                                  </a:cxn>
                                  <a:cxn ang="0">
                                    <a:pos x="47" y="224"/>
                                  </a:cxn>
                                  <a:cxn ang="0">
                                    <a:pos x="46" y="224"/>
                                  </a:cxn>
                                  <a:cxn ang="0">
                                    <a:pos x="46" y="233"/>
                                  </a:cxn>
                                  <a:cxn ang="0">
                                    <a:pos x="53" y="239"/>
                                  </a:cxn>
                                  <a:cxn ang="0">
                                    <a:pos x="271" y="239"/>
                                  </a:cxn>
                                  <a:cxn ang="0">
                                    <a:pos x="277" y="233"/>
                                  </a:cxn>
                                  <a:cxn ang="0">
                                    <a:pos x="277" y="224"/>
                                  </a:cxn>
                                  <a:cxn ang="0">
                                    <a:pos x="277" y="224"/>
                                  </a:cxn>
                                  <a:cxn ang="0">
                                    <a:pos x="88" y="75"/>
                                  </a:cxn>
                                  <a:cxn ang="0">
                                    <a:pos x="235" y="75"/>
                                  </a:cxn>
                                  <a:cxn ang="0">
                                    <a:pos x="235" y="163"/>
                                  </a:cxn>
                                  <a:cxn ang="0">
                                    <a:pos x="88" y="163"/>
                                  </a:cxn>
                                  <a:cxn ang="0">
                                    <a:pos x="88" y="75"/>
                                  </a:cxn>
                                  <a:cxn ang="0">
                                    <a:pos x="81" y="179"/>
                                  </a:cxn>
                                  <a:cxn ang="0">
                                    <a:pos x="243" y="179"/>
                                  </a:cxn>
                                  <a:cxn ang="0">
                                    <a:pos x="251" y="171"/>
                                  </a:cxn>
                                  <a:cxn ang="0">
                                    <a:pos x="251" y="67"/>
                                  </a:cxn>
                                  <a:cxn ang="0">
                                    <a:pos x="243" y="59"/>
                                  </a:cxn>
                                  <a:cxn ang="0">
                                    <a:pos x="81" y="59"/>
                                  </a:cxn>
                                  <a:cxn ang="0">
                                    <a:pos x="73" y="67"/>
                                  </a:cxn>
                                  <a:cxn ang="0">
                                    <a:pos x="73" y="171"/>
                                  </a:cxn>
                                  <a:cxn ang="0">
                                    <a:pos x="81" y="179"/>
                                  </a:cxn>
                                  <a:cxn ang="0">
                                    <a:pos x="162" y="310"/>
                                  </a:cxn>
                                  <a:cxn ang="0">
                                    <a:pos x="13" y="162"/>
                                  </a:cxn>
                                  <a:cxn ang="0">
                                    <a:pos x="162" y="13"/>
                                  </a:cxn>
                                  <a:cxn ang="0">
                                    <a:pos x="311" y="162"/>
                                  </a:cxn>
                                  <a:cxn ang="0">
                                    <a:pos x="162" y="310"/>
                                  </a:cxn>
                                  <a:cxn ang="0">
                                    <a:pos x="162" y="0"/>
                                  </a:cxn>
                                  <a:cxn ang="0">
                                    <a:pos x="0" y="162"/>
                                  </a:cxn>
                                  <a:cxn ang="0">
                                    <a:pos x="162" y="323"/>
                                  </a:cxn>
                                  <a:cxn ang="0">
                                    <a:pos x="324" y="162"/>
                                  </a:cxn>
                                  <a:cxn ang="0">
                                    <a:pos x="162" y="0"/>
                                  </a:cxn>
                                </a:cxnLst>
                                <a:rect l="0" t="0" r="r" b="b"/>
                                <a:pathLst>
                                  <a:path w="324" h="323">
                                    <a:moveTo>
                                      <a:pt x="263" y="232"/>
                                    </a:moveTo>
                                    <a:cubicBezTo>
                                      <a:pt x="262" y="233"/>
                                      <a:pt x="261" y="234"/>
                                      <a:pt x="259" y="234"/>
                                    </a:cubicBezTo>
                                    <a:cubicBezTo>
                                      <a:pt x="258" y="234"/>
                                      <a:pt x="257" y="233"/>
                                      <a:pt x="255" y="232"/>
                                    </a:cubicBezTo>
                                    <a:cubicBezTo>
                                      <a:pt x="255" y="231"/>
                                      <a:pt x="254" y="230"/>
                                      <a:pt x="254" y="229"/>
                                    </a:cubicBezTo>
                                    <a:cubicBezTo>
                                      <a:pt x="254" y="227"/>
                                      <a:pt x="255" y="226"/>
                                      <a:pt x="255" y="225"/>
                                    </a:cubicBezTo>
                                    <a:cubicBezTo>
                                      <a:pt x="258" y="223"/>
                                      <a:pt x="261" y="223"/>
                                      <a:pt x="263" y="225"/>
                                    </a:cubicBezTo>
                                    <a:cubicBezTo>
                                      <a:pt x="264" y="226"/>
                                      <a:pt x="264" y="227"/>
                                      <a:pt x="264" y="229"/>
                                    </a:cubicBezTo>
                                    <a:cubicBezTo>
                                      <a:pt x="264" y="230"/>
                                      <a:pt x="264" y="231"/>
                                      <a:pt x="263" y="232"/>
                                    </a:cubicBezTo>
                                    <a:close/>
                                    <a:moveTo>
                                      <a:pt x="133" y="223"/>
                                    </a:moveTo>
                                    <a:cubicBezTo>
                                      <a:pt x="141" y="211"/>
                                      <a:pt x="141" y="211"/>
                                      <a:pt x="141" y="211"/>
                                    </a:cubicBezTo>
                                    <a:cubicBezTo>
                                      <a:pt x="183" y="211"/>
                                      <a:pt x="183" y="211"/>
                                      <a:pt x="183" y="211"/>
                                    </a:cubicBezTo>
                                    <a:cubicBezTo>
                                      <a:pt x="191" y="223"/>
                                      <a:pt x="191" y="223"/>
                                      <a:pt x="191" y="223"/>
                                    </a:cubicBezTo>
                                    <a:lnTo>
                                      <a:pt x="133" y="223"/>
                                    </a:lnTo>
                                    <a:close/>
                                    <a:moveTo>
                                      <a:pt x="277" y="224"/>
                                    </a:moveTo>
                                    <a:cubicBezTo>
                                      <a:pt x="277" y="224"/>
                                      <a:pt x="277" y="223"/>
                                      <a:pt x="277" y="222"/>
                                    </a:cubicBezTo>
                                    <a:cubicBezTo>
                                      <a:pt x="277" y="222"/>
                                      <a:pt x="277" y="222"/>
                                      <a:pt x="277" y="222"/>
                                    </a:cubicBezTo>
                                    <a:cubicBezTo>
                                      <a:pt x="277" y="221"/>
                                      <a:pt x="276" y="221"/>
                                      <a:pt x="276" y="221"/>
                                    </a:cubicBezTo>
                                    <a:cubicBezTo>
                                      <a:pt x="250" y="189"/>
                                      <a:pt x="250" y="189"/>
                                      <a:pt x="250" y="189"/>
                                    </a:cubicBezTo>
                                    <a:cubicBezTo>
                                      <a:pt x="249" y="187"/>
                                      <a:pt x="247" y="186"/>
                                      <a:pt x="245" y="186"/>
                                    </a:cubicBezTo>
                                    <a:cubicBezTo>
                                      <a:pt x="78" y="186"/>
                                      <a:pt x="78" y="186"/>
                                      <a:pt x="78" y="186"/>
                                    </a:cubicBezTo>
                                    <a:cubicBezTo>
                                      <a:pt x="77" y="186"/>
                                      <a:pt x="75" y="187"/>
                                      <a:pt x="73" y="189"/>
                                    </a:cubicBezTo>
                                    <a:cubicBezTo>
                                      <a:pt x="48" y="221"/>
                                      <a:pt x="48" y="221"/>
                                      <a:pt x="48" y="221"/>
                                    </a:cubicBezTo>
                                    <a:cubicBezTo>
                                      <a:pt x="48" y="221"/>
                                      <a:pt x="47" y="221"/>
                                      <a:pt x="47" y="222"/>
                                    </a:cubicBezTo>
                                    <a:cubicBezTo>
                                      <a:pt x="47" y="222"/>
                                      <a:pt x="47" y="222"/>
                                      <a:pt x="47" y="222"/>
                                    </a:cubicBezTo>
                                    <a:cubicBezTo>
                                      <a:pt x="47" y="223"/>
                                      <a:pt x="47" y="224"/>
                                      <a:pt x="47" y="224"/>
                                    </a:cubicBezTo>
                                    <a:cubicBezTo>
                                      <a:pt x="46" y="224"/>
                                      <a:pt x="46" y="224"/>
                                      <a:pt x="46" y="224"/>
                                    </a:cubicBezTo>
                                    <a:cubicBezTo>
                                      <a:pt x="46" y="233"/>
                                      <a:pt x="46" y="233"/>
                                      <a:pt x="46" y="233"/>
                                    </a:cubicBezTo>
                                    <a:cubicBezTo>
                                      <a:pt x="46" y="236"/>
                                      <a:pt x="49" y="239"/>
                                      <a:pt x="53" y="239"/>
                                    </a:cubicBezTo>
                                    <a:cubicBezTo>
                                      <a:pt x="271" y="239"/>
                                      <a:pt x="271" y="239"/>
                                      <a:pt x="271" y="239"/>
                                    </a:cubicBezTo>
                                    <a:cubicBezTo>
                                      <a:pt x="274" y="239"/>
                                      <a:pt x="277" y="236"/>
                                      <a:pt x="277" y="233"/>
                                    </a:cubicBezTo>
                                    <a:cubicBezTo>
                                      <a:pt x="277" y="224"/>
                                      <a:pt x="277" y="224"/>
                                      <a:pt x="277" y="224"/>
                                    </a:cubicBezTo>
                                    <a:cubicBezTo>
                                      <a:pt x="277" y="224"/>
                                      <a:pt x="277" y="224"/>
                                      <a:pt x="277" y="224"/>
                                    </a:cubicBezTo>
                                    <a:close/>
                                    <a:moveTo>
                                      <a:pt x="88" y="75"/>
                                    </a:moveTo>
                                    <a:cubicBezTo>
                                      <a:pt x="235" y="75"/>
                                      <a:pt x="235" y="75"/>
                                      <a:pt x="235" y="75"/>
                                    </a:cubicBezTo>
                                    <a:cubicBezTo>
                                      <a:pt x="235" y="163"/>
                                      <a:pt x="235" y="163"/>
                                      <a:pt x="235" y="163"/>
                                    </a:cubicBezTo>
                                    <a:cubicBezTo>
                                      <a:pt x="88" y="163"/>
                                      <a:pt x="88" y="163"/>
                                      <a:pt x="88" y="163"/>
                                    </a:cubicBezTo>
                                    <a:lnTo>
                                      <a:pt x="88" y="75"/>
                                    </a:lnTo>
                                    <a:close/>
                                    <a:moveTo>
                                      <a:pt x="81" y="179"/>
                                    </a:moveTo>
                                    <a:cubicBezTo>
                                      <a:pt x="243" y="179"/>
                                      <a:pt x="243" y="179"/>
                                      <a:pt x="243" y="179"/>
                                    </a:cubicBezTo>
                                    <a:cubicBezTo>
                                      <a:pt x="247" y="179"/>
                                      <a:pt x="251" y="175"/>
                                      <a:pt x="251" y="171"/>
                                    </a:cubicBezTo>
                                    <a:cubicBezTo>
                                      <a:pt x="251" y="67"/>
                                      <a:pt x="251" y="67"/>
                                      <a:pt x="251" y="67"/>
                                    </a:cubicBezTo>
                                    <a:cubicBezTo>
                                      <a:pt x="251" y="63"/>
                                      <a:pt x="247" y="59"/>
                                      <a:pt x="243" y="59"/>
                                    </a:cubicBezTo>
                                    <a:cubicBezTo>
                                      <a:pt x="81" y="59"/>
                                      <a:pt x="81" y="59"/>
                                      <a:pt x="81" y="59"/>
                                    </a:cubicBezTo>
                                    <a:cubicBezTo>
                                      <a:pt x="77" y="59"/>
                                      <a:pt x="73" y="63"/>
                                      <a:pt x="73" y="67"/>
                                    </a:cubicBezTo>
                                    <a:cubicBezTo>
                                      <a:pt x="73" y="171"/>
                                      <a:pt x="73" y="171"/>
                                      <a:pt x="73" y="171"/>
                                    </a:cubicBezTo>
                                    <a:cubicBezTo>
                                      <a:pt x="73" y="175"/>
                                      <a:pt x="77" y="179"/>
                                      <a:pt x="81" y="179"/>
                                    </a:cubicBezTo>
                                    <a:close/>
                                    <a:moveTo>
                                      <a:pt x="162" y="310"/>
                                    </a:moveTo>
                                    <a:cubicBezTo>
                                      <a:pt x="80" y="310"/>
                                      <a:pt x="13" y="244"/>
                                      <a:pt x="13" y="162"/>
                                    </a:cubicBezTo>
                                    <a:cubicBezTo>
                                      <a:pt x="13" y="80"/>
                                      <a:pt x="80" y="13"/>
                                      <a:pt x="162" y="13"/>
                                    </a:cubicBezTo>
                                    <a:cubicBezTo>
                                      <a:pt x="244" y="13"/>
                                      <a:pt x="311" y="80"/>
                                      <a:pt x="311" y="162"/>
                                    </a:cubicBezTo>
                                    <a:cubicBezTo>
                                      <a:pt x="311" y="244"/>
                                      <a:pt x="244" y="310"/>
                                      <a:pt x="162" y="310"/>
                                    </a:cubicBezTo>
                                    <a:close/>
                                    <a:moveTo>
                                      <a:pt x="162" y="0"/>
                                    </a:moveTo>
                                    <a:cubicBezTo>
                                      <a:pt x="72" y="0"/>
                                      <a:pt x="0" y="72"/>
                                      <a:pt x="0" y="162"/>
                                    </a:cubicBezTo>
                                    <a:cubicBezTo>
                                      <a:pt x="0" y="251"/>
                                      <a:pt x="72" y="323"/>
                                      <a:pt x="162" y="323"/>
                                    </a:cubicBezTo>
                                    <a:cubicBezTo>
                                      <a:pt x="251" y="323"/>
                                      <a:pt x="324" y="251"/>
                                      <a:pt x="324" y="162"/>
                                    </a:cubicBezTo>
                                    <a:cubicBezTo>
                                      <a:pt x="324" y="72"/>
                                      <a:pt x="251" y="0"/>
                                      <a:pt x="162" y="0"/>
                                    </a:cubicBezTo>
                                    <a:close/>
                                  </a:path>
                                </a:pathLst>
                              </a:custGeom>
                              <a:solidFill>
                                <a:schemeClr val="tx2"/>
                              </a:solidFill>
                              <a:ln w="9525">
                                <a:noFill/>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73A76510" id="Freeform 19" o:spid="_x0000_s1026" alt="Title: Internet services icon - Description: Internet services icon" style="width:14.15pt;height:14.15pt;visibility:visible;mso-wrap-style:square;mso-left-percent:-10001;mso-top-percent:-10001;mso-position-horizontal:absolute;mso-position-horizontal-relative:char;mso-position-vertical:absolute;mso-position-vertical-relative:line;mso-left-percent:-10001;mso-top-percent:-10001;v-text-anchor:top" coordsize="324,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" path="m263,232v-1,1,-2,2,-4,2c258,234,257,233,255,232v,-1,-1,-2,-1,-3c254,227,255,226,255,225v3,-2,6,-2,8,c264,226,264,227,264,229v,1,,2,-1,3xm133,223v8,-12,8,-12,8,-12c183,211,183,211,183,211v8,12,8,12,8,12l133,223xm277,224v,,,-1,,-2c277,222,277,222,277,222v,-1,-1,-1,-1,-1c250,189,250,189,250,189v-1,-2,-3,-3,-5,-3c78,186,78,186,78,186v-1,,-3,1,-5,3c48,221,48,221,48,221v,,-1,,-1,1c47,222,47,222,47,222v,1,,2,,2c46,224,46,224,46,224v,9,,9,,9c46,236,49,239,53,239v218,,218,,218,c274,239,277,236,277,233v,-9,,-9,,-9c277,224,277,224,277,224xm88,75v147,,147,,147,c235,163,235,163,235,163v-147,,-147,,-147,l88,75xm81,179v162,,162,,162,c247,179,251,175,251,171v,-104,,-104,,-104c251,63,247,59,243,59,81,59,81,59,81,59v-4,,-8,4,-8,8c73,171,73,171,73,171v,4,4,8,8,8xm162,310c80,310,13,244,13,162,13,80,80,13,162,13v82,,149,67,149,149c311,244,244,310,162,310xm162,c72,,,72,,162v,89,72,161,162,161c251,323,324,251,324,162,324,72,251,,162,xe" fillcolor="#a32020 [3215]" stroked="f">
                      <v:path arrowok="t" o:connecttype="custom" o:connectlocs="263,232;259,234;255,232;254,229;255,225;263,225;264,229;263,232;133,223;141,211;183,211;191,223;133,223;277,224;277,222;277,222;276,221;250,189;245,186;78,186;73,189;48,221;47,222;47,222;47,224;46,224;46,233;53,239;271,239;277,233;277,224;277,224;88,75;235,75;235,163;88,163;88,75;81,179;243,179;251,171;251,67;243,59;81,59;73,67;73,171;81,179;162,310;13,162;162,13;311,162;162,310;162,0;0,162;162,323;324,162;162,0" o:connectangles="0,0,0,0,0,0,0,0,0,0,0,0,0,0,0,0,0,0,0,0,0,0,0,0,0,0,0,0,0,0,0,0,0,0,0,0,0,0,0,0,0,0,0,0,0,0,0,0,0,0,0,0,0,0,0,0"/>
                      <o:lock v:ext="edit" verticies="t"/>
                      <w10:anchorlock/>
                    </v:shape>
                  </w:pict>
                </mc:Fallback>
              </mc:AlternateContent>
            </w:r>
          </w:p>
        </w:tc>
        <w:tc>
          <w:tcPr>
            <w:tcW w:w="680" w:type="dxa"/>
            <w:hideMark/>
          </w:tcPr>
          <w:p w14:paraId="1539FA06" w14:textId="77777777" w:rsidR="00582FBF" w:rsidRPr="006D08BB" w:rsidRDefault="00582FBF" w:rsidP="00F61130">
            <w:pPr>
              <w:pStyle w:val="TableTextNormal"/>
              <w:keepNext/>
              <w:keepLines/>
              <w:jc w:val="center"/>
            </w:pPr>
          </w:p>
        </w:tc>
        <w:tc>
          <w:tcPr>
            <w:tcW w:w="680" w:type="dxa"/>
            <w:hideMark/>
          </w:tcPr>
          <w:p w14:paraId="6C398248" w14:textId="77777777" w:rsidR="00582FBF" w:rsidRPr="006D08BB" w:rsidRDefault="00582FBF" w:rsidP="00F61130">
            <w:pPr>
              <w:pStyle w:val="TableTextNormal"/>
              <w:keepNext/>
              <w:keepLines/>
              <w:jc w:val="center"/>
            </w:pPr>
          </w:p>
        </w:tc>
      </w:tr>
    </w:tbl>
    <w:p w14:paraId="25FA4615" w14:textId="77777777" w:rsidR="00F61130" w:rsidRDefault="00F61130" w:rsidP="00F61130">
      <w:pPr>
        <w:pStyle w:val="Sources"/>
        <w:keepNext/>
        <w:keepLines/>
      </w:pPr>
      <w:r>
        <w:t>* Commencing from 2019.</w:t>
      </w:r>
    </w:p>
    <w:p w14:paraId="77D9742A" w14:textId="77777777" w:rsidR="006D08BB" w:rsidRPr="008076CB" w:rsidRDefault="006D08BB" w:rsidP="00F61130">
      <w:pPr>
        <w:pStyle w:val="Sources"/>
        <w:keepNext/>
        <w:keepLines/>
      </w:pPr>
      <w:r>
        <w:t>No telecommunications-specific safeguard identified</w:t>
      </w:r>
      <w:r w:rsidRPr="00225950">
        <w:t xml:space="preserve">: </w:t>
      </w:r>
      <w:r w:rsidRPr="008F3B97">
        <w:rPr>
          <w:rFonts w:ascii="Arial Unicode MS" w:eastAsia="Arial Unicode MS" w:hAnsi="Arial Unicode MS" w:cs="Arial Unicode MS"/>
          <w:szCs w:val="22"/>
        </w:rPr>
        <w:t>BLANK</w:t>
      </w:r>
    </w:p>
    <w:p w14:paraId="4F863087" w14:textId="45EEB1EC" w:rsidR="006D08BB" w:rsidRPr="00225950" w:rsidRDefault="006D08BB" w:rsidP="00F61130">
      <w:pPr>
        <w:pStyle w:val="Sources"/>
        <w:keepNext/>
        <w:keepLines/>
      </w:pPr>
      <w:r w:rsidRPr="00225950">
        <w:t>Internet services:</w:t>
      </w:r>
      <w:r w:rsidRPr="00225950">
        <w:rPr>
          <w:color w:val="DB536A" w:themeColor="accent4"/>
        </w:rPr>
        <w:t xml:space="preserve"> </w:t>
      </w:r>
      <w:r w:rsidR="00350527" w:rsidRPr="008F3B97">
        <w:rPr>
          <w:noProof/>
          <w:color w:val="DB536A" w:themeColor="accent4"/>
          <w:lang w:eastAsia="en-AU"/>
        </w:rPr>
        <mc:AlternateContent>
          <mc:Choice Requires="wps">
            <w:drawing>
              <wp:inline distT="0" distB="0" distL="0" distR="0" wp14:anchorId="6346267B" wp14:editId="153F2CC7">
                <wp:extent cx="180000" cy="180000"/>
                <wp:effectExtent l="0" t="0" r="0" b="0"/>
                <wp:docPr id="46" name="Freeform 19" descr="Internet services icon" title="Internet services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80000" cy="180000"/>
                        </a:xfrm>
                        <a:custGeom>
                          <a:avLst/>
                          <a:gdLst/>
                          <a:ahLst/>
                          <a:cxnLst>
                            <a:cxn ang="0">
                              <a:pos x="263" y="232"/>
                            </a:cxn>
                            <a:cxn ang="0">
                              <a:pos x="259" y="234"/>
                            </a:cxn>
                            <a:cxn ang="0">
                              <a:pos x="255" y="232"/>
                            </a:cxn>
                            <a:cxn ang="0">
                              <a:pos x="254" y="229"/>
                            </a:cxn>
                            <a:cxn ang="0">
                              <a:pos x="255" y="225"/>
                            </a:cxn>
                            <a:cxn ang="0">
                              <a:pos x="263" y="225"/>
                            </a:cxn>
                            <a:cxn ang="0">
                              <a:pos x="264" y="229"/>
                            </a:cxn>
                            <a:cxn ang="0">
                              <a:pos x="263" y="232"/>
                            </a:cxn>
                            <a:cxn ang="0">
                              <a:pos x="133" y="223"/>
                            </a:cxn>
                            <a:cxn ang="0">
                              <a:pos x="141" y="211"/>
                            </a:cxn>
                            <a:cxn ang="0">
                              <a:pos x="183" y="211"/>
                            </a:cxn>
                            <a:cxn ang="0">
                              <a:pos x="191" y="223"/>
                            </a:cxn>
                            <a:cxn ang="0">
                              <a:pos x="133" y="223"/>
                            </a:cxn>
                            <a:cxn ang="0">
                              <a:pos x="277" y="224"/>
                            </a:cxn>
                            <a:cxn ang="0">
                              <a:pos x="277" y="222"/>
                            </a:cxn>
                            <a:cxn ang="0">
                              <a:pos x="277" y="222"/>
                            </a:cxn>
                            <a:cxn ang="0">
                              <a:pos x="276" y="221"/>
                            </a:cxn>
                            <a:cxn ang="0">
                              <a:pos x="250" y="189"/>
                            </a:cxn>
                            <a:cxn ang="0">
                              <a:pos x="245" y="186"/>
                            </a:cxn>
                            <a:cxn ang="0">
                              <a:pos x="78" y="186"/>
                            </a:cxn>
                            <a:cxn ang="0">
                              <a:pos x="73" y="189"/>
                            </a:cxn>
                            <a:cxn ang="0">
                              <a:pos x="48" y="221"/>
                            </a:cxn>
                            <a:cxn ang="0">
                              <a:pos x="47" y="222"/>
                            </a:cxn>
                            <a:cxn ang="0">
                              <a:pos x="47" y="222"/>
                            </a:cxn>
                            <a:cxn ang="0">
                              <a:pos x="47" y="224"/>
                            </a:cxn>
                            <a:cxn ang="0">
                              <a:pos x="46" y="224"/>
                            </a:cxn>
                            <a:cxn ang="0">
                              <a:pos x="46" y="233"/>
                            </a:cxn>
                            <a:cxn ang="0">
                              <a:pos x="53" y="239"/>
                            </a:cxn>
                            <a:cxn ang="0">
                              <a:pos x="271" y="239"/>
                            </a:cxn>
                            <a:cxn ang="0">
                              <a:pos x="277" y="233"/>
                            </a:cxn>
                            <a:cxn ang="0">
                              <a:pos x="277" y="224"/>
                            </a:cxn>
                            <a:cxn ang="0">
                              <a:pos x="277" y="224"/>
                            </a:cxn>
                            <a:cxn ang="0">
                              <a:pos x="88" y="75"/>
                            </a:cxn>
                            <a:cxn ang="0">
                              <a:pos x="235" y="75"/>
                            </a:cxn>
                            <a:cxn ang="0">
                              <a:pos x="235" y="163"/>
                            </a:cxn>
                            <a:cxn ang="0">
                              <a:pos x="88" y="163"/>
                            </a:cxn>
                            <a:cxn ang="0">
                              <a:pos x="88" y="75"/>
                            </a:cxn>
                            <a:cxn ang="0">
                              <a:pos x="81" y="179"/>
                            </a:cxn>
                            <a:cxn ang="0">
                              <a:pos x="243" y="179"/>
                            </a:cxn>
                            <a:cxn ang="0">
                              <a:pos x="251" y="171"/>
                            </a:cxn>
                            <a:cxn ang="0">
                              <a:pos x="251" y="67"/>
                            </a:cxn>
                            <a:cxn ang="0">
                              <a:pos x="243" y="59"/>
                            </a:cxn>
                            <a:cxn ang="0">
                              <a:pos x="81" y="59"/>
                            </a:cxn>
                            <a:cxn ang="0">
                              <a:pos x="73" y="67"/>
                            </a:cxn>
                            <a:cxn ang="0">
                              <a:pos x="73" y="171"/>
                            </a:cxn>
                            <a:cxn ang="0">
                              <a:pos x="81" y="179"/>
                            </a:cxn>
                            <a:cxn ang="0">
                              <a:pos x="162" y="310"/>
                            </a:cxn>
                            <a:cxn ang="0">
                              <a:pos x="13" y="162"/>
                            </a:cxn>
                            <a:cxn ang="0">
                              <a:pos x="162" y="13"/>
                            </a:cxn>
                            <a:cxn ang="0">
                              <a:pos x="311" y="162"/>
                            </a:cxn>
                            <a:cxn ang="0">
                              <a:pos x="162" y="310"/>
                            </a:cxn>
                            <a:cxn ang="0">
                              <a:pos x="162" y="0"/>
                            </a:cxn>
                            <a:cxn ang="0">
                              <a:pos x="0" y="162"/>
                            </a:cxn>
                            <a:cxn ang="0">
                              <a:pos x="162" y="323"/>
                            </a:cxn>
                            <a:cxn ang="0">
                              <a:pos x="324" y="162"/>
                            </a:cxn>
                            <a:cxn ang="0">
                              <a:pos x="162" y="0"/>
                            </a:cxn>
                          </a:cxnLst>
                          <a:rect l="0" t="0" r="r" b="b"/>
                          <a:pathLst>
                            <a:path w="324" h="323">
                              <a:moveTo>
                                <a:pt x="263" y="232"/>
                              </a:moveTo>
                              <a:cubicBezTo>
                                <a:pt x="262" y="233"/>
                                <a:pt x="261" y="234"/>
                                <a:pt x="259" y="234"/>
                              </a:cubicBezTo>
                              <a:cubicBezTo>
                                <a:pt x="258" y="234"/>
                                <a:pt x="257" y="233"/>
                                <a:pt x="255" y="232"/>
                              </a:cubicBezTo>
                              <a:cubicBezTo>
                                <a:pt x="255" y="231"/>
                                <a:pt x="254" y="230"/>
                                <a:pt x="254" y="229"/>
                              </a:cubicBezTo>
                              <a:cubicBezTo>
                                <a:pt x="254" y="227"/>
                                <a:pt x="255" y="226"/>
                                <a:pt x="255" y="225"/>
                              </a:cubicBezTo>
                              <a:cubicBezTo>
                                <a:pt x="258" y="223"/>
                                <a:pt x="261" y="223"/>
                                <a:pt x="263" y="225"/>
                              </a:cubicBezTo>
                              <a:cubicBezTo>
                                <a:pt x="264" y="226"/>
                                <a:pt x="264" y="227"/>
                                <a:pt x="264" y="229"/>
                              </a:cubicBezTo>
                              <a:cubicBezTo>
                                <a:pt x="264" y="230"/>
                                <a:pt x="264" y="231"/>
                                <a:pt x="263" y="232"/>
                              </a:cubicBezTo>
                              <a:close/>
                              <a:moveTo>
                                <a:pt x="133" y="223"/>
                              </a:moveTo>
                              <a:cubicBezTo>
                                <a:pt x="141" y="211"/>
                                <a:pt x="141" y="211"/>
                                <a:pt x="141" y="211"/>
                              </a:cubicBezTo>
                              <a:cubicBezTo>
                                <a:pt x="183" y="211"/>
                                <a:pt x="183" y="211"/>
                                <a:pt x="183" y="211"/>
                              </a:cubicBezTo>
                              <a:cubicBezTo>
                                <a:pt x="191" y="223"/>
                                <a:pt x="191" y="223"/>
                                <a:pt x="191" y="223"/>
                              </a:cubicBezTo>
                              <a:lnTo>
                                <a:pt x="133" y="223"/>
                              </a:lnTo>
                              <a:close/>
                              <a:moveTo>
                                <a:pt x="277" y="224"/>
                              </a:moveTo>
                              <a:cubicBezTo>
                                <a:pt x="277" y="224"/>
                                <a:pt x="277" y="223"/>
                                <a:pt x="277" y="222"/>
                              </a:cubicBezTo>
                              <a:cubicBezTo>
                                <a:pt x="277" y="222"/>
                                <a:pt x="277" y="222"/>
                                <a:pt x="277" y="222"/>
                              </a:cubicBezTo>
                              <a:cubicBezTo>
                                <a:pt x="277" y="221"/>
                                <a:pt x="276" y="221"/>
                                <a:pt x="276" y="221"/>
                              </a:cubicBezTo>
                              <a:cubicBezTo>
                                <a:pt x="250" y="189"/>
                                <a:pt x="250" y="189"/>
                                <a:pt x="250" y="189"/>
                              </a:cubicBezTo>
                              <a:cubicBezTo>
                                <a:pt x="249" y="187"/>
                                <a:pt x="247" y="186"/>
                                <a:pt x="245" y="186"/>
                              </a:cubicBezTo>
                              <a:cubicBezTo>
                                <a:pt x="78" y="186"/>
                                <a:pt x="78" y="186"/>
                                <a:pt x="78" y="186"/>
                              </a:cubicBezTo>
                              <a:cubicBezTo>
                                <a:pt x="77" y="186"/>
                                <a:pt x="75" y="187"/>
                                <a:pt x="73" y="189"/>
                              </a:cubicBezTo>
                              <a:cubicBezTo>
                                <a:pt x="48" y="221"/>
                                <a:pt x="48" y="221"/>
                                <a:pt x="48" y="221"/>
                              </a:cubicBezTo>
                              <a:cubicBezTo>
                                <a:pt x="48" y="221"/>
                                <a:pt x="47" y="221"/>
                                <a:pt x="47" y="222"/>
                              </a:cubicBezTo>
                              <a:cubicBezTo>
                                <a:pt x="47" y="222"/>
                                <a:pt x="47" y="222"/>
                                <a:pt x="47" y="222"/>
                              </a:cubicBezTo>
                              <a:cubicBezTo>
                                <a:pt x="47" y="223"/>
                                <a:pt x="47" y="224"/>
                                <a:pt x="47" y="224"/>
                              </a:cubicBezTo>
                              <a:cubicBezTo>
                                <a:pt x="46" y="224"/>
                                <a:pt x="46" y="224"/>
                                <a:pt x="46" y="224"/>
                              </a:cubicBezTo>
                              <a:cubicBezTo>
                                <a:pt x="46" y="233"/>
                                <a:pt x="46" y="233"/>
                                <a:pt x="46" y="233"/>
                              </a:cubicBezTo>
                              <a:cubicBezTo>
                                <a:pt x="46" y="236"/>
                                <a:pt x="49" y="239"/>
                                <a:pt x="53" y="239"/>
                              </a:cubicBezTo>
                              <a:cubicBezTo>
                                <a:pt x="271" y="239"/>
                                <a:pt x="271" y="239"/>
                                <a:pt x="271" y="239"/>
                              </a:cubicBezTo>
                              <a:cubicBezTo>
                                <a:pt x="274" y="239"/>
                                <a:pt x="277" y="236"/>
                                <a:pt x="277" y="233"/>
                              </a:cubicBezTo>
                              <a:cubicBezTo>
                                <a:pt x="277" y="224"/>
                                <a:pt x="277" y="224"/>
                                <a:pt x="277" y="224"/>
                              </a:cubicBezTo>
                              <a:cubicBezTo>
                                <a:pt x="277" y="224"/>
                                <a:pt x="277" y="224"/>
                                <a:pt x="277" y="224"/>
                              </a:cubicBezTo>
                              <a:close/>
                              <a:moveTo>
                                <a:pt x="88" y="75"/>
                              </a:moveTo>
                              <a:cubicBezTo>
                                <a:pt x="235" y="75"/>
                                <a:pt x="235" y="75"/>
                                <a:pt x="235" y="75"/>
                              </a:cubicBezTo>
                              <a:cubicBezTo>
                                <a:pt x="235" y="163"/>
                                <a:pt x="235" y="163"/>
                                <a:pt x="235" y="163"/>
                              </a:cubicBezTo>
                              <a:cubicBezTo>
                                <a:pt x="88" y="163"/>
                                <a:pt x="88" y="163"/>
                                <a:pt x="88" y="163"/>
                              </a:cubicBezTo>
                              <a:lnTo>
                                <a:pt x="88" y="75"/>
                              </a:lnTo>
                              <a:close/>
                              <a:moveTo>
                                <a:pt x="81" y="179"/>
                              </a:moveTo>
                              <a:cubicBezTo>
                                <a:pt x="243" y="179"/>
                                <a:pt x="243" y="179"/>
                                <a:pt x="243" y="179"/>
                              </a:cubicBezTo>
                              <a:cubicBezTo>
                                <a:pt x="247" y="179"/>
                                <a:pt x="251" y="175"/>
                                <a:pt x="251" y="171"/>
                              </a:cubicBezTo>
                              <a:cubicBezTo>
                                <a:pt x="251" y="67"/>
                                <a:pt x="251" y="67"/>
                                <a:pt x="251" y="67"/>
                              </a:cubicBezTo>
                              <a:cubicBezTo>
                                <a:pt x="251" y="63"/>
                                <a:pt x="247" y="59"/>
                                <a:pt x="243" y="59"/>
                              </a:cubicBezTo>
                              <a:cubicBezTo>
                                <a:pt x="81" y="59"/>
                                <a:pt x="81" y="59"/>
                                <a:pt x="81" y="59"/>
                              </a:cubicBezTo>
                              <a:cubicBezTo>
                                <a:pt x="77" y="59"/>
                                <a:pt x="73" y="63"/>
                                <a:pt x="73" y="67"/>
                              </a:cubicBezTo>
                              <a:cubicBezTo>
                                <a:pt x="73" y="171"/>
                                <a:pt x="73" y="171"/>
                                <a:pt x="73" y="171"/>
                              </a:cubicBezTo>
                              <a:cubicBezTo>
                                <a:pt x="73" y="175"/>
                                <a:pt x="77" y="179"/>
                                <a:pt x="81" y="179"/>
                              </a:cubicBezTo>
                              <a:close/>
                              <a:moveTo>
                                <a:pt x="162" y="310"/>
                              </a:moveTo>
                              <a:cubicBezTo>
                                <a:pt x="80" y="310"/>
                                <a:pt x="13" y="244"/>
                                <a:pt x="13" y="162"/>
                              </a:cubicBezTo>
                              <a:cubicBezTo>
                                <a:pt x="13" y="80"/>
                                <a:pt x="80" y="13"/>
                                <a:pt x="162" y="13"/>
                              </a:cubicBezTo>
                              <a:cubicBezTo>
                                <a:pt x="244" y="13"/>
                                <a:pt x="311" y="80"/>
                                <a:pt x="311" y="162"/>
                              </a:cubicBezTo>
                              <a:cubicBezTo>
                                <a:pt x="311" y="244"/>
                                <a:pt x="244" y="310"/>
                                <a:pt x="162" y="310"/>
                              </a:cubicBezTo>
                              <a:close/>
                              <a:moveTo>
                                <a:pt x="162" y="0"/>
                              </a:moveTo>
                              <a:cubicBezTo>
                                <a:pt x="72" y="0"/>
                                <a:pt x="0" y="72"/>
                                <a:pt x="0" y="162"/>
                              </a:cubicBezTo>
                              <a:cubicBezTo>
                                <a:pt x="0" y="251"/>
                                <a:pt x="72" y="323"/>
                                <a:pt x="162" y="323"/>
                              </a:cubicBezTo>
                              <a:cubicBezTo>
                                <a:pt x="251" y="323"/>
                                <a:pt x="324" y="251"/>
                                <a:pt x="324" y="162"/>
                              </a:cubicBezTo>
                              <a:cubicBezTo>
                                <a:pt x="324" y="72"/>
                                <a:pt x="251" y="0"/>
                                <a:pt x="162" y="0"/>
                              </a:cubicBezTo>
                              <a:close/>
                            </a:path>
                          </a:pathLst>
                        </a:custGeom>
                        <a:solidFill>
                          <a:schemeClr val="tx2"/>
                        </a:solidFill>
                        <a:ln w="9525">
                          <a:noFill/>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274A3C28" id="Freeform 19" o:spid="_x0000_s1026" alt="Title: Internet services icon - Description: Internet services icon" style="width:14.15pt;height:14.15pt;visibility:visible;mso-wrap-style:square;mso-left-percent:-10001;mso-top-percent:-10001;mso-position-horizontal:absolute;mso-position-horizontal-relative:char;mso-position-vertical:absolute;mso-position-vertical-relative:line;mso-left-percent:-10001;mso-top-percent:-10001;v-text-anchor:top" coordsize="324,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" path="m263,232v-1,1,-2,2,-4,2c258,234,257,233,255,232v,-1,-1,-2,-1,-3c254,227,255,226,255,225v3,-2,6,-2,8,c264,226,264,227,264,229v,1,,2,-1,3xm133,223v8,-12,8,-12,8,-12c183,211,183,211,183,211v8,12,8,12,8,12l133,223xm277,224v,,,-1,,-2c277,222,277,222,277,222v,-1,-1,-1,-1,-1c250,189,250,189,250,189v-1,-2,-3,-3,-5,-3c78,186,78,186,78,186v-1,,-3,1,-5,3c48,221,48,221,48,221v,,-1,,-1,1c47,222,47,222,47,222v,1,,2,,2c46,224,46,224,46,224v,9,,9,,9c46,236,49,239,53,239v218,,218,,218,c274,239,277,236,277,233v,-9,,-9,,-9c277,224,277,224,277,224xm88,75v147,,147,,147,c235,163,235,163,235,163v-147,,-147,,-147,l88,75xm81,179v162,,162,,162,c247,179,251,175,251,171v,-104,,-104,,-104c251,63,247,59,243,59,81,59,81,59,81,59v-4,,-8,4,-8,8c73,171,73,171,73,171v,4,4,8,8,8xm162,310c80,310,13,244,13,162,13,80,80,13,162,13v82,,149,67,149,149c311,244,244,310,162,310xm162,c72,,,72,,162v,89,72,161,162,161c251,323,324,251,324,162,324,72,251,,162,xe" fillcolor="#a32020 [3215]" stroked="f">
                <v:path arrowok="t" o:connecttype="custom" o:connectlocs="263,232;259,234;255,232;254,229;255,225;263,225;264,229;263,232;133,223;141,211;183,211;191,223;133,223;277,224;277,222;277,222;276,221;250,189;245,186;78,186;73,189;48,221;47,222;47,222;47,224;46,224;46,233;53,239;271,239;277,233;277,224;277,224;88,75;235,75;235,163;88,163;88,75;81,179;243,179;251,171;251,67;243,59;81,59;73,67;73,171;81,179;162,310;13,162;162,13;311,162;162,310;162,0;0,162;162,323;324,162;162,0" o:connectangles="0,0,0,0,0,0,0,0,0,0,0,0,0,0,0,0,0,0,0,0,0,0,0,0,0,0,0,0,0,0,0,0,0,0,0,0,0,0,0,0,0,0,0,0,0,0,0,0,0,0,0,0,0,0,0,0"/>
                <o:lock v:ext="edit" verticies="t"/>
                <w10:anchorlock/>
              </v:shape>
            </w:pict>
          </mc:Fallback>
        </mc:AlternateContent>
      </w:r>
    </w:p>
    <w:p w14:paraId="025D3B9E" w14:textId="467FCDE5" w:rsidR="006602A7" w:rsidRDefault="00C649E1" w:rsidP="00325598">
      <w:pPr>
        <w:pStyle w:val="styeheading5"/>
      </w:pPr>
      <w:r w:rsidRPr="00C649E1">
        <w:t>New installation appointments met</w:t>
      </w:r>
    </w:p>
    <w:p w14:paraId="7502A128" w14:textId="28D41387" w:rsidR="00C002DD" w:rsidRDefault="000B0990" w:rsidP="000B0990">
      <w:pPr>
        <w:pStyle w:val="PwCNormal"/>
        <w:keepNext/>
        <w:keepLines/>
      </w:pPr>
      <w:r w:rsidRPr="000B0990">
        <w:t>New Zealand and Singapore currently set requirements for the time taken to establish a new connection for a broadband service. In Singapore, this is primarily for monitoring purposes only, excep</w:t>
      </w:r>
      <w:r>
        <w:t>t in relation to NetLink Trust.</w:t>
      </w:r>
    </w:p>
    <w:p w14:paraId="1FC28E64" w14:textId="00B51666" w:rsidR="00C002DD" w:rsidRDefault="00CB5B9C" w:rsidP="00DB0DD9">
      <w:pPr>
        <w:pStyle w:val="PwCNormal"/>
        <w:keepNext/>
        <w:keepLines/>
      </w:pPr>
      <w:r>
        <w:t>T</w:t>
      </w:r>
      <w:r w:rsidRPr="00407996">
        <w:t>he UK’s automatic compensation scheme</w:t>
      </w:r>
      <w:r w:rsidR="006B0B8B">
        <w:t>, due to commence in 2019,</w:t>
      </w:r>
      <w:r w:rsidRPr="00407996">
        <w:t xml:space="preserve"> </w:t>
      </w:r>
      <w:r w:rsidR="00C700BA">
        <w:t xml:space="preserve">will </w:t>
      </w:r>
      <w:r w:rsidRPr="00407996">
        <w:t xml:space="preserve">require service providers to financially compensate consumers where they fail to connect a service within </w:t>
      </w:r>
      <w:r w:rsidR="001D2B03">
        <w:t>the agreed</w:t>
      </w:r>
      <w:r w:rsidR="001D2B03" w:rsidRPr="00407996">
        <w:t xml:space="preserve"> </w:t>
      </w:r>
      <w:r w:rsidRPr="00407996">
        <w:t>connection timeframe.</w:t>
      </w:r>
      <w:r>
        <w:t xml:space="preserve"> </w:t>
      </w:r>
      <w:r w:rsidR="00C002DD" w:rsidRPr="00407996">
        <w:t xml:space="preserve">Singapore requires new </w:t>
      </w:r>
      <w:r>
        <w:t>internet</w:t>
      </w:r>
      <w:r w:rsidR="00C002DD" w:rsidRPr="00407996">
        <w:t xml:space="preserve"> connections to be made withi</w:t>
      </w:r>
      <w:r w:rsidR="00C002DD" w:rsidRPr="00CB5B9C">
        <w:t xml:space="preserve">n </w:t>
      </w:r>
      <w:r w:rsidR="00D76E4F">
        <w:t>three to five</w:t>
      </w:r>
      <w:r w:rsidR="00C002DD" w:rsidRPr="00CB5B9C">
        <w:t xml:space="preserve"> days</w:t>
      </w:r>
      <w:r>
        <w:t xml:space="preserve">. New Zealand requires </w:t>
      </w:r>
      <w:r w:rsidR="00F61130">
        <w:t xml:space="preserve">that providers aim to set up new connections within one day </w:t>
      </w:r>
      <w:r w:rsidR="000B0990">
        <w:t xml:space="preserve">of </w:t>
      </w:r>
      <w:r>
        <w:t>transferring between providers.</w:t>
      </w:r>
    </w:p>
    <w:p w14:paraId="0DAD741E" w14:textId="39281F96" w:rsidR="006602A7" w:rsidRDefault="003C544C" w:rsidP="00325598">
      <w:pPr>
        <w:pStyle w:val="styeheading5"/>
      </w:pPr>
      <w:r>
        <w:t>P</w:t>
      </w:r>
      <w:r w:rsidR="006602A7">
        <w:t>acket loss</w:t>
      </w:r>
    </w:p>
    <w:p w14:paraId="05E577B4" w14:textId="32F69C41" w:rsidR="00500F31" w:rsidRDefault="00500F31" w:rsidP="00500F31">
      <w:pPr>
        <w:pStyle w:val="PwCNormal"/>
      </w:pPr>
      <w:r>
        <w:t xml:space="preserve">France and Singapore both monitor </w:t>
      </w:r>
      <w:r w:rsidR="00274F23">
        <w:t xml:space="preserve">packet loss </w:t>
      </w:r>
      <w:r>
        <w:t>in relation to internet services. Both countries release this information to the public to allow consumers to make more informed decisions.</w:t>
      </w:r>
    </w:p>
    <w:p w14:paraId="30EBDE00" w14:textId="1D078133" w:rsidR="006602A7" w:rsidRDefault="00325598" w:rsidP="00D672B5">
      <w:pPr>
        <w:pStyle w:val="Heading3"/>
        <w:numPr>
          <w:ilvl w:val="0"/>
          <w:numId w:val="0"/>
        </w:numPr>
        <w:ind w:left="851" w:hanging="851"/>
      </w:pPr>
      <w:bookmarkStart w:id="22" w:name="_Toc518337343"/>
      <w:bookmarkStart w:id="23" w:name="_Toc525650410"/>
      <w:r>
        <w:t>2.2</w:t>
      </w:r>
      <w:r>
        <w:tab/>
      </w:r>
      <w:r w:rsidR="006602A7">
        <w:t>Outages and faults</w:t>
      </w:r>
      <w:bookmarkEnd w:id="22"/>
      <w:bookmarkEnd w:id="23"/>
    </w:p>
    <w:p w14:paraId="1583FF03" w14:textId="119A267E" w:rsidR="00500F31" w:rsidRPr="00225950" w:rsidRDefault="00500F31" w:rsidP="00500F31">
      <w:pPr>
        <w:pStyle w:val="PwCNormal"/>
      </w:pPr>
      <w:r w:rsidRPr="00225950">
        <w:t xml:space="preserve">Outages and faults refer to incidences </w:t>
      </w:r>
      <w:r>
        <w:t xml:space="preserve">where a service is unavailable or there is </w:t>
      </w:r>
      <w:r w:rsidRPr="00225950">
        <w:t xml:space="preserve">significant degradation in the performance of </w:t>
      </w:r>
      <w:r>
        <w:t xml:space="preserve">the </w:t>
      </w:r>
      <w:r w:rsidRPr="00225950">
        <w:t>service.</w:t>
      </w:r>
    </w:p>
    <w:p w14:paraId="33C4645B" w14:textId="2803FF63" w:rsidR="008225A9" w:rsidRPr="00915BA0" w:rsidRDefault="008225A9" w:rsidP="008225A9">
      <w:pPr>
        <w:pStyle w:val="PwCNormal"/>
      </w:pPr>
      <w:r>
        <w:t>The following summarises where each country appears to have a reliability measure in place relating to outages and faults.</w:t>
      </w:r>
    </w:p>
    <w:p w14:paraId="018E13C5" w14:textId="3929F675" w:rsidR="00440A64" w:rsidRDefault="00440A64" w:rsidP="00440A64">
      <w:pPr>
        <w:pStyle w:val="Caption"/>
      </w:pPr>
      <w:r>
        <w:t xml:space="preserve">Table </w:t>
      </w:r>
      <w:r w:rsidR="000B0990">
        <w:rPr>
          <w:noProof/>
        </w:rPr>
        <w:fldChar w:fldCharType="begin"/>
      </w:r>
      <w:r w:rsidR="000B0990">
        <w:rPr>
          <w:noProof/>
        </w:rPr>
        <w:instrText xml:space="preserve"> SEQ Table \* ARABIC </w:instrText>
      </w:r>
      <w:r w:rsidR="000B0990">
        <w:rPr>
          <w:noProof/>
        </w:rPr>
        <w:fldChar w:fldCharType="separate"/>
      </w:r>
      <w:r w:rsidR="00AE12E7">
        <w:rPr>
          <w:noProof/>
        </w:rPr>
        <w:t>3</w:t>
      </w:r>
      <w:r w:rsidR="000B0990">
        <w:rPr>
          <w:noProof/>
        </w:rPr>
        <w:fldChar w:fldCharType="end"/>
      </w:r>
      <w:r>
        <w:t xml:space="preserve">: </w:t>
      </w:r>
      <w:r w:rsidRPr="0001681E">
        <w:t xml:space="preserve">Outages and faults by </w:t>
      </w:r>
      <w:r w:rsidR="00FA4EF8">
        <w:t>country</w:t>
      </w:r>
    </w:p>
    <w:tbl>
      <w:tblPr>
        <w:tblStyle w:val="Tables-APBase"/>
        <w:tblW w:w="8414" w:type="dxa"/>
        <w:tblLook w:val="06A0" w:firstRow="1" w:lastRow="0" w:firstColumn="1" w:lastColumn="0" w:noHBand="1" w:noVBand="1"/>
        <w:tblCaption w:val="Summary of outages and faults measures across countries"/>
        <w:tblDescription w:val="This table summarises the presence of outages and faults service reliability safeguards relating to telecommunications services.&#10;Australia has number of reported outages/faults, repair time, and appointment keeping safeguards for fixed line telephone services.&#10;Canada has repair time and appointment keeping safeguards for fixed line telephone services.&#10;France has number of reported outages/faults safeguards for fixed line and mobile telephone services and internet services, and repair time safeguards for fixed line telephone services.&#10;New Zealand has no safeguards for fixed line and mobile telephone services and internet services.&#10;Singapore has number of reported outages/faults safeguards for fixed line and mobile telephone services, and repair time safeguards for fixed line telephone services.&#10;United Kingdom has repair time safeguards for fixed line telephone services and internet services.&#10;United States of America has no safeguards for fixed line and mobile telephone services and internet services."/>
      </w:tblPr>
      <w:tblGrid>
        <w:gridCol w:w="3654"/>
        <w:gridCol w:w="680"/>
        <w:gridCol w:w="680"/>
        <w:gridCol w:w="680"/>
        <w:gridCol w:w="680"/>
        <w:gridCol w:w="680"/>
        <w:gridCol w:w="680"/>
        <w:gridCol w:w="680"/>
      </w:tblGrid>
      <w:tr w:rsidR="00582FBF" w:rsidRPr="00582FBF" w14:paraId="72079B12" w14:textId="77777777" w:rsidTr="00582FBF">
        <w:trPr>
          <w:cnfStyle w:val="100000000000" w:firstRow="1" w:lastRow="0" w:firstColumn="0" w:lastColumn="0" w:oddVBand="0" w:evenVBand="0" w:oddHBand="0" w:evenHBand="0" w:firstRowFirstColumn="0" w:firstRowLastColumn="0" w:lastRowFirstColumn="0" w:lastRowLastColumn="0"/>
          <w:cantSplit/>
          <w:trHeight w:val="1700"/>
        </w:trPr>
        <w:tc>
          <w:tcPr>
            <w:cnfStyle w:val="000000000100" w:firstRow="0" w:lastRow="0" w:firstColumn="0" w:lastColumn="0" w:oddVBand="0" w:evenVBand="0" w:oddHBand="0" w:evenHBand="0" w:firstRowFirstColumn="1" w:firstRowLastColumn="0" w:lastRowFirstColumn="0" w:lastRowLastColumn="0"/>
            <w:tcW w:w="3654" w:type="dxa"/>
            <w:hideMark/>
          </w:tcPr>
          <w:p w14:paraId="7EFAE004" w14:textId="77777777" w:rsidR="00582FBF" w:rsidRPr="00582FBF" w:rsidRDefault="00582FBF" w:rsidP="00582FBF">
            <w:pPr>
              <w:pStyle w:val="TableColumnHeadingNormal"/>
              <w:rPr>
                <w:lang w:val="en-US"/>
              </w:rPr>
            </w:pPr>
            <w:r w:rsidRPr="00582FBF">
              <w:rPr>
                <w:lang w:val="en-US"/>
              </w:rPr>
              <w:t> </w:t>
            </w:r>
          </w:p>
        </w:tc>
        <w:tc>
          <w:tcPr>
            <w:tcW w:w="680" w:type="dxa"/>
            <w:textDirection w:val="btLr"/>
            <w:vAlign w:val="center"/>
            <w:hideMark/>
          </w:tcPr>
          <w:p w14:paraId="7970EE57" w14:textId="77777777" w:rsidR="00582FBF" w:rsidRPr="00582FBF" w:rsidRDefault="00582FBF" w:rsidP="00582FBF">
            <w:pPr>
              <w:pStyle w:val="TableColumnHeadingNormal"/>
              <w:ind w:left="113" w:right="113"/>
              <w:jc w:val="left"/>
              <w:cnfStyle w:val="100000000000" w:firstRow="1" w:lastRow="0" w:firstColumn="0" w:lastColumn="0" w:oddVBand="0" w:evenVBand="0" w:oddHBand="0" w:evenHBand="0" w:firstRowFirstColumn="0" w:firstRowLastColumn="0" w:lastRowFirstColumn="0" w:lastRowLastColumn="0"/>
              <w:rPr>
                <w:lang w:val="en-US"/>
              </w:rPr>
            </w:pPr>
            <w:r w:rsidRPr="00582FBF">
              <w:rPr>
                <w:bCs/>
              </w:rPr>
              <w:t>Australia</w:t>
            </w:r>
          </w:p>
        </w:tc>
        <w:tc>
          <w:tcPr>
            <w:tcW w:w="680" w:type="dxa"/>
            <w:textDirection w:val="btLr"/>
            <w:vAlign w:val="center"/>
            <w:hideMark/>
          </w:tcPr>
          <w:p w14:paraId="7C74673A" w14:textId="77777777" w:rsidR="00582FBF" w:rsidRPr="00582FBF" w:rsidRDefault="00582FBF" w:rsidP="00582FBF">
            <w:pPr>
              <w:pStyle w:val="TableColumnHeadingNormal"/>
              <w:ind w:left="113" w:right="113"/>
              <w:jc w:val="left"/>
              <w:cnfStyle w:val="100000000000" w:firstRow="1" w:lastRow="0" w:firstColumn="0" w:lastColumn="0" w:oddVBand="0" w:evenVBand="0" w:oddHBand="0" w:evenHBand="0" w:firstRowFirstColumn="0" w:firstRowLastColumn="0" w:lastRowFirstColumn="0" w:lastRowLastColumn="0"/>
              <w:rPr>
                <w:lang w:val="en-US"/>
              </w:rPr>
            </w:pPr>
            <w:r w:rsidRPr="00582FBF">
              <w:rPr>
                <w:bCs/>
              </w:rPr>
              <w:t>Canada</w:t>
            </w:r>
          </w:p>
        </w:tc>
        <w:tc>
          <w:tcPr>
            <w:tcW w:w="680" w:type="dxa"/>
            <w:textDirection w:val="btLr"/>
            <w:vAlign w:val="center"/>
            <w:hideMark/>
          </w:tcPr>
          <w:p w14:paraId="18A9245E" w14:textId="77777777" w:rsidR="00582FBF" w:rsidRPr="00582FBF" w:rsidRDefault="00582FBF" w:rsidP="00582FBF">
            <w:pPr>
              <w:pStyle w:val="TableColumnHeadingNormal"/>
              <w:ind w:left="113" w:right="113"/>
              <w:jc w:val="left"/>
              <w:cnfStyle w:val="100000000000" w:firstRow="1" w:lastRow="0" w:firstColumn="0" w:lastColumn="0" w:oddVBand="0" w:evenVBand="0" w:oddHBand="0" w:evenHBand="0" w:firstRowFirstColumn="0" w:firstRowLastColumn="0" w:lastRowFirstColumn="0" w:lastRowLastColumn="0"/>
              <w:rPr>
                <w:lang w:val="en-US"/>
              </w:rPr>
            </w:pPr>
            <w:r w:rsidRPr="00582FBF">
              <w:rPr>
                <w:bCs/>
              </w:rPr>
              <w:t>France</w:t>
            </w:r>
          </w:p>
        </w:tc>
        <w:tc>
          <w:tcPr>
            <w:tcW w:w="680" w:type="dxa"/>
            <w:textDirection w:val="btLr"/>
            <w:vAlign w:val="center"/>
            <w:hideMark/>
          </w:tcPr>
          <w:p w14:paraId="2BE4ED36" w14:textId="77777777" w:rsidR="00582FBF" w:rsidRPr="00582FBF" w:rsidRDefault="00582FBF" w:rsidP="00582FBF">
            <w:pPr>
              <w:pStyle w:val="TableColumnHeadingNormal"/>
              <w:ind w:left="113" w:right="113"/>
              <w:jc w:val="left"/>
              <w:cnfStyle w:val="100000000000" w:firstRow="1" w:lastRow="0" w:firstColumn="0" w:lastColumn="0" w:oddVBand="0" w:evenVBand="0" w:oddHBand="0" w:evenHBand="0" w:firstRowFirstColumn="0" w:firstRowLastColumn="0" w:lastRowFirstColumn="0" w:lastRowLastColumn="0"/>
              <w:rPr>
                <w:lang w:val="en-US"/>
              </w:rPr>
            </w:pPr>
            <w:r w:rsidRPr="00582FBF">
              <w:rPr>
                <w:bCs/>
              </w:rPr>
              <w:t>New Zealand</w:t>
            </w:r>
          </w:p>
        </w:tc>
        <w:tc>
          <w:tcPr>
            <w:tcW w:w="680" w:type="dxa"/>
            <w:textDirection w:val="btLr"/>
            <w:vAlign w:val="center"/>
            <w:hideMark/>
          </w:tcPr>
          <w:p w14:paraId="086CF9E7" w14:textId="77777777" w:rsidR="00582FBF" w:rsidRPr="00582FBF" w:rsidRDefault="00582FBF" w:rsidP="00582FBF">
            <w:pPr>
              <w:pStyle w:val="TableColumnHeadingNormal"/>
              <w:ind w:left="113" w:right="113"/>
              <w:jc w:val="left"/>
              <w:cnfStyle w:val="100000000000" w:firstRow="1" w:lastRow="0" w:firstColumn="0" w:lastColumn="0" w:oddVBand="0" w:evenVBand="0" w:oddHBand="0" w:evenHBand="0" w:firstRowFirstColumn="0" w:firstRowLastColumn="0" w:lastRowFirstColumn="0" w:lastRowLastColumn="0"/>
              <w:rPr>
                <w:lang w:val="en-US"/>
              </w:rPr>
            </w:pPr>
            <w:r w:rsidRPr="00582FBF">
              <w:rPr>
                <w:bCs/>
              </w:rPr>
              <w:t>Singapore</w:t>
            </w:r>
          </w:p>
        </w:tc>
        <w:tc>
          <w:tcPr>
            <w:tcW w:w="680" w:type="dxa"/>
            <w:textDirection w:val="btLr"/>
            <w:vAlign w:val="center"/>
            <w:hideMark/>
          </w:tcPr>
          <w:p w14:paraId="57BBB8C1" w14:textId="566ADA9A" w:rsidR="00582FBF" w:rsidRPr="00582FBF" w:rsidRDefault="00582FBF" w:rsidP="00582FBF">
            <w:pPr>
              <w:pStyle w:val="TableColumnHeadingNormal"/>
              <w:ind w:left="113" w:right="113"/>
              <w:jc w:val="left"/>
              <w:cnfStyle w:val="100000000000" w:firstRow="1" w:lastRow="0" w:firstColumn="0" w:lastColumn="0" w:oddVBand="0" w:evenVBand="0" w:oddHBand="0" w:evenHBand="0" w:firstRowFirstColumn="0" w:firstRowLastColumn="0" w:lastRowFirstColumn="0" w:lastRowLastColumn="0"/>
              <w:rPr>
                <w:lang w:val="en-US"/>
              </w:rPr>
            </w:pPr>
            <w:r w:rsidRPr="00582FBF">
              <w:rPr>
                <w:bCs/>
              </w:rPr>
              <w:t>UK</w:t>
            </w:r>
            <w:r w:rsidR="00F61130">
              <w:rPr>
                <w:bCs/>
              </w:rPr>
              <w:t>*</w:t>
            </w:r>
          </w:p>
        </w:tc>
        <w:tc>
          <w:tcPr>
            <w:tcW w:w="680" w:type="dxa"/>
            <w:textDirection w:val="btLr"/>
            <w:vAlign w:val="center"/>
            <w:hideMark/>
          </w:tcPr>
          <w:p w14:paraId="57ABB9E6" w14:textId="77777777" w:rsidR="00582FBF" w:rsidRPr="00582FBF" w:rsidRDefault="00582FBF" w:rsidP="00582FBF">
            <w:pPr>
              <w:pStyle w:val="TableColumnHeadingNormal"/>
              <w:ind w:left="113" w:right="113"/>
              <w:jc w:val="left"/>
              <w:cnfStyle w:val="100000000000" w:firstRow="1" w:lastRow="0" w:firstColumn="0" w:lastColumn="0" w:oddVBand="0" w:evenVBand="0" w:oddHBand="0" w:evenHBand="0" w:firstRowFirstColumn="0" w:firstRowLastColumn="0" w:lastRowFirstColumn="0" w:lastRowLastColumn="0"/>
              <w:rPr>
                <w:lang w:val="en-US"/>
              </w:rPr>
            </w:pPr>
            <w:r w:rsidRPr="00582FBF">
              <w:rPr>
                <w:bCs/>
              </w:rPr>
              <w:t>USA</w:t>
            </w:r>
          </w:p>
        </w:tc>
      </w:tr>
      <w:tr w:rsidR="00582FBF" w:rsidRPr="00582FBF" w14:paraId="1A6487F3" w14:textId="77777777" w:rsidTr="009E79D7">
        <w:trPr>
          <w:cantSplit/>
          <w:trHeight w:val="564"/>
        </w:trPr>
        <w:tc>
          <w:tcPr>
            <w:tcW w:w="3654" w:type="dxa"/>
            <w:hideMark/>
          </w:tcPr>
          <w:p w14:paraId="28D4FEAC" w14:textId="7E82DC20" w:rsidR="00582FBF" w:rsidRPr="00582FBF" w:rsidRDefault="00582FBF" w:rsidP="002D56B1">
            <w:pPr>
              <w:pStyle w:val="TableTextNormal"/>
              <w:keepNext/>
              <w:rPr>
                <w:lang w:val="en-US"/>
              </w:rPr>
            </w:pPr>
            <w:r w:rsidRPr="00582FBF">
              <w:t>Number of reported outages/faults</w:t>
            </w:r>
          </w:p>
        </w:tc>
        <w:tc>
          <w:tcPr>
            <w:tcW w:w="680" w:type="dxa"/>
            <w:hideMark/>
          </w:tcPr>
          <w:p w14:paraId="0E3ACD27" w14:textId="42870A2C" w:rsidR="00582FBF" w:rsidRPr="00582FBF" w:rsidRDefault="00785790" w:rsidP="002D56B1">
            <w:pPr>
              <w:pStyle w:val="TableTextNormal"/>
              <w:keepNext/>
              <w:jc w:val="center"/>
              <w:rPr>
                <w:lang w:val="en-US"/>
              </w:rPr>
            </w:pPr>
            <w:r w:rsidRPr="00DB655E">
              <w:rPr>
                <w:noProof/>
                <w:lang w:eastAsia="en-AU"/>
              </w:rPr>
              <mc:AlternateContent>
                <mc:Choice Requires="wps">
                  <w:drawing>
                    <wp:inline distT="0" distB="0" distL="0" distR="0" wp14:anchorId="519DFF11" wp14:editId="354F1B26">
                      <wp:extent cx="180000" cy="180000"/>
                      <wp:effectExtent l="0" t="0" r="0" b="0"/>
                      <wp:docPr id="23" name="Freeform 32" descr="Fixed line telephone services icon &#10;" title="Fixed line telephone services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80000" cy="180000"/>
                              </a:xfrm>
                              <a:custGeom>
                                <a:avLst/>
                                <a:gdLst/>
                                <a:ahLst/>
                                <a:cxnLst>
                                  <a:cxn ang="0">
                                    <a:pos x="179" y="146"/>
                                  </a:cxn>
                                  <a:cxn ang="0">
                                    <a:pos x="209" y="146"/>
                                  </a:cxn>
                                  <a:cxn ang="0">
                                    <a:pos x="125" y="161"/>
                                  </a:cxn>
                                  <a:cxn ang="0">
                                    <a:pos x="125" y="131"/>
                                  </a:cxn>
                                  <a:cxn ang="0">
                                    <a:pos x="125" y="161"/>
                                  </a:cxn>
                                  <a:cxn ang="0">
                                    <a:pos x="166" y="59"/>
                                  </a:cxn>
                                  <a:cxn ang="0">
                                    <a:pos x="116" y="87"/>
                                  </a:cxn>
                                  <a:cxn ang="0">
                                    <a:pos x="109" y="58"/>
                                  </a:cxn>
                                  <a:cxn ang="0">
                                    <a:pos x="77" y="64"/>
                                  </a:cxn>
                                  <a:cxn ang="0">
                                    <a:pos x="43" y="135"/>
                                  </a:cxn>
                                  <a:cxn ang="0">
                                    <a:pos x="46" y="147"/>
                                  </a:cxn>
                                  <a:cxn ang="0">
                                    <a:pos x="77" y="247"/>
                                  </a:cxn>
                                  <a:cxn ang="0">
                                    <a:pos x="121" y="257"/>
                                  </a:cxn>
                                  <a:cxn ang="0">
                                    <a:pos x="116" y="220"/>
                                  </a:cxn>
                                  <a:cxn ang="0">
                                    <a:pos x="100" y="213"/>
                                  </a:cxn>
                                  <a:cxn ang="0">
                                    <a:pos x="106" y="169"/>
                                  </a:cxn>
                                  <a:cxn ang="0">
                                    <a:pos x="151" y="175"/>
                                  </a:cxn>
                                  <a:cxn ang="0">
                                    <a:pos x="144" y="220"/>
                                  </a:cxn>
                                  <a:cxn ang="0">
                                    <a:pos x="134" y="249"/>
                                  </a:cxn>
                                  <a:cxn ang="0">
                                    <a:pos x="190" y="257"/>
                                  </a:cxn>
                                  <a:cxn ang="0">
                                    <a:pos x="185" y="220"/>
                                  </a:cxn>
                                  <a:cxn ang="0">
                                    <a:pos x="165" y="217"/>
                                  </a:cxn>
                                  <a:cxn ang="0">
                                    <a:pos x="177" y="173"/>
                                  </a:cxn>
                                  <a:cxn ang="0">
                                    <a:pos x="205" y="169"/>
                                  </a:cxn>
                                  <a:cxn ang="0">
                                    <a:pos x="224" y="210"/>
                                  </a:cxn>
                                  <a:cxn ang="0">
                                    <a:pos x="218" y="220"/>
                                  </a:cxn>
                                  <a:cxn ang="0">
                                    <a:pos x="203" y="220"/>
                                  </a:cxn>
                                  <a:cxn ang="0">
                                    <a:pos x="198" y="257"/>
                                  </a:cxn>
                                  <a:cxn ang="0">
                                    <a:pos x="248" y="247"/>
                                  </a:cxn>
                                  <a:cxn ang="0">
                                    <a:pos x="279" y="147"/>
                                  </a:cxn>
                                  <a:cxn ang="0">
                                    <a:pos x="285" y="140"/>
                                  </a:cxn>
                                  <a:cxn ang="0">
                                    <a:pos x="162" y="0"/>
                                  </a:cxn>
                                  <a:cxn ang="0">
                                    <a:pos x="162" y="324"/>
                                  </a:cxn>
                                  <a:cxn ang="0">
                                    <a:pos x="162" y="0"/>
                                  </a:cxn>
                                  <a:cxn ang="0">
                                    <a:pos x="311" y="162"/>
                                  </a:cxn>
                                  <a:cxn ang="0">
                                    <a:pos x="13" y="162"/>
                                  </a:cxn>
                                </a:cxnLst>
                                <a:rect l="0" t="0" r="r" b="b"/>
                                <a:pathLst>
                                  <a:path w="324" h="324">
                                    <a:moveTo>
                                      <a:pt x="194" y="161"/>
                                    </a:moveTo>
                                    <a:cubicBezTo>
                                      <a:pt x="186" y="161"/>
                                      <a:pt x="179" y="155"/>
                                      <a:pt x="179" y="146"/>
                                    </a:cubicBezTo>
                                    <a:cubicBezTo>
                                      <a:pt x="179" y="138"/>
                                      <a:pt x="186" y="131"/>
                                      <a:pt x="194" y="131"/>
                                    </a:cubicBezTo>
                                    <a:cubicBezTo>
                                      <a:pt x="203" y="131"/>
                                      <a:pt x="209" y="138"/>
                                      <a:pt x="209" y="146"/>
                                    </a:cubicBezTo>
                                    <a:cubicBezTo>
                                      <a:pt x="209" y="155"/>
                                      <a:pt x="203" y="161"/>
                                      <a:pt x="194" y="161"/>
                                    </a:cubicBezTo>
                                    <a:close/>
                                    <a:moveTo>
                                      <a:pt x="125" y="161"/>
                                    </a:moveTo>
                                    <a:cubicBezTo>
                                      <a:pt x="117" y="161"/>
                                      <a:pt x="110" y="155"/>
                                      <a:pt x="110" y="146"/>
                                    </a:cubicBezTo>
                                    <a:cubicBezTo>
                                      <a:pt x="110" y="138"/>
                                      <a:pt x="117" y="131"/>
                                      <a:pt x="125" y="131"/>
                                    </a:cubicBezTo>
                                    <a:cubicBezTo>
                                      <a:pt x="134" y="131"/>
                                      <a:pt x="140" y="138"/>
                                      <a:pt x="140" y="146"/>
                                    </a:cubicBezTo>
                                    <a:cubicBezTo>
                                      <a:pt x="140" y="155"/>
                                      <a:pt x="134" y="161"/>
                                      <a:pt x="125" y="161"/>
                                    </a:cubicBezTo>
                                    <a:close/>
                                    <a:moveTo>
                                      <a:pt x="281" y="134"/>
                                    </a:moveTo>
                                    <a:cubicBezTo>
                                      <a:pt x="166" y="59"/>
                                      <a:pt x="166" y="59"/>
                                      <a:pt x="166" y="59"/>
                                    </a:cubicBezTo>
                                    <a:cubicBezTo>
                                      <a:pt x="164" y="58"/>
                                      <a:pt x="161" y="58"/>
                                      <a:pt x="159" y="59"/>
                                    </a:cubicBezTo>
                                    <a:cubicBezTo>
                                      <a:pt x="116" y="87"/>
                                      <a:pt x="116" y="87"/>
                                      <a:pt x="116" y="87"/>
                                    </a:cubicBezTo>
                                    <a:cubicBezTo>
                                      <a:pt x="116" y="64"/>
                                      <a:pt x="116" y="64"/>
                                      <a:pt x="116" y="64"/>
                                    </a:cubicBezTo>
                                    <a:cubicBezTo>
                                      <a:pt x="116" y="61"/>
                                      <a:pt x="113" y="58"/>
                                      <a:pt x="109" y="58"/>
                                    </a:cubicBezTo>
                                    <a:cubicBezTo>
                                      <a:pt x="83" y="58"/>
                                      <a:pt x="83" y="58"/>
                                      <a:pt x="83" y="58"/>
                                    </a:cubicBezTo>
                                    <a:cubicBezTo>
                                      <a:pt x="80" y="58"/>
                                      <a:pt x="77" y="61"/>
                                      <a:pt x="77" y="64"/>
                                    </a:cubicBezTo>
                                    <a:cubicBezTo>
                                      <a:pt x="77" y="112"/>
                                      <a:pt x="77" y="112"/>
                                      <a:pt x="77" y="112"/>
                                    </a:cubicBezTo>
                                    <a:cubicBezTo>
                                      <a:pt x="43" y="135"/>
                                      <a:pt x="43" y="135"/>
                                      <a:pt x="43" y="135"/>
                                    </a:cubicBezTo>
                                    <a:cubicBezTo>
                                      <a:pt x="40" y="137"/>
                                      <a:pt x="39" y="139"/>
                                      <a:pt x="40" y="142"/>
                                    </a:cubicBezTo>
                                    <a:cubicBezTo>
                                      <a:pt x="41" y="145"/>
                                      <a:pt x="43" y="147"/>
                                      <a:pt x="46" y="147"/>
                                    </a:cubicBezTo>
                                    <a:cubicBezTo>
                                      <a:pt x="77" y="147"/>
                                      <a:pt x="77" y="147"/>
                                      <a:pt x="77" y="147"/>
                                    </a:cubicBezTo>
                                    <a:cubicBezTo>
                                      <a:pt x="77" y="247"/>
                                      <a:pt x="77" y="247"/>
                                      <a:pt x="77" y="247"/>
                                    </a:cubicBezTo>
                                    <a:cubicBezTo>
                                      <a:pt x="77" y="253"/>
                                      <a:pt x="81" y="257"/>
                                      <a:pt x="87" y="257"/>
                                    </a:cubicBezTo>
                                    <a:cubicBezTo>
                                      <a:pt x="121" y="257"/>
                                      <a:pt x="121" y="257"/>
                                      <a:pt x="121" y="257"/>
                                    </a:cubicBezTo>
                                    <a:cubicBezTo>
                                      <a:pt x="118" y="256"/>
                                      <a:pt x="116" y="253"/>
                                      <a:pt x="116" y="249"/>
                                    </a:cubicBezTo>
                                    <a:cubicBezTo>
                                      <a:pt x="116" y="220"/>
                                      <a:pt x="116" y="220"/>
                                      <a:pt x="116" y="220"/>
                                    </a:cubicBezTo>
                                    <a:cubicBezTo>
                                      <a:pt x="106" y="220"/>
                                      <a:pt x="106" y="220"/>
                                      <a:pt x="106" y="220"/>
                                    </a:cubicBezTo>
                                    <a:cubicBezTo>
                                      <a:pt x="102" y="220"/>
                                      <a:pt x="100" y="217"/>
                                      <a:pt x="100" y="213"/>
                                    </a:cubicBezTo>
                                    <a:cubicBezTo>
                                      <a:pt x="100" y="175"/>
                                      <a:pt x="100" y="175"/>
                                      <a:pt x="100" y="175"/>
                                    </a:cubicBezTo>
                                    <a:cubicBezTo>
                                      <a:pt x="100" y="172"/>
                                      <a:pt x="102" y="169"/>
                                      <a:pt x="106" y="169"/>
                                    </a:cubicBezTo>
                                    <a:cubicBezTo>
                                      <a:pt x="144" y="169"/>
                                      <a:pt x="144" y="169"/>
                                      <a:pt x="144" y="169"/>
                                    </a:cubicBezTo>
                                    <a:cubicBezTo>
                                      <a:pt x="148" y="169"/>
                                      <a:pt x="151" y="172"/>
                                      <a:pt x="151" y="175"/>
                                    </a:cubicBezTo>
                                    <a:cubicBezTo>
                                      <a:pt x="151" y="213"/>
                                      <a:pt x="151" y="213"/>
                                      <a:pt x="151" y="213"/>
                                    </a:cubicBezTo>
                                    <a:cubicBezTo>
                                      <a:pt x="151" y="217"/>
                                      <a:pt x="148" y="220"/>
                                      <a:pt x="144" y="220"/>
                                    </a:cubicBezTo>
                                    <a:cubicBezTo>
                                      <a:pt x="134" y="220"/>
                                      <a:pt x="134" y="220"/>
                                      <a:pt x="134" y="220"/>
                                    </a:cubicBezTo>
                                    <a:cubicBezTo>
                                      <a:pt x="134" y="249"/>
                                      <a:pt x="134" y="249"/>
                                      <a:pt x="134" y="249"/>
                                    </a:cubicBezTo>
                                    <a:cubicBezTo>
                                      <a:pt x="134" y="253"/>
                                      <a:pt x="132" y="256"/>
                                      <a:pt x="129" y="257"/>
                                    </a:cubicBezTo>
                                    <a:cubicBezTo>
                                      <a:pt x="190" y="257"/>
                                      <a:pt x="190" y="257"/>
                                      <a:pt x="190" y="257"/>
                                    </a:cubicBezTo>
                                    <a:cubicBezTo>
                                      <a:pt x="187" y="256"/>
                                      <a:pt x="185" y="253"/>
                                      <a:pt x="185" y="249"/>
                                    </a:cubicBezTo>
                                    <a:cubicBezTo>
                                      <a:pt x="185" y="220"/>
                                      <a:pt x="185" y="220"/>
                                      <a:pt x="185" y="220"/>
                                    </a:cubicBezTo>
                                    <a:cubicBezTo>
                                      <a:pt x="170" y="220"/>
                                      <a:pt x="170" y="220"/>
                                      <a:pt x="170" y="220"/>
                                    </a:cubicBezTo>
                                    <a:cubicBezTo>
                                      <a:pt x="168" y="220"/>
                                      <a:pt x="166" y="219"/>
                                      <a:pt x="165" y="217"/>
                                    </a:cubicBezTo>
                                    <a:cubicBezTo>
                                      <a:pt x="163" y="215"/>
                                      <a:pt x="163" y="213"/>
                                      <a:pt x="164" y="211"/>
                                    </a:cubicBezTo>
                                    <a:cubicBezTo>
                                      <a:pt x="177" y="173"/>
                                      <a:pt x="177" y="173"/>
                                      <a:pt x="177" y="173"/>
                                    </a:cubicBezTo>
                                    <a:cubicBezTo>
                                      <a:pt x="178" y="171"/>
                                      <a:pt x="180" y="169"/>
                                      <a:pt x="183" y="169"/>
                                    </a:cubicBezTo>
                                    <a:cubicBezTo>
                                      <a:pt x="205" y="169"/>
                                      <a:pt x="205" y="169"/>
                                      <a:pt x="205" y="169"/>
                                    </a:cubicBezTo>
                                    <a:cubicBezTo>
                                      <a:pt x="208" y="169"/>
                                      <a:pt x="210" y="171"/>
                                      <a:pt x="211" y="173"/>
                                    </a:cubicBezTo>
                                    <a:cubicBezTo>
                                      <a:pt x="224" y="210"/>
                                      <a:pt x="224" y="210"/>
                                      <a:pt x="224" y="210"/>
                                    </a:cubicBezTo>
                                    <a:cubicBezTo>
                                      <a:pt x="224" y="211"/>
                                      <a:pt x="225" y="212"/>
                                      <a:pt x="225" y="213"/>
                                    </a:cubicBezTo>
                                    <a:cubicBezTo>
                                      <a:pt x="225" y="217"/>
                                      <a:pt x="222" y="220"/>
                                      <a:pt x="218" y="220"/>
                                    </a:cubicBezTo>
                                    <a:cubicBezTo>
                                      <a:pt x="218" y="220"/>
                                      <a:pt x="218" y="220"/>
                                      <a:pt x="218" y="220"/>
                                    </a:cubicBezTo>
                                    <a:cubicBezTo>
                                      <a:pt x="203" y="220"/>
                                      <a:pt x="203" y="220"/>
                                      <a:pt x="203" y="220"/>
                                    </a:cubicBezTo>
                                    <a:cubicBezTo>
                                      <a:pt x="203" y="249"/>
                                      <a:pt x="203" y="249"/>
                                      <a:pt x="203" y="249"/>
                                    </a:cubicBezTo>
                                    <a:cubicBezTo>
                                      <a:pt x="203" y="253"/>
                                      <a:pt x="201" y="256"/>
                                      <a:pt x="198" y="257"/>
                                    </a:cubicBezTo>
                                    <a:cubicBezTo>
                                      <a:pt x="238" y="257"/>
                                      <a:pt x="238" y="257"/>
                                      <a:pt x="238" y="257"/>
                                    </a:cubicBezTo>
                                    <a:cubicBezTo>
                                      <a:pt x="243" y="257"/>
                                      <a:pt x="248" y="253"/>
                                      <a:pt x="248" y="247"/>
                                    </a:cubicBezTo>
                                    <a:cubicBezTo>
                                      <a:pt x="248" y="147"/>
                                      <a:pt x="248" y="147"/>
                                      <a:pt x="248" y="147"/>
                                    </a:cubicBezTo>
                                    <a:cubicBezTo>
                                      <a:pt x="279" y="147"/>
                                      <a:pt x="279" y="147"/>
                                      <a:pt x="279" y="147"/>
                                    </a:cubicBezTo>
                                    <a:cubicBezTo>
                                      <a:pt x="279" y="147"/>
                                      <a:pt x="279" y="147"/>
                                      <a:pt x="279" y="147"/>
                                    </a:cubicBezTo>
                                    <a:cubicBezTo>
                                      <a:pt x="282" y="147"/>
                                      <a:pt x="285" y="144"/>
                                      <a:pt x="285" y="140"/>
                                    </a:cubicBezTo>
                                    <a:cubicBezTo>
                                      <a:pt x="285" y="138"/>
                                      <a:pt x="284" y="135"/>
                                      <a:pt x="281" y="134"/>
                                    </a:cubicBezTo>
                                    <a:close/>
                                    <a:moveTo>
                                      <a:pt x="162" y="0"/>
                                    </a:moveTo>
                                    <a:cubicBezTo>
                                      <a:pt x="73" y="0"/>
                                      <a:pt x="0" y="72"/>
                                      <a:pt x="0" y="162"/>
                                    </a:cubicBezTo>
                                    <a:cubicBezTo>
                                      <a:pt x="0" y="251"/>
                                      <a:pt x="73" y="324"/>
                                      <a:pt x="162" y="324"/>
                                    </a:cubicBezTo>
                                    <a:cubicBezTo>
                                      <a:pt x="252" y="324"/>
                                      <a:pt x="324" y="251"/>
                                      <a:pt x="324" y="162"/>
                                    </a:cubicBezTo>
                                    <a:cubicBezTo>
                                      <a:pt x="324" y="72"/>
                                      <a:pt x="252" y="0"/>
                                      <a:pt x="162" y="0"/>
                                    </a:cubicBezTo>
                                    <a:close/>
                                    <a:moveTo>
                                      <a:pt x="162" y="13"/>
                                    </a:moveTo>
                                    <a:cubicBezTo>
                                      <a:pt x="244" y="13"/>
                                      <a:pt x="311" y="80"/>
                                      <a:pt x="311" y="162"/>
                                    </a:cubicBezTo>
                                    <a:cubicBezTo>
                                      <a:pt x="311" y="244"/>
                                      <a:pt x="244" y="311"/>
                                      <a:pt x="162" y="311"/>
                                    </a:cubicBezTo>
                                    <a:cubicBezTo>
                                      <a:pt x="80" y="311"/>
                                      <a:pt x="13" y="244"/>
                                      <a:pt x="13" y="162"/>
                                    </a:cubicBezTo>
                                    <a:cubicBezTo>
                                      <a:pt x="13" y="80"/>
                                      <a:pt x="80" y="13"/>
                                      <a:pt x="162" y="13"/>
                                    </a:cubicBezTo>
                                  </a:path>
                                </a:pathLst>
                              </a:custGeom>
                              <a:solidFill>
                                <a:schemeClr val="tx2"/>
                              </a:solidFill>
                              <a:ln w="9525">
                                <a:noFill/>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503966D9" id="Freeform 32" o:spid="_x0000_s1026" alt="Title: Fixed line telephone services icon - Description: Fixed line telephone services icon &#10;" style="width:14.15pt;height:14.15pt;visibility:visible;mso-wrap-style:square;mso-left-percent:-10001;mso-top-percent:-10001;mso-position-horizontal:absolute;mso-position-horizontal-relative:char;mso-position-vertical:absolute;mso-position-vertical-relative:line;mso-left-percent:-10001;mso-top-percent:-10001;v-text-anchor:top" coordsize="32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" path="m194,161v-8,,-15,-6,-15,-15c179,138,186,131,194,131v9,,15,7,15,15c209,155,203,161,194,161xm125,161v-8,,-15,-6,-15,-15c110,138,117,131,125,131v9,,15,7,15,15c140,155,134,161,125,161xm281,134c166,59,166,59,166,59v-2,-1,-5,-1,-7,c116,87,116,87,116,87v,-23,,-23,,-23c116,61,113,58,109,58v-26,,-26,,-26,c80,58,77,61,77,64v,48,,48,,48c43,135,43,135,43,135v-3,2,-4,4,-3,7c41,145,43,147,46,147v31,,31,,31,c77,247,77,247,77,247v,6,4,10,10,10c121,257,121,257,121,257v-3,-1,-5,-4,-5,-8c116,220,116,220,116,220v-10,,-10,,-10,c102,220,100,217,100,213v,-38,,-38,,-38c100,172,102,169,106,169v38,,38,,38,c148,169,151,172,151,175v,38,,38,,38c151,217,148,220,144,220v-10,,-10,,-10,c134,249,134,249,134,249v,4,-2,7,-5,8c190,257,190,257,190,257v-3,-1,-5,-4,-5,-8c185,220,185,220,185,220v-15,,-15,,-15,c168,220,166,219,165,217v-2,-2,-2,-4,-1,-6c177,173,177,173,177,173v1,-2,3,-4,6,-4c205,169,205,169,205,169v3,,5,2,6,4c224,210,224,210,224,210v,1,1,2,1,3c225,217,222,220,218,220v,,,,,c203,220,203,220,203,220v,29,,29,,29c203,253,201,256,198,257v40,,40,,40,c243,257,248,253,248,247v,-100,,-100,,-100c279,147,279,147,279,147v,,,,,c282,147,285,144,285,140v,-2,-1,-5,-4,-6xm162,c73,,,72,,162v,89,73,162,162,162c252,324,324,251,324,162,324,72,252,,162,xm162,13v82,,149,67,149,149c311,244,244,311,162,311,80,311,13,244,13,162,13,80,80,13,162,13e" fillcolor="#a32020 [3215]" stroked="f">
                      <v:path arrowok="t" o:connecttype="custom" o:connectlocs="179,146;209,146;125,161;125,131;125,161;166,59;116,87;109,58;77,64;43,135;46,147;77,247;121,257;116,220;100,213;106,169;151,175;144,220;134,249;190,257;185,220;165,217;177,173;205,169;224,210;218,220;203,220;198,257;248,247;279,147;285,140;162,0;162,324;162,0;311,162;13,162" o:connectangles="0,0,0,0,0,0,0,0,0,0,0,0,0,0,0,0,0,0,0,0,0,0,0,0,0,0,0,0,0,0,0,0,0,0,0,0"/>
                      <o:lock v:ext="edit" verticies="t"/>
                      <w10:anchorlock/>
                    </v:shape>
                  </w:pict>
                </mc:Fallback>
              </mc:AlternateContent>
            </w:r>
          </w:p>
        </w:tc>
        <w:tc>
          <w:tcPr>
            <w:tcW w:w="680" w:type="dxa"/>
            <w:hideMark/>
          </w:tcPr>
          <w:p w14:paraId="00DCFB48" w14:textId="77777777" w:rsidR="00582FBF" w:rsidRPr="00582FBF" w:rsidRDefault="00582FBF" w:rsidP="002D56B1">
            <w:pPr>
              <w:pStyle w:val="TableTextNormal"/>
              <w:keepNext/>
              <w:jc w:val="center"/>
              <w:rPr>
                <w:lang w:val="en-US"/>
              </w:rPr>
            </w:pPr>
          </w:p>
        </w:tc>
        <w:tc>
          <w:tcPr>
            <w:tcW w:w="680" w:type="dxa"/>
            <w:hideMark/>
          </w:tcPr>
          <w:p w14:paraId="38A0AFC8" w14:textId="23C031F4" w:rsidR="00785790" w:rsidRPr="00582FBF" w:rsidRDefault="00785790" w:rsidP="002D56B1">
            <w:pPr>
              <w:pStyle w:val="TableTextNormal"/>
              <w:keepNext/>
              <w:jc w:val="center"/>
              <w:rPr>
                <w:lang w:val="en-US"/>
              </w:rPr>
            </w:pPr>
            <w:r w:rsidRPr="00DB655E">
              <w:rPr>
                <w:noProof/>
                <w:lang w:eastAsia="en-AU"/>
              </w:rPr>
              <mc:AlternateContent>
                <mc:Choice Requires="wps">
                  <w:drawing>
                    <wp:inline distT="0" distB="0" distL="0" distR="0" wp14:anchorId="4BCF01B3" wp14:editId="5F810F42">
                      <wp:extent cx="180000" cy="180000"/>
                      <wp:effectExtent l="0" t="0" r="0" b="0"/>
                      <wp:docPr id="24" name="Freeform 32" descr="Fixed line telephone services icon &#10;" title="Fixed line telephone services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80000" cy="180000"/>
                              </a:xfrm>
                              <a:custGeom>
                                <a:avLst/>
                                <a:gdLst/>
                                <a:ahLst/>
                                <a:cxnLst>
                                  <a:cxn ang="0">
                                    <a:pos x="179" y="146"/>
                                  </a:cxn>
                                  <a:cxn ang="0">
                                    <a:pos x="209" y="146"/>
                                  </a:cxn>
                                  <a:cxn ang="0">
                                    <a:pos x="125" y="161"/>
                                  </a:cxn>
                                  <a:cxn ang="0">
                                    <a:pos x="125" y="131"/>
                                  </a:cxn>
                                  <a:cxn ang="0">
                                    <a:pos x="125" y="161"/>
                                  </a:cxn>
                                  <a:cxn ang="0">
                                    <a:pos x="166" y="59"/>
                                  </a:cxn>
                                  <a:cxn ang="0">
                                    <a:pos x="116" y="87"/>
                                  </a:cxn>
                                  <a:cxn ang="0">
                                    <a:pos x="109" y="58"/>
                                  </a:cxn>
                                  <a:cxn ang="0">
                                    <a:pos x="77" y="64"/>
                                  </a:cxn>
                                  <a:cxn ang="0">
                                    <a:pos x="43" y="135"/>
                                  </a:cxn>
                                  <a:cxn ang="0">
                                    <a:pos x="46" y="147"/>
                                  </a:cxn>
                                  <a:cxn ang="0">
                                    <a:pos x="77" y="247"/>
                                  </a:cxn>
                                  <a:cxn ang="0">
                                    <a:pos x="121" y="257"/>
                                  </a:cxn>
                                  <a:cxn ang="0">
                                    <a:pos x="116" y="220"/>
                                  </a:cxn>
                                  <a:cxn ang="0">
                                    <a:pos x="100" y="213"/>
                                  </a:cxn>
                                  <a:cxn ang="0">
                                    <a:pos x="106" y="169"/>
                                  </a:cxn>
                                  <a:cxn ang="0">
                                    <a:pos x="151" y="175"/>
                                  </a:cxn>
                                  <a:cxn ang="0">
                                    <a:pos x="144" y="220"/>
                                  </a:cxn>
                                  <a:cxn ang="0">
                                    <a:pos x="134" y="249"/>
                                  </a:cxn>
                                  <a:cxn ang="0">
                                    <a:pos x="190" y="257"/>
                                  </a:cxn>
                                  <a:cxn ang="0">
                                    <a:pos x="185" y="220"/>
                                  </a:cxn>
                                  <a:cxn ang="0">
                                    <a:pos x="165" y="217"/>
                                  </a:cxn>
                                  <a:cxn ang="0">
                                    <a:pos x="177" y="173"/>
                                  </a:cxn>
                                  <a:cxn ang="0">
                                    <a:pos x="205" y="169"/>
                                  </a:cxn>
                                  <a:cxn ang="0">
                                    <a:pos x="224" y="210"/>
                                  </a:cxn>
                                  <a:cxn ang="0">
                                    <a:pos x="218" y="220"/>
                                  </a:cxn>
                                  <a:cxn ang="0">
                                    <a:pos x="203" y="220"/>
                                  </a:cxn>
                                  <a:cxn ang="0">
                                    <a:pos x="198" y="257"/>
                                  </a:cxn>
                                  <a:cxn ang="0">
                                    <a:pos x="248" y="247"/>
                                  </a:cxn>
                                  <a:cxn ang="0">
                                    <a:pos x="279" y="147"/>
                                  </a:cxn>
                                  <a:cxn ang="0">
                                    <a:pos x="285" y="140"/>
                                  </a:cxn>
                                  <a:cxn ang="0">
                                    <a:pos x="162" y="0"/>
                                  </a:cxn>
                                  <a:cxn ang="0">
                                    <a:pos x="162" y="324"/>
                                  </a:cxn>
                                  <a:cxn ang="0">
                                    <a:pos x="162" y="0"/>
                                  </a:cxn>
                                  <a:cxn ang="0">
                                    <a:pos x="311" y="162"/>
                                  </a:cxn>
                                  <a:cxn ang="0">
                                    <a:pos x="13" y="162"/>
                                  </a:cxn>
                                </a:cxnLst>
                                <a:rect l="0" t="0" r="r" b="b"/>
                                <a:pathLst>
                                  <a:path w="324" h="324">
                                    <a:moveTo>
                                      <a:pt x="194" y="161"/>
                                    </a:moveTo>
                                    <a:cubicBezTo>
                                      <a:pt x="186" y="161"/>
                                      <a:pt x="179" y="155"/>
                                      <a:pt x="179" y="146"/>
                                    </a:cubicBezTo>
                                    <a:cubicBezTo>
                                      <a:pt x="179" y="138"/>
                                      <a:pt x="186" y="131"/>
                                      <a:pt x="194" y="131"/>
                                    </a:cubicBezTo>
                                    <a:cubicBezTo>
                                      <a:pt x="203" y="131"/>
                                      <a:pt x="209" y="138"/>
                                      <a:pt x="209" y="146"/>
                                    </a:cubicBezTo>
                                    <a:cubicBezTo>
                                      <a:pt x="209" y="155"/>
                                      <a:pt x="203" y="161"/>
                                      <a:pt x="194" y="161"/>
                                    </a:cubicBezTo>
                                    <a:close/>
                                    <a:moveTo>
                                      <a:pt x="125" y="161"/>
                                    </a:moveTo>
                                    <a:cubicBezTo>
                                      <a:pt x="117" y="161"/>
                                      <a:pt x="110" y="155"/>
                                      <a:pt x="110" y="146"/>
                                    </a:cubicBezTo>
                                    <a:cubicBezTo>
                                      <a:pt x="110" y="138"/>
                                      <a:pt x="117" y="131"/>
                                      <a:pt x="125" y="131"/>
                                    </a:cubicBezTo>
                                    <a:cubicBezTo>
                                      <a:pt x="134" y="131"/>
                                      <a:pt x="140" y="138"/>
                                      <a:pt x="140" y="146"/>
                                    </a:cubicBezTo>
                                    <a:cubicBezTo>
                                      <a:pt x="140" y="155"/>
                                      <a:pt x="134" y="161"/>
                                      <a:pt x="125" y="161"/>
                                    </a:cubicBezTo>
                                    <a:close/>
                                    <a:moveTo>
                                      <a:pt x="281" y="134"/>
                                    </a:moveTo>
                                    <a:cubicBezTo>
                                      <a:pt x="166" y="59"/>
                                      <a:pt x="166" y="59"/>
                                      <a:pt x="166" y="59"/>
                                    </a:cubicBezTo>
                                    <a:cubicBezTo>
                                      <a:pt x="164" y="58"/>
                                      <a:pt x="161" y="58"/>
                                      <a:pt x="159" y="59"/>
                                    </a:cubicBezTo>
                                    <a:cubicBezTo>
                                      <a:pt x="116" y="87"/>
                                      <a:pt x="116" y="87"/>
                                      <a:pt x="116" y="87"/>
                                    </a:cubicBezTo>
                                    <a:cubicBezTo>
                                      <a:pt x="116" y="64"/>
                                      <a:pt x="116" y="64"/>
                                      <a:pt x="116" y="64"/>
                                    </a:cubicBezTo>
                                    <a:cubicBezTo>
                                      <a:pt x="116" y="61"/>
                                      <a:pt x="113" y="58"/>
                                      <a:pt x="109" y="58"/>
                                    </a:cubicBezTo>
                                    <a:cubicBezTo>
                                      <a:pt x="83" y="58"/>
                                      <a:pt x="83" y="58"/>
                                      <a:pt x="83" y="58"/>
                                    </a:cubicBezTo>
                                    <a:cubicBezTo>
                                      <a:pt x="80" y="58"/>
                                      <a:pt x="77" y="61"/>
                                      <a:pt x="77" y="64"/>
                                    </a:cubicBezTo>
                                    <a:cubicBezTo>
                                      <a:pt x="77" y="112"/>
                                      <a:pt x="77" y="112"/>
                                      <a:pt x="77" y="112"/>
                                    </a:cubicBezTo>
                                    <a:cubicBezTo>
                                      <a:pt x="43" y="135"/>
                                      <a:pt x="43" y="135"/>
                                      <a:pt x="43" y="135"/>
                                    </a:cubicBezTo>
                                    <a:cubicBezTo>
                                      <a:pt x="40" y="137"/>
                                      <a:pt x="39" y="139"/>
                                      <a:pt x="40" y="142"/>
                                    </a:cubicBezTo>
                                    <a:cubicBezTo>
                                      <a:pt x="41" y="145"/>
                                      <a:pt x="43" y="147"/>
                                      <a:pt x="46" y="147"/>
                                    </a:cubicBezTo>
                                    <a:cubicBezTo>
                                      <a:pt x="77" y="147"/>
                                      <a:pt x="77" y="147"/>
                                      <a:pt x="77" y="147"/>
                                    </a:cubicBezTo>
                                    <a:cubicBezTo>
                                      <a:pt x="77" y="247"/>
                                      <a:pt x="77" y="247"/>
                                      <a:pt x="77" y="247"/>
                                    </a:cubicBezTo>
                                    <a:cubicBezTo>
                                      <a:pt x="77" y="253"/>
                                      <a:pt x="81" y="257"/>
                                      <a:pt x="87" y="257"/>
                                    </a:cubicBezTo>
                                    <a:cubicBezTo>
                                      <a:pt x="121" y="257"/>
                                      <a:pt x="121" y="257"/>
                                      <a:pt x="121" y="257"/>
                                    </a:cubicBezTo>
                                    <a:cubicBezTo>
                                      <a:pt x="118" y="256"/>
                                      <a:pt x="116" y="253"/>
                                      <a:pt x="116" y="249"/>
                                    </a:cubicBezTo>
                                    <a:cubicBezTo>
                                      <a:pt x="116" y="220"/>
                                      <a:pt x="116" y="220"/>
                                      <a:pt x="116" y="220"/>
                                    </a:cubicBezTo>
                                    <a:cubicBezTo>
                                      <a:pt x="106" y="220"/>
                                      <a:pt x="106" y="220"/>
                                      <a:pt x="106" y="220"/>
                                    </a:cubicBezTo>
                                    <a:cubicBezTo>
                                      <a:pt x="102" y="220"/>
                                      <a:pt x="100" y="217"/>
                                      <a:pt x="100" y="213"/>
                                    </a:cubicBezTo>
                                    <a:cubicBezTo>
                                      <a:pt x="100" y="175"/>
                                      <a:pt x="100" y="175"/>
                                      <a:pt x="100" y="175"/>
                                    </a:cubicBezTo>
                                    <a:cubicBezTo>
                                      <a:pt x="100" y="172"/>
                                      <a:pt x="102" y="169"/>
                                      <a:pt x="106" y="169"/>
                                    </a:cubicBezTo>
                                    <a:cubicBezTo>
                                      <a:pt x="144" y="169"/>
                                      <a:pt x="144" y="169"/>
                                      <a:pt x="144" y="169"/>
                                    </a:cubicBezTo>
                                    <a:cubicBezTo>
                                      <a:pt x="148" y="169"/>
                                      <a:pt x="151" y="172"/>
                                      <a:pt x="151" y="175"/>
                                    </a:cubicBezTo>
                                    <a:cubicBezTo>
                                      <a:pt x="151" y="213"/>
                                      <a:pt x="151" y="213"/>
                                      <a:pt x="151" y="213"/>
                                    </a:cubicBezTo>
                                    <a:cubicBezTo>
                                      <a:pt x="151" y="217"/>
                                      <a:pt x="148" y="220"/>
                                      <a:pt x="144" y="220"/>
                                    </a:cubicBezTo>
                                    <a:cubicBezTo>
                                      <a:pt x="134" y="220"/>
                                      <a:pt x="134" y="220"/>
                                      <a:pt x="134" y="220"/>
                                    </a:cubicBezTo>
                                    <a:cubicBezTo>
                                      <a:pt x="134" y="249"/>
                                      <a:pt x="134" y="249"/>
                                      <a:pt x="134" y="249"/>
                                    </a:cubicBezTo>
                                    <a:cubicBezTo>
                                      <a:pt x="134" y="253"/>
                                      <a:pt x="132" y="256"/>
                                      <a:pt x="129" y="257"/>
                                    </a:cubicBezTo>
                                    <a:cubicBezTo>
                                      <a:pt x="190" y="257"/>
                                      <a:pt x="190" y="257"/>
                                      <a:pt x="190" y="257"/>
                                    </a:cubicBezTo>
                                    <a:cubicBezTo>
                                      <a:pt x="187" y="256"/>
                                      <a:pt x="185" y="253"/>
                                      <a:pt x="185" y="249"/>
                                    </a:cubicBezTo>
                                    <a:cubicBezTo>
                                      <a:pt x="185" y="220"/>
                                      <a:pt x="185" y="220"/>
                                      <a:pt x="185" y="220"/>
                                    </a:cubicBezTo>
                                    <a:cubicBezTo>
                                      <a:pt x="170" y="220"/>
                                      <a:pt x="170" y="220"/>
                                      <a:pt x="170" y="220"/>
                                    </a:cubicBezTo>
                                    <a:cubicBezTo>
                                      <a:pt x="168" y="220"/>
                                      <a:pt x="166" y="219"/>
                                      <a:pt x="165" y="217"/>
                                    </a:cubicBezTo>
                                    <a:cubicBezTo>
                                      <a:pt x="163" y="215"/>
                                      <a:pt x="163" y="213"/>
                                      <a:pt x="164" y="211"/>
                                    </a:cubicBezTo>
                                    <a:cubicBezTo>
                                      <a:pt x="177" y="173"/>
                                      <a:pt x="177" y="173"/>
                                      <a:pt x="177" y="173"/>
                                    </a:cubicBezTo>
                                    <a:cubicBezTo>
                                      <a:pt x="178" y="171"/>
                                      <a:pt x="180" y="169"/>
                                      <a:pt x="183" y="169"/>
                                    </a:cubicBezTo>
                                    <a:cubicBezTo>
                                      <a:pt x="205" y="169"/>
                                      <a:pt x="205" y="169"/>
                                      <a:pt x="205" y="169"/>
                                    </a:cubicBezTo>
                                    <a:cubicBezTo>
                                      <a:pt x="208" y="169"/>
                                      <a:pt x="210" y="171"/>
                                      <a:pt x="211" y="173"/>
                                    </a:cubicBezTo>
                                    <a:cubicBezTo>
                                      <a:pt x="224" y="210"/>
                                      <a:pt x="224" y="210"/>
                                      <a:pt x="224" y="210"/>
                                    </a:cubicBezTo>
                                    <a:cubicBezTo>
                                      <a:pt x="224" y="211"/>
                                      <a:pt x="225" y="212"/>
                                      <a:pt x="225" y="213"/>
                                    </a:cubicBezTo>
                                    <a:cubicBezTo>
                                      <a:pt x="225" y="217"/>
                                      <a:pt x="222" y="220"/>
                                      <a:pt x="218" y="220"/>
                                    </a:cubicBezTo>
                                    <a:cubicBezTo>
                                      <a:pt x="218" y="220"/>
                                      <a:pt x="218" y="220"/>
                                      <a:pt x="218" y="220"/>
                                    </a:cubicBezTo>
                                    <a:cubicBezTo>
                                      <a:pt x="203" y="220"/>
                                      <a:pt x="203" y="220"/>
                                      <a:pt x="203" y="220"/>
                                    </a:cubicBezTo>
                                    <a:cubicBezTo>
                                      <a:pt x="203" y="249"/>
                                      <a:pt x="203" y="249"/>
                                      <a:pt x="203" y="249"/>
                                    </a:cubicBezTo>
                                    <a:cubicBezTo>
                                      <a:pt x="203" y="253"/>
                                      <a:pt x="201" y="256"/>
                                      <a:pt x="198" y="257"/>
                                    </a:cubicBezTo>
                                    <a:cubicBezTo>
                                      <a:pt x="238" y="257"/>
                                      <a:pt x="238" y="257"/>
                                      <a:pt x="238" y="257"/>
                                    </a:cubicBezTo>
                                    <a:cubicBezTo>
                                      <a:pt x="243" y="257"/>
                                      <a:pt x="248" y="253"/>
                                      <a:pt x="248" y="247"/>
                                    </a:cubicBezTo>
                                    <a:cubicBezTo>
                                      <a:pt x="248" y="147"/>
                                      <a:pt x="248" y="147"/>
                                      <a:pt x="248" y="147"/>
                                    </a:cubicBezTo>
                                    <a:cubicBezTo>
                                      <a:pt x="279" y="147"/>
                                      <a:pt x="279" y="147"/>
                                      <a:pt x="279" y="147"/>
                                    </a:cubicBezTo>
                                    <a:cubicBezTo>
                                      <a:pt x="279" y="147"/>
                                      <a:pt x="279" y="147"/>
                                      <a:pt x="279" y="147"/>
                                    </a:cubicBezTo>
                                    <a:cubicBezTo>
                                      <a:pt x="282" y="147"/>
                                      <a:pt x="285" y="144"/>
                                      <a:pt x="285" y="140"/>
                                    </a:cubicBezTo>
                                    <a:cubicBezTo>
                                      <a:pt x="285" y="138"/>
                                      <a:pt x="284" y="135"/>
                                      <a:pt x="281" y="134"/>
                                    </a:cubicBezTo>
                                    <a:close/>
                                    <a:moveTo>
                                      <a:pt x="162" y="0"/>
                                    </a:moveTo>
                                    <a:cubicBezTo>
                                      <a:pt x="73" y="0"/>
                                      <a:pt x="0" y="72"/>
                                      <a:pt x="0" y="162"/>
                                    </a:cubicBezTo>
                                    <a:cubicBezTo>
                                      <a:pt x="0" y="251"/>
                                      <a:pt x="73" y="324"/>
                                      <a:pt x="162" y="324"/>
                                    </a:cubicBezTo>
                                    <a:cubicBezTo>
                                      <a:pt x="252" y="324"/>
                                      <a:pt x="324" y="251"/>
                                      <a:pt x="324" y="162"/>
                                    </a:cubicBezTo>
                                    <a:cubicBezTo>
                                      <a:pt x="324" y="72"/>
                                      <a:pt x="252" y="0"/>
                                      <a:pt x="162" y="0"/>
                                    </a:cubicBezTo>
                                    <a:close/>
                                    <a:moveTo>
                                      <a:pt x="162" y="13"/>
                                    </a:moveTo>
                                    <a:cubicBezTo>
                                      <a:pt x="244" y="13"/>
                                      <a:pt x="311" y="80"/>
                                      <a:pt x="311" y="162"/>
                                    </a:cubicBezTo>
                                    <a:cubicBezTo>
                                      <a:pt x="311" y="244"/>
                                      <a:pt x="244" y="311"/>
                                      <a:pt x="162" y="311"/>
                                    </a:cubicBezTo>
                                    <a:cubicBezTo>
                                      <a:pt x="80" y="311"/>
                                      <a:pt x="13" y="244"/>
                                      <a:pt x="13" y="162"/>
                                    </a:cubicBezTo>
                                    <a:cubicBezTo>
                                      <a:pt x="13" y="80"/>
                                      <a:pt x="80" y="13"/>
                                      <a:pt x="162" y="13"/>
                                    </a:cubicBezTo>
                                  </a:path>
                                </a:pathLst>
                              </a:custGeom>
                              <a:solidFill>
                                <a:schemeClr val="tx2"/>
                              </a:solidFill>
                              <a:ln w="9525">
                                <a:noFill/>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61FC60A8" id="Freeform 32" o:spid="_x0000_s1026" alt="Title: Fixed line telephone services icon - Description: Fixed line telephone services icon &#10;" style="width:14.15pt;height:14.15pt;visibility:visible;mso-wrap-style:square;mso-left-percent:-10001;mso-top-percent:-10001;mso-position-horizontal:absolute;mso-position-horizontal-relative:char;mso-position-vertical:absolute;mso-position-vertical-relative:line;mso-left-percent:-10001;mso-top-percent:-10001;v-text-anchor:top" coordsize="32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" path="m194,161v-8,,-15,-6,-15,-15c179,138,186,131,194,131v9,,15,7,15,15c209,155,203,161,194,161xm125,161v-8,,-15,-6,-15,-15c110,138,117,131,125,131v9,,15,7,15,15c140,155,134,161,125,161xm281,134c166,59,166,59,166,59v-2,-1,-5,-1,-7,c116,87,116,87,116,87v,-23,,-23,,-23c116,61,113,58,109,58v-26,,-26,,-26,c80,58,77,61,77,64v,48,,48,,48c43,135,43,135,43,135v-3,2,-4,4,-3,7c41,145,43,147,46,147v31,,31,,31,c77,247,77,247,77,247v,6,4,10,10,10c121,257,121,257,121,257v-3,-1,-5,-4,-5,-8c116,220,116,220,116,220v-10,,-10,,-10,c102,220,100,217,100,213v,-38,,-38,,-38c100,172,102,169,106,169v38,,38,,38,c148,169,151,172,151,175v,38,,38,,38c151,217,148,220,144,220v-10,,-10,,-10,c134,249,134,249,134,249v,4,-2,7,-5,8c190,257,190,257,190,257v-3,-1,-5,-4,-5,-8c185,220,185,220,185,220v-15,,-15,,-15,c168,220,166,219,165,217v-2,-2,-2,-4,-1,-6c177,173,177,173,177,173v1,-2,3,-4,6,-4c205,169,205,169,205,169v3,,5,2,6,4c224,210,224,210,224,210v,1,1,2,1,3c225,217,222,220,218,220v,,,,,c203,220,203,220,203,220v,29,,29,,29c203,253,201,256,198,257v40,,40,,40,c243,257,248,253,248,247v,-100,,-100,,-100c279,147,279,147,279,147v,,,,,c282,147,285,144,285,140v,-2,-1,-5,-4,-6xm162,c73,,,72,,162v,89,73,162,162,162c252,324,324,251,324,162,324,72,252,,162,xm162,13v82,,149,67,149,149c311,244,244,311,162,311,80,311,13,244,13,162,13,80,80,13,162,13e" fillcolor="#a32020 [3215]" stroked="f">
                      <v:path arrowok="t" o:connecttype="custom" o:connectlocs="179,146;209,146;125,161;125,131;125,161;166,59;116,87;109,58;77,64;43,135;46,147;77,247;121,257;116,220;100,213;106,169;151,175;144,220;134,249;190,257;185,220;165,217;177,173;205,169;224,210;218,220;203,220;198,257;248,247;279,147;285,140;162,0;162,324;162,0;311,162;13,162" o:connectangles="0,0,0,0,0,0,0,0,0,0,0,0,0,0,0,0,0,0,0,0,0,0,0,0,0,0,0,0,0,0,0,0,0,0,0,0"/>
                      <o:lock v:ext="edit" verticies="t"/>
                      <w10:anchorlock/>
                    </v:shape>
                  </w:pict>
                </mc:Fallback>
              </mc:AlternateContent>
            </w:r>
            <w:r w:rsidRPr="008F3B97">
              <w:rPr>
                <w:noProof/>
                <w:lang w:eastAsia="en-AU"/>
              </w:rPr>
              <mc:AlternateContent>
                <mc:Choice Requires="wps">
                  <w:drawing>
                    <wp:inline distT="0" distB="0" distL="0" distR="0" wp14:anchorId="7AB1DDF9" wp14:editId="512E5545">
                      <wp:extent cx="180000" cy="180000"/>
                      <wp:effectExtent l="0" t="0" r="0" b="0"/>
                      <wp:docPr id="25" name="Freeform 8" descr="Mobile services icon" title="Mobile services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80000" cy="180000"/>
                              </a:xfrm>
                              <a:custGeom>
                                <a:avLst/>
                                <a:gdLst/>
                                <a:ahLst/>
                                <a:cxnLst>
                                  <a:cxn ang="0">
                                    <a:pos x="215" y="238"/>
                                  </a:cxn>
                                  <a:cxn ang="0">
                                    <a:pos x="108" y="238"/>
                                  </a:cxn>
                                  <a:cxn ang="0">
                                    <a:pos x="108" y="78"/>
                                  </a:cxn>
                                  <a:cxn ang="0">
                                    <a:pos x="215" y="78"/>
                                  </a:cxn>
                                  <a:cxn ang="0">
                                    <a:pos x="215" y="238"/>
                                  </a:cxn>
                                  <a:cxn ang="0">
                                    <a:pos x="161" y="273"/>
                                  </a:cxn>
                                  <a:cxn ang="0">
                                    <a:pos x="149" y="261"/>
                                  </a:cxn>
                                  <a:cxn ang="0">
                                    <a:pos x="161" y="249"/>
                                  </a:cxn>
                                  <a:cxn ang="0">
                                    <a:pos x="173" y="261"/>
                                  </a:cxn>
                                  <a:cxn ang="0">
                                    <a:pos x="161" y="273"/>
                                  </a:cxn>
                                  <a:cxn ang="0">
                                    <a:pos x="149" y="57"/>
                                  </a:cxn>
                                  <a:cxn ang="0">
                                    <a:pos x="173" y="57"/>
                                  </a:cxn>
                                  <a:cxn ang="0">
                                    <a:pos x="178" y="62"/>
                                  </a:cxn>
                                  <a:cxn ang="0">
                                    <a:pos x="173" y="67"/>
                                  </a:cxn>
                                  <a:cxn ang="0">
                                    <a:pos x="149" y="67"/>
                                  </a:cxn>
                                  <a:cxn ang="0">
                                    <a:pos x="144" y="62"/>
                                  </a:cxn>
                                  <a:cxn ang="0">
                                    <a:pos x="149" y="57"/>
                                  </a:cxn>
                                  <a:cxn ang="0">
                                    <a:pos x="215" y="39"/>
                                  </a:cxn>
                                  <a:cxn ang="0">
                                    <a:pos x="107" y="39"/>
                                  </a:cxn>
                                  <a:cxn ang="0">
                                    <a:pos x="89" y="57"/>
                                  </a:cxn>
                                  <a:cxn ang="0">
                                    <a:pos x="89" y="266"/>
                                  </a:cxn>
                                  <a:cxn ang="0">
                                    <a:pos x="107" y="284"/>
                                  </a:cxn>
                                  <a:cxn ang="0">
                                    <a:pos x="215" y="284"/>
                                  </a:cxn>
                                  <a:cxn ang="0">
                                    <a:pos x="233" y="266"/>
                                  </a:cxn>
                                  <a:cxn ang="0">
                                    <a:pos x="233" y="57"/>
                                  </a:cxn>
                                  <a:cxn ang="0">
                                    <a:pos x="215" y="39"/>
                                  </a:cxn>
                                  <a:cxn ang="0">
                                    <a:pos x="161" y="311"/>
                                  </a:cxn>
                                  <a:cxn ang="0">
                                    <a:pos x="12" y="162"/>
                                  </a:cxn>
                                  <a:cxn ang="0">
                                    <a:pos x="161" y="13"/>
                                  </a:cxn>
                                  <a:cxn ang="0">
                                    <a:pos x="310" y="162"/>
                                  </a:cxn>
                                  <a:cxn ang="0">
                                    <a:pos x="161" y="311"/>
                                  </a:cxn>
                                  <a:cxn ang="0">
                                    <a:pos x="161" y="0"/>
                                  </a:cxn>
                                  <a:cxn ang="0">
                                    <a:pos x="0" y="162"/>
                                  </a:cxn>
                                  <a:cxn ang="0">
                                    <a:pos x="161" y="324"/>
                                  </a:cxn>
                                  <a:cxn ang="0">
                                    <a:pos x="323" y="162"/>
                                  </a:cxn>
                                  <a:cxn ang="0">
                                    <a:pos x="161" y="0"/>
                                  </a:cxn>
                                </a:cxnLst>
                                <a:rect l="0" t="0" r="r" b="b"/>
                                <a:pathLst>
                                  <a:path w="323" h="324">
                                    <a:moveTo>
                                      <a:pt x="215" y="238"/>
                                    </a:moveTo>
                                    <a:cubicBezTo>
                                      <a:pt x="108" y="238"/>
                                      <a:pt x="108" y="238"/>
                                      <a:pt x="108" y="238"/>
                                    </a:cubicBezTo>
                                    <a:cubicBezTo>
                                      <a:pt x="108" y="78"/>
                                      <a:pt x="108" y="78"/>
                                      <a:pt x="108" y="78"/>
                                    </a:cubicBezTo>
                                    <a:cubicBezTo>
                                      <a:pt x="215" y="78"/>
                                      <a:pt x="215" y="78"/>
                                      <a:pt x="215" y="78"/>
                                    </a:cubicBezTo>
                                    <a:lnTo>
                                      <a:pt x="215" y="238"/>
                                    </a:lnTo>
                                    <a:close/>
                                    <a:moveTo>
                                      <a:pt x="161" y="273"/>
                                    </a:moveTo>
                                    <a:cubicBezTo>
                                      <a:pt x="154" y="273"/>
                                      <a:pt x="149" y="267"/>
                                      <a:pt x="149" y="261"/>
                                    </a:cubicBezTo>
                                    <a:cubicBezTo>
                                      <a:pt x="149" y="254"/>
                                      <a:pt x="154" y="249"/>
                                      <a:pt x="161" y="249"/>
                                    </a:cubicBezTo>
                                    <a:cubicBezTo>
                                      <a:pt x="168" y="249"/>
                                      <a:pt x="173" y="254"/>
                                      <a:pt x="173" y="261"/>
                                    </a:cubicBezTo>
                                    <a:cubicBezTo>
                                      <a:pt x="173" y="267"/>
                                      <a:pt x="168" y="273"/>
                                      <a:pt x="161" y="273"/>
                                    </a:cubicBezTo>
                                    <a:close/>
                                    <a:moveTo>
                                      <a:pt x="149" y="57"/>
                                    </a:moveTo>
                                    <a:cubicBezTo>
                                      <a:pt x="173" y="57"/>
                                      <a:pt x="173" y="57"/>
                                      <a:pt x="173" y="57"/>
                                    </a:cubicBezTo>
                                    <a:cubicBezTo>
                                      <a:pt x="176" y="57"/>
                                      <a:pt x="178" y="59"/>
                                      <a:pt x="178" y="62"/>
                                    </a:cubicBezTo>
                                    <a:cubicBezTo>
                                      <a:pt x="178" y="65"/>
                                      <a:pt x="176" y="67"/>
                                      <a:pt x="173" y="67"/>
                                    </a:cubicBezTo>
                                    <a:cubicBezTo>
                                      <a:pt x="149" y="67"/>
                                      <a:pt x="149" y="67"/>
                                      <a:pt x="149" y="67"/>
                                    </a:cubicBezTo>
                                    <a:cubicBezTo>
                                      <a:pt x="146" y="67"/>
                                      <a:pt x="144" y="65"/>
                                      <a:pt x="144" y="62"/>
                                    </a:cubicBezTo>
                                    <a:cubicBezTo>
                                      <a:pt x="144" y="59"/>
                                      <a:pt x="146" y="57"/>
                                      <a:pt x="149" y="57"/>
                                    </a:cubicBezTo>
                                    <a:close/>
                                    <a:moveTo>
                                      <a:pt x="215" y="39"/>
                                    </a:moveTo>
                                    <a:cubicBezTo>
                                      <a:pt x="107" y="39"/>
                                      <a:pt x="107" y="39"/>
                                      <a:pt x="107" y="39"/>
                                    </a:cubicBezTo>
                                    <a:cubicBezTo>
                                      <a:pt x="97" y="39"/>
                                      <a:pt x="89" y="47"/>
                                      <a:pt x="89" y="57"/>
                                    </a:cubicBezTo>
                                    <a:cubicBezTo>
                                      <a:pt x="89" y="266"/>
                                      <a:pt x="89" y="266"/>
                                      <a:pt x="89" y="266"/>
                                    </a:cubicBezTo>
                                    <a:cubicBezTo>
                                      <a:pt x="89" y="276"/>
                                      <a:pt x="97" y="284"/>
                                      <a:pt x="107" y="284"/>
                                    </a:cubicBezTo>
                                    <a:cubicBezTo>
                                      <a:pt x="215" y="284"/>
                                      <a:pt x="215" y="284"/>
                                      <a:pt x="215" y="284"/>
                                    </a:cubicBezTo>
                                    <a:cubicBezTo>
                                      <a:pt x="225" y="284"/>
                                      <a:pt x="233" y="276"/>
                                      <a:pt x="233" y="266"/>
                                    </a:cubicBezTo>
                                    <a:cubicBezTo>
                                      <a:pt x="233" y="57"/>
                                      <a:pt x="233" y="57"/>
                                      <a:pt x="233" y="57"/>
                                    </a:cubicBezTo>
                                    <a:cubicBezTo>
                                      <a:pt x="233" y="47"/>
                                      <a:pt x="225" y="39"/>
                                      <a:pt x="215" y="39"/>
                                    </a:cubicBezTo>
                                    <a:close/>
                                    <a:moveTo>
                                      <a:pt x="161" y="311"/>
                                    </a:moveTo>
                                    <a:cubicBezTo>
                                      <a:pt x="79" y="311"/>
                                      <a:pt x="12" y="244"/>
                                      <a:pt x="12" y="162"/>
                                    </a:cubicBezTo>
                                    <a:cubicBezTo>
                                      <a:pt x="12" y="79"/>
                                      <a:pt x="79" y="13"/>
                                      <a:pt x="161" y="13"/>
                                    </a:cubicBezTo>
                                    <a:cubicBezTo>
                                      <a:pt x="243" y="13"/>
                                      <a:pt x="310" y="79"/>
                                      <a:pt x="310" y="162"/>
                                    </a:cubicBezTo>
                                    <a:cubicBezTo>
                                      <a:pt x="310" y="244"/>
                                      <a:pt x="243" y="311"/>
                                      <a:pt x="161" y="311"/>
                                    </a:cubicBezTo>
                                    <a:close/>
                                    <a:moveTo>
                                      <a:pt x="161" y="0"/>
                                    </a:moveTo>
                                    <a:cubicBezTo>
                                      <a:pt x="72" y="0"/>
                                      <a:pt x="0" y="72"/>
                                      <a:pt x="0" y="162"/>
                                    </a:cubicBezTo>
                                    <a:cubicBezTo>
                                      <a:pt x="0" y="251"/>
                                      <a:pt x="72" y="324"/>
                                      <a:pt x="161" y="324"/>
                                    </a:cubicBezTo>
                                    <a:cubicBezTo>
                                      <a:pt x="250" y="324"/>
                                      <a:pt x="323" y="251"/>
                                      <a:pt x="323" y="162"/>
                                    </a:cubicBezTo>
                                    <a:cubicBezTo>
                                      <a:pt x="323" y="72"/>
                                      <a:pt x="250" y="0"/>
                                      <a:pt x="161" y="0"/>
                                    </a:cubicBezTo>
                                    <a:close/>
                                  </a:path>
                                </a:pathLst>
                              </a:custGeom>
                              <a:solidFill>
                                <a:schemeClr val="tx2"/>
                              </a:solidFill>
                              <a:ln w="9525">
                                <a:noFill/>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24213B59" id="Freeform 8" o:spid="_x0000_s1026" alt="Title: Mobile services icon - Description: Mobile services icon" style="width:14.15pt;height:14.15pt;visibility:visible;mso-wrap-style:square;mso-left-percent:-10001;mso-top-percent:-10001;mso-position-horizontal:absolute;mso-position-horizontal-relative:char;mso-position-vertical:absolute;mso-position-vertical-relative:line;mso-left-percent:-10001;mso-top-percent:-10001;v-text-anchor:top" coordsize="323,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" path="m215,238v-107,,-107,,-107,c108,78,108,78,108,78v107,,107,,107,l215,238xm161,273v-7,,-12,-6,-12,-12c149,254,154,249,161,249v7,,12,5,12,12c173,267,168,273,161,273xm149,57v24,,24,,24,c176,57,178,59,178,62v,3,-2,5,-5,5c149,67,149,67,149,67v-3,,-5,-2,-5,-5c144,59,146,57,149,57xm215,39v-108,,-108,,-108,c97,39,89,47,89,57v,209,,209,,209c89,276,97,284,107,284v108,,108,,108,c225,284,233,276,233,266v,-209,,-209,,-209c233,47,225,39,215,39xm161,311c79,311,12,244,12,162,12,79,79,13,161,13v82,,149,66,149,149c310,244,243,311,161,311xm161,c72,,,72,,162v,89,72,162,161,162c250,324,323,251,323,162,323,72,250,,161,xe" fillcolor="#a32020 [3215]" stroked="f">
                      <v:path arrowok="t" o:connecttype="custom" o:connectlocs="215,238;108,238;108,78;215,78;215,238;161,273;149,261;161,249;173,261;161,273;149,57;173,57;178,62;173,67;149,67;144,62;149,57;215,39;107,39;89,57;89,266;107,284;215,284;233,266;233,57;215,39;161,311;12,162;161,13;310,162;161,311;161,0;0,162;161,324;323,162;161,0" o:connectangles="0,0,0,0,0,0,0,0,0,0,0,0,0,0,0,0,0,0,0,0,0,0,0,0,0,0,0,0,0,0,0,0,0,0,0,0"/>
                      <o:lock v:ext="edit" verticies="t"/>
                      <w10:anchorlock/>
                    </v:shape>
                  </w:pict>
                </mc:Fallback>
              </mc:AlternateContent>
            </w:r>
            <w:r w:rsidRPr="008F3B97">
              <w:rPr>
                <w:noProof/>
                <w:color w:val="DB536A" w:themeColor="accent4"/>
                <w:lang w:eastAsia="en-AU"/>
              </w:rPr>
              <mc:AlternateContent>
                <mc:Choice Requires="wps">
                  <w:drawing>
                    <wp:inline distT="0" distB="0" distL="0" distR="0" wp14:anchorId="18843D55" wp14:editId="19523512">
                      <wp:extent cx="180000" cy="180000"/>
                      <wp:effectExtent l="0" t="0" r="0" b="0"/>
                      <wp:docPr id="26" name="Freeform 19" descr="Internet services icon" title="Internet services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80000" cy="180000"/>
                              </a:xfrm>
                              <a:custGeom>
                                <a:avLst/>
                                <a:gdLst/>
                                <a:ahLst/>
                                <a:cxnLst>
                                  <a:cxn ang="0">
                                    <a:pos x="263" y="232"/>
                                  </a:cxn>
                                  <a:cxn ang="0">
                                    <a:pos x="259" y="234"/>
                                  </a:cxn>
                                  <a:cxn ang="0">
                                    <a:pos x="255" y="232"/>
                                  </a:cxn>
                                  <a:cxn ang="0">
                                    <a:pos x="254" y="229"/>
                                  </a:cxn>
                                  <a:cxn ang="0">
                                    <a:pos x="255" y="225"/>
                                  </a:cxn>
                                  <a:cxn ang="0">
                                    <a:pos x="263" y="225"/>
                                  </a:cxn>
                                  <a:cxn ang="0">
                                    <a:pos x="264" y="229"/>
                                  </a:cxn>
                                  <a:cxn ang="0">
                                    <a:pos x="263" y="232"/>
                                  </a:cxn>
                                  <a:cxn ang="0">
                                    <a:pos x="133" y="223"/>
                                  </a:cxn>
                                  <a:cxn ang="0">
                                    <a:pos x="141" y="211"/>
                                  </a:cxn>
                                  <a:cxn ang="0">
                                    <a:pos x="183" y="211"/>
                                  </a:cxn>
                                  <a:cxn ang="0">
                                    <a:pos x="191" y="223"/>
                                  </a:cxn>
                                  <a:cxn ang="0">
                                    <a:pos x="133" y="223"/>
                                  </a:cxn>
                                  <a:cxn ang="0">
                                    <a:pos x="277" y="224"/>
                                  </a:cxn>
                                  <a:cxn ang="0">
                                    <a:pos x="277" y="222"/>
                                  </a:cxn>
                                  <a:cxn ang="0">
                                    <a:pos x="277" y="222"/>
                                  </a:cxn>
                                  <a:cxn ang="0">
                                    <a:pos x="276" y="221"/>
                                  </a:cxn>
                                  <a:cxn ang="0">
                                    <a:pos x="250" y="189"/>
                                  </a:cxn>
                                  <a:cxn ang="0">
                                    <a:pos x="245" y="186"/>
                                  </a:cxn>
                                  <a:cxn ang="0">
                                    <a:pos x="78" y="186"/>
                                  </a:cxn>
                                  <a:cxn ang="0">
                                    <a:pos x="73" y="189"/>
                                  </a:cxn>
                                  <a:cxn ang="0">
                                    <a:pos x="48" y="221"/>
                                  </a:cxn>
                                  <a:cxn ang="0">
                                    <a:pos x="47" y="222"/>
                                  </a:cxn>
                                  <a:cxn ang="0">
                                    <a:pos x="47" y="222"/>
                                  </a:cxn>
                                  <a:cxn ang="0">
                                    <a:pos x="47" y="224"/>
                                  </a:cxn>
                                  <a:cxn ang="0">
                                    <a:pos x="46" y="224"/>
                                  </a:cxn>
                                  <a:cxn ang="0">
                                    <a:pos x="46" y="233"/>
                                  </a:cxn>
                                  <a:cxn ang="0">
                                    <a:pos x="53" y="239"/>
                                  </a:cxn>
                                  <a:cxn ang="0">
                                    <a:pos x="271" y="239"/>
                                  </a:cxn>
                                  <a:cxn ang="0">
                                    <a:pos x="277" y="233"/>
                                  </a:cxn>
                                  <a:cxn ang="0">
                                    <a:pos x="277" y="224"/>
                                  </a:cxn>
                                  <a:cxn ang="0">
                                    <a:pos x="277" y="224"/>
                                  </a:cxn>
                                  <a:cxn ang="0">
                                    <a:pos x="88" y="75"/>
                                  </a:cxn>
                                  <a:cxn ang="0">
                                    <a:pos x="235" y="75"/>
                                  </a:cxn>
                                  <a:cxn ang="0">
                                    <a:pos x="235" y="163"/>
                                  </a:cxn>
                                  <a:cxn ang="0">
                                    <a:pos x="88" y="163"/>
                                  </a:cxn>
                                  <a:cxn ang="0">
                                    <a:pos x="88" y="75"/>
                                  </a:cxn>
                                  <a:cxn ang="0">
                                    <a:pos x="81" y="179"/>
                                  </a:cxn>
                                  <a:cxn ang="0">
                                    <a:pos x="243" y="179"/>
                                  </a:cxn>
                                  <a:cxn ang="0">
                                    <a:pos x="251" y="171"/>
                                  </a:cxn>
                                  <a:cxn ang="0">
                                    <a:pos x="251" y="67"/>
                                  </a:cxn>
                                  <a:cxn ang="0">
                                    <a:pos x="243" y="59"/>
                                  </a:cxn>
                                  <a:cxn ang="0">
                                    <a:pos x="81" y="59"/>
                                  </a:cxn>
                                  <a:cxn ang="0">
                                    <a:pos x="73" y="67"/>
                                  </a:cxn>
                                  <a:cxn ang="0">
                                    <a:pos x="73" y="171"/>
                                  </a:cxn>
                                  <a:cxn ang="0">
                                    <a:pos x="81" y="179"/>
                                  </a:cxn>
                                  <a:cxn ang="0">
                                    <a:pos x="162" y="310"/>
                                  </a:cxn>
                                  <a:cxn ang="0">
                                    <a:pos x="13" y="162"/>
                                  </a:cxn>
                                  <a:cxn ang="0">
                                    <a:pos x="162" y="13"/>
                                  </a:cxn>
                                  <a:cxn ang="0">
                                    <a:pos x="311" y="162"/>
                                  </a:cxn>
                                  <a:cxn ang="0">
                                    <a:pos x="162" y="310"/>
                                  </a:cxn>
                                  <a:cxn ang="0">
                                    <a:pos x="162" y="0"/>
                                  </a:cxn>
                                  <a:cxn ang="0">
                                    <a:pos x="0" y="162"/>
                                  </a:cxn>
                                  <a:cxn ang="0">
                                    <a:pos x="162" y="323"/>
                                  </a:cxn>
                                  <a:cxn ang="0">
                                    <a:pos x="324" y="162"/>
                                  </a:cxn>
                                  <a:cxn ang="0">
                                    <a:pos x="162" y="0"/>
                                  </a:cxn>
                                </a:cxnLst>
                                <a:rect l="0" t="0" r="r" b="b"/>
                                <a:pathLst>
                                  <a:path w="324" h="323">
                                    <a:moveTo>
                                      <a:pt x="263" y="232"/>
                                    </a:moveTo>
                                    <a:cubicBezTo>
                                      <a:pt x="262" y="233"/>
                                      <a:pt x="261" y="234"/>
                                      <a:pt x="259" y="234"/>
                                    </a:cubicBezTo>
                                    <a:cubicBezTo>
                                      <a:pt x="258" y="234"/>
                                      <a:pt x="257" y="233"/>
                                      <a:pt x="255" y="232"/>
                                    </a:cubicBezTo>
                                    <a:cubicBezTo>
                                      <a:pt x="255" y="231"/>
                                      <a:pt x="254" y="230"/>
                                      <a:pt x="254" y="229"/>
                                    </a:cubicBezTo>
                                    <a:cubicBezTo>
                                      <a:pt x="254" y="227"/>
                                      <a:pt x="255" y="226"/>
                                      <a:pt x="255" y="225"/>
                                    </a:cubicBezTo>
                                    <a:cubicBezTo>
                                      <a:pt x="258" y="223"/>
                                      <a:pt x="261" y="223"/>
                                      <a:pt x="263" y="225"/>
                                    </a:cubicBezTo>
                                    <a:cubicBezTo>
                                      <a:pt x="264" y="226"/>
                                      <a:pt x="264" y="227"/>
                                      <a:pt x="264" y="229"/>
                                    </a:cubicBezTo>
                                    <a:cubicBezTo>
                                      <a:pt x="264" y="230"/>
                                      <a:pt x="264" y="231"/>
                                      <a:pt x="263" y="232"/>
                                    </a:cubicBezTo>
                                    <a:close/>
                                    <a:moveTo>
                                      <a:pt x="133" y="223"/>
                                    </a:moveTo>
                                    <a:cubicBezTo>
                                      <a:pt x="141" y="211"/>
                                      <a:pt x="141" y="211"/>
                                      <a:pt x="141" y="211"/>
                                    </a:cubicBezTo>
                                    <a:cubicBezTo>
                                      <a:pt x="183" y="211"/>
                                      <a:pt x="183" y="211"/>
                                      <a:pt x="183" y="211"/>
                                    </a:cubicBezTo>
                                    <a:cubicBezTo>
                                      <a:pt x="191" y="223"/>
                                      <a:pt x="191" y="223"/>
                                      <a:pt x="191" y="223"/>
                                    </a:cubicBezTo>
                                    <a:lnTo>
                                      <a:pt x="133" y="223"/>
                                    </a:lnTo>
                                    <a:close/>
                                    <a:moveTo>
                                      <a:pt x="277" y="224"/>
                                    </a:moveTo>
                                    <a:cubicBezTo>
                                      <a:pt x="277" y="224"/>
                                      <a:pt x="277" y="223"/>
                                      <a:pt x="277" y="222"/>
                                    </a:cubicBezTo>
                                    <a:cubicBezTo>
                                      <a:pt x="277" y="222"/>
                                      <a:pt x="277" y="222"/>
                                      <a:pt x="277" y="222"/>
                                    </a:cubicBezTo>
                                    <a:cubicBezTo>
                                      <a:pt x="277" y="221"/>
                                      <a:pt x="276" y="221"/>
                                      <a:pt x="276" y="221"/>
                                    </a:cubicBezTo>
                                    <a:cubicBezTo>
                                      <a:pt x="250" y="189"/>
                                      <a:pt x="250" y="189"/>
                                      <a:pt x="250" y="189"/>
                                    </a:cubicBezTo>
                                    <a:cubicBezTo>
                                      <a:pt x="249" y="187"/>
                                      <a:pt x="247" y="186"/>
                                      <a:pt x="245" y="186"/>
                                    </a:cubicBezTo>
                                    <a:cubicBezTo>
                                      <a:pt x="78" y="186"/>
                                      <a:pt x="78" y="186"/>
                                      <a:pt x="78" y="186"/>
                                    </a:cubicBezTo>
                                    <a:cubicBezTo>
                                      <a:pt x="77" y="186"/>
                                      <a:pt x="75" y="187"/>
                                      <a:pt x="73" y="189"/>
                                    </a:cubicBezTo>
                                    <a:cubicBezTo>
                                      <a:pt x="48" y="221"/>
                                      <a:pt x="48" y="221"/>
                                      <a:pt x="48" y="221"/>
                                    </a:cubicBezTo>
                                    <a:cubicBezTo>
                                      <a:pt x="48" y="221"/>
                                      <a:pt x="47" y="221"/>
                                      <a:pt x="47" y="222"/>
                                    </a:cubicBezTo>
                                    <a:cubicBezTo>
                                      <a:pt x="47" y="222"/>
                                      <a:pt x="47" y="222"/>
                                      <a:pt x="47" y="222"/>
                                    </a:cubicBezTo>
                                    <a:cubicBezTo>
                                      <a:pt x="47" y="223"/>
                                      <a:pt x="47" y="224"/>
                                      <a:pt x="47" y="224"/>
                                    </a:cubicBezTo>
                                    <a:cubicBezTo>
                                      <a:pt x="46" y="224"/>
                                      <a:pt x="46" y="224"/>
                                      <a:pt x="46" y="224"/>
                                    </a:cubicBezTo>
                                    <a:cubicBezTo>
                                      <a:pt x="46" y="233"/>
                                      <a:pt x="46" y="233"/>
                                      <a:pt x="46" y="233"/>
                                    </a:cubicBezTo>
                                    <a:cubicBezTo>
                                      <a:pt x="46" y="236"/>
                                      <a:pt x="49" y="239"/>
                                      <a:pt x="53" y="239"/>
                                    </a:cubicBezTo>
                                    <a:cubicBezTo>
                                      <a:pt x="271" y="239"/>
                                      <a:pt x="271" y="239"/>
                                      <a:pt x="271" y="239"/>
                                    </a:cubicBezTo>
                                    <a:cubicBezTo>
                                      <a:pt x="274" y="239"/>
                                      <a:pt x="277" y="236"/>
                                      <a:pt x="277" y="233"/>
                                    </a:cubicBezTo>
                                    <a:cubicBezTo>
                                      <a:pt x="277" y="224"/>
                                      <a:pt x="277" y="224"/>
                                      <a:pt x="277" y="224"/>
                                    </a:cubicBezTo>
                                    <a:cubicBezTo>
                                      <a:pt x="277" y="224"/>
                                      <a:pt x="277" y="224"/>
                                      <a:pt x="277" y="224"/>
                                    </a:cubicBezTo>
                                    <a:close/>
                                    <a:moveTo>
                                      <a:pt x="88" y="75"/>
                                    </a:moveTo>
                                    <a:cubicBezTo>
                                      <a:pt x="235" y="75"/>
                                      <a:pt x="235" y="75"/>
                                      <a:pt x="235" y="75"/>
                                    </a:cubicBezTo>
                                    <a:cubicBezTo>
                                      <a:pt x="235" y="163"/>
                                      <a:pt x="235" y="163"/>
                                      <a:pt x="235" y="163"/>
                                    </a:cubicBezTo>
                                    <a:cubicBezTo>
                                      <a:pt x="88" y="163"/>
                                      <a:pt x="88" y="163"/>
                                      <a:pt x="88" y="163"/>
                                    </a:cubicBezTo>
                                    <a:lnTo>
                                      <a:pt x="88" y="75"/>
                                    </a:lnTo>
                                    <a:close/>
                                    <a:moveTo>
                                      <a:pt x="81" y="179"/>
                                    </a:moveTo>
                                    <a:cubicBezTo>
                                      <a:pt x="243" y="179"/>
                                      <a:pt x="243" y="179"/>
                                      <a:pt x="243" y="179"/>
                                    </a:cubicBezTo>
                                    <a:cubicBezTo>
                                      <a:pt x="247" y="179"/>
                                      <a:pt x="251" y="175"/>
                                      <a:pt x="251" y="171"/>
                                    </a:cubicBezTo>
                                    <a:cubicBezTo>
                                      <a:pt x="251" y="67"/>
                                      <a:pt x="251" y="67"/>
                                      <a:pt x="251" y="67"/>
                                    </a:cubicBezTo>
                                    <a:cubicBezTo>
                                      <a:pt x="251" y="63"/>
                                      <a:pt x="247" y="59"/>
                                      <a:pt x="243" y="59"/>
                                    </a:cubicBezTo>
                                    <a:cubicBezTo>
                                      <a:pt x="81" y="59"/>
                                      <a:pt x="81" y="59"/>
                                      <a:pt x="81" y="59"/>
                                    </a:cubicBezTo>
                                    <a:cubicBezTo>
                                      <a:pt x="77" y="59"/>
                                      <a:pt x="73" y="63"/>
                                      <a:pt x="73" y="67"/>
                                    </a:cubicBezTo>
                                    <a:cubicBezTo>
                                      <a:pt x="73" y="171"/>
                                      <a:pt x="73" y="171"/>
                                      <a:pt x="73" y="171"/>
                                    </a:cubicBezTo>
                                    <a:cubicBezTo>
                                      <a:pt x="73" y="175"/>
                                      <a:pt x="77" y="179"/>
                                      <a:pt x="81" y="179"/>
                                    </a:cubicBezTo>
                                    <a:close/>
                                    <a:moveTo>
                                      <a:pt x="162" y="310"/>
                                    </a:moveTo>
                                    <a:cubicBezTo>
                                      <a:pt x="80" y="310"/>
                                      <a:pt x="13" y="244"/>
                                      <a:pt x="13" y="162"/>
                                    </a:cubicBezTo>
                                    <a:cubicBezTo>
                                      <a:pt x="13" y="80"/>
                                      <a:pt x="80" y="13"/>
                                      <a:pt x="162" y="13"/>
                                    </a:cubicBezTo>
                                    <a:cubicBezTo>
                                      <a:pt x="244" y="13"/>
                                      <a:pt x="311" y="80"/>
                                      <a:pt x="311" y="162"/>
                                    </a:cubicBezTo>
                                    <a:cubicBezTo>
                                      <a:pt x="311" y="244"/>
                                      <a:pt x="244" y="310"/>
                                      <a:pt x="162" y="310"/>
                                    </a:cubicBezTo>
                                    <a:close/>
                                    <a:moveTo>
                                      <a:pt x="162" y="0"/>
                                    </a:moveTo>
                                    <a:cubicBezTo>
                                      <a:pt x="72" y="0"/>
                                      <a:pt x="0" y="72"/>
                                      <a:pt x="0" y="162"/>
                                    </a:cubicBezTo>
                                    <a:cubicBezTo>
                                      <a:pt x="0" y="251"/>
                                      <a:pt x="72" y="323"/>
                                      <a:pt x="162" y="323"/>
                                    </a:cubicBezTo>
                                    <a:cubicBezTo>
                                      <a:pt x="251" y="323"/>
                                      <a:pt x="324" y="251"/>
                                      <a:pt x="324" y="162"/>
                                    </a:cubicBezTo>
                                    <a:cubicBezTo>
                                      <a:pt x="324" y="72"/>
                                      <a:pt x="251" y="0"/>
                                      <a:pt x="162" y="0"/>
                                    </a:cubicBezTo>
                                    <a:close/>
                                  </a:path>
                                </a:pathLst>
                              </a:custGeom>
                              <a:solidFill>
                                <a:schemeClr val="tx2"/>
                              </a:solidFill>
                              <a:ln w="9525">
                                <a:noFill/>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77181E67" id="Freeform 19" o:spid="_x0000_s1026" alt="Title: Internet services icon - Description: Internet services icon" style="width:14.15pt;height:14.15pt;visibility:visible;mso-wrap-style:square;mso-left-percent:-10001;mso-top-percent:-10001;mso-position-horizontal:absolute;mso-position-horizontal-relative:char;mso-position-vertical:absolute;mso-position-vertical-relative:line;mso-left-percent:-10001;mso-top-percent:-10001;v-text-anchor:top" coordsize="324,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" path="m263,232v-1,1,-2,2,-4,2c258,234,257,233,255,232v,-1,-1,-2,-1,-3c254,227,255,226,255,225v3,-2,6,-2,8,c264,226,264,227,264,229v,1,,2,-1,3xm133,223v8,-12,8,-12,8,-12c183,211,183,211,183,211v8,12,8,12,8,12l133,223xm277,224v,,,-1,,-2c277,222,277,222,277,222v,-1,-1,-1,-1,-1c250,189,250,189,250,189v-1,-2,-3,-3,-5,-3c78,186,78,186,78,186v-1,,-3,1,-5,3c48,221,48,221,48,221v,,-1,,-1,1c47,222,47,222,47,222v,1,,2,,2c46,224,46,224,46,224v,9,,9,,9c46,236,49,239,53,239v218,,218,,218,c274,239,277,236,277,233v,-9,,-9,,-9c277,224,277,224,277,224xm88,75v147,,147,,147,c235,163,235,163,235,163v-147,,-147,,-147,l88,75xm81,179v162,,162,,162,c247,179,251,175,251,171v,-104,,-104,,-104c251,63,247,59,243,59,81,59,81,59,81,59v-4,,-8,4,-8,8c73,171,73,171,73,171v,4,4,8,8,8xm162,310c80,310,13,244,13,162,13,80,80,13,162,13v82,,149,67,149,149c311,244,244,310,162,310xm162,c72,,,72,,162v,89,72,161,162,161c251,323,324,251,324,162,324,72,251,,162,xe" fillcolor="#a32020 [3215]" stroked="f">
                      <v:path arrowok="t" o:connecttype="custom" o:connectlocs="263,232;259,234;255,232;254,229;255,225;263,225;264,229;263,232;133,223;141,211;183,211;191,223;133,223;277,224;277,222;277,222;276,221;250,189;245,186;78,186;73,189;48,221;47,222;47,222;47,224;46,224;46,233;53,239;271,239;277,233;277,224;277,224;88,75;235,75;235,163;88,163;88,75;81,179;243,179;251,171;251,67;243,59;81,59;73,67;73,171;81,179;162,310;13,162;162,13;311,162;162,310;162,0;0,162;162,323;324,162;162,0" o:connectangles="0,0,0,0,0,0,0,0,0,0,0,0,0,0,0,0,0,0,0,0,0,0,0,0,0,0,0,0,0,0,0,0,0,0,0,0,0,0,0,0,0,0,0,0,0,0,0,0,0,0,0,0,0,0,0,0"/>
                      <o:lock v:ext="edit" verticies="t"/>
                      <w10:anchorlock/>
                    </v:shape>
                  </w:pict>
                </mc:Fallback>
              </mc:AlternateContent>
            </w:r>
          </w:p>
        </w:tc>
        <w:tc>
          <w:tcPr>
            <w:tcW w:w="680" w:type="dxa"/>
            <w:hideMark/>
          </w:tcPr>
          <w:p w14:paraId="07844F19" w14:textId="77777777" w:rsidR="00582FBF" w:rsidRPr="00582FBF" w:rsidRDefault="00582FBF" w:rsidP="002D56B1">
            <w:pPr>
              <w:pStyle w:val="TableTextNormal"/>
              <w:keepNext/>
              <w:jc w:val="center"/>
              <w:rPr>
                <w:lang w:val="en-US"/>
              </w:rPr>
            </w:pPr>
          </w:p>
        </w:tc>
        <w:tc>
          <w:tcPr>
            <w:tcW w:w="680" w:type="dxa"/>
            <w:hideMark/>
          </w:tcPr>
          <w:p w14:paraId="79DB1CF0" w14:textId="4DCEC4AC" w:rsidR="00582FBF" w:rsidRPr="00582FBF" w:rsidRDefault="00785790" w:rsidP="002D56B1">
            <w:pPr>
              <w:pStyle w:val="TableTextNormal"/>
              <w:keepNext/>
              <w:jc w:val="center"/>
              <w:rPr>
                <w:lang w:val="en-US"/>
              </w:rPr>
            </w:pPr>
            <w:r w:rsidRPr="00DB655E">
              <w:rPr>
                <w:noProof/>
                <w:lang w:eastAsia="en-AU"/>
              </w:rPr>
              <mc:AlternateContent>
                <mc:Choice Requires="wps">
                  <w:drawing>
                    <wp:inline distT="0" distB="0" distL="0" distR="0" wp14:anchorId="7AE71CEF" wp14:editId="0F4DF7DC">
                      <wp:extent cx="180000" cy="180000"/>
                      <wp:effectExtent l="0" t="0" r="0" b="0"/>
                      <wp:docPr id="27" name="Freeform 32" descr="Fixed line telephone services icon &#10;" title="Fixed line telephone services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80000" cy="180000"/>
                              </a:xfrm>
                              <a:custGeom>
                                <a:avLst/>
                                <a:gdLst/>
                                <a:ahLst/>
                                <a:cxnLst>
                                  <a:cxn ang="0">
                                    <a:pos x="179" y="146"/>
                                  </a:cxn>
                                  <a:cxn ang="0">
                                    <a:pos x="209" y="146"/>
                                  </a:cxn>
                                  <a:cxn ang="0">
                                    <a:pos x="125" y="161"/>
                                  </a:cxn>
                                  <a:cxn ang="0">
                                    <a:pos x="125" y="131"/>
                                  </a:cxn>
                                  <a:cxn ang="0">
                                    <a:pos x="125" y="161"/>
                                  </a:cxn>
                                  <a:cxn ang="0">
                                    <a:pos x="166" y="59"/>
                                  </a:cxn>
                                  <a:cxn ang="0">
                                    <a:pos x="116" y="87"/>
                                  </a:cxn>
                                  <a:cxn ang="0">
                                    <a:pos x="109" y="58"/>
                                  </a:cxn>
                                  <a:cxn ang="0">
                                    <a:pos x="77" y="64"/>
                                  </a:cxn>
                                  <a:cxn ang="0">
                                    <a:pos x="43" y="135"/>
                                  </a:cxn>
                                  <a:cxn ang="0">
                                    <a:pos x="46" y="147"/>
                                  </a:cxn>
                                  <a:cxn ang="0">
                                    <a:pos x="77" y="247"/>
                                  </a:cxn>
                                  <a:cxn ang="0">
                                    <a:pos x="121" y="257"/>
                                  </a:cxn>
                                  <a:cxn ang="0">
                                    <a:pos x="116" y="220"/>
                                  </a:cxn>
                                  <a:cxn ang="0">
                                    <a:pos x="100" y="213"/>
                                  </a:cxn>
                                  <a:cxn ang="0">
                                    <a:pos x="106" y="169"/>
                                  </a:cxn>
                                  <a:cxn ang="0">
                                    <a:pos x="151" y="175"/>
                                  </a:cxn>
                                  <a:cxn ang="0">
                                    <a:pos x="144" y="220"/>
                                  </a:cxn>
                                  <a:cxn ang="0">
                                    <a:pos x="134" y="249"/>
                                  </a:cxn>
                                  <a:cxn ang="0">
                                    <a:pos x="190" y="257"/>
                                  </a:cxn>
                                  <a:cxn ang="0">
                                    <a:pos x="185" y="220"/>
                                  </a:cxn>
                                  <a:cxn ang="0">
                                    <a:pos x="165" y="217"/>
                                  </a:cxn>
                                  <a:cxn ang="0">
                                    <a:pos x="177" y="173"/>
                                  </a:cxn>
                                  <a:cxn ang="0">
                                    <a:pos x="205" y="169"/>
                                  </a:cxn>
                                  <a:cxn ang="0">
                                    <a:pos x="224" y="210"/>
                                  </a:cxn>
                                  <a:cxn ang="0">
                                    <a:pos x="218" y="220"/>
                                  </a:cxn>
                                  <a:cxn ang="0">
                                    <a:pos x="203" y="220"/>
                                  </a:cxn>
                                  <a:cxn ang="0">
                                    <a:pos x="198" y="257"/>
                                  </a:cxn>
                                  <a:cxn ang="0">
                                    <a:pos x="248" y="247"/>
                                  </a:cxn>
                                  <a:cxn ang="0">
                                    <a:pos x="279" y="147"/>
                                  </a:cxn>
                                  <a:cxn ang="0">
                                    <a:pos x="285" y="140"/>
                                  </a:cxn>
                                  <a:cxn ang="0">
                                    <a:pos x="162" y="0"/>
                                  </a:cxn>
                                  <a:cxn ang="0">
                                    <a:pos x="162" y="324"/>
                                  </a:cxn>
                                  <a:cxn ang="0">
                                    <a:pos x="162" y="0"/>
                                  </a:cxn>
                                  <a:cxn ang="0">
                                    <a:pos x="311" y="162"/>
                                  </a:cxn>
                                  <a:cxn ang="0">
                                    <a:pos x="13" y="162"/>
                                  </a:cxn>
                                </a:cxnLst>
                                <a:rect l="0" t="0" r="r" b="b"/>
                                <a:pathLst>
                                  <a:path w="324" h="324">
                                    <a:moveTo>
                                      <a:pt x="194" y="161"/>
                                    </a:moveTo>
                                    <a:cubicBezTo>
                                      <a:pt x="186" y="161"/>
                                      <a:pt x="179" y="155"/>
                                      <a:pt x="179" y="146"/>
                                    </a:cubicBezTo>
                                    <a:cubicBezTo>
                                      <a:pt x="179" y="138"/>
                                      <a:pt x="186" y="131"/>
                                      <a:pt x="194" y="131"/>
                                    </a:cubicBezTo>
                                    <a:cubicBezTo>
                                      <a:pt x="203" y="131"/>
                                      <a:pt x="209" y="138"/>
                                      <a:pt x="209" y="146"/>
                                    </a:cubicBezTo>
                                    <a:cubicBezTo>
                                      <a:pt x="209" y="155"/>
                                      <a:pt x="203" y="161"/>
                                      <a:pt x="194" y="161"/>
                                    </a:cubicBezTo>
                                    <a:close/>
                                    <a:moveTo>
                                      <a:pt x="125" y="161"/>
                                    </a:moveTo>
                                    <a:cubicBezTo>
                                      <a:pt x="117" y="161"/>
                                      <a:pt x="110" y="155"/>
                                      <a:pt x="110" y="146"/>
                                    </a:cubicBezTo>
                                    <a:cubicBezTo>
                                      <a:pt x="110" y="138"/>
                                      <a:pt x="117" y="131"/>
                                      <a:pt x="125" y="131"/>
                                    </a:cubicBezTo>
                                    <a:cubicBezTo>
                                      <a:pt x="134" y="131"/>
                                      <a:pt x="140" y="138"/>
                                      <a:pt x="140" y="146"/>
                                    </a:cubicBezTo>
                                    <a:cubicBezTo>
                                      <a:pt x="140" y="155"/>
                                      <a:pt x="134" y="161"/>
                                      <a:pt x="125" y="161"/>
                                    </a:cubicBezTo>
                                    <a:close/>
                                    <a:moveTo>
                                      <a:pt x="281" y="134"/>
                                    </a:moveTo>
                                    <a:cubicBezTo>
                                      <a:pt x="166" y="59"/>
                                      <a:pt x="166" y="59"/>
                                      <a:pt x="166" y="59"/>
                                    </a:cubicBezTo>
                                    <a:cubicBezTo>
                                      <a:pt x="164" y="58"/>
                                      <a:pt x="161" y="58"/>
                                      <a:pt x="159" y="59"/>
                                    </a:cubicBezTo>
                                    <a:cubicBezTo>
                                      <a:pt x="116" y="87"/>
                                      <a:pt x="116" y="87"/>
                                      <a:pt x="116" y="87"/>
                                    </a:cubicBezTo>
                                    <a:cubicBezTo>
                                      <a:pt x="116" y="64"/>
                                      <a:pt x="116" y="64"/>
                                      <a:pt x="116" y="64"/>
                                    </a:cubicBezTo>
                                    <a:cubicBezTo>
                                      <a:pt x="116" y="61"/>
                                      <a:pt x="113" y="58"/>
                                      <a:pt x="109" y="58"/>
                                    </a:cubicBezTo>
                                    <a:cubicBezTo>
                                      <a:pt x="83" y="58"/>
                                      <a:pt x="83" y="58"/>
                                      <a:pt x="83" y="58"/>
                                    </a:cubicBezTo>
                                    <a:cubicBezTo>
                                      <a:pt x="80" y="58"/>
                                      <a:pt x="77" y="61"/>
                                      <a:pt x="77" y="64"/>
                                    </a:cubicBezTo>
                                    <a:cubicBezTo>
                                      <a:pt x="77" y="112"/>
                                      <a:pt x="77" y="112"/>
                                      <a:pt x="77" y="112"/>
                                    </a:cubicBezTo>
                                    <a:cubicBezTo>
                                      <a:pt x="43" y="135"/>
                                      <a:pt x="43" y="135"/>
                                      <a:pt x="43" y="135"/>
                                    </a:cubicBezTo>
                                    <a:cubicBezTo>
                                      <a:pt x="40" y="137"/>
                                      <a:pt x="39" y="139"/>
                                      <a:pt x="40" y="142"/>
                                    </a:cubicBezTo>
                                    <a:cubicBezTo>
                                      <a:pt x="41" y="145"/>
                                      <a:pt x="43" y="147"/>
                                      <a:pt x="46" y="147"/>
                                    </a:cubicBezTo>
                                    <a:cubicBezTo>
                                      <a:pt x="77" y="147"/>
                                      <a:pt x="77" y="147"/>
                                      <a:pt x="77" y="147"/>
                                    </a:cubicBezTo>
                                    <a:cubicBezTo>
                                      <a:pt x="77" y="247"/>
                                      <a:pt x="77" y="247"/>
                                      <a:pt x="77" y="247"/>
                                    </a:cubicBezTo>
                                    <a:cubicBezTo>
                                      <a:pt x="77" y="253"/>
                                      <a:pt x="81" y="257"/>
                                      <a:pt x="87" y="257"/>
                                    </a:cubicBezTo>
                                    <a:cubicBezTo>
                                      <a:pt x="121" y="257"/>
                                      <a:pt x="121" y="257"/>
                                      <a:pt x="121" y="257"/>
                                    </a:cubicBezTo>
                                    <a:cubicBezTo>
                                      <a:pt x="118" y="256"/>
                                      <a:pt x="116" y="253"/>
                                      <a:pt x="116" y="249"/>
                                    </a:cubicBezTo>
                                    <a:cubicBezTo>
                                      <a:pt x="116" y="220"/>
                                      <a:pt x="116" y="220"/>
                                      <a:pt x="116" y="220"/>
                                    </a:cubicBezTo>
                                    <a:cubicBezTo>
                                      <a:pt x="106" y="220"/>
                                      <a:pt x="106" y="220"/>
                                      <a:pt x="106" y="220"/>
                                    </a:cubicBezTo>
                                    <a:cubicBezTo>
                                      <a:pt x="102" y="220"/>
                                      <a:pt x="100" y="217"/>
                                      <a:pt x="100" y="213"/>
                                    </a:cubicBezTo>
                                    <a:cubicBezTo>
                                      <a:pt x="100" y="175"/>
                                      <a:pt x="100" y="175"/>
                                      <a:pt x="100" y="175"/>
                                    </a:cubicBezTo>
                                    <a:cubicBezTo>
                                      <a:pt x="100" y="172"/>
                                      <a:pt x="102" y="169"/>
                                      <a:pt x="106" y="169"/>
                                    </a:cubicBezTo>
                                    <a:cubicBezTo>
                                      <a:pt x="144" y="169"/>
                                      <a:pt x="144" y="169"/>
                                      <a:pt x="144" y="169"/>
                                    </a:cubicBezTo>
                                    <a:cubicBezTo>
                                      <a:pt x="148" y="169"/>
                                      <a:pt x="151" y="172"/>
                                      <a:pt x="151" y="175"/>
                                    </a:cubicBezTo>
                                    <a:cubicBezTo>
                                      <a:pt x="151" y="213"/>
                                      <a:pt x="151" y="213"/>
                                      <a:pt x="151" y="213"/>
                                    </a:cubicBezTo>
                                    <a:cubicBezTo>
                                      <a:pt x="151" y="217"/>
                                      <a:pt x="148" y="220"/>
                                      <a:pt x="144" y="220"/>
                                    </a:cubicBezTo>
                                    <a:cubicBezTo>
                                      <a:pt x="134" y="220"/>
                                      <a:pt x="134" y="220"/>
                                      <a:pt x="134" y="220"/>
                                    </a:cubicBezTo>
                                    <a:cubicBezTo>
                                      <a:pt x="134" y="249"/>
                                      <a:pt x="134" y="249"/>
                                      <a:pt x="134" y="249"/>
                                    </a:cubicBezTo>
                                    <a:cubicBezTo>
                                      <a:pt x="134" y="253"/>
                                      <a:pt x="132" y="256"/>
                                      <a:pt x="129" y="257"/>
                                    </a:cubicBezTo>
                                    <a:cubicBezTo>
                                      <a:pt x="190" y="257"/>
                                      <a:pt x="190" y="257"/>
                                      <a:pt x="190" y="257"/>
                                    </a:cubicBezTo>
                                    <a:cubicBezTo>
                                      <a:pt x="187" y="256"/>
                                      <a:pt x="185" y="253"/>
                                      <a:pt x="185" y="249"/>
                                    </a:cubicBezTo>
                                    <a:cubicBezTo>
                                      <a:pt x="185" y="220"/>
                                      <a:pt x="185" y="220"/>
                                      <a:pt x="185" y="220"/>
                                    </a:cubicBezTo>
                                    <a:cubicBezTo>
                                      <a:pt x="170" y="220"/>
                                      <a:pt x="170" y="220"/>
                                      <a:pt x="170" y="220"/>
                                    </a:cubicBezTo>
                                    <a:cubicBezTo>
                                      <a:pt x="168" y="220"/>
                                      <a:pt x="166" y="219"/>
                                      <a:pt x="165" y="217"/>
                                    </a:cubicBezTo>
                                    <a:cubicBezTo>
                                      <a:pt x="163" y="215"/>
                                      <a:pt x="163" y="213"/>
                                      <a:pt x="164" y="211"/>
                                    </a:cubicBezTo>
                                    <a:cubicBezTo>
                                      <a:pt x="177" y="173"/>
                                      <a:pt x="177" y="173"/>
                                      <a:pt x="177" y="173"/>
                                    </a:cubicBezTo>
                                    <a:cubicBezTo>
                                      <a:pt x="178" y="171"/>
                                      <a:pt x="180" y="169"/>
                                      <a:pt x="183" y="169"/>
                                    </a:cubicBezTo>
                                    <a:cubicBezTo>
                                      <a:pt x="205" y="169"/>
                                      <a:pt x="205" y="169"/>
                                      <a:pt x="205" y="169"/>
                                    </a:cubicBezTo>
                                    <a:cubicBezTo>
                                      <a:pt x="208" y="169"/>
                                      <a:pt x="210" y="171"/>
                                      <a:pt x="211" y="173"/>
                                    </a:cubicBezTo>
                                    <a:cubicBezTo>
                                      <a:pt x="224" y="210"/>
                                      <a:pt x="224" y="210"/>
                                      <a:pt x="224" y="210"/>
                                    </a:cubicBezTo>
                                    <a:cubicBezTo>
                                      <a:pt x="224" y="211"/>
                                      <a:pt x="225" y="212"/>
                                      <a:pt x="225" y="213"/>
                                    </a:cubicBezTo>
                                    <a:cubicBezTo>
                                      <a:pt x="225" y="217"/>
                                      <a:pt x="222" y="220"/>
                                      <a:pt x="218" y="220"/>
                                    </a:cubicBezTo>
                                    <a:cubicBezTo>
                                      <a:pt x="218" y="220"/>
                                      <a:pt x="218" y="220"/>
                                      <a:pt x="218" y="220"/>
                                    </a:cubicBezTo>
                                    <a:cubicBezTo>
                                      <a:pt x="203" y="220"/>
                                      <a:pt x="203" y="220"/>
                                      <a:pt x="203" y="220"/>
                                    </a:cubicBezTo>
                                    <a:cubicBezTo>
                                      <a:pt x="203" y="249"/>
                                      <a:pt x="203" y="249"/>
                                      <a:pt x="203" y="249"/>
                                    </a:cubicBezTo>
                                    <a:cubicBezTo>
                                      <a:pt x="203" y="253"/>
                                      <a:pt x="201" y="256"/>
                                      <a:pt x="198" y="257"/>
                                    </a:cubicBezTo>
                                    <a:cubicBezTo>
                                      <a:pt x="238" y="257"/>
                                      <a:pt x="238" y="257"/>
                                      <a:pt x="238" y="257"/>
                                    </a:cubicBezTo>
                                    <a:cubicBezTo>
                                      <a:pt x="243" y="257"/>
                                      <a:pt x="248" y="253"/>
                                      <a:pt x="248" y="247"/>
                                    </a:cubicBezTo>
                                    <a:cubicBezTo>
                                      <a:pt x="248" y="147"/>
                                      <a:pt x="248" y="147"/>
                                      <a:pt x="248" y="147"/>
                                    </a:cubicBezTo>
                                    <a:cubicBezTo>
                                      <a:pt x="279" y="147"/>
                                      <a:pt x="279" y="147"/>
                                      <a:pt x="279" y="147"/>
                                    </a:cubicBezTo>
                                    <a:cubicBezTo>
                                      <a:pt x="279" y="147"/>
                                      <a:pt x="279" y="147"/>
                                      <a:pt x="279" y="147"/>
                                    </a:cubicBezTo>
                                    <a:cubicBezTo>
                                      <a:pt x="282" y="147"/>
                                      <a:pt x="285" y="144"/>
                                      <a:pt x="285" y="140"/>
                                    </a:cubicBezTo>
                                    <a:cubicBezTo>
                                      <a:pt x="285" y="138"/>
                                      <a:pt x="284" y="135"/>
                                      <a:pt x="281" y="134"/>
                                    </a:cubicBezTo>
                                    <a:close/>
                                    <a:moveTo>
                                      <a:pt x="162" y="0"/>
                                    </a:moveTo>
                                    <a:cubicBezTo>
                                      <a:pt x="73" y="0"/>
                                      <a:pt x="0" y="72"/>
                                      <a:pt x="0" y="162"/>
                                    </a:cubicBezTo>
                                    <a:cubicBezTo>
                                      <a:pt x="0" y="251"/>
                                      <a:pt x="73" y="324"/>
                                      <a:pt x="162" y="324"/>
                                    </a:cubicBezTo>
                                    <a:cubicBezTo>
                                      <a:pt x="252" y="324"/>
                                      <a:pt x="324" y="251"/>
                                      <a:pt x="324" y="162"/>
                                    </a:cubicBezTo>
                                    <a:cubicBezTo>
                                      <a:pt x="324" y="72"/>
                                      <a:pt x="252" y="0"/>
                                      <a:pt x="162" y="0"/>
                                    </a:cubicBezTo>
                                    <a:close/>
                                    <a:moveTo>
                                      <a:pt x="162" y="13"/>
                                    </a:moveTo>
                                    <a:cubicBezTo>
                                      <a:pt x="244" y="13"/>
                                      <a:pt x="311" y="80"/>
                                      <a:pt x="311" y="162"/>
                                    </a:cubicBezTo>
                                    <a:cubicBezTo>
                                      <a:pt x="311" y="244"/>
                                      <a:pt x="244" y="311"/>
                                      <a:pt x="162" y="311"/>
                                    </a:cubicBezTo>
                                    <a:cubicBezTo>
                                      <a:pt x="80" y="311"/>
                                      <a:pt x="13" y="244"/>
                                      <a:pt x="13" y="162"/>
                                    </a:cubicBezTo>
                                    <a:cubicBezTo>
                                      <a:pt x="13" y="80"/>
                                      <a:pt x="80" y="13"/>
                                      <a:pt x="162" y="13"/>
                                    </a:cubicBezTo>
                                  </a:path>
                                </a:pathLst>
                              </a:custGeom>
                              <a:solidFill>
                                <a:schemeClr val="tx2"/>
                              </a:solidFill>
                              <a:ln w="9525">
                                <a:noFill/>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1C4B94F6" id="Freeform 32" o:spid="_x0000_s1026" alt="Title: Fixed line telephone services icon - Description: Fixed line telephone services icon &#10;" style="width:14.15pt;height:14.15pt;visibility:visible;mso-wrap-style:square;mso-left-percent:-10001;mso-top-percent:-10001;mso-position-horizontal:absolute;mso-position-horizontal-relative:char;mso-position-vertical:absolute;mso-position-vertical-relative:line;mso-left-percent:-10001;mso-top-percent:-10001;v-text-anchor:top" coordsize="32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" path="m194,161v-8,,-15,-6,-15,-15c179,138,186,131,194,131v9,,15,7,15,15c209,155,203,161,194,161xm125,161v-8,,-15,-6,-15,-15c110,138,117,131,125,131v9,,15,7,15,15c140,155,134,161,125,161xm281,134c166,59,166,59,166,59v-2,-1,-5,-1,-7,c116,87,116,87,116,87v,-23,,-23,,-23c116,61,113,58,109,58v-26,,-26,,-26,c80,58,77,61,77,64v,48,,48,,48c43,135,43,135,43,135v-3,2,-4,4,-3,7c41,145,43,147,46,147v31,,31,,31,c77,247,77,247,77,247v,6,4,10,10,10c121,257,121,257,121,257v-3,-1,-5,-4,-5,-8c116,220,116,220,116,220v-10,,-10,,-10,c102,220,100,217,100,213v,-38,,-38,,-38c100,172,102,169,106,169v38,,38,,38,c148,169,151,172,151,175v,38,,38,,38c151,217,148,220,144,220v-10,,-10,,-10,c134,249,134,249,134,249v,4,-2,7,-5,8c190,257,190,257,190,257v-3,-1,-5,-4,-5,-8c185,220,185,220,185,220v-15,,-15,,-15,c168,220,166,219,165,217v-2,-2,-2,-4,-1,-6c177,173,177,173,177,173v1,-2,3,-4,6,-4c205,169,205,169,205,169v3,,5,2,6,4c224,210,224,210,224,210v,1,1,2,1,3c225,217,222,220,218,220v,,,,,c203,220,203,220,203,220v,29,,29,,29c203,253,201,256,198,257v40,,40,,40,c243,257,248,253,248,247v,-100,,-100,,-100c279,147,279,147,279,147v,,,,,c282,147,285,144,285,140v,-2,-1,-5,-4,-6xm162,c73,,,72,,162v,89,73,162,162,162c252,324,324,251,324,162,324,72,252,,162,xm162,13v82,,149,67,149,149c311,244,244,311,162,311,80,311,13,244,13,162,13,80,80,13,162,13e" fillcolor="#a32020 [3215]" stroked="f">
                      <v:path arrowok="t" o:connecttype="custom" o:connectlocs="179,146;209,146;125,161;125,131;125,161;166,59;116,87;109,58;77,64;43,135;46,147;77,247;121,257;116,220;100,213;106,169;151,175;144,220;134,249;190,257;185,220;165,217;177,173;205,169;224,210;218,220;203,220;198,257;248,247;279,147;285,140;162,0;162,324;162,0;311,162;13,162" o:connectangles="0,0,0,0,0,0,0,0,0,0,0,0,0,0,0,0,0,0,0,0,0,0,0,0,0,0,0,0,0,0,0,0,0,0,0,0"/>
                      <o:lock v:ext="edit" verticies="t"/>
                      <w10:anchorlock/>
                    </v:shape>
                  </w:pict>
                </mc:Fallback>
              </mc:AlternateContent>
            </w:r>
            <w:r w:rsidR="001227E2" w:rsidRPr="008F3B97">
              <w:rPr>
                <w:noProof/>
                <w:lang w:eastAsia="en-AU"/>
              </w:rPr>
              <mc:AlternateContent>
                <mc:Choice Requires="wps">
                  <w:drawing>
                    <wp:inline distT="0" distB="0" distL="0" distR="0" wp14:anchorId="04D1FE13" wp14:editId="070CC63E">
                      <wp:extent cx="180000" cy="180000"/>
                      <wp:effectExtent l="0" t="0" r="0" b="0"/>
                      <wp:docPr id="47" name="Freeform 8" descr="Mobile services icon" title="Mobile services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80000" cy="180000"/>
                              </a:xfrm>
                              <a:custGeom>
                                <a:avLst/>
                                <a:gdLst/>
                                <a:ahLst/>
                                <a:cxnLst>
                                  <a:cxn ang="0">
                                    <a:pos x="215" y="238"/>
                                  </a:cxn>
                                  <a:cxn ang="0">
                                    <a:pos x="108" y="238"/>
                                  </a:cxn>
                                  <a:cxn ang="0">
                                    <a:pos x="108" y="78"/>
                                  </a:cxn>
                                  <a:cxn ang="0">
                                    <a:pos x="215" y="78"/>
                                  </a:cxn>
                                  <a:cxn ang="0">
                                    <a:pos x="215" y="238"/>
                                  </a:cxn>
                                  <a:cxn ang="0">
                                    <a:pos x="161" y="273"/>
                                  </a:cxn>
                                  <a:cxn ang="0">
                                    <a:pos x="149" y="261"/>
                                  </a:cxn>
                                  <a:cxn ang="0">
                                    <a:pos x="161" y="249"/>
                                  </a:cxn>
                                  <a:cxn ang="0">
                                    <a:pos x="173" y="261"/>
                                  </a:cxn>
                                  <a:cxn ang="0">
                                    <a:pos x="161" y="273"/>
                                  </a:cxn>
                                  <a:cxn ang="0">
                                    <a:pos x="149" y="57"/>
                                  </a:cxn>
                                  <a:cxn ang="0">
                                    <a:pos x="173" y="57"/>
                                  </a:cxn>
                                  <a:cxn ang="0">
                                    <a:pos x="178" y="62"/>
                                  </a:cxn>
                                  <a:cxn ang="0">
                                    <a:pos x="173" y="67"/>
                                  </a:cxn>
                                  <a:cxn ang="0">
                                    <a:pos x="149" y="67"/>
                                  </a:cxn>
                                  <a:cxn ang="0">
                                    <a:pos x="144" y="62"/>
                                  </a:cxn>
                                  <a:cxn ang="0">
                                    <a:pos x="149" y="57"/>
                                  </a:cxn>
                                  <a:cxn ang="0">
                                    <a:pos x="215" y="39"/>
                                  </a:cxn>
                                  <a:cxn ang="0">
                                    <a:pos x="107" y="39"/>
                                  </a:cxn>
                                  <a:cxn ang="0">
                                    <a:pos x="89" y="57"/>
                                  </a:cxn>
                                  <a:cxn ang="0">
                                    <a:pos x="89" y="266"/>
                                  </a:cxn>
                                  <a:cxn ang="0">
                                    <a:pos x="107" y="284"/>
                                  </a:cxn>
                                  <a:cxn ang="0">
                                    <a:pos x="215" y="284"/>
                                  </a:cxn>
                                  <a:cxn ang="0">
                                    <a:pos x="233" y="266"/>
                                  </a:cxn>
                                  <a:cxn ang="0">
                                    <a:pos x="233" y="57"/>
                                  </a:cxn>
                                  <a:cxn ang="0">
                                    <a:pos x="215" y="39"/>
                                  </a:cxn>
                                  <a:cxn ang="0">
                                    <a:pos x="161" y="311"/>
                                  </a:cxn>
                                  <a:cxn ang="0">
                                    <a:pos x="12" y="162"/>
                                  </a:cxn>
                                  <a:cxn ang="0">
                                    <a:pos x="161" y="13"/>
                                  </a:cxn>
                                  <a:cxn ang="0">
                                    <a:pos x="310" y="162"/>
                                  </a:cxn>
                                  <a:cxn ang="0">
                                    <a:pos x="161" y="311"/>
                                  </a:cxn>
                                  <a:cxn ang="0">
                                    <a:pos x="161" y="0"/>
                                  </a:cxn>
                                  <a:cxn ang="0">
                                    <a:pos x="0" y="162"/>
                                  </a:cxn>
                                  <a:cxn ang="0">
                                    <a:pos x="161" y="324"/>
                                  </a:cxn>
                                  <a:cxn ang="0">
                                    <a:pos x="323" y="162"/>
                                  </a:cxn>
                                  <a:cxn ang="0">
                                    <a:pos x="161" y="0"/>
                                  </a:cxn>
                                </a:cxnLst>
                                <a:rect l="0" t="0" r="r" b="b"/>
                                <a:pathLst>
                                  <a:path w="323" h="324">
                                    <a:moveTo>
                                      <a:pt x="215" y="238"/>
                                    </a:moveTo>
                                    <a:cubicBezTo>
                                      <a:pt x="108" y="238"/>
                                      <a:pt x="108" y="238"/>
                                      <a:pt x="108" y="238"/>
                                    </a:cubicBezTo>
                                    <a:cubicBezTo>
                                      <a:pt x="108" y="78"/>
                                      <a:pt x="108" y="78"/>
                                      <a:pt x="108" y="78"/>
                                    </a:cubicBezTo>
                                    <a:cubicBezTo>
                                      <a:pt x="215" y="78"/>
                                      <a:pt x="215" y="78"/>
                                      <a:pt x="215" y="78"/>
                                    </a:cubicBezTo>
                                    <a:lnTo>
                                      <a:pt x="215" y="238"/>
                                    </a:lnTo>
                                    <a:close/>
                                    <a:moveTo>
                                      <a:pt x="161" y="273"/>
                                    </a:moveTo>
                                    <a:cubicBezTo>
                                      <a:pt x="154" y="273"/>
                                      <a:pt x="149" y="267"/>
                                      <a:pt x="149" y="261"/>
                                    </a:cubicBezTo>
                                    <a:cubicBezTo>
                                      <a:pt x="149" y="254"/>
                                      <a:pt x="154" y="249"/>
                                      <a:pt x="161" y="249"/>
                                    </a:cubicBezTo>
                                    <a:cubicBezTo>
                                      <a:pt x="168" y="249"/>
                                      <a:pt x="173" y="254"/>
                                      <a:pt x="173" y="261"/>
                                    </a:cubicBezTo>
                                    <a:cubicBezTo>
                                      <a:pt x="173" y="267"/>
                                      <a:pt x="168" y="273"/>
                                      <a:pt x="161" y="273"/>
                                    </a:cubicBezTo>
                                    <a:close/>
                                    <a:moveTo>
                                      <a:pt x="149" y="57"/>
                                    </a:moveTo>
                                    <a:cubicBezTo>
                                      <a:pt x="173" y="57"/>
                                      <a:pt x="173" y="57"/>
                                      <a:pt x="173" y="57"/>
                                    </a:cubicBezTo>
                                    <a:cubicBezTo>
                                      <a:pt x="176" y="57"/>
                                      <a:pt x="178" y="59"/>
                                      <a:pt x="178" y="62"/>
                                    </a:cubicBezTo>
                                    <a:cubicBezTo>
                                      <a:pt x="178" y="65"/>
                                      <a:pt x="176" y="67"/>
                                      <a:pt x="173" y="67"/>
                                    </a:cubicBezTo>
                                    <a:cubicBezTo>
                                      <a:pt x="149" y="67"/>
                                      <a:pt x="149" y="67"/>
                                      <a:pt x="149" y="67"/>
                                    </a:cubicBezTo>
                                    <a:cubicBezTo>
                                      <a:pt x="146" y="67"/>
                                      <a:pt x="144" y="65"/>
                                      <a:pt x="144" y="62"/>
                                    </a:cubicBezTo>
                                    <a:cubicBezTo>
                                      <a:pt x="144" y="59"/>
                                      <a:pt x="146" y="57"/>
                                      <a:pt x="149" y="57"/>
                                    </a:cubicBezTo>
                                    <a:close/>
                                    <a:moveTo>
                                      <a:pt x="215" y="39"/>
                                    </a:moveTo>
                                    <a:cubicBezTo>
                                      <a:pt x="107" y="39"/>
                                      <a:pt x="107" y="39"/>
                                      <a:pt x="107" y="39"/>
                                    </a:cubicBezTo>
                                    <a:cubicBezTo>
                                      <a:pt x="97" y="39"/>
                                      <a:pt x="89" y="47"/>
                                      <a:pt x="89" y="57"/>
                                    </a:cubicBezTo>
                                    <a:cubicBezTo>
                                      <a:pt x="89" y="266"/>
                                      <a:pt x="89" y="266"/>
                                      <a:pt x="89" y="266"/>
                                    </a:cubicBezTo>
                                    <a:cubicBezTo>
                                      <a:pt x="89" y="276"/>
                                      <a:pt x="97" y="284"/>
                                      <a:pt x="107" y="284"/>
                                    </a:cubicBezTo>
                                    <a:cubicBezTo>
                                      <a:pt x="215" y="284"/>
                                      <a:pt x="215" y="284"/>
                                      <a:pt x="215" y="284"/>
                                    </a:cubicBezTo>
                                    <a:cubicBezTo>
                                      <a:pt x="225" y="284"/>
                                      <a:pt x="233" y="276"/>
                                      <a:pt x="233" y="266"/>
                                    </a:cubicBezTo>
                                    <a:cubicBezTo>
                                      <a:pt x="233" y="57"/>
                                      <a:pt x="233" y="57"/>
                                      <a:pt x="233" y="57"/>
                                    </a:cubicBezTo>
                                    <a:cubicBezTo>
                                      <a:pt x="233" y="47"/>
                                      <a:pt x="225" y="39"/>
                                      <a:pt x="215" y="39"/>
                                    </a:cubicBezTo>
                                    <a:close/>
                                    <a:moveTo>
                                      <a:pt x="161" y="311"/>
                                    </a:moveTo>
                                    <a:cubicBezTo>
                                      <a:pt x="79" y="311"/>
                                      <a:pt x="12" y="244"/>
                                      <a:pt x="12" y="162"/>
                                    </a:cubicBezTo>
                                    <a:cubicBezTo>
                                      <a:pt x="12" y="79"/>
                                      <a:pt x="79" y="13"/>
                                      <a:pt x="161" y="13"/>
                                    </a:cubicBezTo>
                                    <a:cubicBezTo>
                                      <a:pt x="243" y="13"/>
                                      <a:pt x="310" y="79"/>
                                      <a:pt x="310" y="162"/>
                                    </a:cubicBezTo>
                                    <a:cubicBezTo>
                                      <a:pt x="310" y="244"/>
                                      <a:pt x="243" y="311"/>
                                      <a:pt x="161" y="311"/>
                                    </a:cubicBezTo>
                                    <a:close/>
                                    <a:moveTo>
                                      <a:pt x="161" y="0"/>
                                    </a:moveTo>
                                    <a:cubicBezTo>
                                      <a:pt x="72" y="0"/>
                                      <a:pt x="0" y="72"/>
                                      <a:pt x="0" y="162"/>
                                    </a:cubicBezTo>
                                    <a:cubicBezTo>
                                      <a:pt x="0" y="251"/>
                                      <a:pt x="72" y="324"/>
                                      <a:pt x="161" y="324"/>
                                    </a:cubicBezTo>
                                    <a:cubicBezTo>
                                      <a:pt x="250" y="324"/>
                                      <a:pt x="323" y="251"/>
                                      <a:pt x="323" y="162"/>
                                    </a:cubicBezTo>
                                    <a:cubicBezTo>
                                      <a:pt x="323" y="72"/>
                                      <a:pt x="250" y="0"/>
                                      <a:pt x="161" y="0"/>
                                    </a:cubicBezTo>
                                    <a:close/>
                                  </a:path>
                                </a:pathLst>
                              </a:custGeom>
                              <a:solidFill>
                                <a:schemeClr val="tx2"/>
                              </a:solidFill>
                              <a:ln w="9525">
                                <a:noFill/>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790E416C" id="Freeform 8" o:spid="_x0000_s1026" alt="Title: Mobile services icon - Description: Mobile services icon" style="width:14.15pt;height:14.15pt;visibility:visible;mso-wrap-style:square;mso-left-percent:-10001;mso-top-percent:-10001;mso-position-horizontal:absolute;mso-position-horizontal-relative:char;mso-position-vertical:absolute;mso-position-vertical-relative:line;mso-left-percent:-10001;mso-top-percent:-10001;v-text-anchor:top" coordsize="323,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" path="m215,238v-107,,-107,,-107,c108,78,108,78,108,78v107,,107,,107,l215,238xm161,273v-7,,-12,-6,-12,-12c149,254,154,249,161,249v7,,12,5,12,12c173,267,168,273,161,273xm149,57v24,,24,,24,c176,57,178,59,178,62v,3,-2,5,-5,5c149,67,149,67,149,67v-3,,-5,-2,-5,-5c144,59,146,57,149,57xm215,39v-108,,-108,,-108,c97,39,89,47,89,57v,209,,209,,209c89,276,97,284,107,284v108,,108,,108,c225,284,233,276,233,266v,-209,,-209,,-209c233,47,225,39,215,39xm161,311c79,311,12,244,12,162,12,79,79,13,161,13v82,,149,66,149,149c310,244,243,311,161,311xm161,c72,,,72,,162v,89,72,162,161,162c250,324,323,251,323,162,323,72,250,,161,xe" fillcolor="#a32020 [3215]" stroked="f">
                      <v:path arrowok="t" o:connecttype="custom" o:connectlocs="215,238;108,238;108,78;215,78;215,238;161,273;149,261;161,249;173,261;161,273;149,57;173,57;178,62;173,67;149,67;144,62;149,57;215,39;107,39;89,57;89,266;107,284;215,284;233,266;233,57;215,39;161,311;12,162;161,13;310,162;161,311;161,0;0,162;161,324;323,162;161,0" o:connectangles="0,0,0,0,0,0,0,0,0,0,0,0,0,0,0,0,0,0,0,0,0,0,0,0,0,0,0,0,0,0,0,0,0,0,0,0"/>
                      <o:lock v:ext="edit" verticies="t"/>
                      <w10:anchorlock/>
                    </v:shape>
                  </w:pict>
                </mc:Fallback>
              </mc:AlternateContent>
            </w:r>
          </w:p>
        </w:tc>
        <w:tc>
          <w:tcPr>
            <w:tcW w:w="680" w:type="dxa"/>
            <w:hideMark/>
          </w:tcPr>
          <w:p w14:paraId="65F21F7E" w14:textId="77777777" w:rsidR="00582FBF" w:rsidRPr="00582FBF" w:rsidRDefault="00582FBF" w:rsidP="002D56B1">
            <w:pPr>
              <w:pStyle w:val="TableTextNormal"/>
              <w:keepNext/>
              <w:jc w:val="center"/>
              <w:rPr>
                <w:lang w:val="en-US"/>
              </w:rPr>
            </w:pPr>
          </w:p>
        </w:tc>
        <w:tc>
          <w:tcPr>
            <w:tcW w:w="680" w:type="dxa"/>
            <w:hideMark/>
          </w:tcPr>
          <w:p w14:paraId="14AF0BCE" w14:textId="77777777" w:rsidR="00582FBF" w:rsidRPr="00582FBF" w:rsidRDefault="00582FBF" w:rsidP="002D56B1">
            <w:pPr>
              <w:pStyle w:val="TableTextNormal"/>
              <w:keepNext/>
              <w:jc w:val="center"/>
              <w:rPr>
                <w:lang w:val="en-US"/>
              </w:rPr>
            </w:pPr>
          </w:p>
        </w:tc>
      </w:tr>
      <w:tr w:rsidR="00582FBF" w:rsidRPr="00582FBF" w14:paraId="18043439" w14:textId="77777777" w:rsidTr="009E79D7">
        <w:trPr>
          <w:cantSplit/>
          <w:trHeight w:val="564"/>
        </w:trPr>
        <w:tc>
          <w:tcPr>
            <w:tcW w:w="3654" w:type="dxa"/>
            <w:hideMark/>
          </w:tcPr>
          <w:p w14:paraId="1DC02BE7" w14:textId="6B9F1977" w:rsidR="00582FBF" w:rsidRPr="00582FBF" w:rsidRDefault="00582FBF" w:rsidP="00582FBF">
            <w:pPr>
              <w:pStyle w:val="TableTextNormal"/>
              <w:rPr>
                <w:lang w:val="en-US"/>
              </w:rPr>
            </w:pPr>
            <w:r w:rsidRPr="00582FBF">
              <w:lastRenderedPageBreak/>
              <w:t>Repair time</w:t>
            </w:r>
          </w:p>
        </w:tc>
        <w:tc>
          <w:tcPr>
            <w:tcW w:w="680" w:type="dxa"/>
            <w:hideMark/>
          </w:tcPr>
          <w:p w14:paraId="7061005A" w14:textId="2852BDBE" w:rsidR="00582FBF" w:rsidRPr="00582FBF" w:rsidRDefault="00785790" w:rsidP="00785790">
            <w:pPr>
              <w:pStyle w:val="TableTextNormal"/>
              <w:jc w:val="center"/>
              <w:rPr>
                <w:lang w:val="en-US"/>
              </w:rPr>
            </w:pPr>
            <w:r w:rsidRPr="00DB655E">
              <w:rPr>
                <w:noProof/>
                <w:lang w:eastAsia="en-AU"/>
              </w:rPr>
              <mc:AlternateContent>
                <mc:Choice Requires="wps">
                  <w:drawing>
                    <wp:inline distT="0" distB="0" distL="0" distR="0" wp14:anchorId="0945F5DF" wp14:editId="5BF6294D">
                      <wp:extent cx="180000" cy="180000"/>
                      <wp:effectExtent l="0" t="0" r="0" b="0"/>
                      <wp:docPr id="29" name="Freeform 32" descr="Fixed line telephone services icon &#10;" title="Fixed line telephone services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80000" cy="180000"/>
                              </a:xfrm>
                              <a:custGeom>
                                <a:avLst/>
                                <a:gdLst/>
                                <a:ahLst/>
                                <a:cxnLst>
                                  <a:cxn ang="0">
                                    <a:pos x="179" y="146"/>
                                  </a:cxn>
                                  <a:cxn ang="0">
                                    <a:pos x="209" y="146"/>
                                  </a:cxn>
                                  <a:cxn ang="0">
                                    <a:pos x="125" y="161"/>
                                  </a:cxn>
                                  <a:cxn ang="0">
                                    <a:pos x="125" y="131"/>
                                  </a:cxn>
                                  <a:cxn ang="0">
                                    <a:pos x="125" y="161"/>
                                  </a:cxn>
                                  <a:cxn ang="0">
                                    <a:pos x="166" y="59"/>
                                  </a:cxn>
                                  <a:cxn ang="0">
                                    <a:pos x="116" y="87"/>
                                  </a:cxn>
                                  <a:cxn ang="0">
                                    <a:pos x="109" y="58"/>
                                  </a:cxn>
                                  <a:cxn ang="0">
                                    <a:pos x="77" y="64"/>
                                  </a:cxn>
                                  <a:cxn ang="0">
                                    <a:pos x="43" y="135"/>
                                  </a:cxn>
                                  <a:cxn ang="0">
                                    <a:pos x="46" y="147"/>
                                  </a:cxn>
                                  <a:cxn ang="0">
                                    <a:pos x="77" y="247"/>
                                  </a:cxn>
                                  <a:cxn ang="0">
                                    <a:pos x="121" y="257"/>
                                  </a:cxn>
                                  <a:cxn ang="0">
                                    <a:pos x="116" y="220"/>
                                  </a:cxn>
                                  <a:cxn ang="0">
                                    <a:pos x="100" y="213"/>
                                  </a:cxn>
                                  <a:cxn ang="0">
                                    <a:pos x="106" y="169"/>
                                  </a:cxn>
                                  <a:cxn ang="0">
                                    <a:pos x="151" y="175"/>
                                  </a:cxn>
                                  <a:cxn ang="0">
                                    <a:pos x="144" y="220"/>
                                  </a:cxn>
                                  <a:cxn ang="0">
                                    <a:pos x="134" y="249"/>
                                  </a:cxn>
                                  <a:cxn ang="0">
                                    <a:pos x="190" y="257"/>
                                  </a:cxn>
                                  <a:cxn ang="0">
                                    <a:pos x="185" y="220"/>
                                  </a:cxn>
                                  <a:cxn ang="0">
                                    <a:pos x="165" y="217"/>
                                  </a:cxn>
                                  <a:cxn ang="0">
                                    <a:pos x="177" y="173"/>
                                  </a:cxn>
                                  <a:cxn ang="0">
                                    <a:pos x="205" y="169"/>
                                  </a:cxn>
                                  <a:cxn ang="0">
                                    <a:pos x="224" y="210"/>
                                  </a:cxn>
                                  <a:cxn ang="0">
                                    <a:pos x="218" y="220"/>
                                  </a:cxn>
                                  <a:cxn ang="0">
                                    <a:pos x="203" y="220"/>
                                  </a:cxn>
                                  <a:cxn ang="0">
                                    <a:pos x="198" y="257"/>
                                  </a:cxn>
                                  <a:cxn ang="0">
                                    <a:pos x="248" y="247"/>
                                  </a:cxn>
                                  <a:cxn ang="0">
                                    <a:pos x="279" y="147"/>
                                  </a:cxn>
                                  <a:cxn ang="0">
                                    <a:pos x="285" y="140"/>
                                  </a:cxn>
                                  <a:cxn ang="0">
                                    <a:pos x="162" y="0"/>
                                  </a:cxn>
                                  <a:cxn ang="0">
                                    <a:pos x="162" y="324"/>
                                  </a:cxn>
                                  <a:cxn ang="0">
                                    <a:pos x="162" y="0"/>
                                  </a:cxn>
                                  <a:cxn ang="0">
                                    <a:pos x="311" y="162"/>
                                  </a:cxn>
                                  <a:cxn ang="0">
                                    <a:pos x="13" y="162"/>
                                  </a:cxn>
                                </a:cxnLst>
                                <a:rect l="0" t="0" r="r" b="b"/>
                                <a:pathLst>
                                  <a:path w="324" h="324">
                                    <a:moveTo>
                                      <a:pt x="194" y="161"/>
                                    </a:moveTo>
                                    <a:cubicBezTo>
                                      <a:pt x="186" y="161"/>
                                      <a:pt x="179" y="155"/>
                                      <a:pt x="179" y="146"/>
                                    </a:cubicBezTo>
                                    <a:cubicBezTo>
                                      <a:pt x="179" y="138"/>
                                      <a:pt x="186" y="131"/>
                                      <a:pt x="194" y="131"/>
                                    </a:cubicBezTo>
                                    <a:cubicBezTo>
                                      <a:pt x="203" y="131"/>
                                      <a:pt x="209" y="138"/>
                                      <a:pt x="209" y="146"/>
                                    </a:cubicBezTo>
                                    <a:cubicBezTo>
                                      <a:pt x="209" y="155"/>
                                      <a:pt x="203" y="161"/>
                                      <a:pt x="194" y="161"/>
                                    </a:cubicBezTo>
                                    <a:close/>
                                    <a:moveTo>
                                      <a:pt x="125" y="161"/>
                                    </a:moveTo>
                                    <a:cubicBezTo>
                                      <a:pt x="117" y="161"/>
                                      <a:pt x="110" y="155"/>
                                      <a:pt x="110" y="146"/>
                                    </a:cubicBezTo>
                                    <a:cubicBezTo>
                                      <a:pt x="110" y="138"/>
                                      <a:pt x="117" y="131"/>
                                      <a:pt x="125" y="131"/>
                                    </a:cubicBezTo>
                                    <a:cubicBezTo>
                                      <a:pt x="134" y="131"/>
                                      <a:pt x="140" y="138"/>
                                      <a:pt x="140" y="146"/>
                                    </a:cubicBezTo>
                                    <a:cubicBezTo>
                                      <a:pt x="140" y="155"/>
                                      <a:pt x="134" y="161"/>
                                      <a:pt x="125" y="161"/>
                                    </a:cubicBezTo>
                                    <a:close/>
                                    <a:moveTo>
                                      <a:pt x="281" y="134"/>
                                    </a:moveTo>
                                    <a:cubicBezTo>
                                      <a:pt x="166" y="59"/>
                                      <a:pt x="166" y="59"/>
                                      <a:pt x="166" y="59"/>
                                    </a:cubicBezTo>
                                    <a:cubicBezTo>
                                      <a:pt x="164" y="58"/>
                                      <a:pt x="161" y="58"/>
                                      <a:pt x="159" y="59"/>
                                    </a:cubicBezTo>
                                    <a:cubicBezTo>
                                      <a:pt x="116" y="87"/>
                                      <a:pt x="116" y="87"/>
                                      <a:pt x="116" y="87"/>
                                    </a:cubicBezTo>
                                    <a:cubicBezTo>
                                      <a:pt x="116" y="64"/>
                                      <a:pt x="116" y="64"/>
                                      <a:pt x="116" y="64"/>
                                    </a:cubicBezTo>
                                    <a:cubicBezTo>
                                      <a:pt x="116" y="61"/>
                                      <a:pt x="113" y="58"/>
                                      <a:pt x="109" y="58"/>
                                    </a:cubicBezTo>
                                    <a:cubicBezTo>
                                      <a:pt x="83" y="58"/>
                                      <a:pt x="83" y="58"/>
                                      <a:pt x="83" y="58"/>
                                    </a:cubicBezTo>
                                    <a:cubicBezTo>
                                      <a:pt x="80" y="58"/>
                                      <a:pt x="77" y="61"/>
                                      <a:pt x="77" y="64"/>
                                    </a:cubicBezTo>
                                    <a:cubicBezTo>
                                      <a:pt x="77" y="112"/>
                                      <a:pt x="77" y="112"/>
                                      <a:pt x="77" y="112"/>
                                    </a:cubicBezTo>
                                    <a:cubicBezTo>
                                      <a:pt x="43" y="135"/>
                                      <a:pt x="43" y="135"/>
                                      <a:pt x="43" y="135"/>
                                    </a:cubicBezTo>
                                    <a:cubicBezTo>
                                      <a:pt x="40" y="137"/>
                                      <a:pt x="39" y="139"/>
                                      <a:pt x="40" y="142"/>
                                    </a:cubicBezTo>
                                    <a:cubicBezTo>
                                      <a:pt x="41" y="145"/>
                                      <a:pt x="43" y="147"/>
                                      <a:pt x="46" y="147"/>
                                    </a:cubicBezTo>
                                    <a:cubicBezTo>
                                      <a:pt x="77" y="147"/>
                                      <a:pt x="77" y="147"/>
                                      <a:pt x="77" y="147"/>
                                    </a:cubicBezTo>
                                    <a:cubicBezTo>
                                      <a:pt x="77" y="247"/>
                                      <a:pt x="77" y="247"/>
                                      <a:pt x="77" y="247"/>
                                    </a:cubicBezTo>
                                    <a:cubicBezTo>
                                      <a:pt x="77" y="253"/>
                                      <a:pt x="81" y="257"/>
                                      <a:pt x="87" y="257"/>
                                    </a:cubicBezTo>
                                    <a:cubicBezTo>
                                      <a:pt x="121" y="257"/>
                                      <a:pt x="121" y="257"/>
                                      <a:pt x="121" y="257"/>
                                    </a:cubicBezTo>
                                    <a:cubicBezTo>
                                      <a:pt x="118" y="256"/>
                                      <a:pt x="116" y="253"/>
                                      <a:pt x="116" y="249"/>
                                    </a:cubicBezTo>
                                    <a:cubicBezTo>
                                      <a:pt x="116" y="220"/>
                                      <a:pt x="116" y="220"/>
                                      <a:pt x="116" y="220"/>
                                    </a:cubicBezTo>
                                    <a:cubicBezTo>
                                      <a:pt x="106" y="220"/>
                                      <a:pt x="106" y="220"/>
                                      <a:pt x="106" y="220"/>
                                    </a:cubicBezTo>
                                    <a:cubicBezTo>
                                      <a:pt x="102" y="220"/>
                                      <a:pt x="100" y="217"/>
                                      <a:pt x="100" y="213"/>
                                    </a:cubicBezTo>
                                    <a:cubicBezTo>
                                      <a:pt x="100" y="175"/>
                                      <a:pt x="100" y="175"/>
                                      <a:pt x="100" y="175"/>
                                    </a:cubicBezTo>
                                    <a:cubicBezTo>
                                      <a:pt x="100" y="172"/>
                                      <a:pt x="102" y="169"/>
                                      <a:pt x="106" y="169"/>
                                    </a:cubicBezTo>
                                    <a:cubicBezTo>
                                      <a:pt x="144" y="169"/>
                                      <a:pt x="144" y="169"/>
                                      <a:pt x="144" y="169"/>
                                    </a:cubicBezTo>
                                    <a:cubicBezTo>
                                      <a:pt x="148" y="169"/>
                                      <a:pt x="151" y="172"/>
                                      <a:pt x="151" y="175"/>
                                    </a:cubicBezTo>
                                    <a:cubicBezTo>
                                      <a:pt x="151" y="213"/>
                                      <a:pt x="151" y="213"/>
                                      <a:pt x="151" y="213"/>
                                    </a:cubicBezTo>
                                    <a:cubicBezTo>
                                      <a:pt x="151" y="217"/>
                                      <a:pt x="148" y="220"/>
                                      <a:pt x="144" y="220"/>
                                    </a:cubicBezTo>
                                    <a:cubicBezTo>
                                      <a:pt x="134" y="220"/>
                                      <a:pt x="134" y="220"/>
                                      <a:pt x="134" y="220"/>
                                    </a:cubicBezTo>
                                    <a:cubicBezTo>
                                      <a:pt x="134" y="249"/>
                                      <a:pt x="134" y="249"/>
                                      <a:pt x="134" y="249"/>
                                    </a:cubicBezTo>
                                    <a:cubicBezTo>
                                      <a:pt x="134" y="253"/>
                                      <a:pt x="132" y="256"/>
                                      <a:pt x="129" y="257"/>
                                    </a:cubicBezTo>
                                    <a:cubicBezTo>
                                      <a:pt x="190" y="257"/>
                                      <a:pt x="190" y="257"/>
                                      <a:pt x="190" y="257"/>
                                    </a:cubicBezTo>
                                    <a:cubicBezTo>
                                      <a:pt x="187" y="256"/>
                                      <a:pt x="185" y="253"/>
                                      <a:pt x="185" y="249"/>
                                    </a:cubicBezTo>
                                    <a:cubicBezTo>
                                      <a:pt x="185" y="220"/>
                                      <a:pt x="185" y="220"/>
                                      <a:pt x="185" y="220"/>
                                    </a:cubicBezTo>
                                    <a:cubicBezTo>
                                      <a:pt x="170" y="220"/>
                                      <a:pt x="170" y="220"/>
                                      <a:pt x="170" y="220"/>
                                    </a:cubicBezTo>
                                    <a:cubicBezTo>
                                      <a:pt x="168" y="220"/>
                                      <a:pt x="166" y="219"/>
                                      <a:pt x="165" y="217"/>
                                    </a:cubicBezTo>
                                    <a:cubicBezTo>
                                      <a:pt x="163" y="215"/>
                                      <a:pt x="163" y="213"/>
                                      <a:pt x="164" y="211"/>
                                    </a:cubicBezTo>
                                    <a:cubicBezTo>
                                      <a:pt x="177" y="173"/>
                                      <a:pt x="177" y="173"/>
                                      <a:pt x="177" y="173"/>
                                    </a:cubicBezTo>
                                    <a:cubicBezTo>
                                      <a:pt x="178" y="171"/>
                                      <a:pt x="180" y="169"/>
                                      <a:pt x="183" y="169"/>
                                    </a:cubicBezTo>
                                    <a:cubicBezTo>
                                      <a:pt x="205" y="169"/>
                                      <a:pt x="205" y="169"/>
                                      <a:pt x="205" y="169"/>
                                    </a:cubicBezTo>
                                    <a:cubicBezTo>
                                      <a:pt x="208" y="169"/>
                                      <a:pt x="210" y="171"/>
                                      <a:pt x="211" y="173"/>
                                    </a:cubicBezTo>
                                    <a:cubicBezTo>
                                      <a:pt x="224" y="210"/>
                                      <a:pt x="224" y="210"/>
                                      <a:pt x="224" y="210"/>
                                    </a:cubicBezTo>
                                    <a:cubicBezTo>
                                      <a:pt x="224" y="211"/>
                                      <a:pt x="225" y="212"/>
                                      <a:pt x="225" y="213"/>
                                    </a:cubicBezTo>
                                    <a:cubicBezTo>
                                      <a:pt x="225" y="217"/>
                                      <a:pt x="222" y="220"/>
                                      <a:pt x="218" y="220"/>
                                    </a:cubicBezTo>
                                    <a:cubicBezTo>
                                      <a:pt x="218" y="220"/>
                                      <a:pt x="218" y="220"/>
                                      <a:pt x="218" y="220"/>
                                    </a:cubicBezTo>
                                    <a:cubicBezTo>
                                      <a:pt x="203" y="220"/>
                                      <a:pt x="203" y="220"/>
                                      <a:pt x="203" y="220"/>
                                    </a:cubicBezTo>
                                    <a:cubicBezTo>
                                      <a:pt x="203" y="249"/>
                                      <a:pt x="203" y="249"/>
                                      <a:pt x="203" y="249"/>
                                    </a:cubicBezTo>
                                    <a:cubicBezTo>
                                      <a:pt x="203" y="253"/>
                                      <a:pt x="201" y="256"/>
                                      <a:pt x="198" y="257"/>
                                    </a:cubicBezTo>
                                    <a:cubicBezTo>
                                      <a:pt x="238" y="257"/>
                                      <a:pt x="238" y="257"/>
                                      <a:pt x="238" y="257"/>
                                    </a:cubicBezTo>
                                    <a:cubicBezTo>
                                      <a:pt x="243" y="257"/>
                                      <a:pt x="248" y="253"/>
                                      <a:pt x="248" y="247"/>
                                    </a:cubicBezTo>
                                    <a:cubicBezTo>
                                      <a:pt x="248" y="147"/>
                                      <a:pt x="248" y="147"/>
                                      <a:pt x="248" y="147"/>
                                    </a:cubicBezTo>
                                    <a:cubicBezTo>
                                      <a:pt x="279" y="147"/>
                                      <a:pt x="279" y="147"/>
                                      <a:pt x="279" y="147"/>
                                    </a:cubicBezTo>
                                    <a:cubicBezTo>
                                      <a:pt x="279" y="147"/>
                                      <a:pt x="279" y="147"/>
                                      <a:pt x="279" y="147"/>
                                    </a:cubicBezTo>
                                    <a:cubicBezTo>
                                      <a:pt x="282" y="147"/>
                                      <a:pt x="285" y="144"/>
                                      <a:pt x="285" y="140"/>
                                    </a:cubicBezTo>
                                    <a:cubicBezTo>
                                      <a:pt x="285" y="138"/>
                                      <a:pt x="284" y="135"/>
                                      <a:pt x="281" y="134"/>
                                    </a:cubicBezTo>
                                    <a:close/>
                                    <a:moveTo>
                                      <a:pt x="162" y="0"/>
                                    </a:moveTo>
                                    <a:cubicBezTo>
                                      <a:pt x="73" y="0"/>
                                      <a:pt x="0" y="72"/>
                                      <a:pt x="0" y="162"/>
                                    </a:cubicBezTo>
                                    <a:cubicBezTo>
                                      <a:pt x="0" y="251"/>
                                      <a:pt x="73" y="324"/>
                                      <a:pt x="162" y="324"/>
                                    </a:cubicBezTo>
                                    <a:cubicBezTo>
                                      <a:pt x="252" y="324"/>
                                      <a:pt x="324" y="251"/>
                                      <a:pt x="324" y="162"/>
                                    </a:cubicBezTo>
                                    <a:cubicBezTo>
                                      <a:pt x="324" y="72"/>
                                      <a:pt x="252" y="0"/>
                                      <a:pt x="162" y="0"/>
                                    </a:cubicBezTo>
                                    <a:close/>
                                    <a:moveTo>
                                      <a:pt x="162" y="13"/>
                                    </a:moveTo>
                                    <a:cubicBezTo>
                                      <a:pt x="244" y="13"/>
                                      <a:pt x="311" y="80"/>
                                      <a:pt x="311" y="162"/>
                                    </a:cubicBezTo>
                                    <a:cubicBezTo>
                                      <a:pt x="311" y="244"/>
                                      <a:pt x="244" y="311"/>
                                      <a:pt x="162" y="311"/>
                                    </a:cubicBezTo>
                                    <a:cubicBezTo>
                                      <a:pt x="80" y="311"/>
                                      <a:pt x="13" y="244"/>
                                      <a:pt x="13" y="162"/>
                                    </a:cubicBezTo>
                                    <a:cubicBezTo>
                                      <a:pt x="13" y="80"/>
                                      <a:pt x="80" y="13"/>
                                      <a:pt x="162" y="13"/>
                                    </a:cubicBezTo>
                                  </a:path>
                                </a:pathLst>
                              </a:custGeom>
                              <a:solidFill>
                                <a:schemeClr val="tx2"/>
                              </a:solidFill>
                              <a:ln w="9525">
                                <a:noFill/>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07A308F0" id="Freeform 32" o:spid="_x0000_s1026" alt="Title: Fixed line telephone services icon - Description: Fixed line telephone services icon &#10;" style="width:14.15pt;height:14.15pt;visibility:visible;mso-wrap-style:square;mso-left-percent:-10001;mso-top-percent:-10001;mso-position-horizontal:absolute;mso-position-horizontal-relative:char;mso-position-vertical:absolute;mso-position-vertical-relative:line;mso-left-percent:-10001;mso-top-percent:-10001;v-text-anchor:top" coordsize="32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" path="m194,161v-8,,-15,-6,-15,-15c179,138,186,131,194,131v9,,15,7,15,15c209,155,203,161,194,161xm125,161v-8,,-15,-6,-15,-15c110,138,117,131,125,131v9,,15,7,15,15c140,155,134,161,125,161xm281,134c166,59,166,59,166,59v-2,-1,-5,-1,-7,c116,87,116,87,116,87v,-23,,-23,,-23c116,61,113,58,109,58v-26,,-26,,-26,c80,58,77,61,77,64v,48,,48,,48c43,135,43,135,43,135v-3,2,-4,4,-3,7c41,145,43,147,46,147v31,,31,,31,c77,247,77,247,77,247v,6,4,10,10,10c121,257,121,257,121,257v-3,-1,-5,-4,-5,-8c116,220,116,220,116,220v-10,,-10,,-10,c102,220,100,217,100,213v,-38,,-38,,-38c100,172,102,169,106,169v38,,38,,38,c148,169,151,172,151,175v,38,,38,,38c151,217,148,220,144,220v-10,,-10,,-10,c134,249,134,249,134,249v,4,-2,7,-5,8c190,257,190,257,190,257v-3,-1,-5,-4,-5,-8c185,220,185,220,185,220v-15,,-15,,-15,c168,220,166,219,165,217v-2,-2,-2,-4,-1,-6c177,173,177,173,177,173v1,-2,3,-4,6,-4c205,169,205,169,205,169v3,,5,2,6,4c224,210,224,210,224,210v,1,1,2,1,3c225,217,222,220,218,220v,,,,,c203,220,203,220,203,220v,29,,29,,29c203,253,201,256,198,257v40,,40,,40,c243,257,248,253,248,247v,-100,,-100,,-100c279,147,279,147,279,147v,,,,,c282,147,285,144,285,140v,-2,-1,-5,-4,-6xm162,c73,,,72,,162v,89,73,162,162,162c252,324,324,251,324,162,324,72,252,,162,xm162,13v82,,149,67,149,149c311,244,244,311,162,311,80,311,13,244,13,162,13,80,80,13,162,13e" fillcolor="#a32020 [3215]" stroked="f">
                      <v:path arrowok="t" o:connecttype="custom" o:connectlocs="179,146;209,146;125,161;125,131;125,161;166,59;116,87;109,58;77,64;43,135;46,147;77,247;121,257;116,220;100,213;106,169;151,175;144,220;134,249;190,257;185,220;165,217;177,173;205,169;224,210;218,220;203,220;198,257;248,247;279,147;285,140;162,0;162,324;162,0;311,162;13,162" o:connectangles="0,0,0,0,0,0,0,0,0,0,0,0,0,0,0,0,0,0,0,0,0,0,0,0,0,0,0,0,0,0,0,0,0,0,0,0"/>
                      <o:lock v:ext="edit" verticies="t"/>
                      <w10:anchorlock/>
                    </v:shape>
                  </w:pict>
                </mc:Fallback>
              </mc:AlternateContent>
            </w:r>
          </w:p>
        </w:tc>
        <w:tc>
          <w:tcPr>
            <w:tcW w:w="680" w:type="dxa"/>
            <w:hideMark/>
          </w:tcPr>
          <w:p w14:paraId="545768D1" w14:textId="03F33D2D" w:rsidR="00582FBF" w:rsidRPr="00582FBF" w:rsidRDefault="00785790" w:rsidP="00785790">
            <w:pPr>
              <w:pStyle w:val="TableTextNormal"/>
              <w:jc w:val="center"/>
              <w:rPr>
                <w:lang w:val="en-US"/>
              </w:rPr>
            </w:pPr>
            <w:r w:rsidRPr="00DB655E">
              <w:rPr>
                <w:noProof/>
                <w:lang w:eastAsia="en-AU"/>
              </w:rPr>
              <mc:AlternateContent>
                <mc:Choice Requires="wps">
                  <w:drawing>
                    <wp:inline distT="0" distB="0" distL="0" distR="0" wp14:anchorId="257E955B" wp14:editId="04348BC5">
                      <wp:extent cx="180000" cy="180000"/>
                      <wp:effectExtent l="0" t="0" r="0" b="0"/>
                      <wp:docPr id="30" name="Freeform 32" descr="Fixed line telephone services icon &#10;" title="Fixed line telephone services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80000" cy="180000"/>
                              </a:xfrm>
                              <a:custGeom>
                                <a:avLst/>
                                <a:gdLst/>
                                <a:ahLst/>
                                <a:cxnLst>
                                  <a:cxn ang="0">
                                    <a:pos x="179" y="146"/>
                                  </a:cxn>
                                  <a:cxn ang="0">
                                    <a:pos x="209" y="146"/>
                                  </a:cxn>
                                  <a:cxn ang="0">
                                    <a:pos x="125" y="161"/>
                                  </a:cxn>
                                  <a:cxn ang="0">
                                    <a:pos x="125" y="131"/>
                                  </a:cxn>
                                  <a:cxn ang="0">
                                    <a:pos x="125" y="161"/>
                                  </a:cxn>
                                  <a:cxn ang="0">
                                    <a:pos x="166" y="59"/>
                                  </a:cxn>
                                  <a:cxn ang="0">
                                    <a:pos x="116" y="87"/>
                                  </a:cxn>
                                  <a:cxn ang="0">
                                    <a:pos x="109" y="58"/>
                                  </a:cxn>
                                  <a:cxn ang="0">
                                    <a:pos x="77" y="64"/>
                                  </a:cxn>
                                  <a:cxn ang="0">
                                    <a:pos x="43" y="135"/>
                                  </a:cxn>
                                  <a:cxn ang="0">
                                    <a:pos x="46" y="147"/>
                                  </a:cxn>
                                  <a:cxn ang="0">
                                    <a:pos x="77" y="247"/>
                                  </a:cxn>
                                  <a:cxn ang="0">
                                    <a:pos x="121" y="257"/>
                                  </a:cxn>
                                  <a:cxn ang="0">
                                    <a:pos x="116" y="220"/>
                                  </a:cxn>
                                  <a:cxn ang="0">
                                    <a:pos x="100" y="213"/>
                                  </a:cxn>
                                  <a:cxn ang="0">
                                    <a:pos x="106" y="169"/>
                                  </a:cxn>
                                  <a:cxn ang="0">
                                    <a:pos x="151" y="175"/>
                                  </a:cxn>
                                  <a:cxn ang="0">
                                    <a:pos x="144" y="220"/>
                                  </a:cxn>
                                  <a:cxn ang="0">
                                    <a:pos x="134" y="249"/>
                                  </a:cxn>
                                  <a:cxn ang="0">
                                    <a:pos x="190" y="257"/>
                                  </a:cxn>
                                  <a:cxn ang="0">
                                    <a:pos x="185" y="220"/>
                                  </a:cxn>
                                  <a:cxn ang="0">
                                    <a:pos x="165" y="217"/>
                                  </a:cxn>
                                  <a:cxn ang="0">
                                    <a:pos x="177" y="173"/>
                                  </a:cxn>
                                  <a:cxn ang="0">
                                    <a:pos x="205" y="169"/>
                                  </a:cxn>
                                  <a:cxn ang="0">
                                    <a:pos x="224" y="210"/>
                                  </a:cxn>
                                  <a:cxn ang="0">
                                    <a:pos x="218" y="220"/>
                                  </a:cxn>
                                  <a:cxn ang="0">
                                    <a:pos x="203" y="220"/>
                                  </a:cxn>
                                  <a:cxn ang="0">
                                    <a:pos x="198" y="257"/>
                                  </a:cxn>
                                  <a:cxn ang="0">
                                    <a:pos x="248" y="247"/>
                                  </a:cxn>
                                  <a:cxn ang="0">
                                    <a:pos x="279" y="147"/>
                                  </a:cxn>
                                  <a:cxn ang="0">
                                    <a:pos x="285" y="140"/>
                                  </a:cxn>
                                  <a:cxn ang="0">
                                    <a:pos x="162" y="0"/>
                                  </a:cxn>
                                  <a:cxn ang="0">
                                    <a:pos x="162" y="324"/>
                                  </a:cxn>
                                  <a:cxn ang="0">
                                    <a:pos x="162" y="0"/>
                                  </a:cxn>
                                  <a:cxn ang="0">
                                    <a:pos x="311" y="162"/>
                                  </a:cxn>
                                  <a:cxn ang="0">
                                    <a:pos x="13" y="162"/>
                                  </a:cxn>
                                </a:cxnLst>
                                <a:rect l="0" t="0" r="r" b="b"/>
                                <a:pathLst>
                                  <a:path w="324" h="324">
                                    <a:moveTo>
                                      <a:pt x="194" y="161"/>
                                    </a:moveTo>
                                    <a:cubicBezTo>
                                      <a:pt x="186" y="161"/>
                                      <a:pt x="179" y="155"/>
                                      <a:pt x="179" y="146"/>
                                    </a:cubicBezTo>
                                    <a:cubicBezTo>
                                      <a:pt x="179" y="138"/>
                                      <a:pt x="186" y="131"/>
                                      <a:pt x="194" y="131"/>
                                    </a:cubicBezTo>
                                    <a:cubicBezTo>
                                      <a:pt x="203" y="131"/>
                                      <a:pt x="209" y="138"/>
                                      <a:pt x="209" y="146"/>
                                    </a:cubicBezTo>
                                    <a:cubicBezTo>
                                      <a:pt x="209" y="155"/>
                                      <a:pt x="203" y="161"/>
                                      <a:pt x="194" y="161"/>
                                    </a:cubicBezTo>
                                    <a:close/>
                                    <a:moveTo>
                                      <a:pt x="125" y="161"/>
                                    </a:moveTo>
                                    <a:cubicBezTo>
                                      <a:pt x="117" y="161"/>
                                      <a:pt x="110" y="155"/>
                                      <a:pt x="110" y="146"/>
                                    </a:cubicBezTo>
                                    <a:cubicBezTo>
                                      <a:pt x="110" y="138"/>
                                      <a:pt x="117" y="131"/>
                                      <a:pt x="125" y="131"/>
                                    </a:cubicBezTo>
                                    <a:cubicBezTo>
                                      <a:pt x="134" y="131"/>
                                      <a:pt x="140" y="138"/>
                                      <a:pt x="140" y="146"/>
                                    </a:cubicBezTo>
                                    <a:cubicBezTo>
                                      <a:pt x="140" y="155"/>
                                      <a:pt x="134" y="161"/>
                                      <a:pt x="125" y="161"/>
                                    </a:cubicBezTo>
                                    <a:close/>
                                    <a:moveTo>
                                      <a:pt x="281" y="134"/>
                                    </a:moveTo>
                                    <a:cubicBezTo>
                                      <a:pt x="166" y="59"/>
                                      <a:pt x="166" y="59"/>
                                      <a:pt x="166" y="59"/>
                                    </a:cubicBezTo>
                                    <a:cubicBezTo>
                                      <a:pt x="164" y="58"/>
                                      <a:pt x="161" y="58"/>
                                      <a:pt x="159" y="59"/>
                                    </a:cubicBezTo>
                                    <a:cubicBezTo>
                                      <a:pt x="116" y="87"/>
                                      <a:pt x="116" y="87"/>
                                      <a:pt x="116" y="87"/>
                                    </a:cubicBezTo>
                                    <a:cubicBezTo>
                                      <a:pt x="116" y="64"/>
                                      <a:pt x="116" y="64"/>
                                      <a:pt x="116" y="64"/>
                                    </a:cubicBezTo>
                                    <a:cubicBezTo>
                                      <a:pt x="116" y="61"/>
                                      <a:pt x="113" y="58"/>
                                      <a:pt x="109" y="58"/>
                                    </a:cubicBezTo>
                                    <a:cubicBezTo>
                                      <a:pt x="83" y="58"/>
                                      <a:pt x="83" y="58"/>
                                      <a:pt x="83" y="58"/>
                                    </a:cubicBezTo>
                                    <a:cubicBezTo>
                                      <a:pt x="80" y="58"/>
                                      <a:pt x="77" y="61"/>
                                      <a:pt x="77" y="64"/>
                                    </a:cubicBezTo>
                                    <a:cubicBezTo>
                                      <a:pt x="77" y="112"/>
                                      <a:pt x="77" y="112"/>
                                      <a:pt x="77" y="112"/>
                                    </a:cubicBezTo>
                                    <a:cubicBezTo>
                                      <a:pt x="43" y="135"/>
                                      <a:pt x="43" y="135"/>
                                      <a:pt x="43" y="135"/>
                                    </a:cubicBezTo>
                                    <a:cubicBezTo>
                                      <a:pt x="40" y="137"/>
                                      <a:pt x="39" y="139"/>
                                      <a:pt x="40" y="142"/>
                                    </a:cubicBezTo>
                                    <a:cubicBezTo>
                                      <a:pt x="41" y="145"/>
                                      <a:pt x="43" y="147"/>
                                      <a:pt x="46" y="147"/>
                                    </a:cubicBezTo>
                                    <a:cubicBezTo>
                                      <a:pt x="77" y="147"/>
                                      <a:pt x="77" y="147"/>
                                      <a:pt x="77" y="147"/>
                                    </a:cubicBezTo>
                                    <a:cubicBezTo>
                                      <a:pt x="77" y="247"/>
                                      <a:pt x="77" y="247"/>
                                      <a:pt x="77" y="247"/>
                                    </a:cubicBezTo>
                                    <a:cubicBezTo>
                                      <a:pt x="77" y="253"/>
                                      <a:pt x="81" y="257"/>
                                      <a:pt x="87" y="257"/>
                                    </a:cubicBezTo>
                                    <a:cubicBezTo>
                                      <a:pt x="121" y="257"/>
                                      <a:pt x="121" y="257"/>
                                      <a:pt x="121" y="257"/>
                                    </a:cubicBezTo>
                                    <a:cubicBezTo>
                                      <a:pt x="118" y="256"/>
                                      <a:pt x="116" y="253"/>
                                      <a:pt x="116" y="249"/>
                                    </a:cubicBezTo>
                                    <a:cubicBezTo>
                                      <a:pt x="116" y="220"/>
                                      <a:pt x="116" y="220"/>
                                      <a:pt x="116" y="220"/>
                                    </a:cubicBezTo>
                                    <a:cubicBezTo>
                                      <a:pt x="106" y="220"/>
                                      <a:pt x="106" y="220"/>
                                      <a:pt x="106" y="220"/>
                                    </a:cubicBezTo>
                                    <a:cubicBezTo>
                                      <a:pt x="102" y="220"/>
                                      <a:pt x="100" y="217"/>
                                      <a:pt x="100" y="213"/>
                                    </a:cubicBezTo>
                                    <a:cubicBezTo>
                                      <a:pt x="100" y="175"/>
                                      <a:pt x="100" y="175"/>
                                      <a:pt x="100" y="175"/>
                                    </a:cubicBezTo>
                                    <a:cubicBezTo>
                                      <a:pt x="100" y="172"/>
                                      <a:pt x="102" y="169"/>
                                      <a:pt x="106" y="169"/>
                                    </a:cubicBezTo>
                                    <a:cubicBezTo>
                                      <a:pt x="144" y="169"/>
                                      <a:pt x="144" y="169"/>
                                      <a:pt x="144" y="169"/>
                                    </a:cubicBezTo>
                                    <a:cubicBezTo>
                                      <a:pt x="148" y="169"/>
                                      <a:pt x="151" y="172"/>
                                      <a:pt x="151" y="175"/>
                                    </a:cubicBezTo>
                                    <a:cubicBezTo>
                                      <a:pt x="151" y="213"/>
                                      <a:pt x="151" y="213"/>
                                      <a:pt x="151" y="213"/>
                                    </a:cubicBezTo>
                                    <a:cubicBezTo>
                                      <a:pt x="151" y="217"/>
                                      <a:pt x="148" y="220"/>
                                      <a:pt x="144" y="220"/>
                                    </a:cubicBezTo>
                                    <a:cubicBezTo>
                                      <a:pt x="134" y="220"/>
                                      <a:pt x="134" y="220"/>
                                      <a:pt x="134" y="220"/>
                                    </a:cubicBezTo>
                                    <a:cubicBezTo>
                                      <a:pt x="134" y="249"/>
                                      <a:pt x="134" y="249"/>
                                      <a:pt x="134" y="249"/>
                                    </a:cubicBezTo>
                                    <a:cubicBezTo>
                                      <a:pt x="134" y="253"/>
                                      <a:pt x="132" y="256"/>
                                      <a:pt x="129" y="257"/>
                                    </a:cubicBezTo>
                                    <a:cubicBezTo>
                                      <a:pt x="190" y="257"/>
                                      <a:pt x="190" y="257"/>
                                      <a:pt x="190" y="257"/>
                                    </a:cubicBezTo>
                                    <a:cubicBezTo>
                                      <a:pt x="187" y="256"/>
                                      <a:pt x="185" y="253"/>
                                      <a:pt x="185" y="249"/>
                                    </a:cubicBezTo>
                                    <a:cubicBezTo>
                                      <a:pt x="185" y="220"/>
                                      <a:pt x="185" y="220"/>
                                      <a:pt x="185" y="220"/>
                                    </a:cubicBezTo>
                                    <a:cubicBezTo>
                                      <a:pt x="170" y="220"/>
                                      <a:pt x="170" y="220"/>
                                      <a:pt x="170" y="220"/>
                                    </a:cubicBezTo>
                                    <a:cubicBezTo>
                                      <a:pt x="168" y="220"/>
                                      <a:pt x="166" y="219"/>
                                      <a:pt x="165" y="217"/>
                                    </a:cubicBezTo>
                                    <a:cubicBezTo>
                                      <a:pt x="163" y="215"/>
                                      <a:pt x="163" y="213"/>
                                      <a:pt x="164" y="211"/>
                                    </a:cubicBezTo>
                                    <a:cubicBezTo>
                                      <a:pt x="177" y="173"/>
                                      <a:pt x="177" y="173"/>
                                      <a:pt x="177" y="173"/>
                                    </a:cubicBezTo>
                                    <a:cubicBezTo>
                                      <a:pt x="178" y="171"/>
                                      <a:pt x="180" y="169"/>
                                      <a:pt x="183" y="169"/>
                                    </a:cubicBezTo>
                                    <a:cubicBezTo>
                                      <a:pt x="205" y="169"/>
                                      <a:pt x="205" y="169"/>
                                      <a:pt x="205" y="169"/>
                                    </a:cubicBezTo>
                                    <a:cubicBezTo>
                                      <a:pt x="208" y="169"/>
                                      <a:pt x="210" y="171"/>
                                      <a:pt x="211" y="173"/>
                                    </a:cubicBezTo>
                                    <a:cubicBezTo>
                                      <a:pt x="224" y="210"/>
                                      <a:pt x="224" y="210"/>
                                      <a:pt x="224" y="210"/>
                                    </a:cubicBezTo>
                                    <a:cubicBezTo>
                                      <a:pt x="224" y="211"/>
                                      <a:pt x="225" y="212"/>
                                      <a:pt x="225" y="213"/>
                                    </a:cubicBezTo>
                                    <a:cubicBezTo>
                                      <a:pt x="225" y="217"/>
                                      <a:pt x="222" y="220"/>
                                      <a:pt x="218" y="220"/>
                                    </a:cubicBezTo>
                                    <a:cubicBezTo>
                                      <a:pt x="218" y="220"/>
                                      <a:pt x="218" y="220"/>
                                      <a:pt x="218" y="220"/>
                                    </a:cubicBezTo>
                                    <a:cubicBezTo>
                                      <a:pt x="203" y="220"/>
                                      <a:pt x="203" y="220"/>
                                      <a:pt x="203" y="220"/>
                                    </a:cubicBezTo>
                                    <a:cubicBezTo>
                                      <a:pt x="203" y="249"/>
                                      <a:pt x="203" y="249"/>
                                      <a:pt x="203" y="249"/>
                                    </a:cubicBezTo>
                                    <a:cubicBezTo>
                                      <a:pt x="203" y="253"/>
                                      <a:pt x="201" y="256"/>
                                      <a:pt x="198" y="257"/>
                                    </a:cubicBezTo>
                                    <a:cubicBezTo>
                                      <a:pt x="238" y="257"/>
                                      <a:pt x="238" y="257"/>
                                      <a:pt x="238" y="257"/>
                                    </a:cubicBezTo>
                                    <a:cubicBezTo>
                                      <a:pt x="243" y="257"/>
                                      <a:pt x="248" y="253"/>
                                      <a:pt x="248" y="247"/>
                                    </a:cubicBezTo>
                                    <a:cubicBezTo>
                                      <a:pt x="248" y="147"/>
                                      <a:pt x="248" y="147"/>
                                      <a:pt x="248" y="147"/>
                                    </a:cubicBezTo>
                                    <a:cubicBezTo>
                                      <a:pt x="279" y="147"/>
                                      <a:pt x="279" y="147"/>
                                      <a:pt x="279" y="147"/>
                                    </a:cubicBezTo>
                                    <a:cubicBezTo>
                                      <a:pt x="279" y="147"/>
                                      <a:pt x="279" y="147"/>
                                      <a:pt x="279" y="147"/>
                                    </a:cubicBezTo>
                                    <a:cubicBezTo>
                                      <a:pt x="282" y="147"/>
                                      <a:pt x="285" y="144"/>
                                      <a:pt x="285" y="140"/>
                                    </a:cubicBezTo>
                                    <a:cubicBezTo>
                                      <a:pt x="285" y="138"/>
                                      <a:pt x="284" y="135"/>
                                      <a:pt x="281" y="134"/>
                                    </a:cubicBezTo>
                                    <a:close/>
                                    <a:moveTo>
                                      <a:pt x="162" y="0"/>
                                    </a:moveTo>
                                    <a:cubicBezTo>
                                      <a:pt x="73" y="0"/>
                                      <a:pt x="0" y="72"/>
                                      <a:pt x="0" y="162"/>
                                    </a:cubicBezTo>
                                    <a:cubicBezTo>
                                      <a:pt x="0" y="251"/>
                                      <a:pt x="73" y="324"/>
                                      <a:pt x="162" y="324"/>
                                    </a:cubicBezTo>
                                    <a:cubicBezTo>
                                      <a:pt x="252" y="324"/>
                                      <a:pt x="324" y="251"/>
                                      <a:pt x="324" y="162"/>
                                    </a:cubicBezTo>
                                    <a:cubicBezTo>
                                      <a:pt x="324" y="72"/>
                                      <a:pt x="252" y="0"/>
                                      <a:pt x="162" y="0"/>
                                    </a:cubicBezTo>
                                    <a:close/>
                                    <a:moveTo>
                                      <a:pt x="162" y="13"/>
                                    </a:moveTo>
                                    <a:cubicBezTo>
                                      <a:pt x="244" y="13"/>
                                      <a:pt x="311" y="80"/>
                                      <a:pt x="311" y="162"/>
                                    </a:cubicBezTo>
                                    <a:cubicBezTo>
                                      <a:pt x="311" y="244"/>
                                      <a:pt x="244" y="311"/>
                                      <a:pt x="162" y="311"/>
                                    </a:cubicBezTo>
                                    <a:cubicBezTo>
                                      <a:pt x="80" y="311"/>
                                      <a:pt x="13" y="244"/>
                                      <a:pt x="13" y="162"/>
                                    </a:cubicBezTo>
                                    <a:cubicBezTo>
                                      <a:pt x="13" y="80"/>
                                      <a:pt x="80" y="13"/>
                                      <a:pt x="162" y="13"/>
                                    </a:cubicBezTo>
                                  </a:path>
                                </a:pathLst>
                              </a:custGeom>
                              <a:solidFill>
                                <a:schemeClr val="tx2"/>
                              </a:solidFill>
                              <a:ln w="9525">
                                <a:noFill/>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1429A731" id="Freeform 32" o:spid="_x0000_s1026" alt="Title: Fixed line telephone services icon - Description: Fixed line telephone services icon &#10;" style="width:14.15pt;height:14.15pt;visibility:visible;mso-wrap-style:square;mso-left-percent:-10001;mso-top-percent:-10001;mso-position-horizontal:absolute;mso-position-horizontal-relative:char;mso-position-vertical:absolute;mso-position-vertical-relative:line;mso-left-percent:-10001;mso-top-percent:-10001;v-text-anchor:top" coordsize="32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" path="m194,161v-8,,-15,-6,-15,-15c179,138,186,131,194,131v9,,15,7,15,15c209,155,203,161,194,161xm125,161v-8,,-15,-6,-15,-15c110,138,117,131,125,131v9,,15,7,15,15c140,155,134,161,125,161xm281,134c166,59,166,59,166,59v-2,-1,-5,-1,-7,c116,87,116,87,116,87v,-23,,-23,,-23c116,61,113,58,109,58v-26,,-26,,-26,c80,58,77,61,77,64v,48,,48,,48c43,135,43,135,43,135v-3,2,-4,4,-3,7c41,145,43,147,46,147v31,,31,,31,c77,247,77,247,77,247v,6,4,10,10,10c121,257,121,257,121,257v-3,-1,-5,-4,-5,-8c116,220,116,220,116,220v-10,,-10,,-10,c102,220,100,217,100,213v,-38,,-38,,-38c100,172,102,169,106,169v38,,38,,38,c148,169,151,172,151,175v,38,,38,,38c151,217,148,220,144,220v-10,,-10,,-10,c134,249,134,249,134,249v,4,-2,7,-5,8c190,257,190,257,190,257v-3,-1,-5,-4,-5,-8c185,220,185,220,185,220v-15,,-15,,-15,c168,220,166,219,165,217v-2,-2,-2,-4,-1,-6c177,173,177,173,177,173v1,-2,3,-4,6,-4c205,169,205,169,205,169v3,,5,2,6,4c224,210,224,210,224,210v,1,1,2,1,3c225,217,222,220,218,220v,,,,,c203,220,203,220,203,220v,29,,29,,29c203,253,201,256,198,257v40,,40,,40,c243,257,248,253,248,247v,-100,,-100,,-100c279,147,279,147,279,147v,,,,,c282,147,285,144,285,140v,-2,-1,-5,-4,-6xm162,c73,,,72,,162v,89,73,162,162,162c252,324,324,251,324,162,324,72,252,,162,xm162,13v82,,149,67,149,149c311,244,244,311,162,311,80,311,13,244,13,162,13,80,80,13,162,13e" fillcolor="#a32020 [3215]" stroked="f">
                      <v:path arrowok="t" o:connecttype="custom" o:connectlocs="179,146;209,146;125,161;125,131;125,161;166,59;116,87;109,58;77,64;43,135;46,147;77,247;121,257;116,220;100,213;106,169;151,175;144,220;134,249;190,257;185,220;165,217;177,173;205,169;224,210;218,220;203,220;198,257;248,247;279,147;285,140;162,0;162,324;162,0;311,162;13,162" o:connectangles="0,0,0,0,0,0,0,0,0,0,0,0,0,0,0,0,0,0,0,0,0,0,0,0,0,0,0,0,0,0,0,0,0,0,0,0"/>
                      <o:lock v:ext="edit" verticies="t"/>
                      <w10:anchorlock/>
                    </v:shape>
                  </w:pict>
                </mc:Fallback>
              </mc:AlternateContent>
            </w:r>
          </w:p>
        </w:tc>
        <w:tc>
          <w:tcPr>
            <w:tcW w:w="680" w:type="dxa"/>
            <w:hideMark/>
          </w:tcPr>
          <w:p w14:paraId="385CF7F6" w14:textId="3CA8B888" w:rsidR="00582FBF" w:rsidRPr="00582FBF" w:rsidRDefault="00785790" w:rsidP="00785790">
            <w:pPr>
              <w:pStyle w:val="TableTextNormal"/>
              <w:jc w:val="center"/>
              <w:rPr>
                <w:lang w:val="en-US"/>
              </w:rPr>
            </w:pPr>
            <w:r w:rsidRPr="00DB655E">
              <w:rPr>
                <w:noProof/>
                <w:lang w:eastAsia="en-AU"/>
              </w:rPr>
              <mc:AlternateContent>
                <mc:Choice Requires="wps">
                  <w:drawing>
                    <wp:inline distT="0" distB="0" distL="0" distR="0" wp14:anchorId="2FBBFC78" wp14:editId="59D150DF">
                      <wp:extent cx="180000" cy="180000"/>
                      <wp:effectExtent l="0" t="0" r="0" b="0"/>
                      <wp:docPr id="31" name="Freeform 32" descr="Fixed line telephone services icon &#10;" title="Fixed line telephone services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80000" cy="180000"/>
                              </a:xfrm>
                              <a:custGeom>
                                <a:avLst/>
                                <a:gdLst/>
                                <a:ahLst/>
                                <a:cxnLst>
                                  <a:cxn ang="0">
                                    <a:pos x="179" y="146"/>
                                  </a:cxn>
                                  <a:cxn ang="0">
                                    <a:pos x="209" y="146"/>
                                  </a:cxn>
                                  <a:cxn ang="0">
                                    <a:pos x="125" y="161"/>
                                  </a:cxn>
                                  <a:cxn ang="0">
                                    <a:pos x="125" y="131"/>
                                  </a:cxn>
                                  <a:cxn ang="0">
                                    <a:pos x="125" y="161"/>
                                  </a:cxn>
                                  <a:cxn ang="0">
                                    <a:pos x="166" y="59"/>
                                  </a:cxn>
                                  <a:cxn ang="0">
                                    <a:pos x="116" y="87"/>
                                  </a:cxn>
                                  <a:cxn ang="0">
                                    <a:pos x="109" y="58"/>
                                  </a:cxn>
                                  <a:cxn ang="0">
                                    <a:pos x="77" y="64"/>
                                  </a:cxn>
                                  <a:cxn ang="0">
                                    <a:pos x="43" y="135"/>
                                  </a:cxn>
                                  <a:cxn ang="0">
                                    <a:pos x="46" y="147"/>
                                  </a:cxn>
                                  <a:cxn ang="0">
                                    <a:pos x="77" y="247"/>
                                  </a:cxn>
                                  <a:cxn ang="0">
                                    <a:pos x="121" y="257"/>
                                  </a:cxn>
                                  <a:cxn ang="0">
                                    <a:pos x="116" y="220"/>
                                  </a:cxn>
                                  <a:cxn ang="0">
                                    <a:pos x="100" y="213"/>
                                  </a:cxn>
                                  <a:cxn ang="0">
                                    <a:pos x="106" y="169"/>
                                  </a:cxn>
                                  <a:cxn ang="0">
                                    <a:pos x="151" y="175"/>
                                  </a:cxn>
                                  <a:cxn ang="0">
                                    <a:pos x="144" y="220"/>
                                  </a:cxn>
                                  <a:cxn ang="0">
                                    <a:pos x="134" y="249"/>
                                  </a:cxn>
                                  <a:cxn ang="0">
                                    <a:pos x="190" y="257"/>
                                  </a:cxn>
                                  <a:cxn ang="0">
                                    <a:pos x="185" y="220"/>
                                  </a:cxn>
                                  <a:cxn ang="0">
                                    <a:pos x="165" y="217"/>
                                  </a:cxn>
                                  <a:cxn ang="0">
                                    <a:pos x="177" y="173"/>
                                  </a:cxn>
                                  <a:cxn ang="0">
                                    <a:pos x="205" y="169"/>
                                  </a:cxn>
                                  <a:cxn ang="0">
                                    <a:pos x="224" y="210"/>
                                  </a:cxn>
                                  <a:cxn ang="0">
                                    <a:pos x="218" y="220"/>
                                  </a:cxn>
                                  <a:cxn ang="0">
                                    <a:pos x="203" y="220"/>
                                  </a:cxn>
                                  <a:cxn ang="0">
                                    <a:pos x="198" y="257"/>
                                  </a:cxn>
                                  <a:cxn ang="0">
                                    <a:pos x="248" y="247"/>
                                  </a:cxn>
                                  <a:cxn ang="0">
                                    <a:pos x="279" y="147"/>
                                  </a:cxn>
                                  <a:cxn ang="0">
                                    <a:pos x="285" y="140"/>
                                  </a:cxn>
                                  <a:cxn ang="0">
                                    <a:pos x="162" y="0"/>
                                  </a:cxn>
                                  <a:cxn ang="0">
                                    <a:pos x="162" y="324"/>
                                  </a:cxn>
                                  <a:cxn ang="0">
                                    <a:pos x="162" y="0"/>
                                  </a:cxn>
                                  <a:cxn ang="0">
                                    <a:pos x="311" y="162"/>
                                  </a:cxn>
                                  <a:cxn ang="0">
                                    <a:pos x="13" y="162"/>
                                  </a:cxn>
                                </a:cxnLst>
                                <a:rect l="0" t="0" r="r" b="b"/>
                                <a:pathLst>
                                  <a:path w="324" h="324">
                                    <a:moveTo>
                                      <a:pt x="194" y="161"/>
                                    </a:moveTo>
                                    <a:cubicBezTo>
                                      <a:pt x="186" y="161"/>
                                      <a:pt x="179" y="155"/>
                                      <a:pt x="179" y="146"/>
                                    </a:cubicBezTo>
                                    <a:cubicBezTo>
                                      <a:pt x="179" y="138"/>
                                      <a:pt x="186" y="131"/>
                                      <a:pt x="194" y="131"/>
                                    </a:cubicBezTo>
                                    <a:cubicBezTo>
                                      <a:pt x="203" y="131"/>
                                      <a:pt x="209" y="138"/>
                                      <a:pt x="209" y="146"/>
                                    </a:cubicBezTo>
                                    <a:cubicBezTo>
                                      <a:pt x="209" y="155"/>
                                      <a:pt x="203" y="161"/>
                                      <a:pt x="194" y="161"/>
                                    </a:cubicBezTo>
                                    <a:close/>
                                    <a:moveTo>
                                      <a:pt x="125" y="161"/>
                                    </a:moveTo>
                                    <a:cubicBezTo>
                                      <a:pt x="117" y="161"/>
                                      <a:pt x="110" y="155"/>
                                      <a:pt x="110" y="146"/>
                                    </a:cubicBezTo>
                                    <a:cubicBezTo>
                                      <a:pt x="110" y="138"/>
                                      <a:pt x="117" y="131"/>
                                      <a:pt x="125" y="131"/>
                                    </a:cubicBezTo>
                                    <a:cubicBezTo>
                                      <a:pt x="134" y="131"/>
                                      <a:pt x="140" y="138"/>
                                      <a:pt x="140" y="146"/>
                                    </a:cubicBezTo>
                                    <a:cubicBezTo>
                                      <a:pt x="140" y="155"/>
                                      <a:pt x="134" y="161"/>
                                      <a:pt x="125" y="161"/>
                                    </a:cubicBezTo>
                                    <a:close/>
                                    <a:moveTo>
                                      <a:pt x="281" y="134"/>
                                    </a:moveTo>
                                    <a:cubicBezTo>
                                      <a:pt x="166" y="59"/>
                                      <a:pt x="166" y="59"/>
                                      <a:pt x="166" y="59"/>
                                    </a:cubicBezTo>
                                    <a:cubicBezTo>
                                      <a:pt x="164" y="58"/>
                                      <a:pt x="161" y="58"/>
                                      <a:pt x="159" y="59"/>
                                    </a:cubicBezTo>
                                    <a:cubicBezTo>
                                      <a:pt x="116" y="87"/>
                                      <a:pt x="116" y="87"/>
                                      <a:pt x="116" y="87"/>
                                    </a:cubicBezTo>
                                    <a:cubicBezTo>
                                      <a:pt x="116" y="64"/>
                                      <a:pt x="116" y="64"/>
                                      <a:pt x="116" y="64"/>
                                    </a:cubicBezTo>
                                    <a:cubicBezTo>
                                      <a:pt x="116" y="61"/>
                                      <a:pt x="113" y="58"/>
                                      <a:pt x="109" y="58"/>
                                    </a:cubicBezTo>
                                    <a:cubicBezTo>
                                      <a:pt x="83" y="58"/>
                                      <a:pt x="83" y="58"/>
                                      <a:pt x="83" y="58"/>
                                    </a:cubicBezTo>
                                    <a:cubicBezTo>
                                      <a:pt x="80" y="58"/>
                                      <a:pt x="77" y="61"/>
                                      <a:pt x="77" y="64"/>
                                    </a:cubicBezTo>
                                    <a:cubicBezTo>
                                      <a:pt x="77" y="112"/>
                                      <a:pt x="77" y="112"/>
                                      <a:pt x="77" y="112"/>
                                    </a:cubicBezTo>
                                    <a:cubicBezTo>
                                      <a:pt x="43" y="135"/>
                                      <a:pt x="43" y="135"/>
                                      <a:pt x="43" y="135"/>
                                    </a:cubicBezTo>
                                    <a:cubicBezTo>
                                      <a:pt x="40" y="137"/>
                                      <a:pt x="39" y="139"/>
                                      <a:pt x="40" y="142"/>
                                    </a:cubicBezTo>
                                    <a:cubicBezTo>
                                      <a:pt x="41" y="145"/>
                                      <a:pt x="43" y="147"/>
                                      <a:pt x="46" y="147"/>
                                    </a:cubicBezTo>
                                    <a:cubicBezTo>
                                      <a:pt x="77" y="147"/>
                                      <a:pt x="77" y="147"/>
                                      <a:pt x="77" y="147"/>
                                    </a:cubicBezTo>
                                    <a:cubicBezTo>
                                      <a:pt x="77" y="247"/>
                                      <a:pt x="77" y="247"/>
                                      <a:pt x="77" y="247"/>
                                    </a:cubicBezTo>
                                    <a:cubicBezTo>
                                      <a:pt x="77" y="253"/>
                                      <a:pt x="81" y="257"/>
                                      <a:pt x="87" y="257"/>
                                    </a:cubicBezTo>
                                    <a:cubicBezTo>
                                      <a:pt x="121" y="257"/>
                                      <a:pt x="121" y="257"/>
                                      <a:pt x="121" y="257"/>
                                    </a:cubicBezTo>
                                    <a:cubicBezTo>
                                      <a:pt x="118" y="256"/>
                                      <a:pt x="116" y="253"/>
                                      <a:pt x="116" y="249"/>
                                    </a:cubicBezTo>
                                    <a:cubicBezTo>
                                      <a:pt x="116" y="220"/>
                                      <a:pt x="116" y="220"/>
                                      <a:pt x="116" y="220"/>
                                    </a:cubicBezTo>
                                    <a:cubicBezTo>
                                      <a:pt x="106" y="220"/>
                                      <a:pt x="106" y="220"/>
                                      <a:pt x="106" y="220"/>
                                    </a:cubicBezTo>
                                    <a:cubicBezTo>
                                      <a:pt x="102" y="220"/>
                                      <a:pt x="100" y="217"/>
                                      <a:pt x="100" y="213"/>
                                    </a:cubicBezTo>
                                    <a:cubicBezTo>
                                      <a:pt x="100" y="175"/>
                                      <a:pt x="100" y="175"/>
                                      <a:pt x="100" y="175"/>
                                    </a:cubicBezTo>
                                    <a:cubicBezTo>
                                      <a:pt x="100" y="172"/>
                                      <a:pt x="102" y="169"/>
                                      <a:pt x="106" y="169"/>
                                    </a:cubicBezTo>
                                    <a:cubicBezTo>
                                      <a:pt x="144" y="169"/>
                                      <a:pt x="144" y="169"/>
                                      <a:pt x="144" y="169"/>
                                    </a:cubicBezTo>
                                    <a:cubicBezTo>
                                      <a:pt x="148" y="169"/>
                                      <a:pt x="151" y="172"/>
                                      <a:pt x="151" y="175"/>
                                    </a:cubicBezTo>
                                    <a:cubicBezTo>
                                      <a:pt x="151" y="213"/>
                                      <a:pt x="151" y="213"/>
                                      <a:pt x="151" y="213"/>
                                    </a:cubicBezTo>
                                    <a:cubicBezTo>
                                      <a:pt x="151" y="217"/>
                                      <a:pt x="148" y="220"/>
                                      <a:pt x="144" y="220"/>
                                    </a:cubicBezTo>
                                    <a:cubicBezTo>
                                      <a:pt x="134" y="220"/>
                                      <a:pt x="134" y="220"/>
                                      <a:pt x="134" y="220"/>
                                    </a:cubicBezTo>
                                    <a:cubicBezTo>
                                      <a:pt x="134" y="249"/>
                                      <a:pt x="134" y="249"/>
                                      <a:pt x="134" y="249"/>
                                    </a:cubicBezTo>
                                    <a:cubicBezTo>
                                      <a:pt x="134" y="253"/>
                                      <a:pt x="132" y="256"/>
                                      <a:pt x="129" y="257"/>
                                    </a:cubicBezTo>
                                    <a:cubicBezTo>
                                      <a:pt x="190" y="257"/>
                                      <a:pt x="190" y="257"/>
                                      <a:pt x="190" y="257"/>
                                    </a:cubicBezTo>
                                    <a:cubicBezTo>
                                      <a:pt x="187" y="256"/>
                                      <a:pt x="185" y="253"/>
                                      <a:pt x="185" y="249"/>
                                    </a:cubicBezTo>
                                    <a:cubicBezTo>
                                      <a:pt x="185" y="220"/>
                                      <a:pt x="185" y="220"/>
                                      <a:pt x="185" y="220"/>
                                    </a:cubicBezTo>
                                    <a:cubicBezTo>
                                      <a:pt x="170" y="220"/>
                                      <a:pt x="170" y="220"/>
                                      <a:pt x="170" y="220"/>
                                    </a:cubicBezTo>
                                    <a:cubicBezTo>
                                      <a:pt x="168" y="220"/>
                                      <a:pt x="166" y="219"/>
                                      <a:pt x="165" y="217"/>
                                    </a:cubicBezTo>
                                    <a:cubicBezTo>
                                      <a:pt x="163" y="215"/>
                                      <a:pt x="163" y="213"/>
                                      <a:pt x="164" y="211"/>
                                    </a:cubicBezTo>
                                    <a:cubicBezTo>
                                      <a:pt x="177" y="173"/>
                                      <a:pt x="177" y="173"/>
                                      <a:pt x="177" y="173"/>
                                    </a:cubicBezTo>
                                    <a:cubicBezTo>
                                      <a:pt x="178" y="171"/>
                                      <a:pt x="180" y="169"/>
                                      <a:pt x="183" y="169"/>
                                    </a:cubicBezTo>
                                    <a:cubicBezTo>
                                      <a:pt x="205" y="169"/>
                                      <a:pt x="205" y="169"/>
                                      <a:pt x="205" y="169"/>
                                    </a:cubicBezTo>
                                    <a:cubicBezTo>
                                      <a:pt x="208" y="169"/>
                                      <a:pt x="210" y="171"/>
                                      <a:pt x="211" y="173"/>
                                    </a:cubicBezTo>
                                    <a:cubicBezTo>
                                      <a:pt x="224" y="210"/>
                                      <a:pt x="224" y="210"/>
                                      <a:pt x="224" y="210"/>
                                    </a:cubicBezTo>
                                    <a:cubicBezTo>
                                      <a:pt x="224" y="211"/>
                                      <a:pt x="225" y="212"/>
                                      <a:pt x="225" y="213"/>
                                    </a:cubicBezTo>
                                    <a:cubicBezTo>
                                      <a:pt x="225" y="217"/>
                                      <a:pt x="222" y="220"/>
                                      <a:pt x="218" y="220"/>
                                    </a:cubicBezTo>
                                    <a:cubicBezTo>
                                      <a:pt x="218" y="220"/>
                                      <a:pt x="218" y="220"/>
                                      <a:pt x="218" y="220"/>
                                    </a:cubicBezTo>
                                    <a:cubicBezTo>
                                      <a:pt x="203" y="220"/>
                                      <a:pt x="203" y="220"/>
                                      <a:pt x="203" y="220"/>
                                    </a:cubicBezTo>
                                    <a:cubicBezTo>
                                      <a:pt x="203" y="249"/>
                                      <a:pt x="203" y="249"/>
                                      <a:pt x="203" y="249"/>
                                    </a:cubicBezTo>
                                    <a:cubicBezTo>
                                      <a:pt x="203" y="253"/>
                                      <a:pt x="201" y="256"/>
                                      <a:pt x="198" y="257"/>
                                    </a:cubicBezTo>
                                    <a:cubicBezTo>
                                      <a:pt x="238" y="257"/>
                                      <a:pt x="238" y="257"/>
                                      <a:pt x="238" y="257"/>
                                    </a:cubicBezTo>
                                    <a:cubicBezTo>
                                      <a:pt x="243" y="257"/>
                                      <a:pt x="248" y="253"/>
                                      <a:pt x="248" y="247"/>
                                    </a:cubicBezTo>
                                    <a:cubicBezTo>
                                      <a:pt x="248" y="147"/>
                                      <a:pt x="248" y="147"/>
                                      <a:pt x="248" y="147"/>
                                    </a:cubicBezTo>
                                    <a:cubicBezTo>
                                      <a:pt x="279" y="147"/>
                                      <a:pt x="279" y="147"/>
                                      <a:pt x="279" y="147"/>
                                    </a:cubicBezTo>
                                    <a:cubicBezTo>
                                      <a:pt x="279" y="147"/>
                                      <a:pt x="279" y="147"/>
                                      <a:pt x="279" y="147"/>
                                    </a:cubicBezTo>
                                    <a:cubicBezTo>
                                      <a:pt x="282" y="147"/>
                                      <a:pt x="285" y="144"/>
                                      <a:pt x="285" y="140"/>
                                    </a:cubicBezTo>
                                    <a:cubicBezTo>
                                      <a:pt x="285" y="138"/>
                                      <a:pt x="284" y="135"/>
                                      <a:pt x="281" y="134"/>
                                    </a:cubicBezTo>
                                    <a:close/>
                                    <a:moveTo>
                                      <a:pt x="162" y="0"/>
                                    </a:moveTo>
                                    <a:cubicBezTo>
                                      <a:pt x="73" y="0"/>
                                      <a:pt x="0" y="72"/>
                                      <a:pt x="0" y="162"/>
                                    </a:cubicBezTo>
                                    <a:cubicBezTo>
                                      <a:pt x="0" y="251"/>
                                      <a:pt x="73" y="324"/>
                                      <a:pt x="162" y="324"/>
                                    </a:cubicBezTo>
                                    <a:cubicBezTo>
                                      <a:pt x="252" y="324"/>
                                      <a:pt x="324" y="251"/>
                                      <a:pt x="324" y="162"/>
                                    </a:cubicBezTo>
                                    <a:cubicBezTo>
                                      <a:pt x="324" y="72"/>
                                      <a:pt x="252" y="0"/>
                                      <a:pt x="162" y="0"/>
                                    </a:cubicBezTo>
                                    <a:close/>
                                    <a:moveTo>
                                      <a:pt x="162" y="13"/>
                                    </a:moveTo>
                                    <a:cubicBezTo>
                                      <a:pt x="244" y="13"/>
                                      <a:pt x="311" y="80"/>
                                      <a:pt x="311" y="162"/>
                                    </a:cubicBezTo>
                                    <a:cubicBezTo>
                                      <a:pt x="311" y="244"/>
                                      <a:pt x="244" y="311"/>
                                      <a:pt x="162" y="311"/>
                                    </a:cubicBezTo>
                                    <a:cubicBezTo>
                                      <a:pt x="80" y="311"/>
                                      <a:pt x="13" y="244"/>
                                      <a:pt x="13" y="162"/>
                                    </a:cubicBezTo>
                                    <a:cubicBezTo>
                                      <a:pt x="13" y="80"/>
                                      <a:pt x="80" y="13"/>
                                      <a:pt x="162" y="13"/>
                                    </a:cubicBezTo>
                                  </a:path>
                                </a:pathLst>
                              </a:custGeom>
                              <a:solidFill>
                                <a:schemeClr val="tx2"/>
                              </a:solidFill>
                              <a:ln w="9525">
                                <a:noFill/>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55FD4EFC" id="Freeform 32" o:spid="_x0000_s1026" alt="Title: Fixed line telephone services icon - Description: Fixed line telephone services icon &#10;" style="width:14.15pt;height:14.15pt;visibility:visible;mso-wrap-style:square;mso-left-percent:-10001;mso-top-percent:-10001;mso-position-horizontal:absolute;mso-position-horizontal-relative:char;mso-position-vertical:absolute;mso-position-vertical-relative:line;mso-left-percent:-10001;mso-top-percent:-10001;v-text-anchor:top" coordsize="32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" path="m194,161v-8,,-15,-6,-15,-15c179,138,186,131,194,131v9,,15,7,15,15c209,155,203,161,194,161xm125,161v-8,,-15,-6,-15,-15c110,138,117,131,125,131v9,,15,7,15,15c140,155,134,161,125,161xm281,134c166,59,166,59,166,59v-2,-1,-5,-1,-7,c116,87,116,87,116,87v,-23,,-23,,-23c116,61,113,58,109,58v-26,,-26,,-26,c80,58,77,61,77,64v,48,,48,,48c43,135,43,135,43,135v-3,2,-4,4,-3,7c41,145,43,147,46,147v31,,31,,31,c77,247,77,247,77,247v,6,4,10,10,10c121,257,121,257,121,257v-3,-1,-5,-4,-5,-8c116,220,116,220,116,220v-10,,-10,,-10,c102,220,100,217,100,213v,-38,,-38,,-38c100,172,102,169,106,169v38,,38,,38,c148,169,151,172,151,175v,38,,38,,38c151,217,148,220,144,220v-10,,-10,,-10,c134,249,134,249,134,249v,4,-2,7,-5,8c190,257,190,257,190,257v-3,-1,-5,-4,-5,-8c185,220,185,220,185,220v-15,,-15,,-15,c168,220,166,219,165,217v-2,-2,-2,-4,-1,-6c177,173,177,173,177,173v1,-2,3,-4,6,-4c205,169,205,169,205,169v3,,5,2,6,4c224,210,224,210,224,210v,1,1,2,1,3c225,217,222,220,218,220v,,,,,c203,220,203,220,203,220v,29,,29,,29c203,253,201,256,198,257v40,,40,,40,c243,257,248,253,248,247v,-100,,-100,,-100c279,147,279,147,279,147v,,,,,c282,147,285,144,285,140v,-2,-1,-5,-4,-6xm162,c73,,,72,,162v,89,73,162,162,162c252,324,324,251,324,162,324,72,252,,162,xm162,13v82,,149,67,149,149c311,244,244,311,162,311,80,311,13,244,13,162,13,80,80,13,162,13e" fillcolor="#a32020 [3215]" stroked="f">
                      <v:path arrowok="t" o:connecttype="custom" o:connectlocs="179,146;209,146;125,161;125,131;125,161;166,59;116,87;109,58;77,64;43,135;46,147;77,247;121,257;116,220;100,213;106,169;151,175;144,220;134,249;190,257;185,220;165,217;177,173;205,169;224,210;218,220;203,220;198,257;248,247;279,147;285,140;162,0;162,324;162,0;311,162;13,162" o:connectangles="0,0,0,0,0,0,0,0,0,0,0,0,0,0,0,0,0,0,0,0,0,0,0,0,0,0,0,0,0,0,0,0,0,0,0,0"/>
                      <o:lock v:ext="edit" verticies="t"/>
                      <w10:anchorlock/>
                    </v:shape>
                  </w:pict>
                </mc:Fallback>
              </mc:AlternateContent>
            </w:r>
          </w:p>
        </w:tc>
        <w:tc>
          <w:tcPr>
            <w:tcW w:w="680" w:type="dxa"/>
            <w:hideMark/>
          </w:tcPr>
          <w:p w14:paraId="61A170A2" w14:textId="77777777" w:rsidR="00582FBF" w:rsidRPr="00582FBF" w:rsidRDefault="00582FBF" w:rsidP="00785790">
            <w:pPr>
              <w:pStyle w:val="TableTextNormal"/>
              <w:jc w:val="center"/>
              <w:rPr>
                <w:lang w:val="en-US"/>
              </w:rPr>
            </w:pPr>
          </w:p>
        </w:tc>
        <w:tc>
          <w:tcPr>
            <w:tcW w:w="680" w:type="dxa"/>
            <w:hideMark/>
          </w:tcPr>
          <w:p w14:paraId="096ACFA5" w14:textId="4C4236B5" w:rsidR="00582FBF" w:rsidRPr="00582FBF" w:rsidRDefault="00785790" w:rsidP="00785790">
            <w:pPr>
              <w:pStyle w:val="TableTextNormal"/>
              <w:jc w:val="center"/>
              <w:rPr>
                <w:lang w:val="en-US"/>
              </w:rPr>
            </w:pPr>
            <w:r w:rsidRPr="00DB655E">
              <w:rPr>
                <w:noProof/>
                <w:lang w:eastAsia="en-AU"/>
              </w:rPr>
              <mc:AlternateContent>
                <mc:Choice Requires="wps">
                  <w:drawing>
                    <wp:inline distT="0" distB="0" distL="0" distR="0" wp14:anchorId="23399A84" wp14:editId="73E98ED8">
                      <wp:extent cx="180000" cy="180000"/>
                      <wp:effectExtent l="0" t="0" r="0" b="0"/>
                      <wp:docPr id="32" name="Freeform 32" descr="Fixed line telephone services icon &#10;" title="Fixed line telephone services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80000" cy="180000"/>
                              </a:xfrm>
                              <a:custGeom>
                                <a:avLst/>
                                <a:gdLst/>
                                <a:ahLst/>
                                <a:cxnLst>
                                  <a:cxn ang="0">
                                    <a:pos x="179" y="146"/>
                                  </a:cxn>
                                  <a:cxn ang="0">
                                    <a:pos x="209" y="146"/>
                                  </a:cxn>
                                  <a:cxn ang="0">
                                    <a:pos x="125" y="161"/>
                                  </a:cxn>
                                  <a:cxn ang="0">
                                    <a:pos x="125" y="131"/>
                                  </a:cxn>
                                  <a:cxn ang="0">
                                    <a:pos x="125" y="161"/>
                                  </a:cxn>
                                  <a:cxn ang="0">
                                    <a:pos x="166" y="59"/>
                                  </a:cxn>
                                  <a:cxn ang="0">
                                    <a:pos x="116" y="87"/>
                                  </a:cxn>
                                  <a:cxn ang="0">
                                    <a:pos x="109" y="58"/>
                                  </a:cxn>
                                  <a:cxn ang="0">
                                    <a:pos x="77" y="64"/>
                                  </a:cxn>
                                  <a:cxn ang="0">
                                    <a:pos x="43" y="135"/>
                                  </a:cxn>
                                  <a:cxn ang="0">
                                    <a:pos x="46" y="147"/>
                                  </a:cxn>
                                  <a:cxn ang="0">
                                    <a:pos x="77" y="247"/>
                                  </a:cxn>
                                  <a:cxn ang="0">
                                    <a:pos x="121" y="257"/>
                                  </a:cxn>
                                  <a:cxn ang="0">
                                    <a:pos x="116" y="220"/>
                                  </a:cxn>
                                  <a:cxn ang="0">
                                    <a:pos x="100" y="213"/>
                                  </a:cxn>
                                  <a:cxn ang="0">
                                    <a:pos x="106" y="169"/>
                                  </a:cxn>
                                  <a:cxn ang="0">
                                    <a:pos x="151" y="175"/>
                                  </a:cxn>
                                  <a:cxn ang="0">
                                    <a:pos x="144" y="220"/>
                                  </a:cxn>
                                  <a:cxn ang="0">
                                    <a:pos x="134" y="249"/>
                                  </a:cxn>
                                  <a:cxn ang="0">
                                    <a:pos x="190" y="257"/>
                                  </a:cxn>
                                  <a:cxn ang="0">
                                    <a:pos x="185" y="220"/>
                                  </a:cxn>
                                  <a:cxn ang="0">
                                    <a:pos x="165" y="217"/>
                                  </a:cxn>
                                  <a:cxn ang="0">
                                    <a:pos x="177" y="173"/>
                                  </a:cxn>
                                  <a:cxn ang="0">
                                    <a:pos x="205" y="169"/>
                                  </a:cxn>
                                  <a:cxn ang="0">
                                    <a:pos x="224" y="210"/>
                                  </a:cxn>
                                  <a:cxn ang="0">
                                    <a:pos x="218" y="220"/>
                                  </a:cxn>
                                  <a:cxn ang="0">
                                    <a:pos x="203" y="220"/>
                                  </a:cxn>
                                  <a:cxn ang="0">
                                    <a:pos x="198" y="257"/>
                                  </a:cxn>
                                  <a:cxn ang="0">
                                    <a:pos x="248" y="247"/>
                                  </a:cxn>
                                  <a:cxn ang="0">
                                    <a:pos x="279" y="147"/>
                                  </a:cxn>
                                  <a:cxn ang="0">
                                    <a:pos x="285" y="140"/>
                                  </a:cxn>
                                  <a:cxn ang="0">
                                    <a:pos x="162" y="0"/>
                                  </a:cxn>
                                  <a:cxn ang="0">
                                    <a:pos x="162" y="324"/>
                                  </a:cxn>
                                  <a:cxn ang="0">
                                    <a:pos x="162" y="0"/>
                                  </a:cxn>
                                  <a:cxn ang="0">
                                    <a:pos x="311" y="162"/>
                                  </a:cxn>
                                  <a:cxn ang="0">
                                    <a:pos x="13" y="162"/>
                                  </a:cxn>
                                </a:cxnLst>
                                <a:rect l="0" t="0" r="r" b="b"/>
                                <a:pathLst>
                                  <a:path w="324" h="324">
                                    <a:moveTo>
                                      <a:pt x="194" y="161"/>
                                    </a:moveTo>
                                    <a:cubicBezTo>
                                      <a:pt x="186" y="161"/>
                                      <a:pt x="179" y="155"/>
                                      <a:pt x="179" y="146"/>
                                    </a:cubicBezTo>
                                    <a:cubicBezTo>
                                      <a:pt x="179" y="138"/>
                                      <a:pt x="186" y="131"/>
                                      <a:pt x="194" y="131"/>
                                    </a:cubicBezTo>
                                    <a:cubicBezTo>
                                      <a:pt x="203" y="131"/>
                                      <a:pt x="209" y="138"/>
                                      <a:pt x="209" y="146"/>
                                    </a:cubicBezTo>
                                    <a:cubicBezTo>
                                      <a:pt x="209" y="155"/>
                                      <a:pt x="203" y="161"/>
                                      <a:pt x="194" y="161"/>
                                    </a:cubicBezTo>
                                    <a:close/>
                                    <a:moveTo>
                                      <a:pt x="125" y="161"/>
                                    </a:moveTo>
                                    <a:cubicBezTo>
                                      <a:pt x="117" y="161"/>
                                      <a:pt x="110" y="155"/>
                                      <a:pt x="110" y="146"/>
                                    </a:cubicBezTo>
                                    <a:cubicBezTo>
                                      <a:pt x="110" y="138"/>
                                      <a:pt x="117" y="131"/>
                                      <a:pt x="125" y="131"/>
                                    </a:cubicBezTo>
                                    <a:cubicBezTo>
                                      <a:pt x="134" y="131"/>
                                      <a:pt x="140" y="138"/>
                                      <a:pt x="140" y="146"/>
                                    </a:cubicBezTo>
                                    <a:cubicBezTo>
                                      <a:pt x="140" y="155"/>
                                      <a:pt x="134" y="161"/>
                                      <a:pt x="125" y="161"/>
                                    </a:cubicBezTo>
                                    <a:close/>
                                    <a:moveTo>
                                      <a:pt x="281" y="134"/>
                                    </a:moveTo>
                                    <a:cubicBezTo>
                                      <a:pt x="166" y="59"/>
                                      <a:pt x="166" y="59"/>
                                      <a:pt x="166" y="59"/>
                                    </a:cubicBezTo>
                                    <a:cubicBezTo>
                                      <a:pt x="164" y="58"/>
                                      <a:pt x="161" y="58"/>
                                      <a:pt x="159" y="59"/>
                                    </a:cubicBezTo>
                                    <a:cubicBezTo>
                                      <a:pt x="116" y="87"/>
                                      <a:pt x="116" y="87"/>
                                      <a:pt x="116" y="87"/>
                                    </a:cubicBezTo>
                                    <a:cubicBezTo>
                                      <a:pt x="116" y="64"/>
                                      <a:pt x="116" y="64"/>
                                      <a:pt x="116" y="64"/>
                                    </a:cubicBezTo>
                                    <a:cubicBezTo>
                                      <a:pt x="116" y="61"/>
                                      <a:pt x="113" y="58"/>
                                      <a:pt x="109" y="58"/>
                                    </a:cubicBezTo>
                                    <a:cubicBezTo>
                                      <a:pt x="83" y="58"/>
                                      <a:pt x="83" y="58"/>
                                      <a:pt x="83" y="58"/>
                                    </a:cubicBezTo>
                                    <a:cubicBezTo>
                                      <a:pt x="80" y="58"/>
                                      <a:pt x="77" y="61"/>
                                      <a:pt x="77" y="64"/>
                                    </a:cubicBezTo>
                                    <a:cubicBezTo>
                                      <a:pt x="77" y="112"/>
                                      <a:pt x="77" y="112"/>
                                      <a:pt x="77" y="112"/>
                                    </a:cubicBezTo>
                                    <a:cubicBezTo>
                                      <a:pt x="43" y="135"/>
                                      <a:pt x="43" y="135"/>
                                      <a:pt x="43" y="135"/>
                                    </a:cubicBezTo>
                                    <a:cubicBezTo>
                                      <a:pt x="40" y="137"/>
                                      <a:pt x="39" y="139"/>
                                      <a:pt x="40" y="142"/>
                                    </a:cubicBezTo>
                                    <a:cubicBezTo>
                                      <a:pt x="41" y="145"/>
                                      <a:pt x="43" y="147"/>
                                      <a:pt x="46" y="147"/>
                                    </a:cubicBezTo>
                                    <a:cubicBezTo>
                                      <a:pt x="77" y="147"/>
                                      <a:pt x="77" y="147"/>
                                      <a:pt x="77" y="147"/>
                                    </a:cubicBezTo>
                                    <a:cubicBezTo>
                                      <a:pt x="77" y="247"/>
                                      <a:pt x="77" y="247"/>
                                      <a:pt x="77" y="247"/>
                                    </a:cubicBezTo>
                                    <a:cubicBezTo>
                                      <a:pt x="77" y="253"/>
                                      <a:pt x="81" y="257"/>
                                      <a:pt x="87" y="257"/>
                                    </a:cubicBezTo>
                                    <a:cubicBezTo>
                                      <a:pt x="121" y="257"/>
                                      <a:pt x="121" y="257"/>
                                      <a:pt x="121" y="257"/>
                                    </a:cubicBezTo>
                                    <a:cubicBezTo>
                                      <a:pt x="118" y="256"/>
                                      <a:pt x="116" y="253"/>
                                      <a:pt x="116" y="249"/>
                                    </a:cubicBezTo>
                                    <a:cubicBezTo>
                                      <a:pt x="116" y="220"/>
                                      <a:pt x="116" y="220"/>
                                      <a:pt x="116" y="220"/>
                                    </a:cubicBezTo>
                                    <a:cubicBezTo>
                                      <a:pt x="106" y="220"/>
                                      <a:pt x="106" y="220"/>
                                      <a:pt x="106" y="220"/>
                                    </a:cubicBezTo>
                                    <a:cubicBezTo>
                                      <a:pt x="102" y="220"/>
                                      <a:pt x="100" y="217"/>
                                      <a:pt x="100" y="213"/>
                                    </a:cubicBezTo>
                                    <a:cubicBezTo>
                                      <a:pt x="100" y="175"/>
                                      <a:pt x="100" y="175"/>
                                      <a:pt x="100" y="175"/>
                                    </a:cubicBezTo>
                                    <a:cubicBezTo>
                                      <a:pt x="100" y="172"/>
                                      <a:pt x="102" y="169"/>
                                      <a:pt x="106" y="169"/>
                                    </a:cubicBezTo>
                                    <a:cubicBezTo>
                                      <a:pt x="144" y="169"/>
                                      <a:pt x="144" y="169"/>
                                      <a:pt x="144" y="169"/>
                                    </a:cubicBezTo>
                                    <a:cubicBezTo>
                                      <a:pt x="148" y="169"/>
                                      <a:pt x="151" y="172"/>
                                      <a:pt x="151" y="175"/>
                                    </a:cubicBezTo>
                                    <a:cubicBezTo>
                                      <a:pt x="151" y="213"/>
                                      <a:pt x="151" y="213"/>
                                      <a:pt x="151" y="213"/>
                                    </a:cubicBezTo>
                                    <a:cubicBezTo>
                                      <a:pt x="151" y="217"/>
                                      <a:pt x="148" y="220"/>
                                      <a:pt x="144" y="220"/>
                                    </a:cubicBezTo>
                                    <a:cubicBezTo>
                                      <a:pt x="134" y="220"/>
                                      <a:pt x="134" y="220"/>
                                      <a:pt x="134" y="220"/>
                                    </a:cubicBezTo>
                                    <a:cubicBezTo>
                                      <a:pt x="134" y="249"/>
                                      <a:pt x="134" y="249"/>
                                      <a:pt x="134" y="249"/>
                                    </a:cubicBezTo>
                                    <a:cubicBezTo>
                                      <a:pt x="134" y="253"/>
                                      <a:pt x="132" y="256"/>
                                      <a:pt x="129" y="257"/>
                                    </a:cubicBezTo>
                                    <a:cubicBezTo>
                                      <a:pt x="190" y="257"/>
                                      <a:pt x="190" y="257"/>
                                      <a:pt x="190" y="257"/>
                                    </a:cubicBezTo>
                                    <a:cubicBezTo>
                                      <a:pt x="187" y="256"/>
                                      <a:pt x="185" y="253"/>
                                      <a:pt x="185" y="249"/>
                                    </a:cubicBezTo>
                                    <a:cubicBezTo>
                                      <a:pt x="185" y="220"/>
                                      <a:pt x="185" y="220"/>
                                      <a:pt x="185" y="220"/>
                                    </a:cubicBezTo>
                                    <a:cubicBezTo>
                                      <a:pt x="170" y="220"/>
                                      <a:pt x="170" y="220"/>
                                      <a:pt x="170" y="220"/>
                                    </a:cubicBezTo>
                                    <a:cubicBezTo>
                                      <a:pt x="168" y="220"/>
                                      <a:pt x="166" y="219"/>
                                      <a:pt x="165" y="217"/>
                                    </a:cubicBezTo>
                                    <a:cubicBezTo>
                                      <a:pt x="163" y="215"/>
                                      <a:pt x="163" y="213"/>
                                      <a:pt x="164" y="211"/>
                                    </a:cubicBezTo>
                                    <a:cubicBezTo>
                                      <a:pt x="177" y="173"/>
                                      <a:pt x="177" y="173"/>
                                      <a:pt x="177" y="173"/>
                                    </a:cubicBezTo>
                                    <a:cubicBezTo>
                                      <a:pt x="178" y="171"/>
                                      <a:pt x="180" y="169"/>
                                      <a:pt x="183" y="169"/>
                                    </a:cubicBezTo>
                                    <a:cubicBezTo>
                                      <a:pt x="205" y="169"/>
                                      <a:pt x="205" y="169"/>
                                      <a:pt x="205" y="169"/>
                                    </a:cubicBezTo>
                                    <a:cubicBezTo>
                                      <a:pt x="208" y="169"/>
                                      <a:pt x="210" y="171"/>
                                      <a:pt x="211" y="173"/>
                                    </a:cubicBezTo>
                                    <a:cubicBezTo>
                                      <a:pt x="224" y="210"/>
                                      <a:pt x="224" y="210"/>
                                      <a:pt x="224" y="210"/>
                                    </a:cubicBezTo>
                                    <a:cubicBezTo>
                                      <a:pt x="224" y="211"/>
                                      <a:pt x="225" y="212"/>
                                      <a:pt x="225" y="213"/>
                                    </a:cubicBezTo>
                                    <a:cubicBezTo>
                                      <a:pt x="225" y="217"/>
                                      <a:pt x="222" y="220"/>
                                      <a:pt x="218" y="220"/>
                                    </a:cubicBezTo>
                                    <a:cubicBezTo>
                                      <a:pt x="218" y="220"/>
                                      <a:pt x="218" y="220"/>
                                      <a:pt x="218" y="220"/>
                                    </a:cubicBezTo>
                                    <a:cubicBezTo>
                                      <a:pt x="203" y="220"/>
                                      <a:pt x="203" y="220"/>
                                      <a:pt x="203" y="220"/>
                                    </a:cubicBezTo>
                                    <a:cubicBezTo>
                                      <a:pt x="203" y="249"/>
                                      <a:pt x="203" y="249"/>
                                      <a:pt x="203" y="249"/>
                                    </a:cubicBezTo>
                                    <a:cubicBezTo>
                                      <a:pt x="203" y="253"/>
                                      <a:pt x="201" y="256"/>
                                      <a:pt x="198" y="257"/>
                                    </a:cubicBezTo>
                                    <a:cubicBezTo>
                                      <a:pt x="238" y="257"/>
                                      <a:pt x="238" y="257"/>
                                      <a:pt x="238" y="257"/>
                                    </a:cubicBezTo>
                                    <a:cubicBezTo>
                                      <a:pt x="243" y="257"/>
                                      <a:pt x="248" y="253"/>
                                      <a:pt x="248" y="247"/>
                                    </a:cubicBezTo>
                                    <a:cubicBezTo>
                                      <a:pt x="248" y="147"/>
                                      <a:pt x="248" y="147"/>
                                      <a:pt x="248" y="147"/>
                                    </a:cubicBezTo>
                                    <a:cubicBezTo>
                                      <a:pt x="279" y="147"/>
                                      <a:pt x="279" y="147"/>
                                      <a:pt x="279" y="147"/>
                                    </a:cubicBezTo>
                                    <a:cubicBezTo>
                                      <a:pt x="279" y="147"/>
                                      <a:pt x="279" y="147"/>
                                      <a:pt x="279" y="147"/>
                                    </a:cubicBezTo>
                                    <a:cubicBezTo>
                                      <a:pt x="282" y="147"/>
                                      <a:pt x="285" y="144"/>
                                      <a:pt x="285" y="140"/>
                                    </a:cubicBezTo>
                                    <a:cubicBezTo>
                                      <a:pt x="285" y="138"/>
                                      <a:pt x="284" y="135"/>
                                      <a:pt x="281" y="134"/>
                                    </a:cubicBezTo>
                                    <a:close/>
                                    <a:moveTo>
                                      <a:pt x="162" y="0"/>
                                    </a:moveTo>
                                    <a:cubicBezTo>
                                      <a:pt x="73" y="0"/>
                                      <a:pt x="0" y="72"/>
                                      <a:pt x="0" y="162"/>
                                    </a:cubicBezTo>
                                    <a:cubicBezTo>
                                      <a:pt x="0" y="251"/>
                                      <a:pt x="73" y="324"/>
                                      <a:pt x="162" y="324"/>
                                    </a:cubicBezTo>
                                    <a:cubicBezTo>
                                      <a:pt x="252" y="324"/>
                                      <a:pt x="324" y="251"/>
                                      <a:pt x="324" y="162"/>
                                    </a:cubicBezTo>
                                    <a:cubicBezTo>
                                      <a:pt x="324" y="72"/>
                                      <a:pt x="252" y="0"/>
                                      <a:pt x="162" y="0"/>
                                    </a:cubicBezTo>
                                    <a:close/>
                                    <a:moveTo>
                                      <a:pt x="162" y="13"/>
                                    </a:moveTo>
                                    <a:cubicBezTo>
                                      <a:pt x="244" y="13"/>
                                      <a:pt x="311" y="80"/>
                                      <a:pt x="311" y="162"/>
                                    </a:cubicBezTo>
                                    <a:cubicBezTo>
                                      <a:pt x="311" y="244"/>
                                      <a:pt x="244" y="311"/>
                                      <a:pt x="162" y="311"/>
                                    </a:cubicBezTo>
                                    <a:cubicBezTo>
                                      <a:pt x="80" y="311"/>
                                      <a:pt x="13" y="244"/>
                                      <a:pt x="13" y="162"/>
                                    </a:cubicBezTo>
                                    <a:cubicBezTo>
                                      <a:pt x="13" y="80"/>
                                      <a:pt x="80" y="13"/>
                                      <a:pt x="162" y="13"/>
                                    </a:cubicBezTo>
                                  </a:path>
                                </a:pathLst>
                              </a:custGeom>
                              <a:solidFill>
                                <a:schemeClr val="tx2"/>
                              </a:solidFill>
                              <a:ln w="9525">
                                <a:noFill/>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32ADA698" id="Freeform 32" o:spid="_x0000_s1026" alt="Title: Fixed line telephone services icon - Description: Fixed line telephone services icon &#10;" style="width:14.15pt;height:14.15pt;visibility:visible;mso-wrap-style:square;mso-left-percent:-10001;mso-top-percent:-10001;mso-position-horizontal:absolute;mso-position-horizontal-relative:char;mso-position-vertical:absolute;mso-position-vertical-relative:line;mso-left-percent:-10001;mso-top-percent:-10001;v-text-anchor:top" coordsize="32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" path="m194,161v-8,,-15,-6,-15,-15c179,138,186,131,194,131v9,,15,7,15,15c209,155,203,161,194,161xm125,161v-8,,-15,-6,-15,-15c110,138,117,131,125,131v9,,15,7,15,15c140,155,134,161,125,161xm281,134c166,59,166,59,166,59v-2,-1,-5,-1,-7,c116,87,116,87,116,87v,-23,,-23,,-23c116,61,113,58,109,58v-26,,-26,,-26,c80,58,77,61,77,64v,48,,48,,48c43,135,43,135,43,135v-3,2,-4,4,-3,7c41,145,43,147,46,147v31,,31,,31,c77,247,77,247,77,247v,6,4,10,10,10c121,257,121,257,121,257v-3,-1,-5,-4,-5,-8c116,220,116,220,116,220v-10,,-10,,-10,c102,220,100,217,100,213v,-38,,-38,,-38c100,172,102,169,106,169v38,,38,,38,c148,169,151,172,151,175v,38,,38,,38c151,217,148,220,144,220v-10,,-10,,-10,c134,249,134,249,134,249v,4,-2,7,-5,8c190,257,190,257,190,257v-3,-1,-5,-4,-5,-8c185,220,185,220,185,220v-15,,-15,,-15,c168,220,166,219,165,217v-2,-2,-2,-4,-1,-6c177,173,177,173,177,173v1,-2,3,-4,6,-4c205,169,205,169,205,169v3,,5,2,6,4c224,210,224,210,224,210v,1,1,2,1,3c225,217,222,220,218,220v,,,,,c203,220,203,220,203,220v,29,,29,,29c203,253,201,256,198,257v40,,40,,40,c243,257,248,253,248,247v,-100,,-100,,-100c279,147,279,147,279,147v,,,,,c282,147,285,144,285,140v,-2,-1,-5,-4,-6xm162,c73,,,72,,162v,89,73,162,162,162c252,324,324,251,324,162,324,72,252,,162,xm162,13v82,,149,67,149,149c311,244,244,311,162,311,80,311,13,244,13,162,13,80,80,13,162,13e" fillcolor="#a32020 [3215]" stroked="f">
                      <v:path arrowok="t" o:connecttype="custom" o:connectlocs="179,146;209,146;125,161;125,131;125,161;166,59;116,87;109,58;77,64;43,135;46,147;77,247;121,257;116,220;100,213;106,169;151,175;144,220;134,249;190,257;185,220;165,217;177,173;205,169;224,210;218,220;203,220;198,257;248,247;279,147;285,140;162,0;162,324;162,0;311,162;13,162" o:connectangles="0,0,0,0,0,0,0,0,0,0,0,0,0,0,0,0,0,0,0,0,0,0,0,0,0,0,0,0,0,0,0,0,0,0,0,0"/>
                      <o:lock v:ext="edit" verticies="t"/>
                      <w10:anchorlock/>
                    </v:shape>
                  </w:pict>
                </mc:Fallback>
              </mc:AlternateContent>
            </w:r>
          </w:p>
        </w:tc>
        <w:tc>
          <w:tcPr>
            <w:tcW w:w="680" w:type="dxa"/>
            <w:hideMark/>
          </w:tcPr>
          <w:p w14:paraId="61ACA9C8" w14:textId="425B27DB" w:rsidR="00582FBF" w:rsidRPr="00582FBF" w:rsidRDefault="00785790" w:rsidP="00785790">
            <w:pPr>
              <w:pStyle w:val="TableTextNormal"/>
              <w:jc w:val="center"/>
              <w:rPr>
                <w:lang w:val="en-US"/>
              </w:rPr>
            </w:pPr>
            <w:r w:rsidRPr="00DB655E">
              <w:rPr>
                <w:noProof/>
                <w:lang w:eastAsia="en-AU"/>
              </w:rPr>
              <mc:AlternateContent>
                <mc:Choice Requires="wps">
                  <w:drawing>
                    <wp:inline distT="0" distB="0" distL="0" distR="0" wp14:anchorId="0873707E" wp14:editId="4FAF5788">
                      <wp:extent cx="180000" cy="180000"/>
                      <wp:effectExtent l="0" t="0" r="0" b="0"/>
                      <wp:docPr id="33" name="Freeform 32" descr="Fixed line telephone services icon &#10;" title="Fixed line telephone services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80000" cy="180000"/>
                              </a:xfrm>
                              <a:custGeom>
                                <a:avLst/>
                                <a:gdLst/>
                                <a:ahLst/>
                                <a:cxnLst>
                                  <a:cxn ang="0">
                                    <a:pos x="179" y="146"/>
                                  </a:cxn>
                                  <a:cxn ang="0">
                                    <a:pos x="209" y="146"/>
                                  </a:cxn>
                                  <a:cxn ang="0">
                                    <a:pos x="125" y="161"/>
                                  </a:cxn>
                                  <a:cxn ang="0">
                                    <a:pos x="125" y="131"/>
                                  </a:cxn>
                                  <a:cxn ang="0">
                                    <a:pos x="125" y="161"/>
                                  </a:cxn>
                                  <a:cxn ang="0">
                                    <a:pos x="166" y="59"/>
                                  </a:cxn>
                                  <a:cxn ang="0">
                                    <a:pos x="116" y="87"/>
                                  </a:cxn>
                                  <a:cxn ang="0">
                                    <a:pos x="109" y="58"/>
                                  </a:cxn>
                                  <a:cxn ang="0">
                                    <a:pos x="77" y="64"/>
                                  </a:cxn>
                                  <a:cxn ang="0">
                                    <a:pos x="43" y="135"/>
                                  </a:cxn>
                                  <a:cxn ang="0">
                                    <a:pos x="46" y="147"/>
                                  </a:cxn>
                                  <a:cxn ang="0">
                                    <a:pos x="77" y="247"/>
                                  </a:cxn>
                                  <a:cxn ang="0">
                                    <a:pos x="121" y="257"/>
                                  </a:cxn>
                                  <a:cxn ang="0">
                                    <a:pos x="116" y="220"/>
                                  </a:cxn>
                                  <a:cxn ang="0">
                                    <a:pos x="100" y="213"/>
                                  </a:cxn>
                                  <a:cxn ang="0">
                                    <a:pos x="106" y="169"/>
                                  </a:cxn>
                                  <a:cxn ang="0">
                                    <a:pos x="151" y="175"/>
                                  </a:cxn>
                                  <a:cxn ang="0">
                                    <a:pos x="144" y="220"/>
                                  </a:cxn>
                                  <a:cxn ang="0">
                                    <a:pos x="134" y="249"/>
                                  </a:cxn>
                                  <a:cxn ang="0">
                                    <a:pos x="190" y="257"/>
                                  </a:cxn>
                                  <a:cxn ang="0">
                                    <a:pos x="185" y="220"/>
                                  </a:cxn>
                                  <a:cxn ang="0">
                                    <a:pos x="165" y="217"/>
                                  </a:cxn>
                                  <a:cxn ang="0">
                                    <a:pos x="177" y="173"/>
                                  </a:cxn>
                                  <a:cxn ang="0">
                                    <a:pos x="205" y="169"/>
                                  </a:cxn>
                                  <a:cxn ang="0">
                                    <a:pos x="224" y="210"/>
                                  </a:cxn>
                                  <a:cxn ang="0">
                                    <a:pos x="218" y="220"/>
                                  </a:cxn>
                                  <a:cxn ang="0">
                                    <a:pos x="203" y="220"/>
                                  </a:cxn>
                                  <a:cxn ang="0">
                                    <a:pos x="198" y="257"/>
                                  </a:cxn>
                                  <a:cxn ang="0">
                                    <a:pos x="248" y="247"/>
                                  </a:cxn>
                                  <a:cxn ang="0">
                                    <a:pos x="279" y="147"/>
                                  </a:cxn>
                                  <a:cxn ang="0">
                                    <a:pos x="285" y="140"/>
                                  </a:cxn>
                                  <a:cxn ang="0">
                                    <a:pos x="162" y="0"/>
                                  </a:cxn>
                                  <a:cxn ang="0">
                                    <a:pos x="162" y="324"/>
                                  </a:cxn>
                                  <a:cxn ang="0">
                                    <a:pos x="162" y="0"/>
                                  </a:cxn>
                                  <a:cxn ang="0">
                                    <a:pos x="311" y="162"/>
                                  </a:cxn>
                                  <a:cxn ang="0">
                                    <a:pos x="13" y="162"/>
                                  </a:cxn>
                                </a:cxnLst>
                                <a:rect l="0" t="0" r="r" b="b"/>
                                <a:pathLst>
                                  <a:path w="324" h="324">
                                    <a:moveTo>
                                      <a:pt x="194" y="161"/>
                                    </a:moveTo>
                                    <a:cubicBezTo>
                                      <a:pt x="186" y="161"/>
                                      <a:pt x="179" y="155"/>
                                      <a:pt x="179" y="146"/>
                                    </a:cubicBezTo>
                                    <a:cubicBezTo>
                                      <a:pt x="179" y="138"/>
                                      <a:pt x="186" y="131"/>
                                      <a:pt x="194" y="131"/>
                                    </a:cubicBezTo>
                                    <a:cubicBezTo>
                                      <a:pt x="203" y="131"/>
                                      <a:pt x="209" y="138"/>
                                      <a:pt x="209" y="146"/>
                                    </a:cubicBezTo>
                                    <a:cubicBezTo>
                                      <a:pt x="209" y="155"/>
                                      <a:pt x="203" y="161"/>
                                      <a:pt x="194" y="161"/>
                                    </a:cubicBezTo>
                                    <a:close/>
                                    <a:moveTo>
                                      <a:pt x="125" y="161"/>
                                    </a:moveTo>
                                    <a:cubicBezTo>
                                      <a:pt x="117" y="161"/>
                                      <a:pt x="110" y="155"/>
                                      <a:pt x="110" y="146"/>
                                    </a:cubicBezTo>
                                    <a:cubicBezTo>
                                      <a:pt x="110" y="138"/>
                                      <a:pt x="117" y="131"/>
                                      <a:pt x="125" y="131"/>
                                    </a:cubicBezTo>
                                    <a:cubicBezTo>
                                      <a:pt x="134" y="131"/>
                                      <a:pt x="140" y="138"/>
                                      <a:pt x="140" y="146"/>
                                    </a:cubicBezTo>
                                    <a:cubicBezTo>
                                      <a:pt x="140" y="155"/>
                                      <a:pt x="134" y="161"/>
                                      <a:pt x="125" y="161"/>
                                    </a:cubicBezTo>
                                    <a:close/>
                                    <a:moveTo>
                                      <a:pt x="281" y="134"/>
                                    </a:moveTo>
                                    <a:cubicBezTo>
                                      <a:pt x="166" y="59"/>
                                      <a:pt x="166" y="59"/>
                                      <a:pt x="166" y="59"/>
                                    </a:cubicBezTo>
                                    <a:cubicBezTo>
                                      <a:pt x="164" y="58"/>
                                      <a:pt x="161" y="58"/>
                                      <a:pt x="159" y="59"/>
                                    </a:cubicBezTo>
                                    <a:cubicBezTo>
                                      <a:pt x="116" y="87"/>
                                      <a:pt x="116" y="87"/>
                                      <a:pt x="116" y="87"/>
                                    </a:cubicBezTo>
                                    <a:cubicBezTo>
                                      <a:pt x="116" y="64"/>
                                      <a:pt x="116" y="64"/>
                                      <a:pt x="116" y="64"/>
                                    </a:cubicBezTo>
                                    <a:cubicBezTo>
                                      <a:pt x="116" y="61"/>
                                      <a:pt x="113" y="58"/>
                                      <a:pt x="109" y="58"/>
                                    </a:cubicBezTo>
                                    <a:cubicBezTo>
                                      <a:pt x="83" y="58"/>
                                      <a:pt x="83" y="58"/>
                                      <a:pt x="83" y="58"/>
                                    </a:cubicBezTo>
                                    <a:cubicBezTo>
                                      <a:pt x="80" y="58"/>
                                      <a:pt x="77" y="61"/>
                                      <a:pt x="77" y="64"/>
                                    </a:cubicBezTo>
                                    <a:cubicBezTo>
                                      <a:pt x="77" y="112"/>
                                      <a:pt x="77" y="112"/>
                                      <a:pt x="77" y="112"/>
                                    </a:cubicBezTo>
                                    <a:cubicBezTo>
                                      <a:pt x="43" y="135"/>
                                      <a:pt x="43" y="135"/>
                                      <a:pt x="43" y="135"/>
                                    </a:cubicBezTo>
                                    <a:cubicBezTo>
                                      <a:pt x="40" y="137"/>
                                      <a:pt x="39" y="139"/>
                                      <a:pt x="40" y="142"/>
                                    </a:cubicBezTo>
                                    <a:cubicBezTo>
                                      <a:pt x="41" y="145"/>
                                      <a:pt x="43" y="147"/>
                                      <a:pt x="46" y="147"/>
                                    </a:cubicBezTo>
                                    <a:cubicBezTo>
                                      <a:pt x="77" y="147"/>
                                      <a:pt x="77" y="147"/>
                                      <a:pt x="77" y="147"/>
                                    </a:cubicBezTo>
                                    <a:cubicBezTo>
                                      <a:pt x="77" y="247"/>
                                      <a:pt x="77" y="247"/>
                                      <a:pt x="77" y="247"/>
                                    </a:cubicBezTo>
                                    <a:cubicBezTo>
                                      <a:pt x="77" y="253"/>
                                      <a:pt x="81" y="257"/>
                                      <a:pt x="87" y="257"/>
                                    </a:cubicBezTo>
                                    <a:cubicBezTo>
                                      <a:pt x="121" y="257"/>
                                      <a:pt x="121" y="257"/>
                                      <a:pt x="121" y="257"/>
                                    </a:cubicBezTo>
                                    <a:cubicBezTo>
                                      <a:pt x="118" y="256"/>
                                      <a:pt x="116" y="253"/>
                                      <a:pt x="116" y="249"/>
                                    </a:cubicBezTo>
                                    <a:cubicBezTo>
                                      <a:pt x="116" y="220"/>
                                      <a:pt x="116" y="220"/>
                                      <a:pt x="116" y="220"/>
                                    </a:cubicBezTo>
                                    <a:cubicBezTo>
                                      <a:pt x="106" y="220"/>
                                      <a:pt x="106" y="220"/>
                                      <a:pt x="106" y="220"/>
                                    </a:cubicBezTo>
                                    <a:cubicBezTo>
                                      <a:pt x="102" y="220"/>
                                      <a:pt x="100" y="217"/>
                                      <a:pt x="100" y="213"/>
                                    </a:cubicBezTo>
                                    <a:cubicBezTo>
                                      <a:pt x="100" y="175"/>
                                      <a:pt x="100" y="175"/>
                                      <a:pt x="100" y="175"/>
                                    </a:cubicBezTo>
                                    <a:cubicBezTo>
                                      <a:pt x="100" y="172"/>
                                      <a:pt x="102" y="169"/>
                                      <a:pt x="106" y="169"/>
                                    </a:cubicBezTo>
                                    <a:cubicBezTo>
                                      <a:pt x="144" y="169"/>
                                      <a:pt x="144" y="169"/>
                                      <a:pt x="144" y="169"/>
                                    </a:cubicBezTo>
                                    <a:cubicBezTo>
                                      <a:pt x="148" y="169"/>
                                      <a:pt x="151" y="172"/>
                                      <a:pt x="151" y="175"/>
                                    </a:cubicBezTo>
                                    <a:cubicBezTo>
                                      <a:pt x="151" y="213"/>
                                      <a:pt x="151" y="213"/>
                                      <a:pt x="151" y="213"/>
                                    </a:cubicBezTo>
                                    <a:cubicBezTo>
                                      <a:pt x="151" y="217"/>
                                      <a:pt x="148" y="220"/>
                                      <a:pt x="144" y="220"/>
                                    </a:cubicBezTo>
                                    <a:cubicBezTo>
                                      <a:pt x="134" y="220"/>
                                      <a:pt x="134" y="220"/>
                                      <a:pt x="134" y="220"/>
                                    </a:cubicBezTo>
                                    <a:cubicBezTo>
                                      <a:pt x="134" y="249"/>
                                      <a:pt x="134" y="249"/>
                                      <a:pt x="134" y="249"/>
                                    </a:cubicBezTo>
                                    <a:cubicBezTo>
                                      <a:pt x="134" y="253"/>
                                      <a:pt x="132" y="256"/>
                                      <a:pt x="129" y="257"/>
                                    </a:cubicBezTo>
                                    <a:cubicBezTo>
                                      <a:pt x="190" y="257"/>
                                      <a:pt x="190" y="257"/>
                                      <a:pt x="190" y="257"/>
                                    </a:cubicBezTo>
                                    <a:cubicBezTo>
                                      <a:pt x="187" y="256"/>
                                      <a:pt x="185" y="253"/>
                                      <a:pt x="185" y="249"/>
                                    </a:cubicBezTo>
                                    <a:cubicBezTo>
                                      <a:pt x="185" y="220"/>
                                      <a:pt x="185" y="220"/>
                                      <a:pt x="185" y="220"/>
                                    </a:cubicBezTo>
                                    <a:cubicBezTo>
                                      <a:pt x="170" y="220"/>
                                      <a:pt x="170" y="220"/>
                                      <a:pt x="170" y="220"/>
                                    </a:cubicBezTo>
                                    <a:cubicBezTo>
                                      <a:pt x="168" y="220"/>
                                      <a:pt x="166" y="219"/>
                                      <a:pt x="165" y="217"/>
                                    </a:cubicBezTo>
                                    <a:cubicBezTo>
                                      <a:pt x="163" y="215"/>
                                      <a:pt x="163" y="213"/>
                                      <a:pt x="164" y="211"/>
                                    </a:cubicBezTo>
                                    <a:cubicBezTo>
                                      <a:pt x="177" y="173"/>
                                      <a:pt x="177" y="173"/>
                                      <a:pt x="177" y="173"/>
                                    </a:cubicBezTo>
                                    <a:cubicBezTo>
                                      <a:pt x="178" y="171"/>
                                      <a:pt x="180" y="169"/>
                                      <a:pt x="183" y="169"/>
                                    </a:cubicBezTo>
                                    <a:cubicBezTo>
                                      <a:pt x="205" y="169"/>
                                      <a:pt x="205" y="169"/>
                                      <a:pt x="205" y="169"/>
                                    </a:cubicBezTo>
                                    <a:cubicBezTo>
                                      <a:pt x="208" y="169"/>
                                      <a:pt x="210" y="171"/>
                                      <a:pt x="211" y="173"/>
                                    </a:cubicBezTo>
                                    <a:cubicBezTo>
                                      <a:pt x="224" y="210"/>
                                      <a:pt x="224" y="210"/>
                                      <a:pt x="224" y="210"/>
                                    </a:cubicBezTo>
                                    <a:cubicBezTo>
                                      <a:pt x="224" y="211"/>
                                      <a:pt x="225" y="212"/>
                                      <a:pt x="225" y="213"/>
                                    </a:cubicBezTo>
                                    <a:cubicBezTo>
                                      <a:pt x="225" y="217"/>
                                      <a:pt x="222" y="220"/>
                                      <a:pt x="218" y="220"/>
                                    </a:cubicBezTo>
                                    <a:cubicBezTo>
                                      <a:pt x="218" y="220"/>
                                      <a:pt x="218" y="220"/>
                                      <a:pt x="218" y="220"/>
                                    </a:cubicBezTo>
                                    <a:cubicBezTo>
                                      <a:pt x="203" y="220"/>
                                      <a:pt x="203" y="220"/>
                                      <a:pt x="203" y="220"/>
                                    </a:cubicBezTo>
                                    <a:cubicBezTo>
                                      <a:pt x="203" y="249"/>
                                      <a:pt x="203" y="249"/>
                                      <a:pt x="203" y="249"/>
                                    </a:cubicBezTo>
                                    <a:cubicBezTo>
                                      <a:pt x="203" y="253"/>
                                      <a:pt x="201" y="256"/>
                                      <a:pt x="198" y="257"/>
                                    </a:cubicBezTo>
                                    <a:cubicBezTo>
                                      <a:pt x="238" y="257"/>
                                      <a:pt x="238" y="257"/>
                                      <a:pt x="238" y="257"/>
                                    </a:cubicBezTo>
                                    <a:cubicBezTo>
                                      <a:pt x="243" y="257"/>
                                      <a:pt x="248" y="253"/>
                                      <a:pt x="248" y="247"/>
                                    </a:cubicBezTo>
                                    <a:cubicBezTo>
                                      <a:pt x="248" y="147"/>
                                      <a:pt x="248" y="147"/>
                                      <a:pt x="248" y="147"/>
                                    </a:cubicBezTo>
                                    <a:cubicBezTo>
                                      <a:pt x="279" y="147"/>
                                      <a:pt x="279" y="147"/>
                                      <a:pt x="279" y="147"/>
                                    </a:cubicBezTo>
                                    <a:cubicBezTo>
                                      <a:pt x="279" y="147"/>
                                      <a:pt x="279" y="147"/>
                                      <a:pt x="279" y="147"/>
                                    </a:cubicBezTo>
                                    <a:cubicBezTo>
                                      <a:pt x="282" y="147"/>
                                      <a:pt x="285" y="144"/>
                                      <a:pt x="285" y="140"/>
                                    </a:cubicBezTo>
                                    <a:cubicBezTo>
                                      <a:pt x="285" y="138"/>
                                      <a:pt x="284" y="135"/>
                                      <a:pt x="281" y="134"/>
                                    </a:cubicBezTo>
                                    <a:close/>
                                    <a:moveTo>
                                      <a:pt x="162" y="0"/>
                                    </a:moveTo>
                                    <a:cubicBezTo>
                                      <a:pt x="73" y="0"/>
                                      <a:pt x="0" y="72"/>
                                      <a:pt x="0" y="162"/>
                                    </a:cubicBezTo>
                                    <a:cubicBezTo>
                                      <a:pt x="0" y="251"/>
                                      <a:pt x="73" y="324"/>
                                      <a:pt x="162" y="324"/>
                                    </a:cubicBezTo>
                                    <a:cubicBezTo>
                                      <a:pt x="252" y="324"/>
                                      <a:pt x="324" y="251"/>
                                      <a:pt x="324" y="162"/>
                                    </a:cubicBezTo>
                                    <a:cubicBezTo>
                                      <a:pt x="324" y="72"/>
                                      <a:pt x="252" y="0"/>
                                      <a:pt x="162" y="0"/>
                                    </a:cubicBezTo>
                                    <a:close/>
                                    <a:moveTo>
                                      <a:pt x="162" y="13"/>
                                    </a:moveTo>
                                    <a:cubicBezTo>
                                      <a:pt x="244" y="13"/>
                                      <a:pt x="311" y="80"/>
                                      <a:pt x="311" y="162"/>
                                    </a:cubicBezTo>
                                    <a:cubicBezTo>
                                      <a:pt x="311" y="244"/>
                                      <a:pt x="244" y="311"/>
                                      <a:pt x="162" y="311"/>
                                    </a:cubicBezTo>
                                    <a:cubicBezTo>
                                      <a:pt x="80" y="311"/>
                                      <a:pt x="13" y="244"/>
                                      <a:pt x="13" y="162"/>
                                    </a:cubicBezTo>
                                    <a:cubicBezTo>
                                      <a:pt x="13" y="80"/>
                                      <a:pt x="80" y="13"/>
                                      <a:pt x="162" y="13"/>
                                    </a:cubicBezTo>
                                  </a:path>
                                </a:pathLst>
                              </a:custGeom>
                              <a:solidFill>
                                <a:schemeClr val="tx2"/>
                              </a:solidFill>
                              <a:ln w="9525">
                                <a:noFill/>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3D27B614" id="Freeform 32" o:spid="_x0000_s1026" alt="Title: Fixed line telephone services icon - Description: Fixed line telephone services icon &#10;" style="width:14.15pt;height:14.15pt;visibility:visible;mso-wrap-style:square;mso-left-percent:-10001;mso-top-percent:-10001;mso-position-horizontal:absolute;mso-position-horizontal-relative:char;mso-position-vertical:absolute;mso-position-vertical-relative:line;mso-left-percent:-10001;mso-top-percent:-10001;v-text-anchor:top" coordsize="32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" path="m194,161v-8,,-15,-6,-15,-15c179,138,186,131,194,131v9,,15,7,15,15c209,155,203,161,194,161xm125,161v-8,,-15,-6,-15,-15c110,138,117,131,125,131v9,,15,7,15,15c140,155,134,161,125,161xm281,134c166,59,166,59,166,59v-2,-1,-5,-1,-7,c116,87,116,87,116,87v,-23,,-23,,-23c116,61,113,58,109,58v-26,,-26,,-26,c80,58,77,61,77,64v,48,,48,,48c43,135,43,135,43,135v-3,2,-4,4,-3,7c41,145,43,147,46,147v31,,31,,31,c77,247,77,247,77,247v,6,4,10,10,10c121,257,121,257,121,257v-3,-1,-5,-4,-5,-8c116,220,116,220,116,220v-10,,-10,,-10,c102,220,100,217,100,213v,-38,,-38,,-38c100,172,102,169,106,169v38,,38,,38,c148,169,151,172,151,175v,38,,38,,38c151,217,148,220,144,220v-10,,-10,,-10,c134,249,134,249,134,249v,4,-2,7,-5,8c190,257,190,257,190,257v-3,-1,-5,-4,-5,-8c185,220,185,220,185,220v-15,,-15,,-15,c168,220,166,219,165,217v-2,-2,-2,-4,-1,-6c177,173,177,173,177,173v1,-2,3,-4,6,-4c205,169,205,169,205,169v3,,5,2,6,4c224,210,224,210,224,210v,1,1,2,1,3c225,217,222,220,218,220v,,,,,c203,220,203,220,203,220v,29,,29,,29c203,253,201,256,198,257v40,,40,,40,c243,257,248,253,248,247v,-100,,-100,,-100c279,147,279,147,279,147v,,,,,c282,147,285,144,285,140v,-2,-1,-5,-4,-6xm162,c73,,,72,,162v,89,73,162,162,162c252,324,324,251,324,162,324,72,252,,162,xm162,13v82,,149,67,149,149c311,244,244,311,162,311,80,311,13,244,13,162,13,80,80,13,162,13e" fillcolor="#a32020 [3215]" stroked="f">
                      <v:path arrowok="t" o:connecttype="custom" o:connectlocs="179,146;209,146;125,161;125,131;125,161;166,59;116,87;109,58;77,64;43,135;46,147;77,247;121,257;116,220;100,213;106,169;151,175;144,220;134,249;190,257;185,220;165,217;177,173;205,169;224,210;218,220;203,220;198,257;248,247;279,147;285,140;162,0;162,324;162,0;311,162;13,162" o:connectangles="0,0,0,0,0,0,0,0,0,0,0,0,0,0,0,0,0,0,0,0,0,0,0,0,0,0,0,0,0,0,0,0,0,0,0,0"/>
                      <o:lock v:ext="edit" verticies="t"/>
                      <w10:anchorlock/>
                    </v:shape>
                  </w:pict>
                </mc:Fallback>
              </mc:AlternateContent>
            </w:r>
            <w:r w:rsidR="001227E2" w:rsidRPr="008F3B97">
              <w:rPr>
                <w:noProof/>
                <w:color w:val="DB536A" w:themeColor="accent4"/>
                <w:lang w:eastAsia="en-AU"/>
              </w:rPr>
              <mc:AlternateContent>
                <mc:Choice Requires="wps">
                  <w:drawing>
                    <wp:inline distT="0" distB="0" distL="0" distR="0" wp14:anchorId="585574B1" wp14:editId="616A95E5">
                      <wp:extent cx="180000" cy="180000"/>
                      <wp:effectExtent l="0" t="0" r="0" b="0"/>
                      <wp:docPr id="49" name="Freeform 19" descr="Internet services icon" title="Internet services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80000" cy="180000"/>
                              </a:xfrm>
                              <a:custGeom>
                                <a:avLst/>
                                <a:gdLst/>
                                <a:ahLst/>
                                <a:cxnLst>
                                  <a:cxn ang="0">
                                    <a:pos x="263" y="232"/>
                                  </a:cxn>
                                  <a:cxn ang="0">
                                    <a:pos x="259" y="234"/>
                                  </a:cxn>
                                  <a:cxn ang="0">
                                    <a:pos x="255" y="232"/>
                                  </a:cxn>
                                  <a:cxn ang="0">
                                    <a:pos x="254" y="229"/>
                                  </a:cxn>
                                  <a:cxn ang="0">
                                    <a:pos x="255" y="225"/>
                                  </a:cxn>
                                  <a:cxn ang="0">
                                    <a:pos x="263" y="225"/>
                                  </a:cxn>
                                  <a:cxn ang="0">
                                    <a:pos x="264" y="229"/>
                                  </a:cxn>
                                  <a:cxn ang="0">
                                    <a:pos x="263" y="232"/>
                                  </a:cxn>
                                  <a:cxn ang="0">
                                    <a:pos x="133" y="223"/>
                                  </a:cxn>
                                  <a:cxn ang="0">
                                    <a:pos x="141" y="211"/>
                                  </a:cxn>
                                  <a:cxn ang="0">
                                    <a:pos x="183" y="211"/>
                                  </a:cxn>
                                  <a:cxn ang="0">
                                    <a:pos x="191" y="223"/>
                                  </a:cxn>
                                  <a:cxn ang="0">
                                    <a:pos x="133" y="223"/>
                                  </a:cxn>
                                  <a:cxn ang="0">
                                    <a:pos x="277" y="224"/>
                                  </a:cxn>
                                  <a:cxn ang="0">
                                    <a:pos x="277" y="222"/>
                                  </a:cxn>
                                  <a:cxn ang="0">
                                    <a:pos x="277" y="222"/>
                                  </a:cxn>
                                  <a:cxn ang="0">
                                    <a:pos x="276" y="221"/>
                                  </a:cxn>
                                  <a:cxn ang="0">
                                    <a:pos x="250" y="189"/>
                                  </a:cxn>
                                  <a:cxn ang="0">
                                    <a:pos x="245" y="186"/>
                                  </a:cxn>
                                  <a:cxn ang="0">
                                    <a:pos x="78" y="186"/>
                                  </a:cxn>
                                  <a:cxn ang="0">
                                    <a:pos x="73" y="189"/>
                                  </a:cxn>
                                  <a:cxn ang="0">
                                    <a:pos x="48" y="221"/>
                                  </a:cxn>
                                  <a:cxn ang="0">
                                    <a:pos x="47" y="222"/>
                                  </a:cxn>
                                  <a:cxn ang="0">
                                    <a:pos x="47" y="222"/>
                                  </a:cxn>
                                  <a:cxn ang="0">
                                    <a:pos x="47" y="224"/>
                                  </a:cxn>
                                  <a:cxn ang="0">
                                    <a:pos x="46" y="224"/>
                                  </a:cxn>
                                  <a:cxn ang="0">
                                    <a:pos x="46" y="233"/>
                                  </a:cxn>
                                  <a:cxn ang="0">
                                    <a:pos x="53" y="239"/>
                                  </a:cxn>
                                  <a:cxn ang="0">
                                    <a:pos x="271" y="239"/>
                                  </a:cxn>
                                  <a:cxn ang="0">
                                    <a:pos x="277" y="233"/>
                                  </a:cxn>
                                  <a:cxn ang="0">
                                    <a:pos x="277" y="224"/>
                                  </a:cxn>
                                  <a:cxn ang="0">
                                    <a:pos x="277" y="224"/>
                                  </a:cxn>
                                  <a:cxn ang="0">
                                    <a:pos x="88" y="75"/>
                                  </a:cxn>
                                  <a:cxn ang="0">
                                    <a:pos x="235" y="75"/>
                                  </a:cxn>
                                  <a:cxn ang="0">
                                    <a:pos x="235" y="163"/>
                                  </a:cxn>
                                  <a:cxn ang="0">
                                    <a:pos x="88" y="163"/>
                                  </a:cxn>
                                  <a:cxn ang="0">
                                    <a:pos x="88" y="75"/>
                                  </a:cxn>
                                  <a:cxn ang="0">
                                    <a:pos x="81" y="179"/>
                                  </a:cxn>
                                  <a:cxn ang="0">
                                    <a:pos x="243" y="179"/>
                                  </a:cxn>
                                  <a:cxn ang="0">
                                    <a:pos x="251" y="171"/>
                                  </a:cxn>
                                  <a:cxn ang="0">
                                    <a:pos x="251" y="67"/>
                                  </a:cxn>
                                  <a:cxn ang="0">
                                    <a:pos x="243" y="59"/>
                                  </a:cxn>
                                  <a:cxn ang="0">
                                    <a:pos x="81" y="59"/>
                                  </a:cxn>
                                  <a:cxn ang="0">
                                    <a:pos x="73" y="67"/>
                                  </a:cxn>
                                  <a:cxn ang="0">
                                    <a:pos x="73" y="171"/>
                                  </a:cxn>
                                  <a:cxn ang="0">
                                    <a:pos x="81" y="179"/>
                                  </a:cxn>
                                  <a:cxn ang="0">
                                    <a:pos x="162" y="310"/>
                                  </a:cxn>
                                  <a:cxn ang="0">
                                    <a:pos x="13" y="162"/>
                                  </a:cxn>
                                  <a:cxn ang="0">
                                    <a:pos x="162" y="13"/>
                                  </a:cxn>
                                  <a:cxn ang="0">
                                    <a:pos x="311" y="162"/>
                                  </a:cxn>
                                  <a:cxn ang="0">
                                    <a:pos x="162" y="310"/>
                                  </a:cxn>
                                  <a:cxn ang="0">
                                    <a:pos x="162" y="0"/>
                                  </a:cxn>
                                  <a:cxn ang="0">
                                    <a:pos x="0" y="162"/>
                                  </a:cxn>
                                  <a:cxn ang="0">
                                    <a:pos x="162" y="323"/>
                                  </a:cxn>
                                  <a:cxn ang="0">
                                    <a:pos x="324" y="162"/>
                                  </a:cxn>
                                  <a:cxn ang="0">
                                    <a:pos x="162" y="0"/>
                                  </a:cxn>
                                </a:cxnLst>
                                <a:rect l="0" t="0" r="r" b="b"/>
                                <a:pathLst>
                                  <a:path w="324" h="323">
                                    <a:moveTo>
                                      <a:pt x="263" y="232"/>
                                    </a:moveTo>
                                    <a:cubicBezTo>
                                      <a:pt x="262" y="233"/>
                                      <a:pt x="261" y="234"/>
                                      <a:pt x="259" y="234"/>
                                    </a:cubicBezTo>
                                    <a:cubicBezTo>
                                      <a:pt x="258" y="234"/>
                                      <a:pt x="257" y="233"/>
                                      <a:pt x="255" y="232"/>
                                    </a:cubicBezTo>
                                    <a:cubicBezTo>
                                      <a:pt x="255" y="231"/>
                                      <a:pt x="254" y="230"/>
                                      <a:pt x="254" y="229"/>
                                    </a:cubicBezTo>
                                    <a:cubicBezTo>
                                      <a:pt x="254" y="227"/>
                                      <a:pt x="255" y="226"/>
                                      <a:pt x="255" y="225"/>
                                    </a:cubicBezTo>
                                    <a:cubicBezTo>
                                      <a:pt x="258" y="223"/>
                                      <a:pt x="261" y="223"/>
                                      <a:pt x="263" y="225"/>
                                    </a:cubicBezTo>
                                    <a:cubicBezTo>
                                      <a:pt x="264" y="226"/>
                                      <a:pt x="264" y="227"/>
                                      <a:pt x="264" y="229"/>
                                    </a:cubicBezTo>
                                    <a:cubicBezTo>
                                      <a:pt x="264" y="230"/>
                                      <a:pt x="264" y="231"/>
                                      <a:pt x="263" y="232"/>
                                    </a:cubicBezTo>
                                    <a:close/>
                                    <a:moveTo>
                                      <a:pt x="133" y="223"/>
                                    </a:moveTo>
                                    <a:cubicBezTo>
                                      <a:pt x="141" y="211"/>
                                      <a:pt x="141" y="211"/>
                                      <a:pt x="141" y="211"/>
                                    </a:cubicBezTo>
                                    <a:cubicBezTo>
                                      <a:pt x="183" y="211"/>
                                      <a:pt x="183" y="211"/>
                                      <a:pt x="183" y="211"/>
                                    </a:cubicBezTo>
                                    <a:cubicBezTo>
                                      <a:pt x="191" y="223"/>
                                      <a:pt x="191" y="223"/>
                                      <a:pt x="191" y="223"/>
                                    </a:cubicBezTo>
                                    <a:lnTo>
                                      <a:pt x="133" y="223"/>
                                    </a:lnTo>
                                    <a:close/>
                                    <a:moveTo>
                                      <a:pt x="277" y="224"/>
                                    </a:moveTo>
                                    <a:cubicBezTo>
                                      <a:pt x="277" y="224"/>
                                      <a:pt x="277" y="223"/>
                                      <a:pt x="277" y="222"/>
                                    </a:cubicBezTo>
                                    <a:cubicBezTo>
                                      <a:pt x="277" y="222"/>
                                      <a:pt x="277" y="222"/>
                                      <a:pt x="277" y="222"/>
                                    </a:cubicBezTo>
                                    <a:cubicBezTo>
                                      <a:pt x="277" y="221"/>
                                      <a:pt x="276" y="221"/>
                                      <a:pt x="276" y="221"/>
                                    </a:cubicBezTo>
                                    <a:cubicBezTo>
                                      <a:pt x="250" y="189"/>
                                      <a:pt x="250" y="189"/>
                                      <a:pt x="250" y="189"/>
                                    </a:cubicBezTo>
                                    <a:cubicBezTo>
                                      <a:pt x="249" y="187"/>
                                      <a:pt x="247" y="186"/>
                                      <a:pt x="245" y="186"/>
                                    </a:cubicBezTo>
                                    <a:cubicBezTo>
                                      <a:pt x="78" y="186"/>
                                      <a:pt x="78" y="186"/>
                                      <a:pt x="78" y="186"/>
                                    </a:cubicBezTo>
                                    <a:cubicBezTo>
                                      <a:pt x="77" y="186"/>
                                      <a:pt x="75" y="187"/>
                                      <a:pt x="73" y="189"/>
                                    </a:cubicBezTo>
                                    <a:cubicBezTo>
                                      <a:pt x="48" y="221"/>
                                      <a:pt x="48" y="221"/>
                                      <a:pt x="48" y="221"/>
                                    </a:cubicBezTo>
                                    <a:cubicBezTo>
                                      <a:pt x="48" y="221"/>
                                      <a:pt x="47" y="221"/>
                                      <a:pt x="47" y="222"/>
                                    </a:cubicBezTo>
                                    <a:cubicBezTo>
                                      <a:pt x="47" y="222"/>
                                      <a:pt x="47" y="222"/>
                                      <a:pt x="47" y="222"/>
                                    </a:cubicBezTo>
                                    <a:cubicBezTo>
                                      <a:pt x="47" y="223"/>
                                      <a:pt x="47" y="224"/>
                                      <a:pt x="47" y="224"/>
                                    </a:cubicBezTo>
                                    <a:cubicBezTo>
                                      <a:pt x="46" y="224"/>
                                      <a:pt x="46" y="224"/>
                                      <a:pt x="46" y="224"/>
                                    </a:cubicBezTo>
                                    <a:cubicBezTo>
                                      <a:pt x="46" y="233"/>
                                      <a:pt x="46" y="233"/>
                                      <a:pt x="46" y="233"/>
                                    </a:cubicBezTo>
                                    <a:cubicBezTo>
                                      <a:pt x="46" y="236"/>
                                      <a:pt x="49" y="239"/>
                                      <a:pt x="53" y="239"/>
                                    </a:cubicBezTo>
                                    <a:cubicBezTo>
                                      <a:pt x="271" y="239"/>
                                      <a:pt x="271" y="239"/>
                                      <a:pt x="271" y="239"/>
                                    </a:cubicBezTo>
                                    <a:cubicBezTo>
                                      <a:pt x="274" y="239"/>
                                      <a:pt x="277" y="236"/>
                                      <a:pt x="277" y="233"/>
                                    </a:cubicBezTo>
                                    <a:cubicBezTo>
                                      <a:pt x="277" y="224"/>
                                      <a:pt x="277" y="224"/>
                                      <a:pt x="277" y="224"/>
                                    </a:cubicBezTo>
                                    <a:cubicBezTo>
                                      <a:pt x="277" y="224"/>
                                      <a:pt x="277" y="224"/>
                                      <a:pt x="277" y="224"/>
                                    </a:cubicBezTo>
                                    <a:close/>
                                    <a:moveTo>
                                      <a:pt x="88" y="75"/>
                                    </a:moveTo>
                                    <a:cubicBezTo>
                                      <a:pt x="235" y="75"/>
                                      <a:pt x="235" y="75"/>
                                      <a:pt x="235" y="75"/>
                                    </a:cubicBezTo>
                                    <a:cubicBezTo>
                                      <a:pt x="235" y="163"/>
                                      <a:pt x="235" y="163"/>
                                      <a:pt x="235" y="163"/>
                                    </a:cubicBezTo>
                                    <a:cubicBezTo>
                                      <a:pt x="88" y="163"/>
                                      <a:pt x="88" y="163"/>
                                      <a:pt x="88" y="163"/>
                                    </a:cubicBezTo>
                                    <a:lnTo>
                                      <a:pt x="88" y="75"/>
                                    </a:lnTo>
                                    <a:close/>
                                    <a:moveTo>
                                      <a:pt x="81" y="179"/>
                                    </a:moveTo>
                                    <a:cubicBezTo>
                                      <a:pt x="243" y="179"/>
                                      <a:pt x="243" y="179"/>
                                      <a:pt x="243" y="179"/>
                                    </a:cubicBezTo>
                                    <a:cubicBezTo>
                                      <a:pt x="247" y="179"/>
                                      <a:pt x="251" y="175"/>
                                      <a:pt x="251" y="171"/>
                                    </a:cubicBezTo>
                                    <a:cubicBezTo>
                                      <a:pt x="251" y="67"/>
                                      <a:pt x="251" y="67"/>
                                      <a:pt x="251" y="67"/>
                                    </a:cubicBezTo>
                                    <a:cubicBezTo>
                                      <a:pt x="251" y="63"/>
                                      <a:pt x="247" y="59"/>
                                      <a:pt x="243" y="59"/>
                                    </a:cubicBezTo>
                                    <a:cubicBezTo>
                                      <a:pt x="81" y="59"/>
                                      <a:pt x="81" y="59"/>
                                      <a:pt x="81" y="59"/>
                                    </a:cubicBezTo>
                                    <a:cubicBezTo>
                                      <a:pt x="77" y="59"/>
                                      <a:pt x="73" y="63"/>
                                      <a:pt x="73" y="67"/>
                                    </a:cubicBezTo>
                                    <a:cubicBezTo>
                                      <a:pt x="73" y="171"/>
                                      <a:pt x="73" y="171"/>
                                      <a:pt x="73" y="171"/>
                                    </a:cubicBezTo>
                                    <a:cubicBezTo>
                                      <a:pt x="73" y="175"/>
                                      <a:pt x="77" y="179"/>
                                      <a:pt x="81" y="179"/>
                                    </a:cubicBezTo>
                                    <a:close/>
                                    <a:moveTo>
                                      <a:pt x="162" y="310"/>
                                    </a:moveTo>
                                    <a:cubicBezTo>
                                      <a:pt x="80" y="310"/>
                                      <a:pt x="13" y="244"/>
                                      <a:pt x="13" y="162"/>
                                    </a:cubicBezTo>
                                    <a:cubicBezTo>
                                      <a:pt x="13" y="80"/>
                                      <a:pt x="80" y="13"/>
                                      <a:pt x="162" y="13"/>
                                    </a:cubicBezTo>
                                    <a:cubicBezTo>
                                      <a:pt x="244" y="13"/>
                                      <a:pt x="311" y="80"/>
                                      <a:pt x="311" y="162"/>
                                    </a:cubicBezTo>
                                    <a:cubicBezTo>
                                      <a:pt x="311" y="244"/>
                                      <a:pt x="244" y="310"/>
                                      <a:pt x="162" y="310"/>
                                    </a:cubicBezTo>
                                    <a:close/>
                                    <a:moveTo>
                                      <a:pt x="162" y="0"/>
                                    </a:moveTo>
                                    <a:cubicBezTo>
                                      <a:pt x="72" y="0"/>
                                      <a:pt x="0" y="72"/>
                                      <a:pt x="0" y="162"/>
                                    </a:cubicBezTo>
                                    <a:cubicBezTo>
                                      <a:pt x="0" y="251"/>
                                      <a:pt x="72" y="323"/>
                                      <a:pt x="162" y="323"/>
                                    </a:cubicBezTo>
                                    <a:cubicBezTo>
                                      <a:pt x="251" y="323"/>
                                      <a:pt x="324" y="251"/>
                                      <a:pt x="324" y="162"/>
                                    </a:cubicBezTo>
                                    <a:cubicBezTo>
                                      <a:pt x="324" y="72"/>
                                      <a:pt x="251" y="0"/>
                                      <a:pt x="162" y="0"/>
                                    </a:cubicBezTo>
                                    <a:close/>
                                  </a:path>
                                </a:pathLst>
                              </a:custGeom>
                              <a:solidFill>
                                <a:schemeClr val="tx2"/>
                              </a:solidFill>
                              <a:ln w="9525">
                                <a:noFill/>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4B5E7BCF" id="Freeform 19" o:spid="_x0000_s1026" alt="Title: Internet services icon - Description: Internet services icon" style="width:14.15pt;height:14.15pt;visibility:visible;mso-wrap-style:square;mso-left-percent:-10001;mso-top-percent:-10001;mso-position-horizontal:absolute;mso-position-horizontal-relative:char;mso-position-vertical:absolute;mso-position-vertical-relative:line;mso-left-percent:-10001;mso-top-percent:-10001;v-text-anchor:top" coordsize="324,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" path="m263,232v-1,1,-2,2,-4,2c258,234,257,233,255,232v,-1,-1,-2,-1,-3c254,227,255,226,255,225v3,-2,6,-2,8,c264,226,264,227,264,229v,1,,2,-1,3xm133,223v8,-12,8,-12,8,-12c183,211,183,211,183,211v8,12,8,12,8,12l133,223xm277,224v,,,-1,,-2c277,222,277,222,277,222v,-1,-1,-1,-1,-1c250,189,250,189,250,189v-1,-2,-3,-3,-5,-3c78,186,78,186,78,186v-1,,-3,1,-5,3c48,221,48,221,48,221v,,-1,,-1,1c47,222,47,222,47,222v,1,,2,,2c46,224,46,224,46,224v,9,,9,,9c46,236,49,239,53,239v218,,218,,218,c274,239,277,236,277,233v,-9,,-9,,-9c277,224,277,224,277,224xm88,75v147,,147,,147,c235,163,235,163,235,163v-147,,-147,,-147,l88,75xm81,179v162,,162,,162,c247,179,251,175,251,171v,-104,,-104,,-104c251,63,247,59,243,59,81,59,81,59,81,59v-4,,-8,4,-8,8c73,171,73,171,73,171v,4,4,8,8,8xm162,310c80,310,13,244,13,162,13,80,80,13,162,13v82,,149,67,149,149c311,244,244,310,162,310xm162,c72,,,72,,162v,89,72,161,162,161c251,323,324,251,324,162,324,72,251,,162,xe" fillcolor="#a32020 [3215]" stroked="f">
                      <v:path arrowok="t" o:connecttype="custom" o:connectlocs="263,232;259,234;255,232;254,229;255,225;263,225;264,229;263,232;133,223;141,211;183,211;191,223;133,223;277,224;277,222;277,222;276,221;250,189;245,186;78,186;73,189;48,221;47,222;47,222;47,224;46,224;46,233;53,239;271,239;277,233;277,224;277,224;88,75;235,75;235,163;88,163;88,75;81,179;243,179;251,171;251,67;243,59;81,59;73,67;73,171;81,179;162,310;13,162;162,13;311,162;162,310;162,0;0,162;162,323;324,162;162,0" o:connectangles="0,0,0,0,0,0,0,0,0,0,0,0,0,0,0,0,0,0,0,0,0,0,0,0,0,0,0,0,0,0,0,0,0,0,0,0,0,0,0,0,0,0,0,0,0,0,0,0,0,0,0,0,0,0,0,0"/>
                      <o:lock v:ext="edit" verticies="t"/>
                      <w10:anchorlock/>
                    </v:shape>
                  </w:pict>
                </mc:Fallback>
              </mc:AlternateContent>
            </w:r>
          </w:p>
        </w:tc>
        <w:tc>
          <w:tcPr>
            <w:tcW w:w="680" w:type="dxa"/>
            <w:hideMark/>
          </w:tcPr>
          <w:p w14:paraId="37FA4A61" w14:textId="77777777" w:rsidR="00582FBF" w:rsidRPr="00582FBF" w:rsidRDefault="00582FBF" w:rsidP="00785790">
            <w:pPr>
              <w:pStyle w:val="TableTextNormal"/>
              <w:jc w:val="center"/>
              <w:rPr>
                <w:lang w:val="en-US"/>
              </w:rPr>
            </w:pPr>
          </w:p>
        </w:tc>
      </w:tr>
      <w:tr w:rsidR="00582FBF" w:rsidRPr="00582FBF" w14:paraId="27E5387A" w14:textId="77777777" w:rsidTr="009E79D7">
        <w:trPr>
          <w:cantSplit/>
          <w:trHeight w:val="564"/>
        </w:trPr>
        <w:tc>
          <w:tcPr>
            <w:tcW w:w="3654" w:type="dxa"/>
            <w:hideMark/>
          </w:tcPr>
          <w:p w14:paraId="74541F08" w14:textId="716B1C43" w:rsidR="00582FBF" w:rsidRPr="00582FBF" w:rsidRDefault="00582FBF" w:rsidP="00582FBF">
            <w:pPr>
              <w:pStyle w:val="TableTextNormal"/>
              <w:rPr>
                <w:lang w:val="en-US"/>
              </w:rPr>
            </w:pPr>
            <w:r w:rsidRPr="00582FBF">
              <w:t>Appointment keeping</w:t>
            </w:r>
          </w:p>
        </w:tc>
        <w:tc>
          <w:tcPr>
            <w:tcW w:w="680" w:type="dxa"/>
            <w:hideMark/>
          </w:tcPr>
          <w:p w14:paraId="5A377C2D" w14:textId="1C24F65D" w:rsidR="00582FBF" w:rsidRPr="00582FBF" w:rsidRDefault="00785790" w:rsidP="00785790">
            <w:pPr>
              <w:pStyle w:val="TableTextNormal"/>
              <w:jc w:val="center"/>
              <w:rPr>
                <w:lang w:val="en-US"/>
              </w:rPr>
            </w:pPr>
            <w:r w:rsidRPr="00DB655E">
              <w:rPr>
                <w:noProof/>
                <w:lang w:eastAsia="en-AU"/>
              </w:rPr>
              <mc:AlternateContent>
                <mc:Choice Requires="wps">
                  <w:drawing>
                    <wp:inline distT="0" distB="0" distL="0" distR="0" wp14:anchorId="510C0F7F" wp14:editId="56BB6070">
                      <wp:extent cx="180000" cy="180000"/>
                      <wp:effectExtent l="0" t="0" r="0" b="0"/>
                      <wp:docPr id="35" name="Freeform 32" descr="Fixed line telephone services icon &#10;" title="Fixed line telephone services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80000" cy="180000"/>
                              </a:xfrm>
                              <a:custGeom>
                                <a:avLst/>
                                <a:gdLst/>
                                <a:ahLst/>
                                <a:cxnLst>
                                  <a:cxn ang="0">
                                    <a:pos x="179" y="146"/>
                                  </a:cxn>
                                  <a:cxn ang="0">
                                    <a:pos x="209" y="146"/>
                                  </a:cxn>
                                  <a:cxn ang="0">
                                    <a:pos x="125" y="161"/>
                                  </a:cxn>
                                  <a:cxn ang="0">
                                    <a:pos x="125" y="131"/>
                                  </a:cxn>
                                  <a:cxn ang="0">
                                    <a:pos x="125" y="161"/>
                                  </a:cxn>
                                  <a:cxn ang="0">
                                    <a:pos x="166" y="59"/>
                                  </a:cxn>
                                  <a:cxn ang="0">
                                    <a:pos x="116" y="87"/>
                                  </a:cxn>
                                  <a:cxn ang="0">
                                    <a:pos x="109" y="58"/>
                                  </a:cxn>
                                  <a:cxn ang="0">
                                    <a:pos x="77" y="64"/>
                                  </a:cxn>
                                  <a:cxn ang="0">
                                    <a:pos x="43" y="135"/>
                                  </a:cxn>
                                  <a:cxn ang="0">
                                    <a:pos x="46" y="147"/>
                                  </a:cxn>
                                  <a:cxn ang="0">
                                    <a:pos x="77" y="247"/>
                                  </a:cxn>
                                  <a:cxn ang="0">
                                    <a:pos x="121" y="257"/>
                                  </a:cxn>
                                  <a:cxn ang="0">
                                    <a:pos x="116" y="220"/>
                                  </a:cxn>
                                  <a:cxn ang="0">
                                    <a:pos x="100" y="213"/>
                                  </a:cxn>
                                  <a:cxn ang="0">
                                    <a:pos x="106" y="169"/>
                                  </a:cxn>
                                  <a:cxn ang="0">
                                    <a:pos x="151" y="175"/>
                                  </a:cxn>
                                  <a:cxn ang="0">
                                    <a:pos x="144" y="220"/>
                                  </a:cxn>
                                  <a:cxn ang="0">
                                    <a:pos x="134" y="249"/>
                                  </a:cxn>
                                  <a:cxn ang="0">
                                    <a:pos x="190" y="257"/>
                                  </a:cxn>
                                  <a:cxn ang="0">
                                    <a:pos x="185" y="220"/>
                                  </a:cxn>
                                  <a:cxn ang="0">
                                    <a:pos x="165" y="217"/>
                                  </a:cxn>
                                  <a:cxn ang="0">
                                    <a:pos x="177" y="173"/>
                                  </a:cxn>
                                  <a:cxn ang="0">
                                    <a:pos x="205" y="169"/>
                                  </a:cxn>
                                  <a:cxn ang="0">
                                    <a:pos x="224" y="210"/>
                                  </a:cxn>
                                  <a:cxn ang="0">
                                    <a:pos x="218" y="220"/>
                                  </a:cxn>
                                  <a:cxn ang="0">
                                    <a:pos x="203" y="220"/>
                                  </a:cxn>
                                  <a:cxn ang="0">
                                    <a:pos x="198" y="257"/>
                                  </a:cxn>
                                  <a:cxn ang="0">
                                    <a:pos x="248" y="247"/>
                                  </a:cxn>
                                  <a:cxn ang="0">
                                    <a:pos x="279" y="147"/>
                                  </a:cxn>
                                  <a:cxn ang="0">
                                    <a:pos x="285" y="140"/>
                                  </a:cxn>
                                  <a:cxn ang="0">
                                    <a:pos x="162" y="0"/>
                                  </a:cxn>
                                  <a:cxn ang="0">
                                    <a:pos x="162" y="324"/>
                                  </a:cxn>
                                  <a:cxn ang="0">
                                    <a:pos x="162" y="0"/>
                                  </a:cxn>
                                  <a:cxn ang="0">
                                    <a:pos x="311" y="162"/>
                                  </a:cxn>
                                  <a:cxn ang="0">
                                    <a:pos x="13" y="162"/>
                                  </a:cxn>
                                </a:cxnLst>
                                <a:rect l="0" t="0" r="r" b="b"/>
                                <a:pathLst>
                                  <a:path w="324" h="324">
                                    <a:moveTo>
                                      <a:pt x="194" y="161"/>
                                    </a:moveTo>
                                    <a:cubicBezTo>
                                      <a:pt x="186" y="161"/>
                                      <a:pt x="179" y="155"/>
                                      <a:pt x="179" y="146"/>
                                    </a:cubicBezTo>
                                    <a:cubicBezTo>
                                      <a:pt x="179" y="138"/>
                                      <a:pt x="186" y="131"/>
                                      <a:pt x="194" y="131"/>
                                    </a:cubicBezTo>
                                    <a:cubicBezTo>
                                      <a:pt x="203" y="131"/>
                                      <a:pt x="209" y="138"/>
                                      <a:pt x="209" y="146"/>
                                    </a:cubicBezTo>
                                    <a:cubicBezTo>
                                      <a:pt x="209" y="155"/>
                                      <a:pt x="203" y="161"/>
                                      <a:pt x="194" y="161"/>
                                    </a:cubicBezTo>
                                    <a:close/>
                                    <a:moveTo>
                                      <a:pt x="125" y="161"/>
                                    </a:moveTo>
                                    <a:cubicBezTo>
                                      <a:pt x="117" y="161"/>
                                      <a:pt x="110" y="155"/>
                                      <a:pt x="110" y="146"/>
                                    </a:cubicBezTo>
                                    <a:cubicBezTo>
                                      <a:pt x="110" y="138"/>
                                      <a:pt x="117" y="131"/>
                                      <a:pt x="125" y="131"/>
                                    </a:cubicBezTo>
                                    <a:cubicBezTo>
                                      <a:pt x="134" y="131"/>
                                      <a:pt x="140" y="138"/>
                                      <a:pt x="140" y="146"/>
                                    </a:cubicBezTo>
                                    <a:cubicBezTo>
                                      <a:pt x="140" y="155"/>
                                      <a:pt x="134" y="161"/>
                                      <a:pt x="125" y="161"/>
                                    </a:cubicBezTo>
                                    <a:close/>
                                    <a:moveTo>
                                      <a:pt x="281" y="134"/>
                                    </a:moveTo>
                                    <a:cubicBezTo>
                                      <a:pt x="166" y="59"/>
                                      <a:pt x="166" y="59"/>
                                      <a:pt x="166" y="59"/>
                                    </a:cubicBezTo>
                                    <a:cubicBezTo>
                                      <a:pt x="164" y="58"/>
                                      <a:pt x="161" y="58"/>
                                      <a:pt x="159" y="59"/>
                                    </a:cubicBezTo>
                                    <a:cubicBezTo>
                                      <a:pt x="116" y="87"/>
                                      <a:pt x="116" y="87"/>
                                      <a:pt x="116" y="87"/>
                                    </a:cubicBezTo>
                                    <a:cubicBezTo>
                                      <a:pt x="116" y="64"/>
                                      <a:pt x="116" y="64"/>
                                      <a:pt x="116" y="64"/>
                                    </a:cubicBezTo>
                                    <a:cubicBezTo>
                                      <a:pt x="116" y="61"/>
                                      <a:pt x="113" y="58"/>
                                      <a:pt x="109" y="58"/>
                                    </a:cubicBezTo>
                                    <a:cubicBezTo>
                                      <a:pt x="83" y="58"/>
                                      <a:pt x="83" y="58"/>
                                      <a:pt x="83" y="58"/>
                                    </a:cubicBezTo>
                                    <a:cubicBezTo>
                                      <a:pt x="80" y="58"/>
                                      <a:pt x="77" y="61"/>
                                      <a:pt x="77" y="64"/>
                                    </a:cubicBezTo>
                                    <a:cubicBezTo>
                                      <a:pt x="77" y="112"/>
                                      <a:pt x="77" y="112"/>
                                      <a:pt x="77" y="112"/>
                                    </a:cubicBezTo>
                                    <a:cubicBezTo>
                                      <a:pt x="43" y="135"/>
                                      <a:pt x="43" y="135"/>
                                      <a:pt x="43" y="135"/>
                                    </a:cubicBezTo>
                                    <a:cubicBezTo>
                                      <a:pt x="40" y="137"/>
                                      <a:pt x="39" y="139"/>
                                      <a:pt x="40" y="142"/>
                                    </a:cubicBezTo>
                                    <a:cubicBezTo>
                                      <a:pt x="41" y="145"/>
                                      <a:pt x="43" y="147"/>
                                      <a:pt x="46" y="147"/>
                                    </a:cubicBezTo>
                                    <a:cubicBezTo>
                                      <a:pt x="77" y="147"/>
                                      <a:pt x="77" y="147"/>
                                      <a:pt x="77" y="147"/>
                                    </a:cubicBezTo>
                                    <a:cubicBezTo>
                                      <a:pt x="77" y="247"/>
                                      <a:pt x="77" y="247"/>
                                      <a:pt x="77" y="247"/>
                                    </a:cubicBezTo>
                                    <a:cubicBezTo>
                                      <a:pt x="77" y="253"/>
                                      <a:pt x="81" y="257"/>
                                      <a:pt x="87" y="257"/>
                                    </a:cubicBezTo>
                                    <a:cubicBezTo>
                                      <a:pt x="121" y="257"/>
                                      <a:pt x="121" y="257"/>
                                      <a:pt x="121" y="257"/>
                                    </a:cubicBezTo>
                                    <a:cubicBezTo>
                                      <a:pt x="118" y="256"/>
                                      <a:pt x="116" y="253"/>
                                      <a:pt x="116" y="249"/>
                                    </a:cubicBezTo>
                                    <a:cubicBezTo>
                                      <a:pt x="116" y="220"/>
                                      <a:pt x="116" y="220"/>
                                      <a:pt x="116" y="220"/>
                                    </a:cubicBezTo>
                                    <a:cubicBezTo>
                                      <a:pt x="106" y="220"/>
                                      <a:pt x="106" y="220"/>
                                      <a:pt x="106" y="220"/>
                                    </a:cubicBezTo>
                                    <a:cubicBezTo>
                                      <a:pt x="102" y="220"/>
                                      <a:pt x="100" y="217"/>
                                      <a:pt x="100" y="213"/>
                                    </a:cubicBezTo>
                                    <a:cubicBezTo>
                                      <a:pt x="100" y="175"/>
                                      <a:pt x="100" y="175"/>
                                      <a:pt x="100" y="175"/>
                                    </a:cubicBezTo>
                                    <a:cubicBezTo>
                                      <a:pt x="100" y="172"/>
                                      <a:pt x="102" y="169"/>
                                      <a:pt x="106" y="169"/>
                                    </a:cubicBezTo>
                                    <a:cubicBezTo>
                                      <a:pt x="144" y="169"/>
                                      <a:pt x="144" y="169"/>
                                      <a:pt x="144" y="169"/>
                                    </a:cubicBezTo>
                                    <a:cubicBezTo>
                                      <a:pt x="148" y="169"/>
                                      <a:pt x="151" y="172"/>
                                      <a:pt x="151" y="175"/>
                                    </a:cubicBezTo>
                                    <a:cubicBezTo>
                                      <a:pt x="151" y="213"/>
                                      <a:pt x="151" y="213"/>
                                      <a:pt x="151" y="213"/>
                                    </a:cubicBezTo>
                                    <a:cubicBezTo>
                                      <a:pt x="151" y="217"/>
                                      <a:pt x="148" y="220"/>
                                      <a:pt x="144" y="220"/>
                                    </a:cubicBezTo>
                                    <a:cubicBezTo>
                                      <a:pt x="134" y="220"/>
                                      <a:pt x="134" y="220"/>
                                      <a:pt x="134" y="220"/>
                                    </a:cubicBezTo>
                                    <a:cubicBezTo>
                                      <a:pt x="134" y="249"/>
                                      <a:pt x="134" y="249"/>
                                      <a:pt x="134" y="249"/>
                                    </a:cubicBezTo>
                                    <a:cubicBezTo>
                                      <a:pt x="134" y="253"/>
                                      <a:pt x="132" y="256"/>
                                      <a:pt x="129" y="257"/>
                                    </a:cubicBezTo>
                                    <a:cubicBezTo>
                                      <a:pt x="190" y="257"/>
                                      <a:pt x="190" y="257"/>
                                      <a:pt x="190" y="257"/>
                                    </a:cubicBezTo>
                                    <a:cubicBezTo>
                                      <a:pt x="187" y="256"/>
                                      <a:pt x="185" y="253"/>
                                      <a:pt x="185" y="249"/>
                                    </a:cubicBezTo>
                                    <a:cubicBezTo>
                                      <a:pt x="185" y="220"/>
                                      <a:pt x="185" y="220"/>
                                      <a:pt x="185" y="220"/>
                                    </a:cubicBezTo>
                                    <a:cubicBezTo>
                                      <a:pt x="170" y="220"/>
                                      <a:pt x="170" y="220"/>
                                      <a:pt x="170" y="220"/>
                                    </a:cubicBezTo>
                                    <a:cubicBezTo>
                                      <a:pt x="168" y="220"/>
                                      <a:pt x="166" y="219"/>
                                      <a:pt x="165" y="217"/>
                                    </a:cubicBezTo>
                                    <a:cubicBezTo>
                                      <a:pt x="163" y="215"/>
                                      <a:pt x="163" y="213"/>
                                      <a:pt x="164" y="211"/>
                                    </a:cubicBezTo>
                                    <a:cubicBezTo>
                                      <a:pt x="177" y="173"/>
                                      <a:pt x="177" y="173"/>
                                      <a:pt x="177" y="173"/>
                                    </a:cubicBezTo>
                                    <a:cubicBezTo>
                                      <a:pt x="178" y="171"/>
                                      <a:pt x="180" y="169"/>
                                      <a:pt x="183" y="169"/>
                                    </a:cubicBezTo>
                                    <a:cubicBezTo>
                                      <a:pt x="205" y="169"/>
                                      <a:pt x="205" y="169"/>
                                      <a:pt x="205" y="169"/>
                                    </a:cubicBezTo>
                                    <a:cubicBezTo>
                                      <a:pt x="208" y="169"/>
                                      <a:pt x="210" y="171"/>
                                      <a:pt x="211" y="173"/>
                                    </a:cubicBezTo>
                                    <a:cubicBezTo>
                                      <a:pt x="224" y="210"/>
                                      <a:pt x="224" y="210"/>
                                      <a:pt x="224" y="210"/>
                                    </a:cubicBezTo>
                                    <a:cubicBezTo>
                                      <a:pt x="224" y="211"/>
                                      <a:pt x="225" y="212"/>
                                      <a:pt x="225" y="213"/>
                                    </a:cubicBezTo>
                                    <a:cubicBezTo>
                                      <a:pt x="225" y="217"/>
                                      <a:pt x="222" y="220"/>
                                      <a:pt x="218" y="220"/>
                                    </a:cubicBezTo>
                                    <a:cubicBezTo>
                                      <a:pt x="218" y="220"/>
                                      <a:pt x="218" y="220"/>
                                      <a:pt x="218" y="220"/>
                                    </a:cubicBezTo>
                                    <a:cubicBezTo>
                                      <a:pt x="203" y="220"/>
                                      <a:pt x="203" y="220"/>
                                      <a:pt x="203" y="220"/>
                                    </a:cubicBezTo>
                                    <a:cubicBezTo>
                                      <a:pt x="203" y="249"/>
                                      <a:pt x="203" y="249"/>
                                      <a:pt x="203" y="249"/>
                                    </a:cubicBezTo>
                                    <a:cubicBezTo>
                                      <a:pt x="203" y="253"/>
                                      <a:pt x="201" y="256"/>
                                      <a:pt x="198" y="257"/>
                                    </a:cubicBezTo>
                                    <a:cubicBezTo>
                                      <a:pt x="238" y="257"/>
                                      <a:pt x="238" y="257"/>
                                      <a:pt x="238" y="257"/>
                                    </a:cubicBezTo>
                                    <a:cubicBezTo>
                                      <a:pt x="243" y="257"/>
                                      <a:pt x="248" y="253"/>
                                      <a:pt x="248" y="247"/>
                                    </a:cubicBezTo>
                                    <a:cubicBezTo>
                                      <a:pt x="248" y="147"/>
                                      <a:pt x="248" y="147"/>
                                      <a:pt x="248" y="147"/>
                                    </a:cubicBezTo>
                                    <a:cubicBezTo>
                                      <a:pt x="279" y="147"/>
                                      <a:pt x="279" y="147"/>
                                      <a:pt x="279" y="147"/>
                                    </a:cubicBezTo>
                                    <a:cubicBezTo>
                                      <a:pt x="279" y="147"/>
                                      <a:pt x="279" y="147"/>
                                      <a:pt x="279" y="147"/>
                                    </a:cubicBezTo>
                                    <a:cubicBezTo>
                                      <a:pt x="282" y="147"/>
                                      <a:pt x="285" y="144"/>
                                      <a:pt x="285" y="140"/>
                                    </a:cubicBezTo>
                                    <a:cubicBezTo>
                                      <a:pt x="285" y="138"/>
                                      <a:pt x="284" y="135"/>
                                      <a:pt x="281" y="134"/>
                                    </a:cubicBezTo>
                                    <a:close/>
                                    <a:moveTo>
                                      <a:pt x="162" y="0"/>
                                    </a:moveTo>
                                    <a:cubicBezTo>
                                      <a:pt x="73" y="0"/>
                                      <a:pt x="0" y="72"/>
                                      <a:pt x="0" y="162"/>
                                    </a:cubicBezTo>
                                    <a:cubicBezTo>
                                      <a:pt x="0" y="251"/>
                                      <a:pt x="73" y="324"/>
                                      <a:pt x="162" y="324"/>
                                    </a:cubicBezTo>
                                    <a:cubicBezTo>
                                      <a:pt x="252" y="324"/>
                                      <a:pt x="324" y="251"/>
                                      <a:pt x="324" y="162"/>
                                    </a:cubicBezTo>
                                    <a:cubicBezTo>
                                      <a:pt x="324" y="72"/>
                                      <a:pt x="252" y="0"/>
                                      <a:pt x="162" y="0"/>
                                    </a:cubicBezTo>
                                    <a:close/>
                                    <a:moveTo>
                                      <a:pt x="162" y="13"/>
                                    </a:moveTo>
                                    <a:cubicBezTo>
                                      <a:pt x="244" y="13"/>
                                      <a:pt x="311" y="80"/>
                                      <a:pt x="311" y="162"/>
                                    </a:cubicBezTo>
                                    <a:cubicBezTo>
                                      <a:pt x="311" y="244"/>
                                      <a:pt x="244" y="311"/>
                                      <a:pt x="162" y="311"/>
                                    </a:cubicBezTo>
                                    <a:cubicBezTo>
                                      <a:pt x="80" y="311"/>
                                      <a:pt x="13" y="244"/>
                                      <a:pt x="13" y="162"/>
                                    </a:cubicBezTo>
                                    <a:cubicBezTo>
                                      <a:pt x="13" y="80"/>
                                      <a:pt x="80" y="13"/>
                                      <a:pt x="162" y="13"/>
                                    </a:cubicBezTo>
                                  </a:path>
                                </a:pathLst>
                              </a:custGeom>
                              <a:solidFill>
                                <a:schemeClr val="tx2"/>
                              </a:solidFill>
                              <a:ln w="9525">
                                <a:noFill/>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66B9A5EB" id="Freeform 32" o:spid="_x0000_s1026" alt="Title: Fixed line telephone services icon - Description: Fixed line telephone services icon &#10;" style="width:14.15pt;height:14.15pt;visibility:visible;mso-wrap-style:square;mso-left-percent:-10001;mso-top-percent:-10001;mso-position-horizontal:absolute;mso-position-horizontal-relative:char;mso-position-vertical:absolute;mso-position-vertical-relative:line;mso-left-percent:-10001;mso-top-percent:-10001;v-text-anchor:top" coordsize="32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" path="m194,161v-8,,-15,-6,-15,-15c179,138,186,131,194,131v9,,15,7,15,15c209,155,203,161,194,161xm125,161v-8,,-15,-6,-15,-15c110,138,117,131,125,131v9,,15,7,15,15c140,155,134,161,125,161xm281,134c166,59,166,59,166,59v-2,-1,-5,-1,-7,c116,87,116,87,116,87v,-23,,-23,,-23c116,61,113,58,109,58v-26,,-26,,-26,c80,58,77,61,77,64v,48,,48,,48c43,135,43,135,43,135v-3,2,-4,4,-3,7c41,145,43,147,46,147v31,,31,,31,c77,247,77,247,77,247v,6,4,10,10,10c121,257,121,257,121,257v-3,-1,-5,-4,-5,-8c116,220,116,220,116,220v-10,,-10,,-10,c102,220,100,217,100,213v,-38,,-38,,-38c100,172,102,169,106,169v38,,38,,38,c148,169,151,172,151,175v,38,,38,,38c151,217,148,220,144,220v-10,,-10,,-10,c134,249,134,249,134,249v,4,-2,7,-5,8c190,257,190,257,190,257v-3,-1,-5,-4,-5,-8c185,220,185,220,185,220v-15,,-15,,-15,c168,220,166,219,165,217v-2,-2,-2,-4,-1,-6c177,173,177,173,177,173v1,-2,3,-4,6,-4c205,169,205,169,205,169v3,,5,2,6,4c224,210,224,210,224,210v,1,1,2,1,3c225,217,222,220,218,220v,,,,,c203,220,203,220,203,220v,29,,29,,29c203,253,201,256,198,257v40,,40,,40,c243,257,248,253,248,247v,-100,,-100,,-100c279,147,279,147,279,147v,,,,,c282,147,285,144,285,140v,-2,-1,-5,-4,-6xm162,c73,,,72,,162v,89,73,162,162,162c252,324,324,251,324,162,324,72,252,,162,xm162,13v82,,149,67,149,149c311,244,244,311,162,311,80,311,13,244,13,162,13,80,80,13,162,13e" fillcolor="#a32020 [3215]" stroked="f">
                      <v:path arrowok="t" o:connecttype="custom" o:connectlocs="179,146;209,146;125,161;125,131;125,161;166,59;116,87;109,58;77,64;43,135;46,147;77,247;121,257;116,220;100,213;106,169;151,175;144,220;134,249;190,257;185,220;165,217;177,173;205,169;224,210;218,220;203,220;198,257;248,247;279,147;285,140;162,0;162,324;162,0;311,162;13,162" o:connectangles="0,0,0,0,0,0,0,0,0,0,0,0,0,0,0,0,0,0,0,0,0,0,0,0,0,0,0,0,0,0,0,0,0,0,0,0"/>
                      <o:lock v:ext="edit" verticies="t"/>
                      <w10:anchorlock/>
                    </v:shape>
                  </w:pict>
                </mc:Fallback>
              </mc:AlternateContent>
            </w:r>
          </w:p>
        </w:tc>
        <w:tc>
          <w:tcPr>
            <w:tcW w:w="680" w:type="dxa"/>
            <w:hideMark/>
          </w:tcPr>
          <w:p w14:paraId="1DA3B75F" w14:textId="378FD333" w:rsidR="00582FBF" w:rsidRPr="00582FBF" w:rsidRDefault="00785790" w:rsidP="00785790">
            <w:pPr>
              <w:pStyle w:val="TableTextNormal"/>
              <w:jc w:val="center"/>
              <w:rPr>
                <w:lang w:val="en-US"/>
              </w:rPr>
            </w:pPr>
            <w:r w:rsidRPr="00DB655E">
              <w:rPr>
                <w:noProof/>
                <w:lang w:eastAsia="en-AU"/>
              </w:rPr>
              <mc:AlternateContent>
                <mc:Choice Requires="wps">
                  <w:drawing>
                    <wp:inline distT="0" distB="0" distL="0" distR="0" wp14:anchorId="23A6260B" wp14:editId="380E37A8">
                      <wp:extent cx="180000" cy="180000"/>
                      <wp:effectExtent l="0" t="0" r="0" b="0"/>
                      <wp:docPr id="36" name="Freeform 32" descr="Fixed line telephone services icon &#10;" title="Fixed line telephone services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80000" cy="180000"/>
                              </a:xfrm>
                              <a:custGeom>
                                <a:avLst/>
                                <a:gdLst/>
                                <a:ahLst/>
                                <a:cxnLst>
                                  <a:cxn ang="0">
                                    <a:pos x="179" y="146"/>
                                  </a:cxn>
                                  <a:cxn ang="0">
                                    <a:pos x="209" y="146"/>
                                  </a:cxn>
                                  <a:cxn ang="0">
                                    <a:pos x="125" y="161"/>
                                  </a:cxn>
                                  <a:cxn ang="0">
                                    <a:pos x="125" y="131"/>
                                  </a:cxn>
                                  <a:cxn ang="0">
                                    <a:pos x="125" y="161"/>
                                  </a:cxn>
                                  <a:cxn ang="0">
                                    <a:pos x="166" y="59"/>
                                  </a:cxn>
                                  <a:cxn ang="0">
                                    <a:pos x="116" y="87"/>
                                  </a:cxn>
                                  <a:cxn ang="0">
                                    <a:pos x="109" y="58"/>
                                  </a:cxn>
                                  <a:cxn ang="0">
                                    <a:pos x="77" y="64"/>
                                  </a:cxn>
                                  <a:cxn ang="0">
                                    <a:pos x="43" y="135"/>
                                  </a:cxn>
                                  <a:cxn ang="0">
                                    <a:pos x="46" y="147"/>
                                  </a:cxn>
                                  <a:cxn ang="0">
                                    <a:pos x="77" y="247"/>
                                  </a:cxn>
                                  <a:cxn ang="0">
                                    <a:pos x="121" y="257"/>
                                  </a:cxn>
                                  <a:cxn ang="0">
                                    <a:pos x="116" y="220"/>
                                  </a:cxn>
                                  <a:cxn ang="0">
                                    <a:pos x="100" y="213"/>
                                  </a:cxn>
                                  <a:cxn ang="0">
                                    <a:pos x="106" y="169"/>
                                  </a:cxn>
                                  <a:cxn ang="0">
                                    <a:pos x="151" y="175"/>
                                  </a:cxn>
                                  <a:cxn ang="0">
                                    <a:pos x="144" y="220"/>
                                  </a:cxn>
                                  <a:cxn ang="0">
                                    <a:pos x="134" y="249"/>
                                  </a:cxn>
                                  <a:cxn ang="0">
                                    <a:pos x="190" y="257"/>
                                  </a:cxn>
                                  <a:cxn ang="0">
                                    <a:pos x="185" y="220"/>
                                  </a:cxn>
                                  <a:cxn ang="0">
                                    <a:pos x="165" y="217"/>
                                  </a:cxn>
                                  <a:cxn ang="0">
                                    <a:pos x="177" y="173"/>
                                  </a:cxn>
                                  <a:cxn ang="0">
                                    <a:pos x="205" y="169"/>
                                  </a:cxn>
                                  <a:cxn ang="0">
                                    <a:pos x="224" y="210"/>
                                  </a:cxn>
                                  <a:cxn ang="0">
                                    <a:pos x="218" y="220"/>
                                  </a:cxn>
                                  <a:cxn ang="0">
                                    <a:pos x="203" y="220"/>
                                  </a:cxn>
                                  <a:cxn ang="0">
                                    <a:pos x="198" y="257"/>
                                  </a:cxn>
                                  <a:cxn ang="0">
                                    <a:pos x="248" y="247"/>
                                  </a:cxn>
                                  <a:cxn ang="0">
                                    <a:pos x="279" y="147"/>
                                  </a:cxn>
                                  <a:cxn ang="0">
                                    <a:pos x="285" y="140"/>
                                  </a:cxn>
                                  <a:cxn ang="0">
                                    <a:pos x="162" y="0"/>
                                  </a:cxn>
                                  <a:cxn ang="0">
                                    <a:pos x="162" y="324"/>
                                  </a:cxn>
                                  <a:cxn ang="0">
                                    <a:pos x="162" y="0"/>
                                  </a:cxn>
                                  <a:cxn ang="0">
                                    <a:pos x="311" y="162"/>
                                  </a:cxn>
                                  <a:cxn ang="0">
                                    <a:pos x="13" y="162"/>
                                  </a:cxn>
                                </a:cxnLst>
                                <a:rect l="0" t="0" r="r" b="b"/>
                                <a:pathLst>
                                  <a:path w="324" h="324">
                                    <a:moveTo>
                                      <a:pt x="194" y="161"/>
                                    </a:moveTo>
                                    <a:cubicBezTo>
                                      <a:pt x="186" y="161"/>
                                      <a:pt x="179" y="155"/>
                                      <a:pt x="179" y="146"/>
                                    </a:cubicBezTo>
                                    <a:cubicBezTo>
                                      <a:pt x="179" y="138"/>
                                      <a:pt x="186" y="131"/>
                                      <a:pt x="194" y="131"/>
                                    </a:cubicBezTo>
                                    <a:cubicBezTo>
                                      <a:pt x="203" y="131"/>
                                      <a:pt x="209" y="138"/>
                                      <a:pt x="209" y="146"/>
                                    </a:cubicBezTo>
                                    <a:cubicBezTo>
                                      <a:pt x="209" y="155"/>
                                      <a:pt x="203" y="161"/>
                                      <a:pt x="194" y="161"/>
                                    </a:cubicBezTo>
                                    <a:close/>
                                    <a:moveTo>
                                      <a:pt x="125" y="161"/>
                                    </a:moveTo>
                                    <a:cubicBezTo>
                                      <a:pt x="117" y="161"/>
                                      <a:pt x="110" y="155"/>
                                      <a:pt x="110" y="146"/>
                                    </a:cubicBezTo>
                                    <a:cubicBezTo>
                                      <a:pt x="110" y="138"/>
                                      <a:pt x="117" y="131"/>
                                      <a:pt x="125" y="131"/>
                                    </a:cubicBezTo>
                                    <a:cubicBezTo>
                                      <a:pt x="134" y="131"/>
                                      <a:pt x="140" y="138"/>
                                      <a:pt x="140" y="146"/>
                                    </a:cubicBezTo>
                                    <a:cubicBezTo>
                                      <a:pt x="140" y="155"/>
                                      <a:pt x="134" y="161"/>
                                      <a:pt x="125" y="161"/>
                                    </a:cubicBezTo>
                                    <a:close/>
                                    <a:moveTo>
                                      <a:pt x="281" y="134"/>
                                    </a:moveTo>
                                    <a:cubicBezTo>
                                      <a:pt x="166" y="59"/>
                                      <a:pt x="166" y="59"/>
                                      <a:pt x="166" y="59"/>
                                    </a:cubicBezTo>
                                    <a:cubicBezTo>
                                      <a:pt x="164" y="58"/>
                                      <a:pt x="161" y="58"/>
                                      <a:pt x="159" y="59"/>
                                    </a:cubicBezTo>
                                    <a:cubicBezTo>
                                      <a:pt x="116" y="87"/>
                                      <a:pt x="116" y="87"/>
                                      <a:pt x="116" y="87"/>
                                    </a:cubicBezTo>
                                    <a:cubicBezTo>
                                      <a:pt x="116" y="64"/>
                                      <a:pt x="116" y="64"/>
                                      <a:pt x="116" y="64"/>
                                    </a:cubicBezTo>
                                    <a:cubicBezTo>
                                      <a:pt x="116" y="61"/>
                                      <a:pt x="113" y="58"/>
                                      <a:pt x="109" y="58"/>
                                    </a:cubicBezTo>
                                    <a:cubicBezTo>
                                      <a:pt x="83" y="58"/>
                                      <a:pt x="83" y="58"/>
                                      <a:pt x="83" y="58"/>
                                    </a:cubicBezTo>
                                    <a:cubicBezTo>
                                      <a:pt x="80" y="58"/>
                                      <a:pt x="77" y="61"/>
                                      <a:pt x="77" y="64"/>
                                    </a:cubicBezTo>
                                    <a:cubicBezTo>
                                      <a:pt x="77" y="112"/>
                                      <a:pt x="77" y="112"/>
                                      <a:pt x="77" y="112"/>
                                    </a:cubicBezTo>
                                    <a:cubicBezTo>
                                      <a:pt x="43" y="135"/>
                                      <a:pt x="43" y="135"/>
                                      <a:pt x="43" y="135"/>
                                    </a:cubicBezTo>
                                    <a:cubicBezTo>
                                      <a:pt x="40" y="137"/>
                                      <a:pt x="39" y="139"/>
                                      <a:pt x="40" y="142"/>
                                    </a:cubicBezTo>
                                    <a:cubicBezTo>
                                      <a:pt x="41" y="145"/>
                                      <a:pt x="43" y="147"/>
                                      <a:pt x="46" y="147"/>
                                    </a:cubicBezTo>
                                    <a:cubicBezTo>
                                      <a:pt x="77" y="147"/>
                                      <a:pt x="77" y="147"/>
                                      <a:pt x="77" y="147"/>
                                    </a:cubicBezTo>
                                    <a:cubicBezTo>
                                      <a:pt x="77" y="247"/>
                                      <a:pt x="77" y="247"/>
                                      <a:pt x="77" y="247"/>
                                    </a:cubicBezTo>
                                    <a:cubicBezTo>
                                      <a:pt x="77" y="253"/>
                                      <a:pt x="81" y="257"/>
                                      <a:pt x="87" y="257"/>
                                    </a:cubicBezTo>
                                    <a:cubicBezTo>
                                      <a:pt x="121" y="257"/>
                                      <a:pt x="121" y="257"/>
                                      <a:pt x="121" y="257"/>
                                    </a:cubicBezTo>
                                    <a:cubicBezTo>
                                      <a:pt x="118" y="256"/>
                                      <a:pt x="116" y="253"/>
                                      <a:pt x="116" y="249"/>
                                    </a:cubicBezTo>
                                    <a:cubicBezTo>
                                      <a:pt x="116" y="220"/>
                                      <a:pt x="116" y="220"/>
                                      <a:pt x="116" y="220"/>
                                    </a:cubicBezTo>
                                    <a:cubicBezTo>
                                      <a:pt x="106" y="220"/>
                                      <a:pt x="106" y="220"/>
                                      <a:pt x="106" y="220"/>
                                    </a:cubicBezTo>
                                    <a:cubicBezTo>
                                      <a:pt x="102" y="220"/>
                                      <a:pt x="100" y="217"/>
                                      <a:pt x="100" y="213"/>
                                    </a:cubicBezTo>
                                    <a:cubicBezTo>
                                      <a:pt x="100" y="175"/>
                                      <a:pt x="100" y="175"/>
                                      <a:pt x="100" y="175"/>
                                    </a:cubicBezTo>
                                    <a:cubicBezTo>
                                      <a:pt x="100" y="172"/>
                                      <a:pt x="102" y="169"/>
                                      <a:pt x="106" y="169"/>
                                    </a:cubicBezTo>
                                    <a:cubicBezTo>
                                      <a:pt x="144" y="169"/>
                                      <a:pt x="144" y="169"/>
                                      <a:pt x="144" y="169"/>
                                    </a:cubicBezTo>
                                    <a:cubicBezTo>
                                      <a:pt x="148" y="169"/>
                                      <a:pt x="151" y="172"/>
                                      <a:pt x="151" y="175"/>
                                    </a:cubicBezTo>
                                    <a:cubicBezTo>
                                      <a:pt x="151" y="213"/>
                                      <a:pt x="151" y="213"/>
                                      <a:pt x="151" y="213"/>
                                    </a:cubicBezTo>
                                    <a:cubicBezTo>
                                      <a:pt x="151" y="217"/>
                                      <a:pt x="148" y="220"/>
                                      <a:pt x="144" y="220"/>
                                    </a:cubicBezTo>
                                    <a:cubicBezTo>
                                      <a:pt x="134" y="220"/>
                                      <a:pt x="134" y="220"/>
                                      <a:pt x="134" y="220"/>
                                    </a:cubicBezTo>
                                    <a:cubicBezTo>
                                      <a:pt x="134" y="249"/>
                                      <a:pt x="134" y="249"/>
                                      <a:pt x="134" y="249"/>
                                    </a:cubicBezTo>
                                    <a:cubicBezTo>
                                      <a:pt x="134" y="253"/>
                                      <a:pt x="132" y="256"/>
                                      <a:pt x="129" y="257"/>
                                    </a:cubicBezTo>
                                    <a:cubicBezTo>
                                      <a:pt x="190" y="257"/>
                                      <a:pt x="190" y="257"/>
                                      <a:pt x="190" y="257"/>
                                    </a:cubicBezTo>
                                    <a:cubicBezTo>
                                      <a:pt x="187" y="256"/>
                                      <a:pt x="185" y="253"/>
                                      <a:pt x="185" y="249"/>
                                    </a:cubicBezTo>
                                    <a:cubicBezTo>
                                      <a:pt x="185" y="220"/>
                                      <a:pt x="185" y="220"/>
                                      <a:pt x="185" y="220"/>
                                    </a:cubicBezTo>
                                    <a:cubicBezTo>
                                      <a:pt x="170" y="220"/>
                                      <a:pt x="170" y="220"/>
                                      <a:pt x="170" y="220"/>
                                    </a:cubicBezTo>
                                    <a:cubicBezTo>
                                      <a:pt x="168" y="220"/>
                                      <a:pt x="166" y="219"/>
                                      <a:pt x="165" y="217"/>
                                    </a:cubicBezTo>
                                    <a:cubicBezTo>
                                      <a:pt x="163" y="215"/>
                                      <a:pt x="163" y="213"/>
                                      <a:pt x="164" y="211"/>
                                    </a:cubicBezTo>
                                    <a:cubicBezTo>
                                      <a:pt x="177" y="173"/>
                                      <a:pt x="177" y="173"/>
                                      <a:pt x="177" y="173"/>
                                    </a:cubicBezTo>
                                    <a:cubicBezTo>
                                      <a:pt x="178" y="171"/>
                                      <a:pt x="180" y="169"/>
                                      <a:pt x="183" y="169"/>
                                    </a:cubicBezTo>
                                    <a:cubicBezTo>
                                      <a:pt x="205" y="169"/>
                                      <a:pt x="205" y="169"/>
                                      <a:pt x="205" y="169"/>
                                    </a:cubicBezTo>
                                    <a:cubicBezTo>
                                      <a:pt x="208" y="169"/>
                                      <a:pt x="210" y="171"/>
                                      <a:pt x="211" y="173"/>
                                    </a:cubicBezTo>
                                    <a:cubicBezTo>
                                      <a:pt x="224" y="210"/>
                                      <a:pt x="224" y="210"/>
                                      <a:pt x="224" y="210"/>
                                    </a:cubicBezTo>
                                    <a:cubicBezTo>
                                      <a:pt x="224" y="211"/>
                                      <a:pt x="225" y="212"/>
                                      <a:pt x="225" y="213"/>
                                    </a:cubicBezTo>
                                    <a:cubicBezTo>
                                      <a:pt x="225" y="217"/>
                                      <a:pt x="222" y="220"/>
                                      <a:pt x="218" y="220"/>
                                    </a:cubicBezTo>
                                    <a:cubicBezTo>
                                      <a:pt x="218" y="220"/>
                                      <a:pt x="218" y="220"/>
                                      <a:pt x="218" y="220"/>
                                    </a:cubicBezTo>
                                    <a:cubicBezTo>
                                      <a:pt x="203" y="220"/>
                                      <a:pt x="203" y="220"/>
                                      <a:pt x="203" y="220"/>
                                    </a:cubicBezTo>
                                    <a:cubicBezTo>
                                      <a:pt x="203" y="249"/>
                                      <a:pt x="203" y="249"/>
                                      <a:pt x="203" y="249"/>
                                    </a:cubicBezTo>
                                    <a:cubicBezTo>
                                      <a:pt x="203" y="253"/>
                                      <a:pt x="201" y="256"/>
                                      <a:pt x="198" y="257"/>
                                    </a:cubicBezTo>
                                    <a:cubicBezTo>
                                      <a:pt x="238" y="257"/>
                                      <a:pt x="238" y="257"/>
                                      <a:pt x="238" y="257"/>
                                    </a:cubicBezTo>
                                    <a:cubicBezTo>
                                      <a:pt x="243" y="257"/>
                                      <a:pt x="248" y="253"/>
                                      <a:pt x="248" y="247"/>
                                    </a:cubicBezTo>
                                    <a:cubicBezTo>
                                      <a:pt x="248" y="147"/>
                                      <a:pt x="248" y="147"/>
                                      <a:pt x="248" y="147"/>
                                    </a:cubicBezTo>
                                    <a:cubicBezTo>
                                      <a:pt x="279" y="147"/>
                                      <a:pt x="279" y="147"/>
                                      <a:pt x="279" y="147"/>
                                    </a:cubicBezTo>
                                    <a:cubicBezTo>
                                      <a:pt x="279" y="147"/>
                                      <a:pt x="279" y="147"/>
                                      <a:pt x="279" y="147"/>
                                    </a:cubicBezTo>
                                    <a:cubicBezTo>
                                      <a:pt x="282" y="147"/>
                                      <a:pt x="285" y="144"/>
                                      <a:pt x="285" y="140"/>
                                    </a:cubicBezTo>
                                    <a:cubicBezTo>
                                      <a:pt x="285" y="138"/>
                                      <a:pt x="284" y="135"/>
                                      <a:pt x="281" y="134"/>
                                    </a:cubicBezTo>
                                    <a:close/>
                                    <a:moveTo>
                                      <a:pt x="162" y="0"/>
                                    </a:moveTo>
                                    <a:cubicBezTo>
                                      <a:pt x="73" y="0"/>
                                      <a:pt x="0" y="72"/>
                                      <a:pt x="0" y="162"/>
                                    </a:cubicBezTo>
                                    <a:cubicBezTo>
                                      <a:pt x="0" y="251"/>
                                      <a:pt x="73" y="324"/>
                                      <a:pt x="162" y="324"/>
                                    </a:cubicBezTo>
                                    <a:cubicBezTo>
                                      <a:pt x="252" y="324"/>
                                      <a:pt x="324" y="251"/>
                                      <a:pt x="324" y="162"/>
                                    </a:cubicBezTo>
                                    <a:cubicBezTo>
                                      <a:pt x="324" y="72"/>
                                      <a:pt x="252" y="0"/>
                                      <a:pt x="162" y="0"/>
                                    </a:cubicBezTo>
                                    <a:close/>
                                    <a:moveTo>
                                      <a:pt x="162" y="13"/>
                                    </a:moveTo>
                                    <a:cubicBezTo>
                                      <a:pt x="244" y="13"/>
                                      <a:pt x="311" y="80"/>
                                      <a:pt x="311" y="162"/>
                                    </a:cubicBezTo>
                                    <a:cubicBezTo>
                                      <a:pt x="311" y="244"/>
                                      <a:pt x="244" y="311"/>
                                      <a:pt x="162" y="311"/>
                                    </a:cubicBezTo>
                                    <a:cubicBezTo>
                                      <a:pt x="80" y="311"/>
                                      <a:pt x="13" y="244"/>
                                      <a:pt x="13" y="162"/>
                                    </a:cubicBezTo>
                                    <a:cubicBezTo>
                                      <a:pt x="13" y="80"/>
                                      <a:pt x="80" y="13"/>
                                      <a:pt x="162" y="13"/>
                                    </a:cubicBezTo>
                                  </a:path>
                                </a:pathLst>
                              </a:custGeom>
                              <a:solidFill>
                                <a:schemeClr val="tx2"/>
                              </a:solidFill>
                              <a:ln w="9525">
                                <a:noFill/>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13692A73" id="Freeform 32" o:spid="_x0000_s1026" alt="Title: Fixed line telephone services icon - Description: Fixed line telephone services icon &#10;" style="width:14.15pt;height:14.15pt;visibility:visible;mso-wrap-style:square;mso-left-percent:-10001;mso-top-percent:-10001;mso-position-horizontal:absolute;mso-position-horizontal-relative:char;mso-position-vertical:absolute;mso-position-vertical-relative:line;mso-left-percent:-10001;mso-top-percent:-10001;v-text-anchor:top" coordsize="32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" path="m194,161v-8,,-15,-6,-15,-15c179,138,186,131,194,131v9,,15,7,15,15c209,155,203,161,194,161xm125,161v-8,,-15,-6,-15,-15c110,138,117,131,125,131v9,,15,7,15,15c140,155,134,161,125,161xm281,134c166,59,166,59,166,59v-2,-1,-5,-1,-7,c116,87,116,87,116,87v,-23,,-23,,-23c116,61,113,58,109,58v-26,,-26,,-26,c80,58,77,61,77,64v,48,,48,,48c43,135,43,135,43,135v-3,2,-4,4,-3,7c41,145,43,147,46,147v31,,31,,31,c77,247,77,247,77,247v,6,4,10,10,10c121,257,121,257,121,257v-3,-1,-5,-4,-5,-8c116,220,116,220,116,220v-10,,-10,,-10,c102,220,100,217,100,213v,-38,,-38,,-38c100,172,102,169,106,169v38,,38,,38,c148,169,151,172,151,175v,38,,38,,38c151,217,148,220,144,220v-10,,-10,,-10,c134,249,134,249,134,249v,4,-2,7,-5,8c190,257,190,257,190,257v-3,-1,-5,-4,-5,-8c185,220,185,220,185,220v-15,,-15,,-15,c168,220,166,219,165,217v-2,-2,-2,-4,-1,-6c177,173,177,173,177,173v1,-2,3,-4,6,-4c205,169,205,169,205,169v3,,5,2,6,4c224,210,224,210,224,210v,1,1,2,1,3c225,217,222,220,218,220v,,,,,c203,220,203,220,203,220v,29,,29,,29c203,253,201,256,198,257v40,,40,,40,c243,257,248,253,248,247v,-100,,-100,,-100c279,147,279,147,279,147v,,,,,c282,147,285,144,285,140v,-2,-1,-5,-4,-6xm162,c73,,,72,,162v,89,73,162,162,162c252,324,324,251,324,162,324,72,252,,162,xm162,13v82,,149,67,149,149c311,244,244,311,162,311,80,311,13,244,13,162,13,80,80,13,162,13e" fillcolor="#a32020 [3215]" stroked="f">
                      <v:path arrowok="t" o:connecttype="custom" o:connectlocs="179,146;209,146;125,161;125,131;125,161;166,59;116,87;109,58;77,64;43,135;46,147;77,247;121,257;116,220;100,213;106,169;151,175;144,220;134,249;190,257;185,220;165,217;177,173;205,169;224,210;218,220;203,220;198,257;248,247;279,147;285,140;162,0;162,324;162,0;311,162;13,162" o:connectangles="0,0,0,0,0,0,0,0,0,0,0,0,0,0,0,0,0,0,0,0,0,0,0,0,0,0,0,0,0,0,0,0,0,0,0,0"/>
                      <o:lock v:ext="edit" verticies="t"/>
                      <w10:anchorlock/>
                    </v:shape>
                  </w:pict>
                </mc:Fallback>
              </mc:AlternateContent>
            </w:r>
          </w:p>
        </w:tc>
        <w:tc>
          <w:tcPr>
            <w:tcW w:w="680" w:type="dxa"/>
            <w:hideMark/>
          </w:tcPr>
          <w:p w14:paraId="2CBE7601" w14:textId="77777777" w:rsidR="00582FBF" w:rsidRPr="00582FBF" w:rsidRDefault="00582FBF" w:rsidP="00785790">
            <w:pPr>
              <w:pStyle w:val="TableTextNormal"/>
              <w:jc w:val="center"/>
              <w:rPr>
                <w:lang w:val="en-US"/>
              </w:rPr>
            </w:pPr>
          </w:p>
        </w:tc>
        <w:tc>
          <w:tcPr>
            <w:tcW w:w="680" w:type="dxa"/>
            <w:hideMark/>
          </w:tcPr>
          <w:p w14:paraId="21C1CA93" w14:textId="77777777" w:rsidR="00582FBF" w:rsidRPr="00582FBF" w:rsidRDefault="00582FBF" w:rsidP="00785790">
            <w:pPr>
              <w:pStyle w:val="TableTextNormal"/>
              <w:jc w:val="center"/>
              <w:rPr>
                <w:lang w:val="en-US"/>
              </w:rPr>
            </w:pPr>
          </w:p>
        </w:tc>
        <w:tc>
          <w:tcPr>
            <w:tcW w:w="680" w:type="dxa"/>
            <w:hideMark/>
          </w:tcPr>
          <w:p w14:paraId="22852473" w14:textId="77777777" w:rsidR="00582FBF" w:rsidRPr="00582FBF" w:rsidRDefault="00582FBF" w:rsidP="00785790">
            <w:pPr>
              <w:pStyle w:val="TableTextNormal"/>
              <w:jc w:val="center"/>
              <w:rPr>
                <w:lang w:val="en-US"/>
              </w:rPr>
            </w:pPr>
          </w:p>
        </w:tc>
        <w:tc>
          <w:tcPr>
            <w:tcW w:w="680" w:type="dxa"/>
            <w:hideMark/>
          </w:tcPr>
          <w:p w14:paraId="68D40859" w14:textId="77777777" w:rsidR="00582FBF" w:rsidRPr="00582FBF" w:rsidRDefault="00582FBF" w:rsidP="00785790">
            <w:pPr>
              <w:pStyle w:val="TableTextNormal"/>
              <w:jc w:val="center"/>
              <w:rPr>
                <w:lang w:val="en-US"/>
              </w:rPr>
            </w:pPr>
          </w:p>
        </w:tc>
        <w:tc>
          <w:tcPr>
            <w:tcW w:w="680" w:type="dxa"/>
            <w:hideMark/>
          </w:tcPr>
          <w:p w14:paraId="29511D7E" w14:textId="77777777" w:rsidR="00582FBF" w:rsidRPr="00582FBF" w:rsidRDefault="00582FBF" w:rsidP="00785790">
            <w:pPr>
              <w:pStyle w:val="TableTextNormal"/>
              <w:jc w:val="center"/>
              <w:rPr>
                <w:lang w:val="en-US"/>
              </w:rPr>
            </w:pPr>
          </w:p>
        </w:tc>
      </w:tr>
    </w:tbl>
    <w:p w14:paraId="65C1B496" w14:textId="420D1AD0" w:rsidR="003F5610" w:rsidRDefault="003F5610" w:rsidP="003F5610">
      <w:pPr>
        <w:pStyle w:val="Sources"/>
      </w:pPr>
      <w:r>
        <w:t xml:space="preserve">* </w:t>
      </w:r>
      <w:r w:rsidR="005341BE">
        <w:t>Commencing f</w:t>
      </w:r>
      <w:r>
        <w:t>rom 2019.</w:t>
      </w:r>
    </w:p>
    <w:p w14:paraId="167CDF1F" w14:textId="77777777" w:rsidR="00785790" w:rsidRPr="008076CB" w:rsidRDefault="00785790" w:rsidP="00785790">
      <w:pPr>
        <w:pStyle w:val="Sources"/>
      </w:pPr>
      <w:r>
        <w:t>No telecommunications-specific safeguard identified</w:t>
      </w:r>
      <w:r w:rsidRPr="00225950">
        <w:t xml:space="preserve">: </w:t>
      </w:r>
      <w:r w:rsidRPr="008F3B97">
        <w:rPr>
          <w:rFonts w:ascii="Arial Unicode MS" w:eastAsia="Arial Unicode MS" w:hAnsi="Arial Unicode MS" w:cs="Arial Unicode MS"/>
          <w:szCs w:val="22"/>
        </w:rPr>
        <w:t>BLANK</w:t>
      </w:r>
    </w:p>
    <w:p w14:paraId="4F887117" w14:textId="2CE665A7" w:rsidR="00785790" w:rsidRPr="00225950" w:rsidRDefault="00785790" w:rsidP="00785790">
      <w:pPr>
        <w:pStyle w:val="Sources"/>
      </w:pPr>
      <w:r w:rsidRPr="00225950">
        <w:t>Mobile services:</w:t>
      </w:r>
      <w:r>
        <w:t xml:space="preserve"> </w:t>
      </w:r>
      <w:r w:rsidR="001227E2" w:rsidRPr="008F3B97">
        <w:rPr>
          <w:noProof/>
          <w:lang w:eastAsia="en-AU"/>
        </w:rPr>
        <mc:AlternateContent>
          <mc:Choice Requires="wps">
            <w:drawing>
              <wp:inline distT="0" distB="0" distL="0" distR="0" wp14:anchorId="64A494FA" wp14:editId="18F41B7B">
                <wp:extent cx="180000" cy="180000"/>
                <wp:effectExtent l="0" t="0" r="0" b="0"/>
                <wp:docPr id="48" name="Freeform 8" descr="Mobile services icon" title="Mobile services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80000" cy="180000"/>
                        </a:xfrm>
                        <a:custGeom>
                          <a:avLst/>
                          <a:gdLst/>
                          <a:ahLst/>
                          <a:cxnLst>
                            <a:cxn ang="0">
                              <a:pos x="215" y="238"/>
                            </a:cxn>
                            <a:cxn ang="0">
                              <a:pos x="108" y="238"/>
                            </a:cxn>
                            <a:cxn ang="0">
                              <a:pos x="108" y="78"/>
                            </a:cxn>
                            <a:cxn ang="0">
                              <a:pos x="215" y="78"/>
                            </a:cxn>
                            <a:cxn ang="0">
                              <a:pos x="215" y="238"/>
                            </a:cxn>
                            <a:cxn ang="0">
                              <a:pos x="161" y="273"/>
                            </a:cxn>
                            <a:cxn ang="0">
                              <a:pos x="149" y="261"/>
                            </a:cxn>
                            <a:cxn ang="0">
                              <a:pos x="161" y="249"/>
                            </a:cxn>
                            <a:cxn ang="0">
                              <a:pos x="173" y="261"/>
                            </a:cxn>
                            <a:cxn ang="0">
                              <a:pos x="161" y="273"/>
                            </a:cxn>
                            <a:cxn ang="0">
                              <a:pos x="149" y="57"/>
                            </a:cxn>
                            <a:cxn ang="0">
                              <a:pos x="173" y="57"/>
                            </a:cxn>
                            <a:cxn ang="0">
                              <a:pos x="178" y="62"/>
                            </a:cxn>
                            <a:cxn ang="0">
                              <a:pos x="173" y="67"/>
                            </a:cxn>
                            <a:cxn ang="0">
                              <a:pos x="149" y="67"/>
                            </a:cxn>
                            <a:cxn ang="0">
                              <a:pos x="144" y="62"/>
                            </a:cxn>
                            <a:cxn ang="0">
                              <a:pos x="149" y="57"/>
                            </a:cxn>
                            <a:cxn ang="0">
                              <a:pos x="215" y="39"/>
                            </a:cxn>
                            <a:cxn ang="0">
                              <a:pos x="107" y="39"/>
                            </a:cxn>
                            <a:cxn ang="0">
                              <a:pos x="89" y="57"/>
                            </a:cxn>
                            <a:cxn ang="0">
                              <a:pos x="89" y="266"/>
                            </a:cxn>
                            <a:cxn ang="0">
                              <a:pos x="107" y="284"/>
                            </a:cxn>
                            <a:cxn ang="0">
                              <a:pos x="215" y="284"/>
                            </a:cxn>
                            <a:cxn ang="0">
                              <a:pos x="233" y="266"/>
                            </a:cxn>
                            <a:cxn ang="0">
                              <a:pos x="233" y="57"/>
                            </a:cxn>
                            <a:cxn ang="0">
                              <a:pos x="215" y="39"/>
                            </a:cxn>
                            <a:cxn ang="0">
                              <a:pos x="161" y="311"/>
                            </a:cxn>
                            <a:cxn ang="0">
                              <a:pos x="12" y="162"/>
                            </a:cxn>
                            <a:cxn ang="0">
                              <a:pos x="161" y="13"/>
                            </a:cxn>
                            <a:cxn ang="0">
                              <a:pos x="310" y="162"/>
                            </a:cxn>
                            <a:cxn ang="0">
                              <a:pos x="161" y="311"/>
                            </a:cxn>
                            <a:cxn ang="0">
                              <a:pos x="161" y="0"/>
                            </a:cxn>
                            <a:cxn ang="0">
                              <a:pos x="0" y="162"/>
                            </a:cxn>
                            <a:cxn ang="0">
                              <a:pos x="161" y="324"/>
                            </a:cxn>
                            <a:cxn ang="0">
                              <a:pos x="323" y="162"/>
                            </a:cxn>
                            <a:cxn ang="0">
                              <a:pos x="161" y="0"/>
                            </a:cxn>
                          </a:cxnLst>
                          <a:rect l="0" t="0" r="r" b="b"/>
                          <a:pathLst>
                            <a:path w="323" h="324">
                              <a:moveTo>
                                <a:pt x="215" y="238"/>
                              </a:moveTo>
                              <a:cubicBezTo>
                                <a:pt x="108" y="238"/>
                                <a:pt x="108" y="238"/>
                                <a:pt x="108" y="238"/>
                              </a:cubicBezTo>
                              <a:cubicBezTo>
                                <a:pt x="108" y="78"/>
                                <a:pt x="108" y="78"/>
                                <a:pt x="108" y="78"/>
                              </a:cubicBezTo>
                              <a:cubicBezTo>
                                <a:pt x="215" y="78"/>
                                <a:pt x="215" y="78"/>
                                <a:pt x="215" y="78"/>
                              </a:cubicBezTo>
                              <a:lnTo>
                                <a:pt x="215" y="238"/>
                              </a:lnTo>
                              <a:close/>
                              <a:moveTo>
                                <a:pt x="161" y="273"/>
                              </a:moveTo>
                              <a:cubicBezTo>
                                <a:pt x="154" y="273"/>
                                <a:pt x="149" y="267"/>
                                <a:pt x="149" y="261"/>
                              </a:cubicBezTo>
                              <a:cubicBezTo>
                                <a:pt x="149" y="254"/>
                                <a:pt x="154" y="249"/>
                                <a:pt x="161" y="249"/>
                              </a:cubicBezTo>
                              <a:cubicBezTo>
                                <a:pt x="168" y="249"/>
                                <a:pt x="173" y="254"/>
                                <a:pt x="173" y="261"/>
                              </a:cubicBezTo>
                              <a:cubicBezTo>
                                <a:pt x="173" y="267"/>
                                <a:pt x="168" y="273"/>
                                <a:pt x="161" y="273"/>
                              </a:cubicBezTo>
                              <a:close/>
                              <a:moveTo>
                                <a:pt x="149" y="57"/>
                              </a:moveTo>
                              <a:cubicBezTo>
                                <a:pt x="173" y="57"/>
                                <a:pt x="173" y="57"/>
                                <a:pt x="173" y="57"/>
                              </a:cubicBezTo>
                              <a:cubicBezTo>
                                <a:pt x="176" y="57"/>
                                <a:pt x="178" y="59"/>
                                <a:pt x="178" y="62"/>
                              </a:cubicBezTo>
                              <a:cubicBezTo>
                                <a:pt x="178" y="65"/>
                                <a:pt x="176" y="67"/>
                                <a:pt x="173" y="67"/>
                              </a:cubicBezTo>
                              <a:cubicBezTo>
                                <a:pt x="149" y="67"/>
                                <a:pt x="149" y="67"/>
                                <a:pt x="149" y="67"/>
                              </a:cubicBezTo>
                              <a:cubicBezTo>
                                <a:pt x="146" y="67"/>
                                <a:pt x="144" y="65"/>
                                <a:pt x="144" y="62"/>
                              </a:cubicBezTo>
                              <a:cubicBezTo>
                                <a:pt x="144" y="59"/>
                                <a:pt x="146" y="57"/>
                                <a:pt x="149" y="57"/>
                              </a:cubicBezTo>
                              <a:close/>
                              <a:moveTo>
                                <a:pt x="215" y="39"/>
                              </a:moveTo>
                              <a:cubicBezTo>
                                <a:pt x="107" y="39"/>
                                <a:pt x="107" y="39"/>
                                <a:pt x="107" y="39"/>
                              </a:cubicBezTo>
                              <a:cubicBezTo>
                                <a:pt x="97" y="39"/>
                                <a:pt x="89" y="47"/>
                                <a:pt x="89" y="57"/>
                              </a:cubicBezTo>
                              <a:cubicBezTo>
                                <a:pt x="89" y="266"/>
                                <a:pt x="89" y="266"/>
                                <a:pt x="89" y="266"/>
                              </a:cubicBezTo>
                              <a:cubicBezTo>
                                <a:pt x="89" y="276"/>
                                <a:pt x="97" y="284"/>
                                <a:pt x="107" y="284"/>
                              </a:cubicBezTo>
                              <a:cubicBezTo>
                                <a:pt x="215" y="284"/>
                                <a:pt x="215" y="284"/>
                                <a:pt x="215" y="284"/>
                              </a:cubicBezTo>
                              <a:cubicBezTo>
                                <a:pt x="225" y="284"/>
                                <a:pt x="233" y="276"/>
                                <a:pt x="233" y="266"/>
                              </a:cubicBezTo>
                              <a:cubicBezTo>
                                <a:pt x="233" y="57"/>
                                <a:pt x="233" y="57"/>
                                <a:pt x="233" y="57"/>
                              </a:cubicBezTo>
                              <a:cubicBezTo>
                                <a:pt x="233" y="47"/>
                                <a:pt x="225" y="39"/>
                                <a:pt x="215" y="39"/>
                              </a:cubicBezTo>
                              <a:close/>
                              <a:moveTo>
                                <a:pt x="161" y="311"/>
                              </a:moveTo>
                              <a:cubicBezTo>
                                <a:pt x="79" y="311"/>
                                <a:pt x="12" y="244"/>
                                <a:pt x="12" y="162"/>
                              </a:cubicBezTo>
                              <a:cubicBezTo>
                                <a:pt x="12" y="79"/>
                                <a:pt x="79" y="13"/>
                                <a:pt x="161" y="13"/>
                              </a:cubicBezTo>
                              <a:cubicBezTo>
                                <a:pt x="243" y="13"/>
                                <a:pt x="310" y="79"/>
                                <a:pt x="310" y="162"/>
                              </a:cubicBezTo>
                              <a:cubicBezTo>
                                <a:pt x="310" y="244"/>
                                <a:pt x="243" y="311"/>
                                <a:pt x="161" y="311"/>
                              </a:cubicBezTo>
                              <a:close/>
                              <a:moveTo>
                                <a:pt x="161" y="0"/>
                              </a:moveTo>
                              <a:cubicBezTo>
                                <a:pt x="72" y="0"/>
                                <a:pt x="0" y="72"/>
                                <a:pt x="0" y="162"/>
                              </a:cubicBezTo>
                              <a:cubicBezTo>
                                <a:pt x="0" y="251"/>
                                <a:pt x="72" y="324"/>
                                <a:pt x="161" y="324"/>
                              </a:cubicBezTo>
                              <a:cubicBezTo>
                                <a:pt x="250" y="324"/>
                                <a:pt x="323" y="251"/>
                                <a:pt x="323" y="162"/>
                              </a:cubicBezTo>
                              <a:cubicBezTo>
                                <a:pt x="323" y="72"/>
                                <a:pt x="250" y="0"/>
                                <a:pt x="161" y="0"/>
                              </a:cubicBezTo>
                              <a:close/>
                            </a:path>
                          </a:pathLst>
                        </a:custGeom>
                        <a:solidFill>
                          <a:schemeClr val="tx2"/>
                        </a:solidFill>
                        <a:ln w="9525">
                          <a:noFill/>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5CE63EA5" id="Freeform 8" o:spid="_x0000_s1026" alt="Title: Mobile services icon - Description: Mobile services icon" style="width:14.15pt;height:14.15pt;visibility:visible;mso-wrap-style:square;mso-left-percent:-10001;mso-top-percent:-10001;mso-position-horizontal:absolute;mso-position-horizontal-relative:char;mso-position-vertical:absolute;mso-position-vertical-relative:line;mso-left-percent:-10001;mso-top-percent:-10001;v-text-anchor:top" coordsize="323,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" path="m215,238v-107,,-107,,-107,c108,78,108,78,108,78v107,,107,,107,l215,238xm161,273v-7,,-12,-6,-12,-12c149,254,154,249,161,249v7,,12,5,12,12c173,267,168,273,161,273xm149,57v24,,24,,24,c176,57,178,59,178,62v,3,-2,5,-5,5c149,67,149,67,149,67v-3,,-5,-2,-5,-5c144,59,146,57,149,57xm215,39v-108,,-108,,-108,c97,39,89,47,89,57v,209,,209,,209c89,276,97,284,107,284v108,,108,,108,c225,284,233,276,233,266v,-209,,-209,,-209c233,47,225,39,215,39xm161,311c79,311,12,244,12,162,12,79,79,13,161,13v82,,149,66,149,149c310,244,243,311,161,311xm161,c72,,,72,,162v,89,72,162,161,162c250,324,323,251,323,162,323,72,250,,161,xe" fillcolor="#a32020 [3215]" stroked="f">
                <v:path arrowok="t" o:connecttype="custom" o:connectlocs="215,238;108,238;108,78;215,78;215,238;161,273;149,261;161,249;173,261;161,273;149,57;173,57;178,62;173,67;149,67;144,62;149,57;215,39;107,39;89,57;89,266;107,284;215,284;233,266;233,57;215,39;161,311;12,162;161,13;310,162;161,311;161,0;0,162;161,324;323,162;161,0" o:connectangles="0,0,0,0,0,0,0,0,0,0,0,0,0,0,0,0,0,0,0,0,0,0,0,0,0,0,0,0,0,0,0,0,0,0,0,0"/>
                <o:lock v:ext="edit" verticies="t"/>
                <w10:anchorlock/>
              </v:shape>
            </w:pict>
          </mc:Fallback>
        </mc:AlternateContent>
      </w:r>
    </w:p>
    <w:p w14:paraId="40676E79" w14:textId="3694A1E5" w:rsidR="00785790" w:rsidRDefault="00785790" w:rsidP="00785790">
      <w:pPr>
        <w:pStyle w:val="Sources"/>
        <w:rPr>
          <w:color w:val="DB536A" w:themeColor="accent4"/>
        </w:rPr>
      </w:pPr>
      <w:r w:rsidRPr="00225950">
        <w:t>Internet services:</w:t>
      </w:r>
      <w:r w:rsidRPr="00225950">
        <w:rPr>
          <w:color w:val="DB536A" w:themeColor="accent4"/>
        </w:rPr>
        <w:t xml:space="preserve"> </w:t>
      </w:r>
      <w:r w:rsidR="001227E2" w:rsidRPr="008F3B97">
        <w:rPr>
          <w:noProof/>
          <w:color w:val="DB536A" w:themeColor="accent4"/>
          <w:lang w:eastAsia="en-AU"/>
        </w:rPr>
        <mc:AlternateContent>
          <mc:Choice Requires="wps">
            <w:drawing>
              <wp:inline distT="0" distB="0" distL="0" distR="0" wp14:anchorId="409FEC89" wp14:editId="52420A80">
                <wp:extent cx="180000" cy="180000"/>
                <wp:effectExtent l="0" t="0" r="0" b="0"/>
                <wp:docPr id="50" name="Freeform 19" descr="Internet services icon" title="Internet services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80000" cy="180000"/>
                        </a:xfrm>
                        <a:custGeom>
                          <a:avLst/>
                          <a:gdLst/>
                          <a:ahLst/>
                          <a:cxnLst>
                            <a:cxn ang="0">
                              <a:pos x="263" y="232"/>
                            </a:cxn>
                            <a:cxn ang="0">
                              <a:pos x="259" y="234"/>
                            </a:cxn>
                            <a:cxn ang="0">
                              <a:pos x="255" y="232"/>
                            </a:cxn>
                            <a:cxn ang="0">
                              <a:pos x="254" y="229"/>
                            </a:cxn>
                            <a:cxn ang="0">
                              <a:pos x="255" y="225"/>
                            </a:cxn>
                            <a:cxn ang="0">
                              <a:pos x="263" y="225"/>
                            </a:cxn>
                            <a:cxn ang="0">
                              <a:pos x="264" y="229"/>
                            </a:cxn>
                            <a:cxn ang="0">
                              <a:pos x="263" y="232"/>
                            </a:cxn>
                            <a:cxn ang="0">
                              <a:pos x="133" y="223"/>
                            </a:cxn>
                            <a:cxn ang="0">
                              <a:pos x="141" y="211"/>
                            </a:cxn>
                            <a:cxn ang="0">
                              <a:pos x="183" y="211"/>
                            </a:cxn>
                            <a:cxn ang="0">
                              <a:pos x="191" y="223"/>
                            </a:cxn>
                            <a:cxn ang="0">
                              <a:pos x="133" y="223"/>
                            </a:cxn>
                            <a:cxn ang="0">
                              <a:pos x="277" y="224"/>
                            </a:cxn>
                            <a:cxn ang="0">
                              <a:pos x="277" y="222"/>
                            </a:cxn>
                            <a:cxn ang="0">
                              <a:pos x="277" y="222"/>
                            </a:cxn>
                            <a:cxn ang="0">
                              <a:pos x="276" y="221"/>
                            </a:cxn>
                            <a:cxn ang="0">
                              <a:pos x="250" y="189"/>
                            </a:cxn>
                            <a:cxn ang="0">
                              <a:pos x="245" y="186"/>
                            </a:cxn>
                            <a:cxn ang="0">
                              <a:pos x="78" y="186"/>
                            </a:cxn>
                            <a:cxn ang="0">
                              <a:pos x="73" y="189"/>
                            </a:cxn>
                            <a:cxn ang="0">
                              <a:pos x="48" y="221"/>
                            </a:cxn>
                            <a:cxn ang="0">
                              <a:pos x="47" y="222"/>
                            </a:cxn>
                            <a:cxn ang="0">
                              <a:pos x="47" y="222"/>
                            </a:cxn>
                            <a:cxn ang="0">
                              <a:pos x="47" y="224"/>
                            </a:cxn>
                            <a:cxn ang="0">
                              <a:pos x="46" y="224"/>
                            </a:cxn>
                            <a:cxn ang="0">
                              <a:pos x="46" y="233"/>
                            </a:cxn>
                            <a:cxn ang="0">
                              <a:pos x="53" y="239"/>
                            </a:cxn>
                            <a:cxn ang="0">
                              <a:pos x="271" y="239"/>
                            </a:cxn>
                            <a:cxn ang="0">
                              <a:pos x="277" y="233"/>
                            </a:cxn>
                            <a:cxn ang="0">
                              <a:pos x="277" y="224"/>
                            </a:cxn>
                            <a:cxn ang="0">
                              <a:pos x="277" y="224"/>
                            </a:cxn>
                            <a:cxn ang="0">
                              <a:pos x="88" y="75"/>
                            </a:cxn>
                            <a:cxn ang="0">
                              <a:pos x="235" y="75"/>
                            </a:cxn>
                            <a:cxn ang="0">
                              <a:pos x="235" y="163"/>
                            </a:cxn>
                            <a:cxn ang="0">
                              <a:pos x="88" y="163"/>
                            </a:cxn>
                            <a:cxn ang="0">
                              <a:pos x="88" y="75"/>
                            </a:cxn>
                            <a:cxn ang="0">
                              <a:pos x="81" y="179"/>
                            </a:cxn>
                            <a:cxn ang="0">
                              <a:pos x="243" y="179"/>
                            </a:cxn>
                            <a:cxn ang="0">
                              <a:pos x="251" y="171"/>
                            </a:cxn>
                            <a:cxn ang="0">
                              <a:pos x="251" y="67"/>
                            </a:cxn>
                            <a:cxn ang="0">
                              <a:pos x="243" y="59"/>
                            </a:cxn>
                            <a:cxn ang="0">
                              <a:pos x="81" y="59"/>
                            </a:cxn>
                            <a:cxn ang="0">
                              <a:pos x="73" y="67"/>
                            </a:cxn>
                            <a:cxn ang="0">
                              <a:pos x="73" y="171"/>
                            </a:cxn>
                            <a:cxn ang="0">
                              <a:pos x="81" y="179"/>
                            </a:cxn>
                            <a:cxn ang="0">
                              <a:pos x="162" y="310"/>
                            </a:cxn>
                            <a:cxn ang="0">
                              <a:pos x="13" y="162"/>
                            </a:cxn>
                            <a:cxn ang="0">
                              <a:pos x="162" y="13"/>
                            </a:cxn>
                            <a:cxn ang="0">
                              <a:pos x="311" y="162"/>
                            </a:cxn>
                            <a:cxn ang="0">
                              <a:pos x="162" y="310"/>
                            </a:cxn>
                            <a:cxn ang="0">
                              <a:pos x="162" y="0"/>
                            </a:cxn>
                            <a:cxn ang="0">
                              <a:pos x="0" y="162"/>
                            </a:cxn>
                            <a:cxn ang="0">
                              <a:pos x="162" y="323"/>
                            </a:cxn>
                            <a:cxn ang="0">
                              <a:pos x="324" y="162"/>
                            </a:cxn>
                            <a:cxn ang="0">
                              <a:pos x="162" y="0"/>
                            </a:cxn>
                          </a:cxnLst>
                          <a:rect l="0" t="0" r="r" b="b"/>
                          <a:pathLst>
                            <a:path w="324" h="323">
                              <a:moveTo>
                                <a:pt x="263" y="232"/>
                              </a:moveTo>
                              <a:cubicBezTo>
                                <a:pt x="262" y="233"/>
                                <a:pt x="261" y="234"/>
                                <a:pt x="259" y="234"/>
                              </a:cubicBezTo>
                              <a:cubicBezTo>
                                <a:pt x="258" y="234"/>
                                <a:pt x="257" y="233"/>
                                <a:pt x="255" y="232"/>
                              </a:cubicBezTo>
                              <a:cubicBezTo>
                                <a:pt x="255" y="231"/>
                                <a:pt x="254" y="230"/>
                                <a:pt x="254" y="229"/>
                              </a:cubicBezTo>
                              <a:cubicBezTo>
                                <a:pt x="254" y="227"/>
                                <a:pt x="255" y="226"/>
                                <a:pt x="255" y="225"/>
                              </a:cubicBezTo>
                              <a:cubicBezTo>
                                <a:pt x="258" y="223"/>
                                <a:pt x="261" y="223"/>
                                <a:pt x="263" y="225"/>
                              </a:cubicBezTo>
                              <a:cubicBezTo>
                                <a:pt x="264" y="226"/>
                                <a:pt x="264" y="227"/>
                                <a:pt x="264" y="229"/>
                              </a:cubicBezTo>
                              <a:cubicBezTo>
                                <a:pt x="264" y="230"/>
                                <a:pt x="264" y="231"/>
                                <a:pt x="263" y="232"/>
                              </a:cubicBezTo>
                              <a:close/>
                              <a:moveTo>
                                <a:pt x="133" y="223"/>
                              </a:moveTo>
                              <a:cubicBezTo>
                                <a:pt x="141" y="211"/>
                                <a:pt x="141" y="211"/>
                                <a:pt x="141" y="211"/>
                              </a:cubicBezTo>
                              <a:cubicBezTo>
                                <a:pt x="183" y="211"/>
                                <a:pt x="183" y="211"/>
                                <a:pt x="183" y="211"/>
                              </a:cubicBezTo>
                              <a:cubicBezTo>
                                <a:pt x="191" y="223"/>
                                <a:pt x="191" y="223"/>
                                <a:pt x="191" y="223"/>
                              </a:cubicBezTo>
                              <a:lnTo>
                                <a:pt x="133" y="223"/>
                              </a:lnTo>
                              <a:close/>
                              <a:moveTo>
                                <a:pt x="277" y="224"/>
                              </a:moveTo>
                              <a:cubicBezTo>
                                <a:pt x="277" y="224"/>
                                <a:pt x="277" y="223"/>
                                <a:pt x="277" y="222"/>
                              </a:cubicBezTo>
                              <a:cubicBezTo>
                                <a:pt x="277" y="222"/>
                                <a:pt x="277" y="222"/>
                                <a:pt x="277" y="222"/>
                              </a:cubicBezTo>
                              <a:cubicBezTo>
                                <a:pt x="277" y="221"/>
                                <a:pt x="276" y="221"/>
                                <a:pt x="276" y="221"/>
                              </a:cubicBezTo>
                              <a:cubicBezTo>
                                <a:pt x="250" y="189"/>
                                <a:pt x="250" y="189"/>
                                <a:pt x="250" y="189"/>
                              </a:cubicBezTo>
                              <a:cubicBezTo>
                                <a:pt x="249" y="187"/>
                                <a:pt x="247" y="186"/>
                                <a:pt x="245" y="186"/>
                              </a:cubicBezTo>
                              <a:cubicBezTo>
                                <a:pt x="78" y="186"/>
                                <a:pt x="78" y="186"/>
                                <a:pt x="78" y="186"/>
                              </a:cubicBezTo>
                              <a:cubicBezTo>
                                <a:pt x="77" y="186"/>
                                <a:pt x="75" y="187"/>
                                <a:pt x="73" y="189"/>
                              </a:cubicBezTo>
                              <a:cubicBezTo>
                                <a:pt x="48" y="221"/>
                                <a:pt x="48" y="221"/>
                                <a:pt x="48" y="221"/>
                              </a:cubicBezTo>
                              <a:cubicBezTo>
                                <a:pt x="48" y="221"/>
                                <a:pt x="47" y="221"/>
                                <a:pt x="47" y="222"/>
                              </a:cubicBezTo>
                              <a:cubicBezTo>
                                <a:pt x="47" y="222"/>
                                <a:pt x="47" y="222"/>
                                <a:pt x="47" y="222"/>
                              </a:cubicBezTo>
                              <a:cubicBezTo>
                                <a:pt x="47" y="223"/>
                                <a:pt x="47" y="224"/>
                                <a:pt x="47" y="224"/>
                              </a:cubicBezTo>
                              <a:cubicBezTo>
                                <a:pt x="46" y="224"/>
                                <a:pt x="46" y="224"/>
                                <a:pt x="46" y="224"/>
                              </a:cubicBezTo>
                              <a:cubicBezTo>
                                <a:pt x="46" y="233"/>
                                <a:pt x="46" y="233"/>
                                <a:pt x="46" y="233"/>
                              </a:cubicBezTo>
                              <a:cubicBezTo>
                                <a:pt x="46" y="236"/>
                                <a:pt x="49" y="239"/>
                                <a:pt x="53" y="239"/>
                              </a:cubicBezTo>
                              <a:cubicBezTo>
                                <a:pt x="271" y="239"/>
                                <a:pt x="271" y="239"/>
                                <a:pt x="271" y="239"/>
                              </a:cubicBezTo>
                              <a:cubicBezTo>
                                <a:pt x="274" y="239"/>
                                <a:pt x="277" y="236"/>
                                <a:pt x="277" y="233"/>
                              </a:cubicBezTo>
                              <a:cubicBezTo>
                                <a:pt x="277" y="224"/>
                                <a:pt x="277" y="224"/>
                                <a:pt x="277" y="224"/>
                              </a:cubicBezTo>
                              <a:cubicBezTo>
                                <a:pt x="277" y="224"/>
                                <a:pt x="277" y="224"/>
                                <a:pt x="277" y="224"/>
                              </a:cubicBezTo>
                              <a:close/>
                              <a:moveTo>
                                <a:pt x="88" y="75"/>
                              </a:moveTo>
                              <a:cubicBezTo>
                                <a:pt x="235" y="75"/>
                                <a:pt x="235" y="75"/>
                                <a:pt x="235" y="75"/>
                              </a:cubicBezTo>
                              <a:cubicBezTo>
                                <a:pt x="235" y="163"/>
                                <a:pt x="235" y="163"/>
                                <a:pt x="235" y="163"/>
                              </a:cubicBezTo>
                              <a:cubicBezTo>
                                <a:pt x="88" y="163"/>
                                <a:pt x="88" y="163"/>
                                <a:pt x="88" y="163"/>
                              </a:cubicBezTo>
                              <a:lnTo>
                                <a:pt x="88" y="75"/>
                              </a:lnTo>
                              <a:close/>
                              <a:moveTo>
                                <a:pt x="81" y="179"/>
                              </a:moveTo>
                              <a:cubicBezTo>
                                <a:pt x="243" y="179"/>
                                <a:pt x="243" y="179"/>
                                <a:pt x="243" y="179"/>
                              </a:cubicBezTo>
                              <a:cubicBezTo>
                                <a:pt x="247" y="179"/>
                                <a:pt x="251" y="175"/>
                                <a:pt x="251" y="171"/>
                              </a:cubicBezTo>
                              <a:cubicBezTo>
                                <a:pt x="251" y="67"/>
                                <a:pt x="251" y="67"/>
                                <a:pt x="251" y="67"/>
                              </a:cubicBezTo>
                              <a:cubicBezTo>
                                <a:pt x="251" y="63"/>
                                <a:pt x="247" y="59"/>
                                <a:pt x="243" y="59"/>
                              </a:cubicBezTo>
                              <a:cubicBezTo>
                                <a:pt x="81" y="59"/>
                                <a:pt x="81" y="59"/>
                                <a:pt x="81" y="59"/>
                              </a:cubicBezTo>
                              <a:cubicBezTo>
                                <a:pt x="77" y="59"/>
                                <a:pt x="73" y="63"/>
                                <a:pt x="73" y="67"/>
                              </a:cubicBezTo>
                              <a:cubicBezTo>
                                <a:pt x="73" y="171"/>
                                <a:pt x="73" y="171"/>
                                <a:pt x="73" y="171"/>
                              </a:cubicBezTo>
                              <a:cubicBezTo>
                                <a:pt x="73" y="175"/>
                                <a:pt x="77" y="179"/>
                                <a:pt x="81" y="179"/>
                              </a:cubicBezTo>
                              <a:close/>
                              <a:moveTo>
                                <a:pt x="162" y="310"/>
                              </a:moveTo>
                              <a:cubicBezTo>
                                <a:pt x="80" y="310"/>
                                <a:pt x="13" y="244"/>
                                <a:pt x="13" y="162"/>
                              </a:cubicBezTo>
                              <a:cubicBezTo>
                                <a:pt x="13" y="80"/>
                                <a:pt x="80" y="13"/>
                                <a:pt x="162" y="13"/>
                              </a:cubicBezTo>
                              <a:cubicBezTo>
                                <a:pt x="244" y="13"/>
                                <a:pt x="311" y="80"/>
                                <a:pt x="311" y="162"/>
                              </a:cubicBezTo>
                              <a:cubicBezTo>
                                <a:pt x="311" y="244"/>
                                <a:pt x="244" y="310"/>
                                <a:pt x="162" y="310"/>
                              </a:cubicBezTo>
                              <a:close/>
                              <a:moveTo>
                                <a:pt x="162" y="0"/>
                              </a:moveTo>
                              <a:cubicBezTo>
                                <a:pt x="72" y="0"/>
                                <a:pt x="0" y="72"/>
                                <a:pt x="0" y="162"/>
                              </a:cubicBezTo>
                              <a:cubicBezTo>
                                <a:pt x="0" y="251"/>
                                <a:pt x="72" y="323"/>
                                <a:pt x="162" y="323"/>
                              </a:cubicBezTo>
                              <a:cubicBezTo>
                                <a:pt x="251" y="323"/>
                                <a:pt x="324" y="251"/>
                                <a:pt x="324" y="162"/>
                              </a:cubicBezTo>
                              <a:cubicBezTo>
                                <a:pt x="324" y="72"/>
                                <a:pt x="251" y="0"/>
                                <a:pt x="162" y="0"/>
                              </a:cubicBezTo>
                              <a:close/>
                            </a:path>
                          </a:pathLst>
                        </a:custGeom>
                        <a:solidFill>
                          <a:schemeClr val="tx2"/>
                        </a:solidFill>
                        <a:ln w="9525">
                          <a:noFill/>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039A0243" id="Freeform 19" o:spid="_x0000_s1026" alt="Title: Internet services icon - Description: Internet services icon" style="width:14.15pt;height:14.15pt;visibility:visible;mso-wrap-style:square;mso-left-percent:-10001;mso-top-percent:-10001;mso-position-horizontal:absolute;mso-position-horizontal-relative:char;mso-position-vertical:absolute;mso-position-vertical-relative:line;mso-left-percent:-10001;mso-top-percent:-10001;v-text-anchor:top" coordsize="324,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" path="m263,232v-1,1,-2,2,-4,2c258,234,257,233,255,232v,-1,-1,-2,-1,-3c254,227,255,226,255,225v3,-2,6,-2,8,c264,226,264,227,264,229v,1,,2,-1,3xm133,223v8,-12,8,-12,8,-12c183,211,183,211,183,211v8,12,8,12,8,12l133,223xm277,224v,,,-1,,-2c277,222,277,222,277,222v,-1,-1,-1,-1,-1c250,189,250,189,250,189v-1,-2,-3,-3,-5,-3c78,186,78,186,78,186v-1,,-3,1,-5,3c48,221,48,221,48,221v,,-1,,-1,1c47,222,47,222,47,222v,1,,2,,2c46,224,46,224,46,224v,9,,9,,9c46,236,49,239,53,239v218,,218,,218,c274,239,277,236,277,233v,-9,,-9,,-9c277,224,277,224,277,224xm88,75v147,,147,,147,c235,163,235,163,235,163v-147,,-147,,-147,l88,75xm81,179v162,,162,,162,c247,179,251,175,251,171v,-104,,-104,,-104c251,63,247,59,243,59,81,59,81,59,81,59v-4,,-8,4,-8,8c73,171,73,171,73,171v,4,4,8,8,8xm162,310c80,310,13,244,13,162,13,80,80,13,162,13v82,,149,67,149,149c311,244,244,310,162,310xm162,c72,,,72,,162v,89,72,161,162,161c251,323,324,251,324,162,324,72,251,,162,xe" fillcolor="#a32020 [3215]" stroked="f">
                <v:path arrowok="t" o:connecttype="custom" o:connectlocs="263,232;259,234;255,232;254,229;255,225;263,225;264,229;263,232;133,223;141,211;183,211;191,223;133,223;277,224;277,222;277,222;276,221;250,189;245,186;78,186;73,189;48,221;47,222;47,222;47,224;46,224;46,233;53,239;271,239;277,233;277,224;277,224;88,75;235,75;235,163;88,163;88,75;81,179;243,179;251,171;251,67;243,59;81,59;73,67;73,171;81,179;162,310;13,162;162,13;311,162;162,310;162,0;0,162;162,323;324,162;162,0" o:connectangles="0,0,0,0,0,0,0,0,0,0,0,0,0,0,0,0,0,0,0,0,0,0,0,0,0,0,0,0,0,0,0,0,0,0,0,0,0,0,0,0,0,0,0,0,0,0,0,0,0,0,0,0,0,0,0,0"/>
                <o:lock v:ext="edit" verticies="t"/>
                <w10:anchorlock/>
              </v:shape>
            </w:pict>
          </mc:Fallback>
        </mc:AlternateContent>
      </w:r>
    </w:p>
    <w:p w14:paraId="3699431F" w14:textId="1EB09DA3" w:rsidR="00785790" w:rsidRPr="00225950" w:rsidRDefault="00785790" w:rsidP="00785790">
      <w:pPr>
        <w:pStyle w:val="Sources"/>
      </w:pPr>
      <w:r w:rsidRPr="00785790">
        <w:t>Fixed line telephone services</w:t>
      </w:r>
      <w:r>
        <w:t xml:space="preserve"> (telephony)</w:t>
      </w:r>
      <w:r w:rsidRPr="00225950">
        <w:t>:</w:t>
      </w:r>
      <w:r w:rsidRPr="00225950">
        <w:rPr>
          <w:color w:val="DB536A" w:themeColor="accent4"/>
        </w:rPr>
        <w:t xml:space="preserve"> </w:t>
      </w:r>
      <w:r w:rsidRPr="00DB655E">
        <w:rPr>
          <w:noProof/>
          <w:lang w:eastAsia="en-AU"/>
        </w:rPr>
        <mc:AlternateContent>
          <mc:Choice Requires="wps">
            <w:drawing>
              <wp:inline distT="0" distB="0" distL="0" distR="0" wp14:anchorId="30B0BA87" wp14:editId="06F0A4B6">
                <wp:extent cx="180000" cy="180000"/>
                <wp:effectExtent l="0" t="0" r="0" b="0"/>
                <wp:docPr id="39" name="Freeform 32" descr="Fixed line telephone services icon &#10;" title="Fixed line telephone services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80000" cy="180000"/>
                        </a:xfrm>
                        <a:custGeom>
                          <a:avLst/>
                          <a:gdLst/>
                          <a:ahLst/>
                          <a:cxnLst>
                            <a:cxn ang="0">
                              <a:pos x="179" y="146"/>
                            </a:cxn>
                            <a:cxn ang="0">
                              <a:pos x="209" y="146"/>
                            </a:cxn>
                            <a:cxn ang="0">
                              <a:pos x="125" y="161"/>
                            </a:cxn>
                            <a:cxn ang="0">
                              <a:pos x="125" y="131"/>
                            </a:cxn>
                            <a:cxn ang="0">
                              <a:pos x="125" y="161"/>
                            </a:cxn>
                            <a:cxn ang="0">
                              <a:pos x="166" y="59"/>
                            </a:cxn>
                            <a:cxn ang="0">
                              <a:pos x="116" y="87"/>
                            </a:cxn>
                            <a:cxn ang="0">
                              <a:pos x="109" y="58"/>
                            </a:cxn>
                            <a:cxn ang="0">
                              <a:pos x="77" y="64"/>
                            </a:cxn>
                            <a:cxn ang="0">
                              <a:pos x="43" y="135"/>
                            </a:cxn>
                            <a:cxn ang="0">
                              <a:pos x="46" y="147"/>
                            </a:cxn>
                            <a:cxn ang="0">
                              <a:pos x="77" y="247"/>
                            </a:cxn>
                            <a:cxn ang="0">
                              <a:pos x="121" y="257"/>
                            </a:cxn>
                            <a:cxn ang="0">
                              <a:pos x="116" y="220"/>
                            </a:cxn>
                            <a:cxn ang="0">
                              <a:pos x="100" y="213"/>
                            </a:cxn>
                            <a:cxn ang="0">
                              <a:pos x="106" y="169"/>
                            </a:cxn>
                            <a:cxn ang="0">
                              <a:pos x="151" y="175"/>
                            </a:cxn>
                            <a:cxn ang="0">
                              <a:pos x="144" y="220"/>
                            </a:cxn>
                            <a:cxn ang="0">
                              <a:pos x="134" y="249"/>
                            </a:cxn>
                            <a:cxn ang="0">
                              <a:pos x="190" y="257"/>
                            </a:cxn>
                            <a:cxn ang="0">
                              <a:pos x="185" y="220"/>
                            </a:cxn>
                            <a:cxn ang="0">
                              <a:pos x="165" y="217"/>
                            </a:cxn>
                            <a:cxn ang="0">
                              <a:pos x="177" y="173"/>
                            </a:cxn>
                            <a:cxn ang="0">
                              <a:pos x="205" y="169"/>
                            </a:cxn>
                            <a:cxn ang="0">
                              <a:pos x="224" y="210"/>
                            </a:cxn>
                            <a:cxn ang="0">
                              <a:pos x="218" y="220"/>
                            </a:cxn>
                            <a:cxn ang="0">
                              <a:pos x="203" y="220"/>
                            </a:cxn>
                            <a:cxn ang="0">
                              <a:pos x="198" y="257"/>
                            </a:cxn>
                            <a:cxn ang="0">
                              <a:pos x="248" y="247"/>
                            </a:cxn>
                            <a:cxn ang="0">
                              <a:pos x="279" y="147"/>
                            </a:cxn>
                            <a:cxn ang="0">
                              <a:pos x="285" y="140"/>
                            </a:cxn>
                            <a:cxn ang="0">
                              <a:pos x="162" y="0"/>
                            </a:cxn>
                            <a:cxn ang="0">
                              <a:pos x="162" y="324"/>
                            </a:cxn>
                            <a:cxn ang="0">
                              <a:pos x="162" y="0"/>
                            </a:cxn>
                            <a:cxn ang="0">
                              <a:pos x="311" y="162"/>
                            </a:cxn>
                            <a:cxn ang="0">
                              <a:pos x="13" y="162"/>
                            </a:cxn>
                          </a:cxnLst>
                          <a:rect l="0" t="0" r="r" b="b"/>
                          <a:pathLst>
                            <a:path w="324" h="324">
                              <a:moveTo>
                                <a:pt x="194" y="161"/>
                              </a:moveTo>
                              <a:cubicBezTo>
                                <a:pt x="186" y="161"/>
                                <a:pt x="179" y="155"/>
                                <a:pt x="179" y="146"/>
                              </a:cubicBezTo>
                              <a:cubicBezTo>
                                <a:pt x="179" y="138"/>
                                <a:pt x="186" y="131"/>
                                <a:pt x="194" y="131"/>
                              </a:cubicBezTo>
                              <a:cubicBezTo>
                                <a:pt x="203" y="131"/>
                                <a:pt x="209" y="138"/>
                                <a:pt x="209" y="146"/>
                              </a:cubicBezTo>
                              <a:cubicBezTo>
                                <a:pt x="209" y="155"/>
                                <a:pt x="203" y="161"/>
                                <a:pt x="194" y="161"/>
                              </a:cubicBezTo>
                              <a:close/>
                              <a:moveTo>
                                <a:pt x="125" y="161"/>
                              </a:moveTo>
                              <a:cubicBezTo>
                                <a:pt x="117" y="161"/>
                                <a:pt x="110" y="155"/>
                                <a:pt x="110" y="146"/>
                              </a:cubicBezTo>
                              <a:cubicBezTo>
                                <a:pt x="110" y="138"/>
                                <a:pt x="117" y="131"/>
                                <a:pt x="125" y="131"/>
                              </a:cubicBezTo>
                              <a:cubicBezTo>
                                <a:pt x="134" y="131"/>
                                <a:pt x="140" y="138"/>
                                <a:pt x="140" y="146"/>
                              </a:cubicBezTo>
                              <a:cubicBezTo>
                                <a:pt x="140" y="155"/>
                                <a:pt x="134" y="161"/>
                                <a:pt x="125" y="161"/>
                              </a:cubicBezTo>
                              <a:close/>
                              <a:moveTo>
                                <a:pt x="281" y="134"/>
                              </a:moveTo>
                              <a:cubicBezTo>
                                <a:pt x="166" y="59"/>
                                <a:pt x="166" y="59"/>
                                <a:pt x="166" y="59"/>
                              </a:cubicBezTo>
                              <a:cubicBezTo>
                                <a:pt x="164" y="58"/>
                                <a:pt x="161" y="58"/>
                                <a:pt x="159" y="59"/>
                              </a:cubicBezTo>
                              <a:cubicBezTo>
                                <a:pt x="116" y="87"/>
                                <a:pt x="116" y="87"/>
                                <a:pt x="116" y="87"/>
                              </a:cubicBezTo>
                              <a:cubicBezTo>
                                <a:pt x="116" y="64"/>
                                <a:pt x="116" y="64"/>
                                <a:pt x="116" y="64"/>
                              </a:cubicBezTo>
                              <a:cubicBezTo>
                                <a:pt x="116" y="61"/>
                                <a:pt x="113" y="58"/>
                                <a:pt x="109" y="58"/>
                              </a:cubicBezTo>
                              <a:cubicBezTo>
                                <a:pt x="83" y="58"/>
                                <a:pt x="83" y="58"/>
                                <a:pt x="83" y="58"/>
                              </a:cubicBezTo>
                              <a:cubicBezTo>
                                <a:pt x="80" y="58"/>
                                <a:pt x="77" y="61"/>
                                <a:pt x="77" y="64"/>
                              </a:cubicBezTo>
                              <a:cubicBezTo>
                                <a:pt x="77" y="112"/>
                                <a:pt x="77" y="112"/>
                                <a:pt x="77" y="112"/>
                              </a:cubicBezTo>
                              <a:cubicBezTo>
                                <a:pt x="43" y="135"/>
                                <a:pt x="43" y="135"/>
                                <a:pt x="43" y="135"/>
                              </a:cubicBezTo>
                              <a:cubicBezTo>
                                <a:pt x="40" y="137"/>
                                <a:pt x="39" y="139"/>
                                <a:pt x="40" y="142"/>
                              </a:cubicBezTo>
                              <a:cubicBezTo>
                                <a:pt x="41" y="145"/>
                                <a:pt x="43" y="147"/>
                                <a:pt x="46" y="147"/>
                              </a:cubicBezTo>
                              <a:cubicBezTo>
                                <a:pt x="77" y="147"/>
                                <a:pt x="77" y="147"/>
                                <a:pt x="77" y="147"/>
                              </a:cubicBezTo>
                              <a:cubicBezTo>
                                <a:pt x="77" y="247"/>
                                <a:pt x="77" y="247"/>
                                <a:pt x="77" y="247"/>
                              </a:cubicBezTo>
                              <a:cubicBezTo>
                                <a:pt x="77" y="253"/>
                                <a:pt x="81" y="257"/>
                                <a:pt x="87" y="257"/>
                              </a:cubicBezTo>
                              <a:cubicBezTo>
                                <a:pt x="121" y="257"/>
                                <a:pt x="121" y="257"/>
                                <a:pt x="121" y="257"/>
                              </a:cubicBezTo>
                              <a:cubicBezTo>
                                <a:pt x="118" y="256"/>
                                <a:pt x="116" y="253"/>
                                <a:pt x="116" y="249"/>
                              </a:cubicBezTo>
                              <a:cubicBezTo>
                                <a:pt x="116" y="220"/>
                                <a:pt x="116" y="220"/>
                                <a:pt x="116" y="220"/>
                              </a:cubicBezTo>
                              <a:cubicBezTo>
                                <a:pt x="106" y="220"/>
                                <a:pt x="106" y="220"/>
                                <a:pt x="106" y="220"/>
                              </a:cubicBezTo>
                              <a:cubicBezTo>
                                <a:pt x="102" y="220"/>
                                <a:pt x="100" y="217"/>
                                <a:pt x="100" y="213"/>
                              </a:cubicBezTo>
                              <a:cubicBezTo>
                                <a:pt x="100" y="175"/>
                                <a:pt x="100" y="175"/>
                                <a:pt x="100" y="175"/>
                              </a:cubicBezTo>
                              <a:cubicBezTo>
                                <a:pt x="100" y="172"/>
                                <a:pt x="102" y="169"/>
                                <a:pt x="106" y="169"/>
                              </a:cubicBezTo>
                              <a:cubicBezTo>
                                <a:pt x="144" y="169"/>
                                <a:pt x="144" y="169"/>
                                <a:pt x="144" y="169"/>
                              </a:cubicBezTo>
                              <a:cubicBezTo>
                                <a:pt x="148" y="169"/>
                                <a:pt x="151" y="172"/>
                                <a:pt x="151" y="175"/>
                              </a:cubicBezTo>
                              <a:cubicBezTo>
                                <a:pt x="151" y="213"/>
                                <a:pt x="151" y="213"/>
                                <a:pt x="151" y="213"/>
                              </a:cubicBezTo>
                              <a:cubicBezTo>
                                <a:pt x="151" y="217"/>
                                <a:pt x="148" y="220"/>
                                <a:pt x="144" y="220"/>
                              </a:cubicBezTo>
                              <a:cubicBezTo>
                                <a:pt x="134" y="220"/>
                                <a:pt x="134" y="220"/>
                                <a:pt x="134" y="220"/>
                              </a:cubicBezTo>
                              <a:cubicBezTo>
                                <a:pt x="134" y="249"/>
                                <a:pt x="134" y="249"/>
                                <a:pt x="134" y="249"/>
                              </a:cubicBezTo>
                              <a:cubicBezTo>
                                <a:pt x="134" y="253"/>
                                <a:pt x="132" y="256"/>
                                <a:pt x="129" y="257"/>
                              </a:cubicBezTo>
                              <a:cubicBezTo>
                                <a:pt x="190" y="257"/>
                                <a:pt x="190" y="257"/>
                                <a:pt x="190" y="257"/>
                              </a:cubicBezTo>
                              <a:cubicBezTo>
                                <a:pt x="187" y="256"/>
                                <a:pt x="185" y="253"/>
                                <a:pt x="185" y="249"/>
                              </a:cubicBezTo>
                              <a:cubicBezTo>
                                <a:pt x="185" y="220"/>
                                <a:pt x="185" y="220"/>
                                <a:pt x="185" y="220"/>
                              </a:cubicBezTo>
                              <a:cubicBezTo>
                                <a:pt x="170" y="220"/>
                                <a:pt x="170" y="220"/>
                                <a:pt x="170" y="220"/>
                              </a:cubicBezTo>
                              <a:cubicBezTo>
                                <a:pt x="168" y="220"/>
                                <a:pt x="166" y="219"/>
                                <a:pt x="165" y="217"/>
                              </a:cubicBezTo>
                              <a:cubicBezTo>
                                <a:pt x="163" y="215"/>
                                <a:pt x="163" y="213"/>
                                <a:pt x="164" y="211"/>
                              </a:cubicBezTo>
                              <a:cubicBezTo>
                                <a:pt x="177" y="173"/>
                                <a:pt x="177" y="173"/>
                                <a:pt x="177" y="173"/>
                              </a:cubicBezTo>
                              <a:cubicBezTo>
                                <a:pt x="178" y="171"/>
                                <a:pt x="180" y="169"/>
                                <a:pt x="183" y="169"/>
                              </a:cubicBezTo>
                              <a:cubicBezTo>
                                <a:pt x="205" y="169"/>
                                <a:pt x="205" y="169"/>
                                <a:pt x="205" y="169"/>
                              </a:cubicBezTo>
                              <a:cubicBezTo>
                                <a:pt x="208" y="169"/>
                                <a:pt x="210" y="171"/>
                                <a:pt x="211" y="173"/>
                              </a:cubicBezTo>
                              <a:cubicBezTo>
                                <a:pt x="224" y="210"/>
                                <a:pt x="224" y="210"/>
                                <a:pt x="224" y="210"/>
                              </a:cubicBezTo>
                              <a:cubicBezTo>
                                <a:pt x="224" y="211"/>
                                <a:pt x="225" y="212"/>
                                <a:pt x="225" y="213"/>
                              </a:cubicBezTo>
                              <a:cubicBezTo>
                                <a:pt x="225" y="217"/>
                                <a:pt x="222" y="220"/>
                                <a:pt x="218" y="220"/>
                              </a:cubicBezTo>
                              <a:cubicBezTo>
                                <a:pt x="218" y="220"/>
                                <a:pt x="218" y="220"/>
                                <a:pt x="218" y="220"/>
                              </a:cubicBezTo>
                              <a:cubicBezTo>
                                <a:pt x="203" y="220"/>
                                <a:pt x="203" y="220"/>
                                <a:pt x="203" y="220"/>
                              </a:cubicBezTo>
                              <a:cubicBezTo>
                                <a:pt x="203" y="249"/>
                                <a:pt x="203" y="249"/>
                                <a:pt x="203" y="249"/>
                              </a:cubicBezTo>
                              <a:cubicBezTo>
                                <a:pt x="203" y="253"/>
                                <a:pt x="201" y="256"/>
                                <a:pt x="198" y="257"/>
                              </a:cubicBezTo>
                              <a:cubicBezTo>
                                <a:pt x="238" y="257"/>
                                <a:pt x="238" y="257"/>
                                <a:pt x="238" y="257"/>
                              </a:cubicBezTo>
                              <a:cubicBezTo>
                                <a:pt x="243" y="257"/>
                                <a:pt x="248" y="253"/>
                                <a:pt x="248" y="247"/>
                              </a:cubicBezTo>
                              <a:cubicBezTo>
                                <a:pt x="248" y="147"/>
                                <a:pt x="248" y="147"/>
                                <a:pt x="248" y="147"/>
                              </a:cubicBezTo>
                              <a:cubicBezTo>
                                <a:pt x="279" y="147"/>
                                <a:pt x="279" y="147"/>
                                <a:pt x="279" y="147"/>
                              </a:cubicBezTo>
                              <a:cubicBezTo>
                                <a:pt x="279" y="147"/>
                                <a:pt x="279" y="147"/>
                                <a:pt x="279" y="147"/>
                              </a:cubicBezTo>
                              <a:cubicBezTo>
                                <a:pt x="282" y="147"/>
                                <a:pt x="285" y="144"/>
                                <a:pt x="285" y="140"/>
                              </a:cubicBezTo>
                              <a:cubicBezTo>
                                <a:pt x="285" y="138"/>
                                <a:pt x="284" y="135"/>
                                <a:pt x="281" y="134"/>
                              </a:cubicBezTo>
                              <a:close/>
                              <a:moveTo>
                                <a:pt x="162" y="0"/>
                              </a:moveTo>
                              <a:cubicBezTo>
                                <a:pt x="73" y="0"/>
                                <a:pt x="0" y="72"/>
                                <a:pt x="0" y="162"/>
                              </a:cubicBezTo>
                              <a:cubicBezTo>
                                <a:pt x="0" y="251"/>
                                <a:pt x="73" y="324"/>
                                <a:pt x="162" y="324"/>
                              </a:cubicBezTo>
                              <a:cubicBezTo>
                                <a:pt x="252" y="324"/>
                                <a:pt x="324" y="251"/>
                                <a:pt x="324" y="162"/>
                              </a:cubicBezTo>
                              <a:cubicBezTo>
                                <a:pt x="324" y="72"/>
                                <a:pt x="252" y="0"/>
                                <a:pt x="162" y="0"/>
                              </a:cubicBezTo>
                              <a:close/>
                              <a:moveTo>
                                <a:pt x="162" y="13"/>
                              </a:moveTo>
                              <a:cubicBezTo>
                                <a:pt x="244" y="13"/>
                                <a:pt x="311" y="80"/>
                                <a:pt x="311" y="162"/>
                              </a:cubicBezTo>
                              <a:cubicBezTo>
                                <a:pt x="311" y="244"/>
                                <a:pt x="244" y="311"/>
                                <a:pt x="162" y="311"/>
                              </a:cubicBezTo>
                              <a:cubicBezTo>
                                <a:pt x="80" y="311"/>
                                <a:pt x="13" y="244"/>
                                <a:pt x="13" y="162"/>
                              </a:cubicBezTo>
                              <a:cubicBezTo>
                                <a:pt x="13" y="80"/>
                                <a:pt x="80" y="13"/>
                                <a:pt x="162" y="13"/>
                              </a:cubicBezTo>
                            </a:path>
                          </a:pathLst>
                        </a:custGeom>
                        <a:solidFill>
                          <a:schemeClr val="tx2"/>
                        </a:solidFill>
                        <a:ln w="9525">
                          <a:noFill/>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64F47FEE" id="Freeform 32" o:spid="_x0000_s1026" alt="Title: Fixed line telephone services icon - Description: Fixed line telephone services icon &#10;" style="width:14.15pt;height:14.15pt;visibility:visible;mso-wrap-style:square;mso-left-percent:-10001;mso-top-percent:-10001;mso-position-horizontal:absolute;mso-position-horizontal-relative:char;mso-position-vertical:absolute;mso-position-vertical-relative:line;mso-left-percent:-10001;mso-top-percent:-10001;v-text-anchor:top" coordsize="32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" path="m194,161v-8,,-15,-6,-15,-15c179,138,186,131,194,131v9,,15,7,15,15c209,155,203,161,194,161xm125,161v-8,,-15,-6,-15,-15c110,138,117,131,125,131v9,,15,7,15,15c140,155,134,161,125,161xm281,134c166,59,166,59,166,59v-2,-1,-5,-1,-7,c116,87,116,87,116,87v,-23,,-23,,-23c116,61,113,58,109,58v-26,,-26,,-26,c80,58,77,61,77,64v,48,,48,,48c43,135,43,135,43,135v-3,2,-4,4,-3,7c41,145,43,147,46,147v31,,31,,31,c77,247,77,247,77,247v,6,4,10,10,10c121,257,121,257,121,257v-3,-1,-5,-4,-5,-8c116,220,116,220,116,220v-10,,-10,,-10,c102,220,100,217,100,213v,-38,,-38,,-38c100,172,102,169,106,169v38,,38,,38,c148,169,151,172,151,175v,38,,38,,38c151,217,148,220,144,220v-10,,-10,,-10,c134,249,134,249,134,249v,4,-2,7,-5,8c190,257,190,257,190,257v-3,-1,-5,-4,-5,-8c185,220,185,220,185,220v-15,,-15,,-15,c168,220,166,219,165,217v-2,-2,-2,-4,-1,-6c177,173,177,173,177,173v1,-2,3,-4,6,-4c205,169,205,169,205,169v3,,5,2,6,4c224,210,224,210,224,210v,1,1,2,1,3c225,217,222,220,218,220v,,,,,c203,220,203,220,203,220v,29,,29,,29c203,253,201,256,198,257v40,,40,,40,c243,257,248,253,248,247v,-100,,-100,,-100c279,147,279,147,279,147v,,,,,c282,147,285,144,285,140v,-2,-1,-5,-4,-6xm162,c73,,,72,,162v,89,73,162,162,162c252,324,324,251,324,162,324,72,252,,162,xm162,13v82,,149,67,149,149c311,244,244,311,162,311,80,311,13,244,13,162,13,80,80,13,162,13e" fillcolor="#a32020 [3215]" stroked="f">
                <v:path arrowok="t" o:connecttype="custom" o:connectlocs="179,146;209,146;125,161;125,131;125,161;166,59;116,87;109,58;77,64;43,135;46,147;77,247;121,257;116,220;100,213;106,169;151,175;144,220;134,249;190,257;185,220;165,217;177,173;205,169;224,210;218,220;203,220;198,257;248,247;279,147;285,140;162,0;162,324;162,0;311,162;13,162" o:connectangles="0,0,0,0,0,0,0,0,0,0,0,0,0,0,0,0,0,0,0,0,0,0,0,0,0,0,0,0,0,0,0,0,0,0,0,0"/>
                <o:lock v:ext="edit" verticies="t"/>
                <w10:anchorlock/>
              </v:shape>
            </w:pict>
          </mc:Fallback>
        </mc:AlternateContent>
      </w:r>
    </w:p>
    <w:p w14:paraId="3FD23AC1" w14:textId="0206BA57" w:rsidR="006602A7" w:rsidRDefault="006602A7" w:rsidP="00D672B5">
      <w:pPr>
        <w:pStyle w:val="Heading4"/>
        <w:numPr>
          <w:ilvl w:val="0"/>
          <w:numId w:val="0"/>
        </w:numPr>
        <w:ind w:left="851" w:hanging="851"/>
      </w:pPr>
      <w:r>
        <w:t>Number of report</w:t>
      </w:r>
      <w:r w:rsidR="0054392C">
        <w:t>ed</w:t>
      </w:r>
      <w:r>
        <w:t xml:space="preserve"> outages</w:t>
      </w:r>
      <w:r w:rsidR="00A1642B">
        <w:t>/faults</w:t>
      </w:r>
    </w:p>
    <w:p w14:paraId="5FD8F4A7" w14:textId="73ED5E83" w:rsidR="00EC2BBD" w:rsidRPr="00440A64" w:rsidRDefault="00754EBA" w:rsidP="00754EBA">
      <w:pPr>
        <w:pStyle w:val="PwCNormal"/>
      </w:pPr>
      <w:r w:rsidRPr="00754EBA">
        <w:t>In Australia, the Network Reliability Framework (NRF), a legacy safeguard which applies only to Telstra fixed telephone lines, monitors the percentage of services that do not experience a fault as a measure of service reliability.</w:t>
      </w:r>
      <w:r w:rsidR="0018130C">
        <w:t xml:space="preserve"> </w:t>
      </w:r>
      <w:r w:rsidR="00EC2BBD">
        <w:t>In Singapore</w:t>
      </w:r>
      <w:r w:rsidR="006B0B8B">
        <w:t xml:space="preserve">, the regulator reports on </w:t>
      </w:r>
      <w:r w:rsidR="00CD63D5">
        <w:t xml:space="preserve">the number of faults experienced in relation to fixed telephone services, as well as the outage times for mobile telephone and internet services. </w:t>
      </w:r>
      <w:r w:rsidR="00EC2BBD">
        <w:t>France requires service providers to report against fault rates, fault repair times, the number of faults on lines delivered in the last month and the number of faults caused by other operators.</w:t>
      </w:r>
    </w:p>
    <w:p w14:paraId="175CA656" w14:textId="77777777" w:rsidR="00DA24F0" w:rsidRDefault="00EC2BBD" w:rsidP="00DA24F0">
      <w:pPr>
        <w:pStyle w:val="PwCNormal"/>
      </w:pPr>
      <w:r>
        <w:t xml:space="preserve">All </w:t>
      </w:r>
      <w:r w:rsidRPr="00225950">
        <w:t>other countr</w:t>
      </w:r>
      <w:r>
        <w:t>ies considered in this review</w:t>
      </w:r>
      <w:r w:rsidR="00500F31" w:rsidRPr="00225950">
        <w:t xml:space="preserve"> do not appear to </w:t>
      </w:r>
      <w:r w:rsidR="00500F31">
        <w:t>appl</w:t>
      </w:r>
      <w:r>
        <w:t xml:space="preserve">y safeguards </w:t>
      </w:r>
      <w:r w:rsidR="00DA24F0">
        <w:t>relating to outages and faults.</w:t>
      </w:r>
    </w:p>
    <w:p w14:paraId="49BF4B3F" w14:textId="4389C523" w:rsidR="00500F31" w:rsidRDefault="00500F31" w:rsidP="00D672B5">
      <w:pPr>
        <w:pStyle w:val="Heading4"/>
        <w:numPr>
          <w:ilvl w:val="0"/>
          <w:numId w:val="0"/>
        </w:numPr>
        <w:ind w:left="851" w:hanging="851"/>
      </w:pPr>
      <w:r>
        <w:t>Repair time</w:t>
      </w:r>
    </w:p>
    <w:p w14:paraId="4AB6999C" w14:textId="10BBD17E" w:rsidR="00500F31" w:rsidRDefault="00500F31" w:rsidP="00500F31">
      <w:pPr>
        <w:pStyle w:val="PwCNormal"/>
      </w:pPr>
      <w:r>
        <w:t xml:space="preserve">Repair time was the most commonly used </w:t>
      </w:r>
      <w:r w:rsidR="0018130C">
        <w:t xml:space="preserve">measure </w:t>
      </w:r>
      <w:r>
        <w:t>relating to outages and faults for fixed telephone services in</w:t>
      </w:r>
      <w:r w:rsidR="00D279F9">
        <w:t xml:space="preserve"> </w:t>
      </w:r>
      <w:r>
        <w:t>the countries</w:t>
      </w:r>
      <w:r w:rsidR="00D669EA">
        <w:t xml:space="preserve"> considered</w:t>
      </w:r>
      <w:r w:rsidR="00274F23">
        <w:t>. New Zealand and the USA</w:t>
      </w:r>
      <w:r>
        <w:t xml:space="preserve"> were the only countries with no </w:t>
      </w:r>
      <w:r w:rsidR="00084F75">
        <w:t xml:space="preserve">specific </w:t>
      </w:r>
      <w:r>
        <w:t>mech</w:t>
      </w:r>
      <w:r w:rsidR="00DB0DD9">
        <w:t>anisms relating to repair time.</w:t>
      </w:r>
    </w:p>
    <w:p w14:paraId="5A2FDAD3" w14:textId="2996EE62" w:rsidR="00500F31" w:rsidRDefault="00500F31" w:rsidP="00E30580">
      <w:pPr>
        <w:pStyle w:val="PwCNormal"/>
      </w:pPr>
      <w:r>
        <w:t xml:space="preserve">In Australia, the </w:t>
      </w:r>
      <w:r w:rsidR="00E30580" w:rsidRPr="00E30580">
        <w:t xml:space="preserve">Customer Service Guarantee </w:t>
      </w:r>
      <w:r w:rsidR="00E30580">
        <w:t>(</w:t>
      </w:r>
      <w:r w:rsidR="00D279F9">
        <w:t>CSG</w:t>
      </w:r>
      <w:r w:rsidR="00E30580">
        <w:t>)</w:t>
      </w:r>
      <w:r>
        <w:t xml:space="preserve"> and Priority A</w:t>
      </w:r>
      <w:r w:rsidR="004E0C83">
        <w:t>ssistance</w:t>
      </w:r>
      <w:r>
        <w:t xml:space="preserve"> (relating to Telstra fixed line services) both </w:t>
      </w:r>
      <w:r w:rsidR="00BD3F27">
        <w:t>deal with</w:t>
      </w:r>
      <w:r>
        <w:t xml:space="preserve"> fault repair times.</w:t>
      </w:r>
      <w:r w:rsidR="00420484">
        <w:t xml:space="preserve"> The</w:t>
      </w:r>
      <w:r w:rsidR="00D669EA">
        <w:t xml:space="preserve"> NRF also monitors the percentage of time that services were available (and therefore not waiting for repair). Under the NRF, Telstra must address any service </w:t>
      </w:r>
      <w:r w:rsidR="000B0990">
        <w:t xml:space="preserve">identified as </w:t>
      </w:r>
      <w:r w:rsidR="00D669EA">
        <w:t xml:space="preserve">experiencing more than </w:t>
      </w:r>
      <w:r w:rsidR="00FE33B6">
        <w:t>three</w:t>
      </w:r>
      <w:r w:rsidR="00D669EA">
        <w:t xml:space="preserve"> faults in any 60 day rolling period or </w:t>
      </w:r>
      <w:r w:rsidR="00BD3F27">
        <w:t xml:space="preserve">four </w:t>
      </w:r>
      <w:r w:rsidR="00D669EA">
        <w:t>faults in any 365 day rolling period.</w:t>
      </w:r>
      <w:r w:rsidR="00D669EA">
        <w:rPr>
          <w:rStyle w:val="FootnoteReference"/>
        </w:rPr>
        <w:footnoteReference w:id="14"/>
      </w:r>
    </w:p>
    <w:p w14:paraId="78EAB2BB" w14:textId="77777777" w:rsidR="00500F31" w:rsidRDefault="00500F31" w:rsidP="00D672B5">
      <w:pPr>
        <w:pStyle w:val="Heading4"/>
        <w:numPr>
          <w:ilvl w:val="0"/>
          <w:numId w:val="0"/>
        </w:numPr>
        <w:ind w:left="851" w:hanging="851"/>
      </w:pPr>
      <w:r>
        <w:lastRenderedPageBreak/>
        <w:t>Appointment keeping</w:t>
      </w:r>
    </w:p>
    <w:p w14:paraId="6890E39B" w14:textId="3CECFB50" w:rsidR="00274F23" w:rsidRDefault="00500F31" w:rsidP="00500F31">
      <w:pPr>
        <w:pStyle w:val="PwCNormal"/>
      </w:pPr>
      <w:bookmarkStart w:id="24" w:name="_Toc517352097"/>
      <w:bookmarkStart w:id="25" w:name="_Toc517379763"/>
      <w:bookmarkEnd w:id="24"/>
      <w:bookmarkEnd w:id="25"/>
      <w:r>
        <w:t xml:space="preserve">In Australia, the </w:t>
      </w:r>
      <w:r w:rsidR="008D1B43">
        <w:t>CSG</w:t>
      </w:r>
      <w:r>
        <w:t xml:space="preserve"> and Priority </w:t>
      </w:r>
      <w:r w:rsidR="005F3743">
        <w:t xml:space="preserve">Assistance </w:t>
      </w:r>
      <w:r w:rsidR="000B0990">
        <w:t>a</w:t>
      </w:r>
      <w:r>
        <w:t xml:space="preserve">rrangements (relating to Telstra fixed line services) also provide metrics for appointment keeping. </w:t>
      </w:r>
      <w:r w:rsidR="00274F23">
        <w:t>Canada also requires greater than 90 per cent of appointments to be met</w:t>
      </w:r>
      <w:r w:rsidR="00EC2BBD">
        <w:t xml:space="preserve"> for fixed telephone services</w:t>
      </w:r>
      <w:r w:rsidR="00274F23">
        <w:t>.</w:t>
      </w:r>
    </w:p>
    <w:p w14:paraId="5ED7A738" w14:textId="13607369" w:rsidR="00500F31" w:rsidRDefault="00D669EA" w:rsidP="00500F31">
      <w:pPr>
        <w:pStyle w:val="PwCNormal"/>
      </w:pPr>
      <w:r>
        <w:t xml:space="preserve">Material identified through a desktop review </w:t>
      </w:r>
      <w:r w:rsidR="00500F31">
        <w:t>did not reveal any reporting against appointment keeping in other countries considered in this review.</w:t>
      </w:r>
    </w:p>
    <w:p w14:paraId="1236EFC8" w14:textId="4BDF457D" w:rsidR="00500F31" w:rsidRPr="00CB5B9C" w:rsidRDefault="00325598" w:rsidP="00325598">
      <w:pPr>
        <w:pStyle w:val="Heading3"/>
        <w:numPr>
          <w:ilvl w:val="0"/>
          <w:numId w:val="0"/>
        </w:numPr>
        <w:ind w:left="851" w:hanging="851"/>
      </w:pPr>
      <w:bookmarkStart w:id="26" w:name="_Toc518337344"/>
      <w:bookmarkStart w:id="27" w:name="_Toc525650411"/>
      <w:r>
        <w:t>2.3</w:t>
      </w:r>
      <w:r>
        <w:tab/>
      </w:r>
      <w:r w:rsidR="00500F31" w:rsidRPr="00CB5B9C">
        <w:t>Penalties for non-compliance</w:t>
      </w:r>
      <w:bookmarkEnd w:id="26"/>
      <w:bookmarkEnd w:id="27"/>
    </w:p>
    <w:p w14:paraId="6099765D" w14:textId="0FAB7BA0" w:rsidR="00500F31" w:rsidRDefault="00500F31" w:rsidP="000B0990">
      <w:pPr>
        <w:pStyle w:val="PwCNormal"/>
      </w:pPr>
      <w:r w:rsidRPr="00CB5B9C">
        <w:t xml:space="preserve">Some countries choose to penalise service providers for not meeting </w:t>
      </w:r>
      <w:r w:rsidR="00865664">
        <w:t>a</w:t>
      </w:r>
      <w:r w:rsidR="00865664" w:rsidRPr="00CB5B9C">
        <w:t xml:space="preserve"> </w:t>
      </w:r>
      <w:r w:rsidRPr="00CB5B9C">
        <w:t>specified minimum standard in relation to service reliability</w:t>
      </w:r>
      <w:r w:rsidR="008D1B43">
        <w:t>.</w:t>
      </w:r>
      <w:r w:rsidRPr="00CB5B9C">
        <w:t xml:space="preserve"> </w:t>
      </w:r>
      <w:r w:rsidR="008D1B43">
        <w:t>T</w:t>
      </w:r>
      <w:r w:rsidRPr="00CB5B9C">
        <w:t xml:space="preserve">hese penalties typically </w:t>
      </w:r>
      <w:r>
        <w:t xml:space="preserve">take the form of </w:t>
      </w:r>
      <w:r w:rsidRPr="00CB5B9C">
        <w:t>financial disincentives</w:t>
      </w:r>
      <w:r w:rsidR="002015B9">
        <w:t xml:space="preserve"> and their application varies by country. </w:t>
      </w:r>
      <w:r w:rsidR="000B0990" w:rsidRPr="000B0990">
        <w:t>Some countries impose penalties for individual infringements, while others apply penalties based on performance against the overall benchmarks. In Canada, penalties are imposed on wholesalers, while in all other countries they apply at the retail level.</w:t>
      </w:r>
    </w:p>
    <w:p w14:paraId="2D9CD732" w14:textId="0329D192" w:rsidR="008225A9" w:rsidRPr="00915BA0" w:rsidRDefault="008225A9" w:rsidP="008225A9">
      <w:pPr>
        <w:pStyle w:val="PwCNormal"/>
      </w:pPr>
      <w:r>
        <w:t>The following summarises where each country appears to have a financial penalty in relation to reliability.</w:t>
      </w:r>
    </w:p>
    <w:p w14:paraId="47C802A8" w14:textId="01F79737" w:rsidR="006D7659" w:rsidRPr="00CB5B9C" w:rsidRDefault="006D7659" w:rsidP="006D7659">
      <w:pPr>
        <w:pStyle w:val="Caption"/>
      </w:pPr>
      <w:r w:rsidRPr="00CB5B9C">
        <w:t xml:space="preserve">Table </w:t>
      </w:r>
      <w:r w:rsidR="000B0990">
        <w:rPr>
          <w:noProof/>
        </w:rPr>
        <w:fldChar w:fldCharType="begin"/>
      </w:r>
      <w:r w:rsidR="000B0990">
        <w:rPr>
          <w:noProof/>
        </w:rPr>
        <w:instrText xml:space="preserve"> SEQ Table \* ARABIC </w:instrText>
      </w:r>
      <w:r w:rsidR="000B0990">
        <w:rPr>
          <w:noProof/>
        </w:rPr>
        <w:fldChar w:fldCharType="separate"/>
      </w:r>
      <w:r w:rsidR="00AE12E7">
        <w:rPr>
          <w:noProof/>
        </w:rPr>
        <w:t>4</w:t>
      </w:r>
      <w:r w:rsidR="000B0990">
        <w:rPr>
          <w:noProof/>
        </w:rPr>
        <w:fldChar w:fldCharType="end"/>
      </w:r>
      <w:r w:rsidRPr="00CB5B9C">
        <w:t xml:space="preserve">: </w:t>
      </w:r>
      <w:r w:rsidRPr="00CB5B9C">
        <w:rPr>
          <w:noProof/>
        </w:rPr>
        <w:t xml:space="preserve">Penalties for non-compliance by </w:t>
      </w:r>
      <w:r w:rsidR="00FA4EF8">
        <w:rPr>
          <w:noProof/>
        </w:rPr>
        <w:t>country</w:t>
      </w:r>
    </w:p>
    <w:tbl>
      <w:tblPr>
        <w:tblStyle w:val="Tables-APBase"/>
        <w:tblW w:w="4988" w:type="pct"/>
        <w:tblLayout w:type="fixed"/>
        <w:tblLook w:val="06A0" w:firstRow="1" w:lastRow="0" w:firstColumn="1" w:lastColumn="0" w:noHBand="1" w:noVBand="1"/>
        <w:tblCaption w:val="Summary of penalties for non-compliannce across countries"/>
        <w:tblDescription w:val="This table summarises the presence of penalties for non-compliance.&#10;Australia, Canada, France, New Zealand, Singapore and the United Kingdom has financial penalties for non-compliance, noting that in Canada they only apply to wholesale services, and in the UK penalties commence from 2019."/>
      </w:tblPr>
      <w:tblGrid>
        <w:gridCol w:w="3545"/>
        <w:gridCol w:w="666"/>
        <w:gridCol w:w="665"/>
        <w:gridCol w:w="665"/>
        <w:gridCol w:w="665"/>
        <w:gridCol w:w="665"/>
        <w:gridCol w:w="665"/>
        <w:gridCol w:w="665"/>
      </w:tblGrid>
      <w:tr w:rsidR="00582FBF" w:rsidRPr="00582FBF" w14:paraId="6D2DCF87" w14:textId="77777777" w:rsidTr="00763662">
        <w:trPr>
          <w:cnfStyle w:val="100000000000" w:firstRow="1" w:lastRow="0" w:firstColumn="0" w:lastColumn="0" w:oddVBand="0" w:evenVBand="0" w:oddHBand="0" w:evenHBand="0" w:firstRowFirstColumn="0" w:firstRowLastColumn="0" w:lastRowFirstColumn="0" w:lastRowLastColumn="0"/>
          <w:cantSplit/>
          <w:trHeight w:val="1610"/>
        </w:trPr>
        <w:tc>
          <w:tcPr>
            <w:cnfStyle w:val="000000000100" w:firstRow="0" w:lastRow="0" w:firstColumn="0" w:lastColumn="0" w:oddVBand="0" w:evenVBand="0" w:oddHBand="0" w:evenHBand="0" w:firstRowFirstColumn="1" w:firstRowLastColumn="0" w:lastRowFirstColumn="0" w:lastRowLastColumn="0"/>
            <w:tcW w:w="3657" w:type="dxa"/>
          </w:tcPr>
          <w:p w14:paraId="5F1ACA16" w14:textId="77777777" w:rsidR="00F36806" w:rsidRPr="00582FBF" w:rsidRDefault="00F36806" w:rsidP="00582FBF">
            <w:pPr>
              <w:pStyle w:val="TableColumnHeadingNormal"/>
              <w:rPr>
                <w:rFonts w:eastAsia="Georgia"/>
              </w:rPr>
            </w:pPr>
            <w:r w:rsidRPr="00582FBF">
              <w:t xml:space="preserve"> </w:t>
            </w:r>
          </w:p>
        </w:tc>
        <w:tc>
          <w:tcPr>
            <w:tcW w:w="680" w:type="dxa"/>
            <w:textDirection w:val="btLr"/>
            <w:vAlign w:val="center"/>
          </w:tcPr>
          <w:p w14:paraId="21C78CC7" w14:textId="77777777" w:rsidR="00F36806" w:rsidRPr="00582FBF" w:rsidRDefault="00F36806" w:rsidP="00582FBF">
            <w:pPr>
              <w:pStyle w:val="TableColumnHeadingNormal"/>
              <w:ind w:left="113" w:right="113"/>
              <w:jc w:val="left"/>
              <w:cnfStyle w:val="100000000000" w:firstRow="1" w:lastRow="0" w:firstColumn="0" w:lastColumn="0" w:oddVBand="0" w:evenVBand="0" w:oddHBand="0" w:evenHBand="0" w:firstRowFirstColumn="0" w:firstRowLastColumn="0" w:lastRowFirstColumn="0" w:lastRowLastColumn="0"/>
              <w:rPr>
                <w:rFonts w:eastAsia="Georgia"/>
              </w:rPr>
            </w:pPr>
            <w:r w:rsidRPr="00582FBF">
              <w:rPr>
                <w:rFonts w:eastAsia="Georgia"/>
              </w:rPr>
              <w:t>Australia</w:t>
            </w:r>
          </w:p>
        </w:tc>
        <w:tc>
          <w:tcPr>
            <w:tcW w:w="680" w:type="dxa"/>
            <w:textDirection w:val="btLr"/>
            <w:vAlign w:val="center"/>
          </w:tcPr>
          <w:p w14:paraId="7F707F83" w14:textId="77777777" w:rsidR="00F36806" w:rsidRPr="00582FBF" w:rsidRDefault="00F36806" w:rsidP="00582FBF">
            <w:pPr>
              <w:pStyle w:val="TableColumnHeadingNormal"/>
              <w:ind w:left="113" w:right="113"/>
              <w:jc w:val="left"/>
              <w:cnfStyle w:val="100000000000" w:firstRow="1" w:lastRow="0" w:firstColumn="0" w:lastColumn="0" w:oddVBand="0" w:evenVBand="0" w:oddHBand="0" w:evenHBand="0" w:firstRowFirstColumn="0" w:firstRowLastColumn="0" w:lastRowFirstColumn="0" w:lastRowLastColumn="0"/>
              <w:rPr>
                <w:rFonts w:eastAsia="Georgia"/>
              </w:rPr>
            </w:pPr>
            <w:r w:rsidRPr="00582FBF">
              <w:rPr>
                <w:rFonts w:eastAsia="Georgia"/>
              </w:rPr>
              <w:t>Canada</w:t>
            </w:r>
          </w:p>
        </w:tc>
        <w:tc>
          <w:tcPr>
            <w:tcW w:w="680" w:type="dxa"/>
            <w:textDirection w:val="btLr"/>
            <w:vAlign w:val="center"/>
          </w:tcPr>
          <w:p w14:paraId="19D8C0E6" w14:textId="77777777" w:rsidR="00F36806" w:rsidRPr="00582FBF" w:rsidRDefault="00F36806" w:rsidP="00582FBF">
            <w:pPr>
              <w:pStyle w:val="TableColumnHeadingNormal"/>
              <w:ind w:left="113" w:right="113"/>
              <w:jc w:val="left"/>
              <w:cnfStyle w:val="100000000000" w:firstRow="1" w:lastRow="0" w:firstColumn="0" w:lastColumn="0" w:oddVBand="0" w:evenVBand="0" w:oddHBand="0" w:evenHBand="0" w:firstRowFirstColumn="0" w:firstRowLastColumn="0" w:lastRowFirstColumn="0" w:lastRowLastColumn="0"/>
              <w:rPr>
                <w:rFonts w:eastAsia="Georgia"/>
              </w:rPr>
            </w:pPr>
            <w:r w:rsidRPr="00582FBF">
              <w:rPr>
                <w:rFonts w:eastAsia="Georgia"/>
              </w:rPr>
              <w:t>France</w:t>
            </w:r>
          </w:p>
        </w:tc>
        <w:tc>
          <w:tcPr>
            <w:tcW w:w="680" w:type="dxa"/>
            <w:textDirection w:val="btLr"/>
            <w:vAlign w:val="center"/>
          </w:tcPr>
          <w:p w14:paraId="0E7B4CD2" w14:textId="77777777" w:rsidR="00F36806" w:rsidRPr="00582FBF" w:rsidRDefault="00F36806" w:rsidP="00582FBF">
            <w:pPr>
              <w:pStyle w:val="TableColumnHeadingNormal"/>
              <w:ind w:left="113" w:right="113"/>
              <w:jc w:val="left"/>
              <w:cnfStyle w:val="100000000000" w:firstRow="1" w:lastRow="0" w:firstColumn="0" w:lastColumn="0" w:oddVBand="0" w:evenVBand="0" w:oddHBand="0" w:evenHBand="0" w:firstRowFirstColumn="0" w:firstRowLastColumn="0" w:lastRowFirstColumn="0" w:lastRowLastColumn="0"/>
              <w:rPr>
                <w:rFonts w:eastAsia="Georgia"/>
              </w:rPr>
            </w:pPr>
            <w:r w:rsidRPr="00582FBF">
              <w:rPr>
                <w:rFonts w:eastAsia="Georgia"/>
              </w:rPr>
              <w:t>New Zealand</w:t>
            </w:r>
          </w:p>
        </w:tc>
        <w:tc>
          <w:tcPr>
            <w:tcW w:w="680" w:type="dxa"/>
            <w:textDirection w:val="btLr"/>
            <w:vAlign w:val="center"/>
          </w:tcPr>
          <w:p w14:paraId="2B3ECAEA" w14:textId="77777777" w:rsidR="00F36806" w:rsidRPr="00582FBF" w:rsidRDefault="00F36806" w:rsidP="00582FBF">
            <w:pPr>
              <w:pStyle w:val="TableColumnHeadingNormal"/>
              <w:ind w:left="113" w:right="113"/>
              <w:jc w:val="left"/>
              <w:cnfStyle w:val="100000000000" w:firstRow="1" w:lastRow="0" w:firstColumn="0" w:lastColumn="0" w:oddVBand="0" w:evenVBand="0" w:oddHBand="0" w:evenHBand="0" w:firstRowFirstColumn="0" w:firstRowLastColumn="0" w:lastRowFirstColumn="0" w:lastRowLastColumn="0"/>
              <w:rPr>
                <w:rFonts w:eastAsia="Georgia"/>
              </w:rPr>
            </w:pPr>
            <w:r w:rsidRPr="00582FBF">
              <w:rPr>
                <w:rFonts w:eastAsia="Georgia"/>
              </w:rPr>
              <w:t>Singapore</w:t>
            </w:r>
          </w:p>
        </w:tc>
        <w:tc>
          <w:tcPr>
            <w:tcW w:w="680" w:type="dxa"/>
            <w:textDirection w:val="btLr"/>
            <w:vAlign w:val="center"/>
          </w:tcPr>
          <w:p w14:paraId="22FB3672" w14:textId="5922D52D" w:rsidR="00F36806" w:rsidRPr="00582FBF" w:rsidRDefault="00F36806" w:rsidP="00582FBF">
            <w:pPr>
              <w:pStyle w:val="TableColumnHeadingNormal"/>
              <w:ind w:left="113" w:right="113"/>
              <w:jc w:val="left"/>
              <w:cnfStyle w:val="100000000000" w:firstRow="1" w:lastRow="0" w:firstColumn="0" w:lastColumn="0" w:oddVBand="0" w:evenVBand="0" w:oddHBand="0" w:evenHBand="0" w:firstRowFirstColumn="0" w:firstRowLastColumn="0" w:lastRowFirstColumn="0" w:lastRowLastColumn="0"/>
              <w:rPr>
                <w:rFonts w:eastAsia="Georgia"/>
              </w:rPr>
            </w:pPr>
            <w:r w:rsidRPr="00582FBF">
              <w:rPr>
                <w:rFonts w:eastAsia="Georgia"/>
              </w:rPr>
              <w:t>UK</w:t>
            </w:r>
            <w:r w:rsidR="00F61130">
              <w:rPr>
                <w:rFonts w:eastAsia="Georgia"/>
              </w:rPr>
              <w:t>*</w:t>
            </w:r>
          </w:p>
        </w:tc>
        <w:tc>
          <w:tcPr>
            <w:tcW w:w="680" w:type="dxa"/>
            <w:textDirection w:val="btLr"/>
            <w:vAlign w:val="center"/>
          </w:tcPr>
          <w:p w14:paraId="1A64792D" w14:textId="35462B87" w:rsidR="00F36806" w:rsidRPr="00582FBF" w:rsidRDefault="00F36806" w:rsidP="00582FBF">
            <w:pPr>
              <w:pStyle w:val="TableColumnHeadingNormal"/>
              <w:ind w:left="113" w:right="113"/>
              <w:jc w:val="left"/>
              <w:cnfStyle w:val="100000000000" w:firstRow="1" w:lastRow="0" w:firstColumn="0" w:lastColumn="0" w:oddVBand="0" w:evenVBand="0" w:oddHBand="0" w:evenHBand="0" w:firstRowFirstColumn="0" w:firstRowLastColumn="0" w:lastRowFirstColumn="0" w:lastRowLastColumn="0"/>
              <w:rPr>
                <w:rFonts w:eastAsia="Georgia"/>
              </w:rPr>
            </w:pPr>
            <w:r w:rsidRPr="00582FBF">
              <w:rPr>
                <w:rFonts w:eastAsia="Georgia"/>
              </w:rPr>
              <w:t>US</w:t>
            </w:r>
            <w:r w:rsidR="00CB06FA" w:rsidRPr="00582FBF">
              <w:rPr>
                <w:rFonts w:eastAsia="Georgia"/>
              </w:rPr>
              <w:t>A</w:t>
            </w:r>
          </w:p>
        </w:tc>
      </w:tr>
      <w:tr w:rsidR="00582FBF" w:rsidRPr="00CB5B9C" w14:paraId="50EF5936" w14:textId="77777777" w:rsidTr="00763662">
        <w:trPr>
          <w:trHeight w:val="259"/>
        </w:trPr>
        <w:tc>
          <w:tcPr>
            <w:tcW w:w="3657" w:type="dxa"/>
          </w:tcPr>
          <w:p w14:paraId="7876439A" w14:textId="77777777" w:rsidR="00F36806" w:rsidRPr="00CB5B9C" w:rsidRDefault="00F36806" w:rsidP="00582FBF">
            <w:pPr>
              <w:pStyle w:val="TableTextNormal"/>
              <w:rPr>
                <w:rFonts w:eastAsia="Georgia"/>
              </w:rPr>
            </w:pPr>
            <w:r w:rsidRPr="00CB5B9C">
              <w:rPr>
                <w:rFonts w:eastAsia="Georgia"/>
              </w:rPr>
              <w:t>Financial</w:t>
            </w:r>
          </w:p>
        </w:tc>
        <w:tc>
          <w:tcPr>
            <w:tcW w:w="680" w:type="dxa"/>
          </w:tcPr>
          <w:p w14:paraId="6C0C58B7" w14:textId="77777777" w:rsidR="00F36806" w:rsidRPr="00CB5B9C" w:rsidRDefault="00F36806" w:rsidP="00582FBF">
            <w:pPr>
              <w:pStyle w:val="TableTextNormal"/>
              <w:jc w:val="center"/>
              <w:rPr>
                <w:rFonts w:ascii="Arial Unicode MS" w:eastAsia="Arial Unicode MS" w:hAnsi="Arial Unicode MS" w:cs="Arial Unicode MS"/>
                <w:b/>
                <w:color w:val="000000"/>
                <w:sz w:val="22"/>
                <w:szCs w:val="22"/>
              </w:rPr>
            </w:pPr>
            <w:r w:rsidRPr="00CB5B9C">
              <w:rPr>
                <w:rFonts w:ascii="Arial Unicode MS" w:eastAsia="Arial Unicode MS" w:hAnsi="Arial Unicode MS" w:cs="Arial Unicode MS" w:hint="eastAsia"/>
                <w:b/>
                <w:sz w:val="22"/>
                <w:szCs w:val="22"/>
              </w:rPr>
              <w:t>✓</w:t>
            </w:r>
          </w:p>
        </w:tc>
        <w:tc>
          <w:tcPr>
            <w:tcW w:w="680" w:type="dxa"/>
          </w:tcPr>
          <w:p w14:paraId="30B4425E" w14:textId="3C8FE7E8" w:rsidR="00F36806" w:rsidRPr="00CB5B9C" w:rsidRDefault="00F36806" w:rsidP="00582FBF">
            <w:pPr>
              <w:pStyle w:val="TableTextNormal"/>
              <w:jc w:val="center"/>
              <w:rPr>
                <w:rFonts w:ascii="Arial Unicode MS" w:eastAsia="Arial Unicode MS" w:hAnsi="Arial Unicode MS" w:cs="Arial Unicode MS"/>
                <w:b/>
                <w:color w:val="000000"/>
                <w:sz w:val="22"/>
                <w:szCs w:val="22"/>
              </w:rPr>
            </w:pPr>
            <w:r w:rsidRPr="00CB5B9C">
              <w:rPr>
                <w:rFonts w:ascii="Arial Unicode MS" w:eastAsia="Arial Unicode MS" w:hAnsi="Arial Unicode MS" w:cs="Arial Unicode MS" w:hint="eastAsia"/>
                <w:b/>
                <w:sz w:val="22"/>
                <w:szCs w:val="22"/>
              </w:rPr>
              <w:t>✓</w:t>
            </w:r>
            <w:r w:rsidR="003F5610">
              <w:rPr>
                <w:rFonts w:ascii="Arial Unicode MS" w:eastAsia="Arial Unicode MS" w:hAnsi="Arial Unicode MS" w:cs="Arial Unicode MS" w:hint="eastAsia"/>
                <w:b/>
                <w:sz w:val="22"/>
                <w:szCs w:val="22"/>
              </w:rPr>
              <w:t>*</w:t>
            </w:r>
            <w:r w:rsidR="00F61130">
              <w:rPr>
                <w:rFonts w:ascii="Arial Unicode MS" w:eastAsia="Arial Unicode MS" w:hAnsi="Arial Unicode MS" w:cs="Arial Unicode MS"/>
                <w:b/>
                <w:sz w:val="22"/>
                <w:szCs w:val="22"/>
              </w:rPr>
              <w:t>*</w:t>
            </w:r>
          </w:p>
        </w:tc>
        <w:tc>
          <w:tcPr>
            <w:tcW w:w="680" w:type="dxa"/>
          </w:tcPr>
          <w:p w14:paraId="0E62DA8E" w14:textId="4B620244" w:rsidR="00F36806" w:rsidRPr="00CB5B9C" w:rsidRDefault="00F36806" w:rsidP="00582FBF">
            <w:pPr>
              <w:pStyle w:val="TableTextNormal"/>
              <w:jc w:val="center"/>
              <w:rPr>
                <w:rFonts w:ascii="Arial Unicode MS" w:eastAsia="Arial Unicode MS" w:hAnsi="Arial Unicode MS" w:cs="Arial Unicode MS"/>
                <w:b/>
                <w:color w:val="000000"/>
                <w:sz w:val="22"/>
                <w:szCs w:val="22"/>
              </w:rPr>
            </w:pPr>
            <w:r w:rsidRPr="00CB5B9C">
              <w:rPr>
                <w:rFonts w:ascii="Arial Unicode MS" w:eastAsia="Arial Unicode MS" w:hAnsi="Arial Unicode MS" w:cs="Arial Unicode MS" w:hint="eastAsia"/>
                <w:b/>
                <w:sz w:val="22"/>
                <w:szCs w:val="22"/>
              </w:rPr>
              <w:t>✓</w:t>
            </w:r>
          </w:p>
        </w:tc>
        <w:tc>
          <w:tcPr>
            <w:tcW w:w="680" w:type="dxa"/>
          </w:tcPr>
          <w:p w14:paraId="7057D80A" w14:textId="77777777" w:rsidR="00F36806" w:rsidRPr="00CB5B9C" w:rsidRDefault="00F36806" w:rsidP="00582FBF">
            <w:pPr>
              <w:pStyle w:val="TableTextNormal"/>
              <w:jc w:val="center"/>
              <w:rPr>
                <w:rFonts w:ascii="Arial Unicode MS" w:eastAsia="Arial Unicode MS" w:hAnsi="Arial Unicode MS" w:cs="Arial Unicode MS"/>
                <w:b/>
                <w:color w:val="000000"/>
                <w:sz w:val="22"/>
                <w:szCs w:val="22"/>
              </w:rPr>
            </w:pPr>
            <w:r w:rsidRPr="00CB5B9C">
              <w:rPr>
                <w:rFonts w:ascii="Arial Unicode MS" w:eastAsia="Arial Unicode MS" w:hAnsi="Arial Unicode MS" w:cs="Arial Unicode MS" w:hint="eastAsia"/>
                <w:b/>
                <w:sz w:val="22"/>
                <w:szCs w:val="22"/>
              </w:rPr>
              <w:t>✓</w:t>
            </w:r>
          </w:p>
        </w:tc>
        <w:tc>
          <w:tcPr>
            <w:tcW w:w="680" w:type="dxa"/>
          </w:tcPr>
          <w:p w14:paraId="7507EBC5" w14:textId="77777777" w:rsidR="00F36806" w:rsidRPr="00CB5B9C" w:rsidRDefault="00F36806" w:rsidP="00582FBF">
            <w:pPr>
              <w:pStyle w:val="TableTextNormal"/>
              <w:jc w:val="center"/>
              <w:rPr>
                <w:rFonts w:ascii="Arial Unicode MS" w:eastAsia="Arial Unicode MS" w:hAnsi="Arial Unicode MS" w:cs="Arial Unicode MS"/>
                <w:b/>
                <w:color w:val="000000"/>
                <w:sz w:val="22"/>
                <w:szCs w:val="22"/>
              </w:rPr>
            </w:pPr>
            <w:r w:rsidRPr="00CB5B9C">
              <w:rPr>
                <w:rFonts w:ascii="Arial Unicode MS" w:eastAsia="Arial Unicode MS" w:hAnsi="Arial Unicode MS" w:cs="Arial Unicode MS" w:hint="eastAsia"/>
                <w:b/>
                <w:sz w:val="22"/>
                <w:szCs w:val="22"/>
              </w:rPr>
              <w:t>✓</w:t>
            </w:r>
          </w:p>
        </w:tc>
        <w:tc>
          <w:tcPr>
            <w:tcW w:w="680" w:type="dxa"/>
          </w:tcPr>
          <w:p w14:paraId="4BECDEC6" w14:textId="3AE8E7EB" w:rsidR="00F36806" w:rsidRPr="00CB5B9C" w:rsidRDefault="00F61130" w:rsidP="00582FBF">
            <w:pPr>
              <w:pStyle w:val="TableTextNormal"/>
              <w:jc w:val="center"/>
              <w:rPr>
                <w:rFonts w:ascii="Arial Unicode MS" w:eastAsia="Arial Unicode MS" w:hAnsi="Arial Unicode MS" w:cs="Arial Unicode MS"/>
                <w:b/>
                <w:color w:val="000000"/>
                <w:sz w:val="22"/>
                <w:szCs w:val="22"/>
              </w:rPr>
            </w:pPr>
            <w:r w:rsidRPr="00CB5B9C">
              <w:rPr>
                <w:rFonts w:ascii="Arial Unicode MS" w:eastAsia="Arial Unicode MS" w:hAnsi="Arial Unicode MS" w:cs="Arial Unicode MS" w:hint="eastAsia"/>
                <w:b/>
                <w:sz w:val="22"/>
                <w:szCs w:val="22"/>
              </w:rPr>
              <w:t>✓</w:t>
            </w:r>
          </w:p>
        </w:tc>
        <w:tc>
          <w:tcPr>
            <w:tcW w:w="680" w:type="dxa"/>
          </w:tcPr>
          <w:p w14:paraId="592B35A8" w14:textId="2776C855" w:rsidR="00F36806" w:rsidRPr="00CB5B9C" w:rsidRDefault="000B0990" w:rsidP="00582FBF">
            <w:pPr>
              <w:pStyle w:val="TableTextNormal"/>
              <w:jc w:val="center"/>
              <w:rPr>
                <w:rFonts w:ascii="Arial Unicode MS" w:eastAsia="Arial Unicode MS" w:hAnsi="Arial Unicode MS" w:cs="Arial Unicode MS"/>
                <w:b/>
                <w:color w:val="000000"/>
                <w:sz w:val="22"/>
                <w:szCs w:val="22"/>
              </w:rPr>
            </w:pPr>
            <w:r w:rsidRPr="000B0990">
              <w:rPr>
                <w:rFonts w:ascii="Arial Unicode MS" w:eastAsia="Arial Unicode MS" w:hAnsi="Arial Unicode MS" w:cs="Arial Unicode MS"/>
                <w:b/>
                <w:color w:val="000000"/>
                <w:sz w:val="22"/>
                <w:szCs w:val="22"/>
              </w:rPr>
              <w:t>✗</w:t>
            </w:r>
          </w:p>
        </w:tc>
      </w:tr>
    </w:tbl>
    <w:p w14:paraId="408F09EF" w14:textId="36B97BE2" w:rsidR="00582FBF" w:rsidRPr="00CB5B9C" w:rsidRDefault="00582FBF" w:rsidP="00582FBF">
      <w:pPr>
        <w:pStyle w:val="Sources"/>
        <w:rPr>
          <w:rFonts w:ascii="Arial Unicode MS" w:eastAsia="Arial Unicode MS" w:hAnsi="Arial Unicode MS" w:cs="Arial Unicode MS"/>
          <w:color w:val="000000"/>
          <w:szCs w:val="96"/>
        </w:rPr>
      </w:pPr>
      <w:r>
        <w:t xml:space="preserve">Note: </w:t>
      </w:r>
      <w:r>
        <w:rPr>
          <w:rFonts w:ascii="Arial Unicode MS" w:eastAsia="Arial Unicode MS" w:hAnsi="Arial Unicode MS" w:cs="Arial Unicode MS" w:hint="eastAsia"/>
          <w:szCs w:val="96"/>
        </w:rPr>
        <w:t>(</w:t>
      </w:r>
      <w:r w:rsidRPr="00CB5B9C">
        <w:rPr>
          <w:rFonts w:ascii="Arial Unicode MS" w:eastAsia="Arial Unicode MS" w:hAnsi="Arial Unicode MS" w:cs="Arial Unicode MS" w:hint="eastAsia"/>
          <w:szCs w:val="96"/>
        </w:rPr>
        <w:t>✓</w:t>
      </w:r>
      <w:r>
        <w:rPr>
          <w:rFonts w:ascii="Arial Unicode MS" w:eastAsia="Arial Unicode MS" w:hAnsi="Arial Unicode MS" w:cs="Arial Unicode MS" w:hint="eastAsia"/>
          <w:szCs w:val="96"/>
        </w:rPr>
        <w:t xml:space="preserve">) </w:t>
      </w:r>
      <w:r w:rsidRPr="00CB5B9C">
        <w:t>Telecommunication</w:t>
      </w:r>
      <w:r>
        <w:t>s</w:t>
      </w:r>
      <w:r w:rsidRPr="00CB5B9C">
        <w:t xml:space="preserve"> specific safeguard in place – not distinguished by service</w:t>
      </w:r>
      <w:r w:rsidR="000B0990">
        <w:t>.</w:t>
      </w:r>
      <w:r w:rsidR="002015B9">
        <w:br/>
      </w:r>
      <w:r>
        <w:t>(</w:t>
      </w:r>
      <w:r w:rsidRPr="00CB5B9C">
        <w:rPr>
          <w:rFonts w:ascii="Arial Unicode MS" w:eastAsia="Arial Unicode MS" w:hAnsi="Arial Unicode MS" w:cs="Arial Unicode MS" w:hint="eastAsia"/>
          <w:szCs w:val="96"/>
        </w:rPr>
        <w:t>✗</w:t>
      </w:r>
      <w:r>
        <w:rPr>
          <w:rFonts w:ascii="Arial Unicode MS" w:eastAsia="Arial Unicode MS" w:hAnsi="Arial Unicode MS" w:cs="Arial Unicode MS" w:hint="eastAsia"/>
          <w:szCs w:val="96"/>
        </w:rPr>
        <w:t xml:space="preserve">) </w:t>
      </w:r>
      <w:r w:rsidRPr="00CB5B9C">
        <w:t>No telecommunication</w:t>
      </w:r>
      <w:r>
        <w:t>s-</w:t>
      </w:r>
      <w:r w:rsidRPr="00CB5B9C">
        <w:t>specific safeguard identified</w:t>
      </w:r>
      <w:r>
        <w:t>:</w:t>
      </w:r>
    </w:p>
    <w:p w14:paraId="70B3DF0C" w14:textId="5E030968" w:rsidR="00F61130" w:rsidRPr="00F61130" w:rsidRDefault="00F61130" w:rsidP="00F61130">
      <w:pPr>
        <w:pStyle w:val="Sources"/>
      </w:pPr>
      <w:r>
        <w:t>* Commencing from 2019.</w:t>
      </w:r>
      <w:r>
        <w:br/>
        <w:t>** Wholesale only.</w:t>
      </w:r>
    </w:p>
    <w:p w14:paraId="74FB7C0D" w14:textId="4279A8BD" w:rsidR="00E2438D" w:rsidRDefault="008C2F3F" w:rsidP="008C2F3F">
      <w:pPr>
        <w:pStyle w:val="PwCNormal"/>
      </w:pPr>
      <w:r w:rsidRPr="00CB5B9C">
        <w:t xml:space="preserve">All countries </w:t>
      </w:r>
      <w:r w:rsidR="006C3EB1">
        <w:t>examined</w:t>
      </w:r>
      <w:r w:rsidR="00442273">
        <w:t xml:space="preserve"> </w:t>
      </w:r>
      <w:r w:rsidR="00385998">
        <w:t xml:space="preserve">other than the </w:t>
      </w:r>
      <w:r w:rsidR="000B0990">
        <w:t xml:space="preserve">USA </w:t>
      </w:r>
      <w:r w:rsidR="00012CAB" w:rsidRPr="00CB5B9C">
        <w:t>appear to have</w:t>
      </w:r>
      <w:r w:rsidRPr="00CB5B9C">
        <w:t xml:space="preserve"> the ability to impose</w:t>
      </w:r>
      <w:r w:rsidR="00012CAB" w:rsidRPr="00CB5B9C">
        <w:t xml:space="preserve"> </w:t>
      </w:r>
      <w:r w:rsidR="00385998">
        <w:t xml:space="preserve">financial </w:t>
      </w:r>
      <w:r w:rsidRPr="00CB5B9C">
        <w:t>penalties</w:t>
      </w:r>
      <w:r w:rsidR="00385998">
        <w:t xml:space="preserve"> </w:t>
      </w:r>
      <w:r w:rsidRPr="00CB5B9C">
        <w:t>on service providers</w:t>
      </w:r>
      <w:r w:rsidR="00385998">
        <w:t xml:space="preserve">, with </w:t>
      </w:r>
      <w:r w:rsidRPr="00CB5B9C">
        <w:t xml:space="preserve">two </w:t>
      </w:r>
      <w:r w:rsidR="00385998">
        <w:t xml:space="preserve">general </w:t>
      </w:r>
      <w:r w:rsidR="00DB0DD9">
        <w:t>approaches taken</w:t>
      </w:r>
      <w:r w:rsidR="00865664">
        <w:t>:</w:t>
      </w:r>
    </w:p>
    <w:p w14:paraId="77D2D3A1" w14:textId="77777777" w:rsidR="006721E0" w:rsidRDefault="006721E0" w:rsidP="006721E0">
      <w:pPr>
        <w:pStyle w:val="ListBullet"/>
      </w:pPr>
      <w:r w:rsidRPr="00CB5B9C">
        <w:t xml:space="preserve">Countries such as Australia, </w:t>
      </w:r>
      <w:r>
        <w:t xml:space="preserve">Canada, France, </w:t>
      </w:r>
      <w:r w:rsidRPr="00CB5B9C">
        <w:t>New</w:t>
      </w:r>
      <w:r>
        <w:t> </w:t>
      </w:r>
      <w:r w:rsidRPr="00CB5B9C">
        <w:t xml:space="preserve">Zealand, Singapore </w:t>
      </w:r>
      <w:r>
        <w:t xml:space="preserve">and the UK (from 2019) </w:t>
      </w:r>
      <w:r w:rsidRPr="00CB5B9C">
        <w:t>impose penalties where operators fail to meet required</w:t>
      </w:r>
      <w:r>
        <w:t xml:space="preserve"> standards.</w:t>
      </w:r>
    </w:p>
    <w:p w14:paraId="377625BB" w14:textId="78700E65" w:rsidR="00FA59CE" w:rsidRDefault="006721E0" w:rsidP="006721E0">
      <w:pPr>
        <w:pStyle w:val="ListBullet2"/>
      </w:pPr>
      <w:r>
        <w:t>Australia – between approximately $7 - $50 per infringement, depending on the type of infringement (outlined in detail in the Australia section).</w:t>
      </w:r>
    </w:p>
    <w:p w14:paraId="1DEFAE4D" w14:textId="77777777" w:rsidR="006721E0" w:rsidRPr="0068553A" w:rsidRDefault="006721E0" w:rsidP="006721E0">
      <w:pPr>
        <w:pStyle w:val="ListBullet2"/>
      </w:pPr>
      <w:r w:rsidRPr="0068553A">
        <w:t>Canada: Up to 5 per cent of revenues for the month</w:t>
      </w:r>
      <w:r>
        <w:t>.</w:t>
      </w:r>
      <w:r>
        <w:rPr>
          <w:rStyle w:val="FootnoteReference"/>
        </w:rPr>
        <w:footnoteReference w:id="15"/>
      </w:r>
    </w:p>
    <w:p w14:paraId="0EFE728D" w14:textId="77777777" w:rsidR="006721E0" w:rsidRPr="0068553A" w:rsidRDefault="006721E0" w:rsidP="006721E0">
      <w:pPr>
        <w:pStyle w:val="ListBullet2"/>
      </w:pPr>
      <w:r w:rsidRPr="0068553A">
        <w:lastRenderedPageBreak/>
        <w:t xml:space="preserve">France: Up to 3 per cent of annual revenue or EUR 150,000 </w:t>
      </w:r>
      <w:r>
        <w:rPr>
          <w:rFonts w:eastAsia="Georgia" w:cs="Georgia"/>
        </w:rPr>
        <w:t>(~AUD$</w:t>
      </w:r>
      <w:r w:rsidRPr="00DD7896">
        <w:t>236,773</w:t>
      </w:r>
      <w:r>
        <w:t xml:space="preserve">) </w:t>
      </w:r>
      <w:r w:rsidRPr="0068553A">
        <w:t>where this cannot be assessed</w:t>
      </w:r>
      <w:r>
        <w:t>.</w:t>
      </w:r>
      <w:r>
        <w:rPr>
          <w:rStyle w:val="FootnoteReference"/>
        </w:rPr>
        <w:footnoteReference w:id="16"/>
      </w:r>
    </w:p>
    <w:p w14:paraId="527D5600" w14:textId="62B9A020" w:rsidR="006721E0" w:rsidRDefault="006721E0" w:rsidP="006721E0">
      <w:pPr>
        <w:pStyle w:val="ListBullet2"/>
      </w:pPr>
      <w:r w:rsidRPr="0068553A">
        <w:t>Singapore: Up to 50,000 Singapore Dollars</w:t>
      </w:r>
      <w:r>
        <w:rPr>
          <w:rStyle w:val="FootnoteReference"/>
        </w:rPr>
        <w:footnoteReference w:id="17"/>
      </w:r>
      <w:r>
        <w:t xml:space="preserve"> (~AUD$</w:t>
      </w:r>
      <w:r w:rsidRPr="00DD7896">
        <w:t>49,551</w:t>
      </w:r>
      <w:r>
        <w:t>).</w:t>
      </w:r>
    </w:p>
    <w:p w14:paraId="2D59227B" w14:textId="3C6D1C55" w:rsidR="006721E0" w:rsidRPr="0068553A" w:rsidRDefault="006721E0" w:rsidP="006721E0">
      <w:pPr>
        <w:pStyle w:val="ListBullet2"/>
      </w:pPr>
      <w:r>
        <w:t xml:space="preserve">From 2019, under the new UK automatic compensation scheme, service providers will be </w:t>
      </w:r>
      <w:r w:rsidR="008A504A">
        <w:t>required to pay a minimum of £25</w:t>
      </w:r>
      <w:r>
        <w:t xml:space="preserve"> to the consumer (</w:t>
      </w:r>
      <w:r>
        <w:rPr>
          <w:rFonts w:eastAsia="Georgia" w:cs="Georgia"/>
        </w:rPr>
        <w:t>~AUD$</w:t>
      </w:r>
      <w:r w:rsidR="008A504A">
        <w:t>45</w:t>
      </w:r>
      <w:r>
        <w:t>) where they miss an appointment to install a fixed telephone service.</w:t>
      </w:r>
    </w:p>
    <w:p w14:paraId="7B98648D" w14:textId="58D7E5D1" w:rsidR="00385998" w:rsidRDefault="00233CF7" w:rsidP="009E79D7">
      <w:pPr>
        <w:pStyle w:val="ListBullet"/>
        <w:keepLines/>
      </w:pPr>
      <w:r>
        <w:t xml:space="preserve">The </w:t>
      </w:r>
      <w:r w:rsidR="00C93E58">
        <w:t>enforcement bureau of the USA regulator</w:t>
      </w:r>
      <w:r w:rsidR="000541B7">
        <w:t xml:space="preserve"> </w:t>
      </w:r>
      <w:r>
        <w:t>has the authority to impose penalties on telecommunications service providers</w:t>
      </w:r>
      <w:r w:rsidR="00C93E58">
        <w:t xml:space="preserve"> relating to consumer protection</w:t>
      </w:r>
      <w:r>
        <w:t xml:space="preserve">, but </w:t>
      </w:r>
      <w:r w:rsidR="00C93E58">
        <w:t xml:space="preserve">establishing and enforcing telecommunications service quality standards or requirements is </w:t>
      </w:r>
      <w:r>
        <w:t xml:space="preserve">the </w:t>
      </w:r>
      <w:r w:rsidR="00C93E58">
        <w:t>purview of individual States.</w:t>
      </w:r>
      <w:r w:rsidR="00367B4D">
        <w:t xml:space="preserve"> These standards or requirements do not appear to be universally applied, and may be applied by exception where a problem has been identified.</w:t>
      </w:r>
      <w:r w:rsidR="00367B4D">
        <w:rPr>
          <w:rStyle w:val="FootnoteReference"/>
        </w:rPr>
        <w:footnoteReference w:id="18"/>
      </w:r>
    </w:p>
    <w:p w14:paraId="4220FBCB" w14:textId="51DB7DB8" w:rsidR="00E46C08" w:rsidRPr="00225950" w:rsidRDefault="00325598" w:rsidP="00325598">
      <w:pPr>
        <w:pStyle w:val="Heading2Nospacing"/>
        <w:pageBreakBefore/>
      </w:pPr>
      <w:bookmarkStart w:id="28" w:name="_Toc518337345"/>
      <w:bookmarkStart w:id="29" w:name="_Toc525650412"/>
      <w:r>
        <w:lastRenderedPageBreak/>
        <w:t>3.</w:t>
      </w:r>
      <w:r>
        <w:tab/>
      </w:r>
      <w:r w:rsidR="007D51DB">
        <w:t>International models</w:t>
      </w:r>
      <w:bookmarkEnd w:id="28"/>
      <w:bookmarkEnd w:id="29"/>
    </w:p>
    <w:p w14:paraId="43FD9D45" w14:textId="0A424879" w:rsidR="000A2486" w:rsidRPr="00225950" w:rsidRDefault="00340208" w:rsidP="007D7270">
      <w:pPr>
        <w:pStyle w:val="PwCNormal"/>
      </w:pPr>
      <w:r w:rsidRPr="00225950">
        <w:t>The section</w:t>
      </w:r>
      <w:r w:rsidR="000A2486" w:rsidRPr="00225950">
        <w:t xml:space="preserve"> below outline</w:t>
      </w:r>
      <w:r w:rsidRPr="00225950">
        <w:t>s the</w:t>
      </w:r>
      <w:r w:rsidR="007D51DB">
        <w:t xml:space="preserve"> regulatory powers of the</w:t>
      </w:r>
      <w:r w:rsidRPr="00225950">
        <w:t xml:space="preserve"> </w:t>
      </w:r>
      <w:r w:rsidR="007D51DB">
        <w:t>Australian Communications and Media Authority (</w:t>
      </w:r>
      <w:r w:rsidRPr="00225950">
        <w:t>ACMA</w:t>
      </w:r>
      <w:r w:rsidR="007D51DB">
        <w:t>)</w:t>
      </w:r>
      <w:r w:rsidRPr="00225950">
        <w:t xml:space="preserve"> to enforce reliability in the telecommunications sector. This is </w:t>
      </w:r>
      <w:r w:rsidR="000D558C">
        <w:t xml:space="preserve">then </w:t>
      </w:r>
      <w:r w:rsidRPr="00225950">
        <w:t xml:space="preserve">used </w:t>
      </w:r>
      <w:r w:rsidR="000A2486" w:rsidRPr="00225950">
        <w:t>as the basis for comparison</w:t>
      </w:r>
      <w:r w:rsidR="000D558C">
        <w:t xml:space="preserve"> with other countries</w:t>
      </w:r>
      <w:r w:rsidR="000A2486" w:rsidRPr="00225950">
        <w:t>.</w:t>
      </w:r>
    </w:p>
    <w:p w14:paraId="371FC7EF" w14:textId="1C3526DC" w:rsidR="000A2486" w:rsidRPr="00225950" w:rsidRDefault="00325598" w:rsidP="00325598">
      <w:pPr>
        <w:pStyle w:val="Heading3"/>
        <w:numPr>
          <w:ilvl w:val="0"/>
          <w:numId w:val="0"/>
        </w:numPr>
        <w:ind w:left="851" w:hanging="851"/>
      </w:pPr>
      <w:bookmarkStart w:id="30" w:name="_Toc518337346"/>
      <w:bookmarkStart w:id="31" w:name="_Toc525650413"/>
      <w:r>
        <w:t>3.1</w:t>
      </w:r>
      <w:r>
        <w:tab/>
      </w:r>
      <w:r w:rsidR="000A2486" w:rsidRPr="00225950">
        <w:t>Australia</w:t>
      </w:r>
      <w:bookmarkEnd w:id="30"/>
      <w:bookmarkEnd w:id="31"/>
    </w:p>
    <w:p w14:paraId="51E66A9E" w14:textId="162FBC01" w:rsidR="00FA2001" w:rsidRPr="00225950" w:rsidRDefault="00FA2001" w:rsidP="00FA2001">
      <w:pPr>
        <w:pStyle w:val="PwCNormal"/>
        <w:rPr>
          <w:rFonts w:eastAsia="Georgia"/>
          <w:snapToGrid/>
        </w:rPr>
      </w:pPr>
      <w:r w:rsidRPr="00225950">
        <w:rPr>
          <w:rFonts w:eastAsia="Georgia"/>
          <w:snapToGrid/>
        </w:rPr>
        <w:t xml:space="preserve">The ACMA is an independent statutory authority tasked with regulating Australia’s media and communications industry. Its remit is to drive the effective and efficient operation of the industry in the public interest. </w:t>
      </w:r>
      <w:r w:rsidR="00095FDF">
        <w:rPr>
          <w:rFonts w:eastAsia="Georgia"/>
          <w:snapToGrid/>
        </w:rPr>
        <w:t xml:space="preserve">The </w:t>
      </w:r>
      <w:r>
        <w:rPr>
          <w:rFonts w:eastAsia="Georgia"/>
          <w:snapToGrid/>
        </w:rPr>
        <w:t>ACMA</w:t>
      </w:r>
      <w:r w:rsidRPr="00225950">
        <w:rPr>
          <w:rFonts w:eastAsia="Georgia"/>
          <w:snapToGrid/>
        </w:rPr>
        <w:t xml:space="preserve"> achieve</w:t>
      </w:r>
      <w:r w:rsidR="00095FDF">
        <w:rPr>
          <w:rFonts w:eastAsia="Georgia"/>
          <w:snapToGrid/>
        </w:rPr>
        <w:t>s</w:t>
      </w:r>
      <w:r w:rsidRPr="00225950">
        <w:rPr>
          <w:rFonts w:eastAsia="Georgia"/>
          <w:snapToGrid/>
        </w:rPr>
        <w:t xml:space="preserve"> </w:t>
      </w:r>
      <w:r w:rsidR="00095FDF">
        <w:rPr>
          <w:rFonts w:eastAsia="Georgia"/>
          <w:snapToGrid/>
        </w:rPr>
        <w:t>this</w:t>
      </w:r>
      <w:r>
        <w:rPr>
          <w:rFonts w:eastAsia="Georgia"/>
          <w:snapToGrid/>
        </w:rPr>
        <w:t xml:space="preserve"> </w:t>
      </w:r>
      <w:r w:rsidRPr="00225950">
        <w:rPr>
          <w:rFonts w:eastAsia="Georgia"/>
          <w:snapToGrid/>
        </w:rPr>
        <w:t>through legislation, regulation, derived standards and codes of practice</w:t>
      </w:r>
      <w:r>
        <w:rPr>
          <w:rFonts w:eastAsia="Georgia"/>
          <w:snapToGrid/>
        </w:rPr>
        <w:t>.</w:t>
      </w:r>
      <w:r w:rsidRPr="00225950">
        <w:rPr>
          <w:rStyle w:val="FootnoteReference"/>
          <w:rFonts w:eastAsia="Georgia"/>
          <w:snapToGrid/>
          <w:color w:val="000000"/>
        </w:rPr>
        <w:footnoteReference w:id="19"/>
      </w:r>
    </w:p>
    <w:p w14:paraId="23B67DEA" w14:textId="404C3619" w:rsidR="00FA2001" w:rsidRPr="00225950" w:rsidRDefault="00FA2001" w:rsidP="00FA2001">
      <w:pPr>
        <w:pStyle w:val="PwCNormal"/>
        <w:rPr>
          <w:rFonts w:eastAsia="Georgia"/>
          <w:snapToGrid/>
        </w:rPr>
      </w:pPr>
      <w:r w:rsidRPr="00225950">
        <w:rPr>
          <w:rFonts w:eastAsia="Georgia"/>
          <w:snapToGrid/>
        </w:rPr>
        <w:t xml:space="preserve">The </w:t>
      </w:r>
      <w:r w:rsidRPr="002B10EB">
        <w:rPr>
          <w:rFonts w:eastAsia="Georgia"/>
          <w:i/>
          <w:snapToGrid/>
        </w:rPr>
        <w:t>Telecommunications Act 1997</w:t>
      </w:r>
      <w:r w:rsidRPr="00AF25CC">
        <w:rPr>
          <w:rFonts w:eastAsia="Georgia"/>
          <w:snapToGrid/>
        </w:rPr>
        <w:t xml:space="preserve"> is</w:t>
      </w:r>
      <w:r w:rsidRPr="00D0797A">
        <w:rPr>
          <w:rFonts w:eastAsia="Georgia"/>
          <w:snapToGrid/>
        </w:rPr>
        <w:t xml:space="preserve"> </w:t>
      </w:r>
      <w:r w:rsidRPr="00225950">
        <w:rPr>
          <w:rFonts w:eastAsia="Georgia"/>
          <w:snapToGrid/>
        </w:rPr>
        <w:t>the primary piece of legislation</w:t>
      </w:r>
      <w:r w:rsidR="00362413">
        <w:rPr>
          <w:rFonts w:eastAsia="Georgia"/>
          <w:snapToGrid/>
        </w:rPr>
        <w:t>. Its objective is</w:t>
      </w:r>
      <w:r w:rsidRPr="00225950">
        <w:rPr>
          <w:rFonts w:eastAsia="Georgia"/>
          <w:snapToGrid/>
        </w:rPr>
        <w:t xml:space="preserve"> to provide a </w:t>
      </w:r>
      <w:r w:rsidR="00362413">
        <w:rPr>
          <w:rFonts w:eastAsia="Georgia"/>
          <w:snapToGrid/>
        </w:rPr>
        <w:t xml:space="preserve">regulatory </w:t>
      </w:r>
      <w:r w:rsidRPr="00225950">
        <w:rPr>
          <w:rFonts w:eastAsia="Georgia"/>
          <w:snapToGrid/>
        </w:rPr>
        <w:t xml:space="preserve">framework that </w:t>
      </w:r>
      <w:r w:rsidR="00362413">
        <w:rPr>
          <w:rFonts w:eastAsia="Georgia"/>
          <w:snapToGrid/>
        </w:rPr>
        <w:t>promotes</w:t>
      </w:r>
      <w:r w:rsidRPr="00225950">
        <w:rPr>
          <w:rFonts w:eastAsia="Georgia"/>
          <w:snapToGrid/>
        </w:rPr>
        <w:t>:</w:t>
      </w:r>
    </w:p>
    <w:p w14:paraId="4A924A07" w14:textId="08B7AD8C" w:rsidR="00FA59CE" w:rsidRDefault="00FA2001" w:rsidP="00FA2001">
      <w:pPr>
        <w:pStyle w:val="ListBullet"/>
        <w:rPr>
          <w:rFonts w:eastAsia="Georgia"/>
          <w:snapToGrid/>
        </w:rPr>
      </w:pPr>
      <w:r w:rsidRPr="00225950">
        <w:rPr>
          <w:rFonts w:eastAsia="Georgia"/>
          <w:snapToGrid/>
        </w:rPr>
        <w:t>the long</w:t>
      </w:r>
      <w:r w:rsidR="00095FDF">
        <w:rPr>
          <w:rFonts w:ascii="Times New Roman" w:eastAsia="Georgia" w:hAnsi="Times New Roman"/>
          <w:snapToGrid/>
        </w:rPr>
        <w:t>-</w:t>
      </w:r>
      <w:r w:rsidRPr="00225950">
        <w:rPr>
          <w:rFonts w:eastAsia="Georgia"/>
          <w:snapToGrid/>
        </w:rPr>
        <w:t>term interests of end</w:t>
      </w:r>
      <w:r w:rsidR="00095FDF">
        <w:rPr>
          <w:rFonts w:ascii="Times New Roman" w:eastAsia="Georgia" w:hAnsi="Times New Roman"/>
          <w:snapToGrid/>
        </w:rPr>
        <w:t>-</w:t>
      </w:r>
      <w:r w:rsidRPr="00225950">
        <w:rPr>
          <w:rFonts w:eastAsia="Georgia"/>
          <w:snapToGrid/>
        </w:rPr>
        <w:t>users or of services provided</w:t>
      </w:r>
    </w:p>
    <w:p w14:paraId="1EFC87DA" w14:textId="77777777" w:rsidR="00FA2001" w:rsidRPr="00225950" w:rsidRDefault="00FA2001" w:rsidP="00FA2001">
      <w:pPr>
        <w:pStyle w:val="ListBullet"/>
        <w:rPr>
          <w:rFonts w:eastAsia="Georgia"/>
          <w:snapToGrid/>
        </w:rPr>
      </w:pPr>
      <w:r w:rsidRPr="00225950">
        <w:rPr>
          <w:rFonts w:eastAsia="Georgia"/>
          <w:snapToGrid/>
        </w:rPr>
        <w:t>the efficiency and international competitiveness of the Australian telecommunications industry</w:t>
      </w:r>
    </w:p>
    <w:p w14:paraId="58F48000" w14:textId="77777777" w:rsidR="00FA2001" w:rsidRPr="00225950" w:rsidRDefault="00FA2001" w:rsidP="00FA2001">
      <w:pPr>
        <w:pStyle w:val="ListBullet"/>
        <w:rPr>
          <w:rFonts w:eastAsia="Georgia"/>
          <w:snapToGrid/>
        </w:rPr>
      </w:pPr>
      <w:r w:rsidRPr="00225950">
        <w:rPr>
          <w:rFonts w:eastAsia="Georgia"/>
          <w:snapToGrid/>
        </w:rPr>
        <w:t>the availability of accessible and affordable service</w:t>
      </w:r>
      <w:r>
        <w:rPr>
          <w:rFonts w:eastAsia="Georgia"/>
          <w:snapToGrid/>
        </w:rPr>
        <w:t xml:space="preserve"> providers</w:t>
      </w:r>
      <w:r w:rsidRPr="00225950">
        <w:rPr>
          <w:rFonts w:eastAsia="Georgia"/>
          <w:snapToGrid/>
        </w:rPr>
        <w:t xml:space="preserve"> that enhance the welfare of Australians.</w:t>
      </w:r>
    </w:p>
    <w:p w14:paraId="36DF569E" w14:textId="5D219E76" w:rsidR="00FA2001" w:rsidRPr="00225950" w:rsidRDefault="00FA2001" w:rsidP="00FA2001">
      <w:pPr>
        <w:pStyle w:val="PwCNormal"/>
        <w:rPr>
          <w:rFonts w:eastAsia="Georgia"/>
          <w:snapToGrid/>
        </w:rPr>
      </w:pPr>
      <w:r>
        <w:rPr>
          <w:rFonts w:eastAsia="Georgia"/>
          <w:snapToGrid/>
        </w:rPr>
        <w:t>According to</w:t>
      </w:r>
      <w:r w:rsidRPr="00225950">
        <w:rPr>
          <w:rFonts w:eastAsia="Georgia"/>
          <w:snapToGrid/>
        </w:rPr>
        <w:t xml:space="preserve"> the </w:t>
      </w:r>
      <w:r w:rsidRPr="002F0392">
        <w:rPr>
          <w:rFonts w:eastAsia="Georgia"/>
          <w:i/>
          <w:snapToGrid/>
        </w:rPr>
        <w:t>Telecommunications Act</w:t>
      </w:r>
      <w:r w:rsidR="002F0392" w:rsidRPr="002F0392">
        <w:rPr>
          <w:rFonts w:eastAsia="Georgia"/>
          <w:i/>
          <w:snapToGrid/>
        </w:rPr>
        <w:t xml:space="preserve"> 1997</w:t>
      </w:r>
      <w:r w:rsidRPr="00225950">
        <w:rPr>
          <w:rFonts w:eastAsia="Georgia"/>
          <w:snapToGrid/>
        </w:rPr>
        <w:t>, it is the ACMA’s responsibility to monitor and report to the Minister each financial year. This should include all significant matters relating to the performance of carrier and service providers</w:t>
      </w:r>
      <w:r w:rsidR="008D4DF1">
        <w:rPr>
          <w:rFonts w:eastAsia="Georgia"/>
          <w:snapToGrid/>
        </w:rPr>
        <w:t>, w</w:t>
      </w:r>
      <w:r w:rsidRPr="00225950">
        <w:rPr>
          <w:rFonts w:eastAsia="Georgia"/>
          <w:snapToGrid/>
        </w:rPr>
        <w:t>ith particular reference paid to consumer satisfaction, consumer benefits and quality of service.</w:t>
      </w:r>
      <w:r w:rsidRPr="00225950">
        <w:rPr>
          <w:rStyle w:val="FootnoteReference"/>
          <w:rFonts w:eastAsia="Georgia"/>
          <w:snapToGrid/>
          <w:color w:val="000000"/>
        </w:rPr>
        <w:footnoteReference w:id="20"/>
      </w:r>
    </w:p>
    <w:p w14:paraId="310AC457" w14:textId="73A7EE40" w:rsidR="00FA2001" w:rsidRPr="006721E0" w:rsidRDefault="00FA2001" w:rsidP="006B7CA5">
      <w:pPr>
        <w:pStyle w:val="PwCNormal"/>
        <w:rPr>
          <w:rFonts w:eastAsia="Georgia"/>
          <w:snapToGrid/>
        </w:rPr>
      </w:pPr>
      <w:r w:rsidRPr="006721E0">
        <w:rPr>
          <w:rFonts w:eastAsia="Georgia"/>
          <w:snapToGrid/>
        </w:rPr>
        <w:t xml:space="preserve">The </w:t>
      </w:r>
      <w:r w:rsidR="00ED225F" w:rsidRPr="006721E0">
        <w:rPr>
          <w:rFonts w:eastAsia="Georgia"/>
          <w:snapToGrid/>
        </w:rPr>
        <w:t>ACCC</w:t>
      </w:r>
      <w:r w:rsidRPr="006721E0">
        <w:rPr>
          <w:rFonts w:eastAsia="Georgia"/>
          <w:snapToGrid/>
        </w:rPr>
        <w:t xml:space="preserve"> plays a complementary role to the ACMA, with respect to economic aspects of the media and communications industry, including competition policy, pricing and access regimes</w:t>
      </w:r>
      <w:r w:rsidR="00EF1FB0" w:rsidRPr="006721E0">
        <w:rPr>
          <w:rFonts w:eastAsia="Georgia"/>
          <w:snapToGrid/>
        </w:rPr>
        <w:t xml:space="preserve"> and </w:t>
      </w:r>
      <w:r w:rsidR="00D962AC" w:rsidRPr="006721E0">
        <w:rPr>
          <w:rFonts w:eastAsia="Georgia"/>
          <w:snapToGrid/>
        </w:rPr>
        <w:t xml:space="preserve">whole of economy </w:t>
      </w:r>
      <w:r w:rsidR="00EF1FB0" w:rsidRPr="006721E0">
        <w:rPr>
          <w:rFonts w:eastAsia="Georgia"/>
          <w:snapToGrid/>
        </w:rPr>
        <w:t>consumer protection laws</w:t>
      </w:r>
      <w:r w:rsidRPr="006721E0">
        <w:rPr>
          <w:rFonts w:eastAsia="Georgia"/>
          <w:snapToGrid/>
        </w:rPr>
        <w:t>. Additionally, the ACCC runs a broadband monitoring program that aims to provide consumers with accurate</w:t>
      </w:r>
      <w:r w:rsidR="008D4DF1" w:rsidRPr="006721E0">
        <w:rPr>
          <w:rFonts w:eastAsia="Georgia"/>
          <w:snapToGrid/>
        </w:rPr>
        <w:t>,</w:t>
      </w:r>
      <w:r w:rsidRPr="006721E0">
        <w:rPr>
          <w:rFonts w:eastAsia="Georgia"/>
          <w:snapToGrid/>
        </w:rPr>
        <w:t xml:space="preserve"> independent and comparable information about broadband speeds and performance.</w:t>
      </w:r>
      <w:r>
        <w:rPr>
          <w:rStyle w:val="FootnoteReference"/>
          <w:rFonts w:eastAsia="Georgia"/>
          <w:snapToGrid/>
        </w:rPr>
        <w:footnoteReference w:id="21"/>
      </w:r>
      <w:r w:rsidR="00DB0DD9" w:rsidRPr="006721E0">
        <w:rPr>
          <w:rFonts w:eastAsia="Georgia"/>
          <w:snapToGrid/>
        </w:rPr>
        <w:t>.</w:t>
      </w:r>
    </w:p>
    <w:p w14:paraId="051B0863" w14:textId="622EC78D" w:rsidR="00FA2001" w:rsidRPr="00225950" w:rsidRDefault="00FA2001" w:rsidP="00FA2001">
      <w:pPr>
        <w:pStyle w:val="PwCNormal"/>
        <w:rPr>
          <w:rFonts w:eastAsia="Georgia"/>
          <w:snapToGrid/>
        </w:rPr>
      </w:pPr>
      <w:r w:rsidRPr="00225950">
        <w:rPr>
          <w:rFonts w:eastAsia="Georgia"/>
          <w:snapToGrid/>
        </w:rPr>
        <w:t>There are t</w:t>
      </w:r>
      <w:r>
        <w:rPr>
          <w:rFonts w:eastAsia="Georgia"/>
          <w:snapToGrid/>
        </w:rPr>
        <w:t>hree main mechanisms</w:t>
      </w:r>
      <w:r w:rsidRPr="00225950">
        <w:rPr>
          <w:rFonts w:eastAsia="Georgia"/>
          <w:snapToGrid/>
        </w:rPr>
        <w:t xml:space="preserve"> </w:t>
      </w:r>
      <w:r>
        <w:rPr>
          <w:rFonts w:eastAsia="Georgia"/>
          <w:snapToGrid/>
        </w:rPr>
        <w:t xml:space="preserve">in Australia used </w:t>
      </w:r>
      <w:r w:rsidRPr="00225950">
        <w:rPr>
          <w:rFonts w:eastAsia="Georgia"/>
          <w:snapToGrid/>
        </w:rPr>
        <w:t xml:space="preserve">to </w:t>
      </w:r>
      <w:r>
        <w:rPr>
          <w:rFonts w:eastAsia="Georgia"/>
          <w:snapToGrid/>
        </w:rPr>
        <w:t>deal with</w:t>
      </w:r>
      <w:r w:rsidRPr="00225950">
        <w:rPr>
          <w:rFonts w:eastAsia="Georgia"/>
          <w:snapToGrid/>
        </w:rPr>
        <w:t xml:space="preserve"> </w:t>
      </w:r>
      <w:r w:rsidR="00F128AE">
        <w:rPr>
          <w:rFonts w:eastAsia="Georgia"/>
          <w:snapToGrid/>
        </w:rPr>
        <w:t>q</w:t>
      </w:r>
      <w:r w:rsidRPr="00225950">
        <w:rPr>
          <w:rFonts w:eastAsia="Georgia"/>
          <w:snapToGrid/>
        </w:rPr>
        <w:t xml:space="preserve">uality of </w:t>
      </w:r>
      <w:r w:rsidR="00F128AE">
        <w:rPr>
          <w:rFonts w:eastAsia="Georgia"/>
          <w:snapToGrid/>
        </w:rPr>
        <w:t>s</w:t>
      </w:r>
      <w:r w:rsidRPr="00225950">
        <w:rPr>
          <w:rFonts w:eastAsia="Georgia"/>
          <w:snapToGrid/>
        </w:rPr>
        <w:t xml:space="preserve">ervice relating to the </w:t>
      </w:r>
      <w:r>
        <w:rPr>
          <w:rFonts w:eastAsia="Georgia"/>
          <w:snapToGrid/>
        </w:rPr>
        <w:t xml:space="preserve">reliability of </w:t>
      </w:r>
      <w:r w:rsidRPr="00225950">
        <w:rPr>
          <w:rFonts w:eastAsia="Georgia"/>
          <w:snapToGrid/>
        </w:rPr>
        <w:t>telecommunications service</w:t>
      </w:r>
      <w:r>
        <w:rPr>
          <w:rFonts w:eastAsia="Georgia"/>
          <w:snapToGrid/>
        </w:rPr>
        <w:t xml:space="preserve">s. </w:t>
      </w:r>
      <w:r w:rsidRPr="00225950">
        <w:rPr>
          <w:rFonts w:eastAsia="Georgia"/>
          <w:snapToGrid/>
        </w:rPr>
        <w:t xml:space="preserve">These </w:t>
      </w:r>
      <w:r>
        <w:rPr>
          <w:rFonts w:eastAsia="Georgia"/>
          <w:snapToGrid/>
        </w:rPr>
        <w:t xml:space="preserve">include the </w:t>
      </w:r>
      <w:r w:rsidR="00FB13F7">
        <w:rPr>
          <w:rFonts w:eastAsia="Georgia"/>
          <w:snapToGrid/>
        </w:rPr>
        <w:t>CSG</w:t>
      </w:r>
      <w:r>
        <w:rPr>
          <w:rFonts w:eastAsia="Georgia"/>
          <w:snapToGrid/>
        </w:rPr>
        <w:t xml:space="preserve">, the </w:t>
      </w:r>
      <w:r w:rsidR="00ED225F">
        <w:rPr>
          <w:rFonts w:eastAsia="Georgia"/>
          <w:snapToGrid/>
        </w:rPr>
        <w:t xml:space="preserve">NRF </w:t>
      </w:r>
      <w:r>
        <w:rPr>
          <w:rFonts w:eastAsia="Georgia"/>
          <w:snapToGrid/>
        </w:rPr>
        <w:t>and Priority Assistance arrangements</w:t>
      </w:r>
      <w:r w:rsidR="008D4DF1">
        <w:rPr>
          <w:rFonts w:eastAsia="Georgia"/>
          <w:snapToGrid/>
        </w:rPr>
        <w:t>,</w:t>
      </w:r>
      <w:r>
        <w:rPr>
          <w:rFonts w:eastAsia="Georgia"/>
          <w:snapToGrid/>
        </w:rPr>
        <w:t xml:space="preserve"> each</w:t>
      </w:r>
      <w:r w:rsidRPr="00225950">
        <w:rPr>
          <w:rFonts w:eastAsia="Georgia"/>
          <w:snapToGrid/>
        </w:rPr>
        <w:t xml:space="preserve"> </w:t>
      </w:r>
      <w:r w:rsidR="008D4DF1">
        <w:rPr>
          <w:rFonts w:eastAsia="Georgia"/>
          <w:snapToGrid/>
        </w:rPr>
        <w:t xml:space="preserve">of which are </w:t>
      </w:r>
      <w:r w:rsidRPr="00225950">
        <w:rPr>
          <w:rFonts w:eastAsia="Georgia"/>
          <w:snapToGrid/>
        </w:rPr>
        <w:t>discussed below.</w:t>
      </w:r>
    </w:p>
    <w:p w14:paraId="35939F03" w14:textId="6136A43E" w:rsidR="00500F31" w:rsidRPr="00225950" w:rsidRDefault="00325598" w:rsidP="00325598">
      <w:pPr>
        <w:pStyle w:val="Heading4"/>
        <w:numPr>
          <w:ilvl w:val="0"/>
          <w:numId w:val="0"/>
        </w:numPr>
        <w:ind w:left="851" w:hanging="851"/>
      </w:pPr>
      <w:r>
        <w:lastRenderedPageBreak/>
        <w:t>3.1.1</w:t>
      </w:r>
      <w:r>
        <w:tab/>
      </w:r>
      <w:r w:rsidR="00500F31" w:rsidRPr="00225950">
        <w:t>Customer Service Guarantee (CSG)</w:t>
      </w:r>
    </w:p>
    <w:p w14:paraId="7B4806A2" w14:textId="62C1407A" w:rsidR="00500F31" w:rsidRPr="0068553A" w:rsidRDefault="00500F31" w:rsidP="00884855">
      <w:pPr>
        <w:pStyle w:val="PwCNormal"/>
        <w:keepNext/>
        <w:keepLines/>
        <w:rPr>
          <w:rFonts w:eastAsia="Georgia"/>
          <w:snapToGrid/>
        </w:rPr>
      </w:pPr>
      <w:r w:rsidRPr="0068553A">
        <w:rPr>
          <w:rFonts w:eastAsia="Georgia"/>
          <w:snapToGrid/>
        </w:rPr>
        <w:t>The CSG</w:t>
      </w:r>
      <w:r w:rsidR="001C2851">
        <w:rPr>
          <w:rFonts w:eastAsia="Georgia"/>
          <w:snapToGrid/>
        </w:rPr>
        <w:t>, which consists of a</w:t>
      </w:r>
      <w:r w:rsidRPr="0068553A">
        <w:rPr>
          <w:rFonts w:eastAsia="Georgia"/>
          <w:snapToGrid/>
        </w:rPr>
        <w:t xml:space="preserve"> Standard and associated benchmarks</w:t>
      </w:r>
      <w:r w:rsidR="001C2851">
        <w:rPr>
          <w:rFonts w:eastAsia="Georgia"/>
          <w:snapToGrid/>
        </w:rPr>
        <w:t>,</w:t>
      </w:r>
      <w:r>
        <w:rPr>
          <w:rStyle w:val="FootnoteReference"/>
          <w:rFonts w:eastAsia="Georgia"/>
          <w:snapToGrid/>
        </w:rPr>
        <w:footnoteReference w:id="22"/>
      </w:r>
      <w:r w:rsidRPr="0068553A">
        <w:rPr>
          <w:rFonts w:eastAsia="Georgia"/>
          <w:snapToGrid/>
        </w:rPr>
        <w:t xml:space="preserve"> provide</w:t>
      </w:r>
      <w:r w:rsidR="00D962AC">
        <w:rPr>
          <w:rFonts w:eastAsia="Georgia"/>
          <w:snapToGrid/>
        </w:rPr>
        <w:t>s</w:t>
      </w:r>
      <w:r w:rsidRPr="0068553A">
        <w:rPr>
          <w:rFonts w:eastAsia="Georgia"/>
          <w:snapToGrid/>
        </w:rPr>
        <w:t xml:space="preserve"> an incentive for telephone companies to improve their service performance and provide some redress to </w:t>
      </w:r>
      <w:r w:rsidR="00FB13F7">
        <w:rPr>
          <w:rFonts w:eastAsia="Georgia"/>
          <w:snapToGrid/>
        </w:rPr>
        <w:t>consumers</w:t>
      </w:r>
      <w:r w:rsidRPr="0068553A">
        <w:rPr>
          <w:rFonts w:eastAsia="Georgia"/>
          <w:snapToGrid/>
        </w:rPr>
        <w:t xml:space="preserve"> when performance standards are not met. The CSG </w:t>
      </w:r>
      <w:r w:rsidR="0068553A" w:rsidRPr="0068553A">
        <w:rPr>
          <w:rFonts w:eastAsia="Georgia"/>
          <w:snapToGrid/>
        </w:rPr>
        <w:t>applies to fixed telephone</w:t>
      </w:r>
      <w:r w:rsidR="008D4DF1">
        <w:rPr>
          <w:rFonts w:eastAsia="Georgia"/>
          <w:snapToGrid/>
        </w:rPr>
        <w:t xml:space="preserve"> services. It does</w:t>
      </w:r>
      <w:r w:rsidR="0068553A" w:rsidRPr="0068553A">
        <w:rPr>
          <w:rFonts w:eastAsia="Georgia"/>
          <w:snapToGrid/>
        </w:rPr>
        <w:t xml:space="preserve"> </w:t>
      </w:r>
      <w:r w:rsidRPr="0068553A">
        <w:rPr>
          <w:rFonts w:eastAsia="Georgia"/>
          <w:snapToGrid/>
        </w:rPr>
        <w:t xml:space="preserve">not </w:t>
      </w:r>
      <w:r w:rsidR="008D4DF1">
        <w:rPr>
          <w:rFonts w:eastAsia="Georgia"/>
          <w:snapToGrid/>
        </w:rPr>
        <w:t xml:space="preserve">apply to </w:t>
      </w:r>
      <w:r w:rsidRPr="0068553A">
        <w:rPr>
          <w:rFonts w:eastAsia="Georgia"/>
          <w:snapToGrid/>
        </w:rPr>
        <w:t>mobile or satellite voice services, internet services or in instances where a customer agrees to waive their rights under the CSG</w:t>
      </w:r>
      <w:r w:rsidR="006721E0">
        <w:rPr>
          <w:rFonts w:eastAsia="Georgia"/>
          <w:snapToGrid/>
        </w:rPr>
        <w:t xml:space="preserve"> at the time of sale</w:t>
      </w:r>
      <w:r w:rsidRPr="0068553A">
        <w:rPr>
          <w:rFonts w:eastAsia="Georgia"/>
          <w:snapToGrid/>
        </w:rPr>
        <w:t>.</w:t>
      </w:r>
      <w:r w:rsidRPr="009848C9">
        <w:rPr>
          <w:rStyle w:val="FootnoteReference"/>
          <w:rFonts w:eastAsia="Georgia"/>
          <w:snapToGrid/>
        </w:rPr>
        <w:footnoteReference w:id="23"/>
      </w:r>
      <w:r w:rsidRPr="0068553A">
        <w:rPr>
          <w:rFonts w:eastAsia="Georgia"/>
          <w:snapToGrid/>
        </w:rPr>
        <w:t xml:space="preserve"> </w:t>
      </w:r>
      <w:r w:rsidR="0068553A">
        <w:t xml:space="preserve">The CSG performance benchmarks apply to telecommunications service providers who are above a threshold of 100,000 CSG services or more across the previous financial year. </w:t>
      </w:r>
      <w:r w:rsidRPr="0068553A">
        <w:rPr>
          <w:rFonts w:eastAsia="Georgia"/>
          <w:snapToGrid/>
        </w:rPr>
        <w:t xml:space="preserve">The CSG requires carriage service providers to meet specified timeframes for the connection of specified services, the repair of faults, </w:t>
      </w:r>
      <w:r w:rsidR="00D962AC">
        <w:rPr>
          <w:rFonts w:eastAsia="Georgia"/>
          <w:snapToGrid/>
        </w:rPr>
        <w:t xml:space="preserve">and </w:t>
      </w:r>
      <w:r w:rsidRPr="0068553A">
        <w:rPr>
          <w:rFonts w:eastAsia="Georgia"/>
          <w:snapToGrid/>
        </w:rPr>
        <w:t xml:space="preserve">the attendance of appointments by service providers and </w:t>
      </w:r>
      <w:r w:rsidR="00D962AC">
        <w:rPr>
          <w:rFonts w:eastAsia="Georgia"/>
          <w:snapToGrid/>
        </w:rPr>
        <w:t xml:space="preserve">sets out </w:t>
      </w:r>
      <w:r w:rsidRPr="0068553A">
        <w:rPr>
          <w:rFonts w:eastAsia="Georgia"/>
          <w:snapToGrid/>
        </w:rPr>
        <w:t xml:space="preserve">the level of compensation to be paid to </w:t>
      </w:r>
      <w:r w:rsidR="00FB13F7">
        <w:rPr>
          <w:rFonts w:eastAsia="Georgia"/>
          <w:snapToGrid/>
        </w:rPr>
        <w:t>consumers</w:t>
      </w:r>
      <w:r w:rsidRPr="0068553A">
        <w:rPr>
          <w:rFonts w:eastAsia="Georgia"/>
          <w:snapToGrid/>
        </w:rPr>
        <w:t xml:space="preserve"> when the standards are not met.</w:t>
      </w:r>
      <w:r w:rsidRPr="009848C9">
        <w:rPr>
          <w:rStyle w:val="FootnoteReference"/>
          <w:rFonts w:eastAsia="Georgia"/>
          <w:snapToGrid/>
        </w:rPr>
        <w:footnoteReference w:id="24"/>
      </w:r>
    </w:p>
    <w:p w14:paraId="15337F2C" w14:textId="398B4ADA" w:rsidR="00500F31" w:rsidRPr="00225950" w:rsidRDefault="00325598" w:rsidP="00325598">
      <w:pPr>
        <w:pStyle w:val="Heading4"/>
        <w:numPr>
          <w:ilvl w:val="0"/>
          <w:numId w:val="0"/>
        </w:numPr>
        <w:ind w:left="851" w:hanging="851"/>
      </w:pPr>
      <w:r>
        <w:t>3.1.2</w:t>
      </w:r>
      <w:r>
        <w:tab/>
      </w:r>
      <w:r w:rsidR="00500F31">
        <w:t>Network Reliability Framework (NRF)</w:t>
      </w:r>
    </w:p>
    <w:p w14:paraId="73A27A72" w14:textId="039EEA7F" w:rsidR="00500F31" w:rsidRPr="00FD6468" w:rsidRDefault="00500F31" w:rsidP="00500F31">
      <w:pPr>
        <w:pStyle w:val="PwCNormal"/>
        <w:keepNext/>
        <w:keepLines/>
        <w:rPr>
          <w:rFonts w:eastAsia="Georgia"/>
          <w:snapToGrid/>
        </w:rPr>
      </w:pPr>
      <w:r w:rsidRPr="00FD6468">
        <w:rPr>
          <w:rFonts w:eastAsia="Georgia"/>
          <w:snapToGrid/>
        </w:rPr>
        <w:t>The NRF compl</w:t>
      </w:r>
      <w:r w:rsidR="001644B8">
        <w:rPr>
          <w:rFonts w:eastAsia="Georgia"/>
          <w:snapToGrid/>
        </w:rPr>
        <w:t>e</w:t>
      </w:r>
      <w:r w:rsidRPr="00FD6468">
        <w:rPr>
          <w:rFonts w:eastAsia="Georgia"/>
          <w:snapToGrid/>
        </w:rPr>
        <w:t xml:space="preserve">ments the CSG to improve the overall telephone service reliability of fixed telephone services of Telstra residential and small business </w:t>
      </w:r>
      <w:r w:rsidR="00FB13F7">
        <w:rPr>
          <w:rFonts w:eastAsia="Georgia"/>
          <w:snapToGrid/>
        </w:rPr>
        <w:t>consumers</w:t>
      </w:r>
      <w:r w:rsidRPr="00FD6468">
        <w:rPr>
          <w:rFonts w:eastAsia="Georgia"/>
          <w:snapToGrid/>
        </w:rPr>
        <w:t>.</w:t>
      </w:r>
      <w:r>
        <w:rPr>
          <w:rFonts w:eastAsia="Georgia"/>
          <w:snapToGrid/>
        </w:rPr>
        <w:t xml:space="preserve"> </w:t>
      </w:r>
      <w:r w:rsidRPr="00FD6468">
        <w:rPr>
          <w:rFonts w:eastAsia="Georgia"/>
          <w:snapToGrid/>
        </w:rPr>
        <w:t xml:space="preserve">The NRF requires Telstra to </w:t>
      </w:r>
      <w:r w:rsidR="006721E0">
        <w:rPr>
          <w:rFonts w:eastAsia="Georgia"/>
          <w:snapToGrid/>
        </w:rPr>
        <w:t xml:space="preserve">identify and </w:t>
      </w:r>
      <w:r w:rsidRPr="00FD6468">
        <w:rPr>
          <w:rFonts w:eastAsia="Georgia"/>
          <w:snapToGrid/>
        </w:rPr>
        <w:t>report the percentage of services that experience a fault at a national and regional level and also provide information relating to the poorest performing parts of the network and the individual service performance.</w:t>
      </w:r>
      <w:r>
        <w:rPr>
          <w:rStyle w:val="FootnoteReference"/>
          <w:rFonts w:eastAsia="Georgia"/>
          <w:snapToGrid/>
        </w:rPr>
        <w:footnoteReference w:id="25"/>
      </w:r>
    </w:p>
    <w:p w14:paraId="3B4061D9" w14:textId="076C96FB" w:rsidR="00500F31" w:rsidRDefault="00500F31" w:rsidP="00500F31">
      <w:pPr>
        <w:pStyle w:val="PwCNormal"/>
        <w:rPr>
          <w:rFonts w:eastAsia="Georgia"/>
          <w:snapToGrid/>
        </w:rPr>
      </w:pPr>
      <w:r>
        <w:rPr>
          <w:rFonts w:eastAsia="Georgia"/>
          <w:snapToGrid/>
        </w:rPr>
        <w:t>Telstra report</w:t>
      </w:r>
      <w:r w:rsidR="006721E0">
        <w:rPr>
          <w:rFonts w:eastAsia="Georgia"/>
          <w:snapToGrid/>
        </w:rPr>
        <w:t>s</w:t>
      </w:r>
      <w:r>
        <w:rPr>
          <w:rFonts w:eastAsia="Georgia"/>
          <w:snapToGrid/>
        </w:rPr>
        <w:t xml:space="preserve"> (on </w:t>
      </w:r>
      <w:r w:rsidR="00D962AC">
        <w:rPr>
          <w:rFonts w:eastAsia="Georgia"/>
          <w:snapToGrid/>
        </w:rPr>
        <w:t xml:space="preserve">its </w:t>
      </w:r>
      <w:r>
        <w:rPr>
          <w:rFonts w:eastAsia="Georgia"/>
          <w:snapToGrid/>
        </w:rPr>
        <w:t>website) the latest monthly reliability data for their fixed voice network, setting out the:</w:t>
      </w:r>
    </w:p>
    <w:p w14:paraId="2FF6942E" w14:textId="3A24D21B" w:rsidR="00500F31" w:rsidRDefault="00500F31" w:rsidP="00500F31">
      <w:pPr>
        <w:pStyle w:val="ListBullet"/>
        <w:rPr>
          <w:rFonts w:eastAsia="Georgia"/>
          <w:snapToGrid/>
        </w:rPr>
      </w:pPr>
      <w:r>
        <w:rPr>
          <w:rFonts w:eastAsia="Georgia"/>
          <w:snapToGrid/>
        </w:rPr>
        <w:t xml:space="preserve">percentage of </w:t>
      </w:r>
      <w:r w:rsidR="00FB13F7">
        <w:rPr>
          <w:rFonts w:eastAsia="Georgia"/>
          <w:snapToGrid/>
        </w:rPr>
        <w:t>consumers</w:t>
      </w:r>
      <w:r>
        <w:rPr>
          <w:rFonts w:eastAsia="Georgia"/>
          <w:snapToGrid/>
        </w:rPr>
        <w:t xml:space="preserve"> with no faults in a given month</w:t>
      </w:r>
    </w:p>
    <w:p w14:paraId="219F7417" w14:textId="77777777" w:rsidR="00500F31" w:rsidRDefault="00500F31" w:rsidP="00500F31">
      <w:pPr>
        <w:pStyle w:val="ListBullet"/>
        <w:rPr>
          <w:rFonts w:eastAsia="Georgia"/>
          <w:snapToGrid/>
        </w:rPr>
      </w:pPr>
      <w:r>
        <w:rPr>
          <w:rFonts w:eastAsia="Georgia"/>
          <w:snapToGrid/>
        </w:rPr>
        <w:t>average service availability in a given month across 44 metropolitan and regional areas in Australia.</w:t>
      </w:r>
      <w:r>
        <w:rPr>
          <w:rStyle w:val="FootnoteReference"/>
          <w:rFonts w:eastAsia="Georgia"/>
          <w:snapToGrid/>
        </w:rPr>
        <w:footnoteReference w:id="26"/>
      </w:r>
    </w:p>
    <w:p w14:paraId="7D3565DA" w14:textId="419357C9" w:rsidR="00500F31" w:rsidRDefault="006721E0" w:rsidP="006721E0">
      <w:pPr>
        <w:pStyle w:val="PwCNormal"/>
        <w:rPr>
          <w:rFonts w:eastAsia="Georgia"/>
          <w:snapToGrid/>
        </w:rPr>
      </w:pPr>
      <w:r w:rsidRPr="006721E0">
        <w:rPr>
          <w:rFonts w:eastAsia="Georgia"/>
          <w:snapToGrid/>
        </w:rPr>
        <w:t xml:space="preserve">It should be noted however, that the relevance of the NRF as a requirement of Telstra is decreasing as much of the copper network is progressively replaced by the NBN, owned by NBN Co Limited. By 2020, around 92 per </w:t>
      </w:r>
      <w:r w:rsidRPr="006721E0">
        <w:rPr>
          <w:rFonts w:eastAsia="Georgia"/>
          <w:snapToGrid/>
        </w:rPr>
        <w:lastRenderedPageBreak/>
        <w:t>cent of premises will need to migrate to the NBN to retain a fixed line service</w:t>
      </w:r>
      <w:r w:rsidR="00500F31">
        <w:rPr>
          <w:rFonts w:eastAsia="Georgia"/>
          <w:snapToGrid/>
        </w:rPr>
        <w:t>.</w:t>
      </w:r>
      <w:r w:rsidR="00500F31">
        <w:rPr>
          <w:rStyle w:val="FootnoteReference"/>
          <w:rFonts w:eastAsia="Georgia"/>
          <w:snapToGrid/>
        </w:rPr>
        <w:footnoteReference w:id="27"/>
      </w:r>
    </w:p>
    <w:p w14:paraId="049151B0" w14:textId="6020D1AD" w:rsidR="00500F31" w:rsidRPr="00225950" w:rsidRDefault="00325598" w:rsidP="00325598">
      <w:pPr>
        <w:pStyle w:val="Heading4"/>
        <w:numPr>
          <w:ilvl w:val="0"/>
          <w:numId w:val="0"/>
        </w:numPr>
        <w:ind w:left="851" w:hanging="851"/>
      </w:pPr>
      <w:r>
        <w:t>3.1.3</w:t>
      </w:r>
      <w:r>
        <w:tab/>
      </w:r>
      <w:r w:rsidR="00500F31">
        <w:t>Priority Assistance arrangements</w:t>
      </w:r>
    </w:p>
    <w:p w14:paraId="55F77938" w14:textId="01287801" w:rsidR="00500F31" w:rsidRPr="005A6ABA" w:rsidRDefault="00500F31" w:rsidP="00193BF6">
      <w:pPr>
        <w:pStyle w:val="PwCNormal"/>
        <w:keepLines/>
        <w:rPr>
          <w:rFonts w:eastAsia="Georgia"/>
          <w:snapToGrid/>
        </w:rPr>
      </w:pPr>
      <w:r w:rsidRPr="005A6ABA">
        <w:rPr>
          <w:rFonts w:eastAsia="Georgia"/>
          <w:snapToGrid/>
        </w:rPr>
        <w:t xml:space="preserve">The </w:t>
      </w:r>
      <w:r w:rsidRPr="00DA24F0">
        <w:t>Priority Assistance for Life Threatening Medical Conditions</w:t>
      </w:r>
      <w:r w:rsidR="006721E0">
        <w:t xml:space="preserve"> Code</w:t>
      </w:r>
      <w:r w:rsidR="00EC2BBD">
        <w:t xml:space="preserve"> 2007</w:t>
      </w:r>
      <w:r w:rsidRPr="005A6ABA">
        <w:rPr>
          <w:rFonts w:eastAsia="Georgia"/>
          <w:snapToGrid/>
        </w:rPr>
        <w:t xml:space="preserve"> </w:t>
      </w:r>
      <w:r w:rsidR="00D962AC">
        <w:rPr>
          <w:rFonts w:eastAsia="Georgia"/>
          <w:snapToGrid/>
        </w:rPr>
        <w:t>seek</w:t>
      </w:r>
      <w:r w:rsidR="00EC2BBD">
        <w:rPr>
          <w:rFonts w:eastAsia="Georgia"/>
          <w:snapToGrid/>
        </w:rPr>
        <w:t>s</w:t>
      </w:r>
      <w:r w:rsidR="00D962AC">
        <w:rPr>
          <w:rFonts w:eastAsia="Georgia"/>
          <w:snapToGrid/>
        </w:rPr>
        <w:t xml:space="preserve"> to </w:t>
      </w:r>
      <w:r w:rsidRPr="005A6ABA">
        <w:rPr>
          <w:rFonts w:eastAsia="Georgia"/>
          <w:snapToGrid/>
        </w:rPr>
        <w:t xml:space="preserve">prioritise fixed line telephone connection and repairs for people diagnosed </w:t>
      </w:r>
      <w:r w:rsidR="00D75BD5">
        <w:rPr>
          <w:rFonts w:eastAsia="Georgia"/>
          <w:snapToGrid/>
        </w:rPr>
        <w:t xml:space="preserve">by a medical professional </w:t>
      </w:r>
      <w:r w:rsidRPr="005A6ABA">
        <w:rPr>
          <w:rFonts w:eastAsia="Georgia"/>
          <w:snapToGrid/>
        </w:rPr>
        <w:t xml:space="preserve">with a life threatening medical condition. </w:t>
      </w:r>
      <w:r w:rsidR="00EC2BBD">
        <w:rPr>
          <w:rFonts w:eastAsia="Georgia"/>
          <w:snapToGrid/>
        </w:rPr>
        <w:t xml:space="preserve">As with other industry codes, this code is voluntary for industry </w:t>
      </w:r>
      <w:r w:rsidR="00DA1347">
        <w:rPr>
          <w:rFonts w:eastAsia="Georgia"/>
          <w:snapToGrid/>
        </w:rPr>
        <w:t xml:space="preserve">participants. Telstra is required to offer priority assistance to its residential retail customers through the terms of its Carrier Licence Conditions. </w:t>
      </w:r>
      <w:r w:rsidR="005A6ABA" w:rsidRPr="005A6ABA">
        <w:rPr>
          <w:rFonts w:eastAsia="Georgia"/>
          <w:snapToGrid/>
        </w:rPr>
        <w:t>Telstra’s licence conditions state that it “must implement arrangements for maximising service continuity to priority customers”</w:t>
      </w:r>
      <w:r w:rsidR="005A6ABA">
        <w:rPr>
          <w:rStyle w:val="FootnoteReference"/>
          <w:rFonts w:eastAsia="Georgia"/>
          <w:snapToGrid/>
        </w:rPr>
        <w:footnoteReference w:id="28"/>
      </w:r>
      <w:r w:rsidR="005A6ABA" w:rsidRPr="005A6ABA">
        <w:rPr>
          <w:rFonts w:eastAsia="Georgia"/>
          <w:snapToGrid/>
        </w:rPr>
        <w:t xml:space="preserve">, with its policy stating that if a maximum timeframe cannot be met, it will as soon as practicable </w:t>
      </w:r>
      <w:r w:rsidR="00FB13F7">
        <w:rPr>
          <w:rFonts w:eastAsia="Georgia"/>
          <w:snapToGrid/>
        </w:rPr>
        <w:t>“</w:t>
      </w:r>
      <w:r w:rsidR="005A6ABA" w:rsidRPr="005A6ABA">
        <w:rPr>
          <w:rFonts w:eastAsia="Georgia"/>
          <w:snapToGrid/>
        </w:rPr>
        <w:t xml:space="preserve">offer the </w:t>
      </w:r>
      <w:r w:rsidR="00ED225F">
        <w:rPr>
          <w:rFonts w:eastAsia="Georgia"/>
          <w:snapToGrid/>
        </w:rPr>
        <w:t>p</w:t>
      </w:r>
      <w:r w:rsidR="005A6ABA" w:rsidRPr="005A6ABA">
        <w:rPr>
          <w:rFonts w:eastAsia="Georgia"/>
          <w:snapToGrid/>
        </w:rPr>
        <w:t xml:space="preserve">riority </w:t>
      </w:r>
      <w:r w:rsidR="00ED225F">
        <w:rPr>
          <w:rFonts w:eastAsia="Georgia"/>
          <w:snapToGrid/>
        </w:rPr>
        <w:t>c</w:t>
      </w:r>
      <w:r w:rsidR="005A6ABA" w:rsidRPr="005A6ABA">
        <w:rPr>
          <w:rFonts w:eastAsia="Georgia"/>
          <w:snapToGrid/>
        </w:rPr>
        <w:t xml:space="preserve">ustomer an Interim Priority Service (or the choice between an Interim Priority Service and an Alternative Service, such as a call diversion to a number of the </w:t>
      </w:r>
      <w:r w:rsidR="00ED225F">
        <w:rPr>
          <w:rFonts w:eastAsia="Georgia"/>
          <w:snapToGrid/>
        </w:rPr>
        <w:t>c</w:t>
      </w:r>
      <w:r w:rsidR="005A6ABA" w:rsidRPr="005A6ABA">
        <w:rPr>
          <w:rFonts w:eastAsia="Georgia"/>
          <w:snapToGrid/>
        </w:rPr>
        <w:t>ustomer’s choice)</w:t>
      </w:r>
      <w:r w:rsidR="00FB13F7">
        <w:rPr>
          <w:rFonts w:eastAsia="Georgia"/>
          <w:snapToGrid/>
        </w:rPr>
        <w:t>”</w:t>
      </w:r>
      <w:r w:rsidR="005A6ABA" w:rsidRPr="005A6ABA">
        <w:rPr>
          <w:rFonts w:eastAsia="Georgia"/>
          <w:snapToGrid/>
        </w:rPr>
        <w:t>.</w:t>
      </w:r>
      <w:r w:rsidR="005A6ABA">
        <w:rPr>
          <w:rStyle w:val="FootnoteReference"/>
          <w:rFonts w:eastAsia="Georgia"/>
          <w:snapToGrid/>
        </w:rPr>
        <w:footnoteReference w:id="29"/>
      </w:r>
      <w:r w:rsidR="005A6ABA" w:rsidRPr="005A6ABA">
        <w:rPr>
          <w:rFonts w:eastAsia="Georgia"/>
          <w:snapToGrid/>
        </w:rPr>
        <w:t xml:space="preserve"> </w:t>
      </w:r>
      <w:r w:rsidR="005A6ABA">
        <w:rPr>
          <w:rFonts w:eastAsia="Georgia"/>
          <w:snapToGrid/>
        </w:rPr>
        <w:t>T</w:t>
      </w:r>
      <w:r w:rsidR="005A6ABA" w:rsidRPr="005A6ABA">
        <w:rPr>
          <w:rFonts w:eastAsia="Georgia"/>
          <w:snapToGrid/>
        </w:rPr>
        <w:t xml:space="preserve">his is </w:t>
      </w:r>
      <w:r w:rsidR="005A6ABA">
        <w:rPr>
          <w:rFonts w:eastAsia="Georgia"/>
          <w:snapToGrid/>
        </w:rPr>
        <w:t xml:space="preserve">however </w:t>
      </w:r>
      <w:r w:rsidRPr="005A6ABA">
        <w:rPr>
          <w:rFonts w:eastAsia="Georgia"/>
          <w:snapToGrid/>
        </w:rPr>
        <w:t>optional for other retail providers, with only iPrimus</w:t>
      </w:r>
      <w:r w:rsidR="006721E0">
        <w:rPr>
          <w:rStyle w:val="FootnoteReference"/>
          <w:rFonts w:eastAsia="Georgia"/>
          <w:snapToGrid/>
        </w:rPr>
        <w:footnoteReference w:id="30"/>
      </w:r>
      <w:r w:rsidRPr="005A6ABA">
        <w:rPr>
          <w:rFonts w:eastAsia="Georgia"/>
          <w:snapToGrid/>
        </w:rPr>
        <w:t xml:space="preserve"> offering these services for some customers</w:t>
      </w:r>
      <w:r w:rsidR="006721E0">
        <w:rPr>
          <w:rFonts w:eastAsia="Georgia"/>
          <w:snapToGrid/>
        </w:rPr>
        <w:t xml:space="preserve"> </w:t>
      </w:r>
      <w:r w:rsidR="006721E0" w:rsidRPr="006721E0">
        <w:rPr>
          <w:rFonts w:eastAsia="Georgia"/>
          <w:snapToGrid/>
        </w:rPr>
        <w:t>(not offered to new customers or to existing customers who don’t already have Priority Assistance active on their fixed line service)</w:t>
      </w:r>
      <w:r w:rsidRPr="005A6ABA">
        <w:rPr>
          <w:rFonts w:eastAsia="Georgia"/>
          <w:snapToGrid/>
        </w:rPr>
        <w:t>.</w:t>
      </w:r>
      <w:r w:rsidR="006721E0">
        <w:rPr>
          <w:rStyle w:val="FootnoteReference"/>
          <w:rFonts w:eastAsia="Georgia"/>
          <w:snapToGrid/>
        </w:rPr>
        <w:footnoteReference w:id="31"/>
      </w:r>
    </w:p>
    <w:p w14:paraId="6DC51234" w14:textId="5FCB1425" w:rsidR="00FA2001" w:rsidRPr="00B339AC" w:rsidRDefault="00325598" w:rsidP="00325598">
      <w:pPr>
        <w:pStyle w:val="Heading4"/>
        <w:numPr>
          <w:ilvl w:val="0"/>
          <w:numId w:val="0"/>
        </w:numPr>
        <w:ind w:left="851" w:hanging="851"/>
        <w:rPr>
          <w:snapToGrid/>
        </w:rPr>
      </w:pPr>
      <w:r>
        <w:rPr>
          <w:snapToGrid/>
        </w:rPr>
        <w:t>3.1.4</w:t>
      </w:r>
      <w:r>
        <w:rPr>
          <w:snapToGrid/>
        </w:rPr>
        <w:tab/>
      </w:r>
      <w:r w:rsidR="00FA2001" w:rsidRPr="00B339AC">
        <w:rPr>
          <w:snapToGrid/>
        </w:rPr>
        <w:t>Connection</w:t>
      </w:r>
    </w:p>
    <w:p w14:paraId="3C5859AA" w14:textId="3C6BA220" w:rsidR="00FA2001" w:rsidRDefault="00FA2001" w:rsidP="00FA2001">
      <w:pPr>
        <w:pStyle w:val="PwCNormal"/>
      </w:pPr>
      <w:r>
        <w:t xml:space="preserve">The </w:t>
      </w:r>
      <w:r w:rsidR="0068553A">
        <w:t>CSG and</w:t>
      </w:r>
      <w:r>
        <w:t xml:space="preserve"> the Priority Assistance arrangements have performance indicators in relation to the connection </w:t>
      </w:r>
      <w:r w:rsidR="0068553A">
        <w:t xml:space="preserve">of telecommunications services, namely, </w:t>
      </w:r>
      <w:r>
        <w:t>requirements for connection tim</w:t>
      </w:r>
      <w:r w:rsidR="0068553A">
        <w:t>es and connection appointments.</w:t>
      </w:r>
    </w:p>
    <w:p w14:paraId="29B1500D" w14:textId="36BA7074" w:rsidR="00FA2001" w:rsidRPr="00156720" w:rsidRDefault="00FA2001" w:rsidP="00D672B5">
      <w:pPr>
        <w:pStyle w:val="Caption"/>
      </w:pPr>
      <w:bookmarkStart w:id="32" w:name="_Ref516646784"/>
      <w:r w:rsidRPr="00156720">
        <w:lastRenderedPageBreak/>
        <w:t xml:space="preserve">Table </w:t>
      </w:r>
      <w:r w:rsidR="000B0990">
        <w:rPr>
          <w:noProof/>
        </w:rPr>
        <w:fldChar w:fldCharType="begin"/>
      </w:r>
      <w:r w:rsidR="000B0990">
        <w:rPr>
          <w:noProof/>
        </w:rPr>
        <w:instrText xml:space="preserve"> SEQ Table \* ARABIC </w:instrText>
      </w:r>
      <w:r w:rsidR="000B0990">
        <w:rPr>
          <w:noProof/>
        </w:rPr>
        <w:fldChar w:fldCharType="separate"/>
      </w:r>
      <w:r w:rsidR="00AE12E7">
        <w:rPr>
          <w:noProof/>
        </w:rPr>
        <w:t>5</w:t>
      </w:r>
      <w:r w:rsidR="000B0990">
        <w:rPr>
          <w:noProof/>
        </w:rPr>
        <w:fldChar w:fldCharType="end"/>
      </w:r>
      <w:bookmarkEnd w:id="32"/>
      <w:r w:rsidRPr="00156720">
        <w:t xml:space="preserve">: Connection quality of service indicators </w:t>
      </w:r>
      <w:r w:rsidR="00F61956">
        <w:t xml:space="preserve">- </w:t>
      </w:r>
      <w:r w:rsidRPr="00156720">
        <w:t>Australia</w:t>
      </w:r>
      <w:r w:rsidRPr="00AC327F">
        <w:rPr>
          <w:rStyle w:val="FootnoteReference"/>
        </w:rPr>
        <w:footnoteReference w:id="32"/>
      </w:r>
      <w:r w:rsidR="00AC327F" w:rsidRPr="00AC327F">
        <w:rPr>
          <w:vertAlign w:val="superscript"/>
        </w:rPr>
        <w:t>,</w:t>
      </w:r>
      <w:r w:rsidRPr="00AC327F">
        <w:rPr>
          <w:vertAlign w:val="superscript"/>
        </w:rPr>
        <w:t xml:space="preserve"> </w:t>
      </w:r>
      <w:r w:rsidRPr="00AC327F">
        <w:rPr>
          <w:rStyle w:val="FootnoteReference"/>
        </w:rPr>
        <w:footnoteReference w:id="33"/>
      </w:r>
      <w:r w:rsidR="00AC327F" w:rsidRPr="00AC327F">
        <w:rPr>
          <w:vertAlign w:val="superscript"/>
        </w:rPr>
        <w:t>,</w:t>
      </w:r>
      <w:r w:rsidRPr="00AC327F">
        <w:rPr>
          <w:vertAlign w:val="superscript"/>
        </w:rPr>
        <w:t xml:space="preserve"> </w:t>
      </w:r>
      <w:r w:rsidRPr="00AC327F">
        <w:rPr>
          <w:rStyle w:val="FootnoteReference"/>
          <w:rFonts w:eastAsia="Georgia"/>
          <w:snapToGrid/>
        </w:rPr>
        <w:footnoteReference w:id="34"/>
      </w:r>
    </w:p>
    <w:tbl>
      <w:tblPr>
        <w:tblStyle w:val="Tables-APBase"/>
        <w:tblW w:w="8543" w:type="dxa"/>
        <w:tblLook w:val="0420" w:firstRow="1" w:lastRow="0" w:firstColumn="0" w:lastColumn="0" w:noHBand="0" w:noVBand="1"/>
        <w:tblCaption w:val="Connection quality of service indicators - Australia"/>
        <w:tblDescription w:val="The new installation appointments performance indicator has the following applicable standards: &#10;CSG: Maximum connection period: 2 working days for in place connections, 5 working days for Urban areas, 10 working days for major rural, and 15 working days for minor rural and remote. Priority Assistance: within 24 hours in an urban or rural area, or 48 hours in remote areas.&#10;The connection appointments performance indicator has the following applicable standards:&#10;CSG: Customers may make connection appointments before or after the maximum connection period."/>
      </w:tblPr>
      <w:tblGrid>
        <w:gridCol w:w="2271"/>
        <w:gridCol w:w="6272"/>
      </w:tblGrid>
      <w:tr w:rsidR="00FA2001" w:rsidRPr="00156720" w14:paraId="484E4D84" w14:textId="77777777" w:rsidTr="00902462">
        <w:trPr>
          <w:cnfStyle w:val="100000000000" w:firstRow="1" w:lastRow="0" w:firstColumn="0" w:lastColumn="0" w:oddVBand="0" w:evenVBand="0" w:oddHBand="0" w:evenHBand="0" w:firstRowFirstColumn="0" w:firstRowLastColumn="0" w:lastRowFirstColumn="0" w:lastRowLastColumn="0"/>
          <w:trHeight w:val="346"/>
        </w:trPr>
        <w:tc>
          <w:tcPr>
            <w:tcW w:w="2271" w:type="dxa"/>
          </w:tcPr>
          <w:p w14:paraId="1258C171" w14:textId="77777777" w:rsidR="00FA2001" w:rsidRPr="00156720" w:rsidRDefault="00FA2001" w:rsidP="001A69B0">
            <w:pPr>
              <w:pStyle w:val="TableColumnHeadingNormal"/>
              <w:rPr>
                <w:rFonts w:eastAsia="Georgia"/>
              </w:rPr>
            </w:pPr>
            <w:r>
              <w:rPr>
                <w:rFonts w:eastAsia="Georgia"/>
              </w:rPr>
              <w:t>Performance</w:t>
            </w:r>
            <w:r w:rsidRPr="00156720">
              <w:rPr>
                <w:rFonts w:eastAsia="Georgia"/>
              </w:rPr>
              <w:t xml:space="preserve"> indicator</w:t>
            </w:r>
          </w:p>
        </w:tc>
        <w:tc>
          <w:tcPr>
            <w:tcW w:w="6272" w:type="dxa"/>
          </w:tcPr>
          <w:p w14:paraId="7201C0CC" w14:textId="2BA963F3" w:rsidR="00FA2001" w:rsidRPr="00156720" w:rsidRDefault="00FA2001" w:rsidP="001A69B0">
            <w:pPr>
              <w:pStyle w:val="TableColumnHeadingNormal"/>
              <w:rPr>
                <w:rFonts w:eastAsia="Georgia"/>
              </w:rPr>
            </w:pPr>
            <w:r w:rsidRPr="00156720">
              <w:rPr>
                <w:rFonts w:eastAsia="Georgia"/>
              </w:rPr>
              <w:t xml:space="preserve">Applicable </w:t>
            </w:r>
            <w:r w:rsidR="007F62CC">
              <w:rPr>
                <w:rFonts w:eastAsia="Georgia"/>
              </w:rPr>
              <w:t>standard</w:t>
            </w:r>
          </w:p>
        </w:tc>
      </w:tr>
      <w:tr w:rsidR="007F62CC" w:rsidRPr="00156720" w14:paraId="2325B43A" w14:textId="77777777" w:rsidTr="00902462">
        <w:trPr>
          <w:trHeight w:val="346"/>
        </w:trPr>
        <w:tc>
          <w:tcPr>
            <w:tcW w:w="2271" w:type="dxa"/>
          </w:tcPr>
          <w:p w14:paraId="7F00A115" w14:textId="601C1CDB" w:rsidR="007F62CC" w:rsidRPr="00156720" w:rsidRDefault="00C649E1" w:rsidP="001A69B0">
            <w:pPr>
              <w:pStyle w:val="TableTextNormal"/>
              <w:rPr>
                <w:rFonts w:eastAsia="Gungsuh"/>
              </w:rPr>
            </w:pPr>
            <w:r w:rsidRPr="00C649E1">
              <w:rPr>
                <w:rFonts w:eastAsia="Gungsuh"/>
              </w:rPr>
              <w:t>New installation appointments met</w:t>
            </w:r>
          </w:p>
        </w:tc>
        <w:tc>
          <w:tcPr>
            <w:tcW w:w="6272" w:type="dxa"/>
          </w:tcPr>
          <w:p w14:paraId="26BAE067" w14:textId="415658EA" w:rsidR="007F62CC" w:rsidRDefault="007F62CC" w:rsidP="001A69B0">
            <w:pPr>
              <w:pStyle w:val="TableTextNormal"/>
              <w:rPr>
                <w:rFonts w:eastAsia="Gungsuh"/>
              </w:rPr>
            </w:pPr>
            <w:r w:rsidRPr="00C029A4">
              <w:rPr>
                <w:rFonts w:eastAsia="Gungsuh"/>
                <w:b/>
              </w:rPr>
              <w:t>CSG:</w:t>
            </w:r>
            <w:r>
              <w:rPr>
                <w:rFonts w:eastAsia="Gungsuh"/>
              </w:rPr>
              <w:t xml:space="preserve"> </w:t>
            </w:r>
            <w:r w:rsidR="009C76E0">
              <w:rPr>
                <w:rFonts w:eastAsia="Gungsuh"/>
              </w:rPr>
              <w:t>M</w:t>
            </w:r>
            <w:r>
              <w:rPr>
                <w:rFonts w:eastAsia="Gungsuh"/>
              </w:rPr>
              <w:t xml:space="preserve">aximum connection </w:t>
            </w:r>
            <w:r w:rsidR="00D97179">
              <w:rPr>
                <w:rFonts w:eastAsia="Gungsuh"/>
              </w:rPr>
              <w:t>period</w:t>
            </w:r>
            <w:r>
              <w:rPr>
                <w:rFonts w:eastAsia="Gungsuh"/>
              </w:rPr>
              <w:t>:</w:t>
            </w:r>
          </w:p>
          <w:p w14:paraId="6A3F8ECE" w14:textId="77777777" w:rsidR="007F62CC" w:rsidRDefault="007F62CC" w:rsidP="001A69B0">
            <w:pPr>
              <w:pStyle w:val="TableBullet1Normal"/>
              <w:rPr>
                <w:rFonts w:eastAsia="Gungsuh"/>
              </w:rPr>
            </w:pPr>
            <w:r>
              <w:rPr>
                <w:rFonts w:eastAsia="Gungsuh"/>
              </w:rPr>
              <w:t>2 working days for in place connections</w:t>
            </w:r>
          </w:p>
          <w:p w14:paraId="2356684D" w14:textId="77777777" w:rsidR="007F62CC" w:rsidRDefault="007F62CC" w:rsidP="001A69B0">
            <w:pPr>
              <w:pStyle w:val="TableBullet1Normal"/>
              <w:rPr>
                <w:rFonts w:eastAsia="Gungsuh"/>
              </w:rPr>
            </w:pPr>
            <w:r>
              <w:rPr>
                <w:rFonts w:eastAsia="Gungsuh"/>
              </w:rPr>
              <w:t>5 working days for Urban areas</w:t>
            </w:r>
          </w:p>
          <w:p w14:paraId="44EC284A" w14:textId="77777777" w:rsidR="007F62CC" w:rsidRDefault="007F62CC" w:rsidP="001A69B0">
            <w:pPr>
              <w:pStyle w:val="TableBullet1Normal"/>
              <w:rPr>
                <w:rFonts w:eastAsia="Gungsuh"/>
              </w:rPr>
            </w:pPr>
            <w:r>
              <w:rPr>
                <w:rFonts w:eastAsia="Gungsuh"/>
              </w:rPr>
              <w:t>10 working days for major rural</w:t>
            </w:r>
          </w:p>
          <w:p w14:paraId="32D28250" w14:textId="77777777" w:rsidR="007F62CC" w:rsidRDefault="007F62CC" w:rsidP="001A69B0">
            <w:pPr>
              <w:pStyle w:val="TableBullet1Normal"/>
              <w:rPr>
                <w:rFonts w:eastAsia="Gungsuh"/>
              </w:rPr>
            </w:pPr>
            <w:r>
              <w:rPr>
                <w:rFonts w:eastAsia="Gungsuh"/>
              </w:rPr>
              <w:t>15 working days for minor rural and remote.</w:t>
            </w:r>
          </w:p>
          <w:p w14:paraId="5630A48E" w14:textId="30847C1A" w:rsidR="007F62CC" w:rsidRPr="00156720" w:rsidRDefault="007F62CC" w:rsidP="001A69B0">
            <w:pPr>
              <w:pStyle w:val="TableTextNormal"/>
              <w:rPr>
                <w:rFonts w:eastAsia="Gungsuh"/>
              </w:rPr>
            </w:pPr>
            <w:r w:rsidRPr="00C029A4">
              <w:rPr>
                <w:rFonts w:eastAsia="Gungsuh"/>
                <w:b/>
              </w:rPr>
              <w:t>Priority Assistance</w:t>
            </w:r>
            <w:r>
              <w:rPr>
                <w:rFonts w:eastAsia="Gungsuh"/>
              </w:rPr>
              <w:t xml:space="preserve">: </w:t>
            </w:r>
            <w:r w:rsidR="00F405F6">
              <w:rPr>
                <w:rFonts w:eastAsia="Gungsuh"/>
              </w:rPr>
              <w:t xml:space="preserve">within </w:t>
            </w:r>
            <w:r>
              <w:rPr>
                <w:rFonts w:eastAsia="Gungsuh"/>
              </w:rPr>
              <w:t xml:space="preserve">24 hours in an urban or rural area, or 48 hours </w:t>
            </w:r>
            <w:r w:rsidR="00D97179">
              <w:rPr>
                <w:rFonts w:eastAsia="Gungsuh"/>
              </w:rPr>
              <w:t>in</w:t>
            </w:r>
            <w:r>
              <w:rPr>
                <w:rFonts w:eastAsia="Gungsuh"/>
              </w:rPr>
              <w:t xml:space="preserve"> remote areas.</w:t>
            </w:r>
          </w:p>
        </w:tc>
      </w:tr>
      <w:tr w:rsidR="007F62CC" w:rsidRPr="00156720" w14:paraId="6BB8EB8F" w14:textId="77777777" w:rsidTr="00902462">
        <w:trPr>
          <w:trHeight w:val="346"/>
        </w:trPr>
        <w:tc>
          <w:tcPr>
            <w:tcW w:w="2271" w:type="dxa"/>
          </w:tcPr>
          <w:p w14:paraId="787FEA56" w14:textId="77777777" w:rsidR="007F62CC" w:rsidRPr="00156720" w:rsidRDefault="007F62CC" w:rsidP="001A69B0">
            <w:pPr>
              <w:pStyle w:val="TableTextNormal"/>
              <w:rPr>
                <w:rFonts w:eastAsia="Gungsuh"/>
              </w:rPr>
            </w:pPr>
            <w:r w:rsidRPr="00156720">
              <w:rPr>
                <w:rFonts w:eastAsia="Gungsuh"/>
              </w:rPr>
              <w:t>Connection appointments</w:t>
            </w:r>
          </w:p>
        </w:tc>
        <w:tc>
          <w:tcPr>
            <w:tcW w:w="6272" w:type="dxa"/>
          </w:tcPr>
          <w:p w14:paraId="5E4DDA34" w14:textId="07E000BB" w:rsidR="007F62CC" w:rsidRPr="00156720" w:rsidRDefault="007F62CC" w:rsidP="001A69B0">
            <w:pPr>
              <w:pStyle w:val="TableTextNormal"/>
              <w:rPr>
                <w:rFonts w:eastAsia="Gungsuh"/>
              </w:rPr>
            </w:pPr>
            <w:r w:rsidRPr="00C029A4">
              <w:rPr>
                <w:rFonts w:eastAsia="Gungsuh"/>
                <w:b/>
              </w:rPr>
              <w:t>CSG:</w:t>
            </w:r>
            <w:r>
              <w:rPr>
                <w:rFonts w:eastAsia="Gungsuh"/>
              </w:rPr>
              <w:t xml:space="preserve"> Customers may make connection appointments before or after the maximum connection </w:t>
            </w:r>
            <w:r w:rsidR="00D97179">
              <w:rPr>
                <w:rFonts w:eastAsia="Gungsuh"/>
              </w:rPr>
              <w:t>period</w:t>
            </w:r>
            <w:r>
              <w:rPr>
                <w:rFonts w:eastAsia="Gungsuh"/>
              </w:rPr>
              <w:t>.</w:t>
            </w:r>
          </w:p>
        </w:tc>
      </w:tr>
    </w:tbl>
    <w:p w14:paraId="333B06B4" w14:textId="3AAFA470" w:rsidR="00FA2001" w:rsidRDefault="00C649E1" w:rsidP="00325598">
      <w:pPr>
        <w:pStyle w:val="styeheading5"/>
        <w:rPr>
          <w:rFonts w:eastAsia="Georgia"/>
          <w:snapToGrid/>
        </w:rPr>
      </w:pPr>
      <w:r>
        <w:rPr>
          <w:rFonts w:eastAsia="Georgia"/>
          <w:snapToGrid/>
        </w:rPr>
        <w:t>Data connections</w:t>
      </w:r>
    </w:p>
    <w:p w14:paraId="261860E7" w14:textId="65827876" w:rsidR="007F62CC" w:rsidRPr="007F62CC" w:rsidRDefault="007F62CC" w:rsidP="007F62CC">
      <w:pPr>
        <w:pStyle w:val="PwCNormal"/>
        <w:rPr>
          <w:rFonts w:eastAsia="Georgia"/>
        </w:rPr>
      </w:pPr>
      <w:r w:rsidRPr="007F62CC">
        <w:rPr>
          <w:rFonts w:eastAsia="Georgia"/>
        </w:rPr>
        <w:t xml:space="preserve">Under the </w:t>
      </w:r>
      <w:r w:rsidR="006721E0">
        <w:rPr>
          <w:rFonts w:eastAsia="Georgia"/>
        </w:rPr>
        <w:t xml:space="preserve">current </w:t>
      </w:r>
      <w:r w:rsidRPr="007F62CC">
        <w:rPr>
          <w:rFonts w:eastAsia="Georgia"/>
        </w:rPr>
        <w:t xml:space="preserve">standards and frameworks considered, Australia does not have any </w:t>
      </w:r>
      <w:r w:rsidR="00D962AC">
        <w:rPr>
          <w:rFonts w:eastAsia="Georgia"/>
        </w:rPr>
        <w:t xml:space="preserve">specific </w:t>
      </w:r>
      <w:r w:rsidR="0068553A">
        <w:rPr>
          <w:rFonts w:eastAsia="Georgia"/>
        </w:rPr>
        <w:t xml:space="preserve">reliability consumer safeguards currently in place for </w:t>
      </w:r>
      <w:r w:rsidR="00AC327F">
        <w:rPr>
          <w:rFonts w:eastAsia="Georgia"/>
        </w:rPr>
        <w:t xml:space="preserve">broadband or </w:t>
      </w:r>
      <w:r w:rsidR="0068553A">
        <w:rPr>
          <w:rFonts w:eastAsia="Georgia"/>
        </w:rPr>
        <w:t xml:space="preserve">mobile </w:t>
      </w:r>
      <w:r w:rsidR="00AC327F">
        <w:rPr>
          <w:rFonts w:eastAsia="Georgia"/>
        </w:rPr>
        <w:t>data connections.</w:t>
      </w:r>
    </w:p>
    <w:p w14:paraId="71E5E4D7" w14:textId="2D07E8C4" w:rsidR="00FA2001" w:rsidRPr="00156720" w:rsidRDefault="00325598" w:rsidP="00325598">
      <w:pPr>
        <w:pStyle w:val="Heading4"/>
        <w:numPr>
          <w:ilvl w:val="0"/>
          <w:numId w:val="0"/>
        </w:numPr>
        <w:ind w:left="851" w:hanging="851"/>
        <w:rPr>
          <w:snapToGrid/>
        </w:rPr>
      </w:pPr>
      <w:r>
        <w:rPr>
          <w:snapToGrid/>
        </w:rPr>
        <w:t>3.1.5</w:t>
      </w:r>
      <w:r>
        <w:rPr>
          <w:snapToGrid/>
        </w:rPr>
        <w:tab/>
      </w:r>
      <w:r w:rsidR="00FA2001" w:rsidRPr="00156720">
        <w:rPr>
          <w:snapToGrid/>
        </w:rPr>
        <w:t>Outages and faults</w:t>
      </w:r>
    </w:p>
    <w:p w14:paraId="0B88D9F3" w14:textId="3F543902" w:rsidR="00500F31" w:rsidRPr="00156720" w:rsidRDefault="00500F31" w:rsidP="00500F31">
      <w:pPr>
        <w:pStyle w:val="PwCNormal"/>
      </w:pPr>
      <w:bookmarkStart w:id="33" w:name="_Ref516646761"/>
      <w:bookmarkStart w:id="34" w:name="_Ref516646756"/>
      <w:r w:rsidRPr="00156720">
        <w:t xml:space="preserve">The </w:t>
      </w:r>
      <w:r w:rsidR="00ED225F">
        <w:t>NRF</w:t>
      </w:r>
      <w:r w:rsidRPr="00156720">
        <w:t xml:space="preserve"> </w:t>
      </w:r>
      <w:r w:rsidR="00D27DE3">
        <w:t xml:space="preserve">relates to the Telstra network and </w:t>
      </w:r>
      <w:r w:rsidRPr="00156720">
        <w:t xml:space="preserve">provides </w:t>
      </w:r>
      <w:r w:rsidR="0068553A">
        <w:t>requirements relating to</w:t>
      </w:r>
      <w:r w:rsidRPr="00156720">
        <w:t xml:space="preserve"> service faults and </w:t>
      </w:r>
      <w:r>
        <w:t xml:space="preserve">the </w:t>
      </w:r>
      <w:r w:rsidRPr="00156720">
        <w:t>percentage of time that services are available.</w:t>
      </w:r>
      <w:r w:rsidRPr="00156720">
        <w:rPr>
          <w:rStyle w:val="FootnoteReference"/>
          <w:rFonts w:eastAsia="Georgia"/>
          <w:snapToGrid/>
        </w:rPr>
        <w:footnoteReference w:id="35"/>
      </w:r>
    </w:p>
    <w:p w14:paraId="1C1DED5C" w14:textId="0B59B05E" w:rsidR="00500F31" w:rsidRDefault="00500F31" w:rsidP="00500F31">
      <w:pPr>
        <w:pStyle w:val="PwCNormal"/>
      </w:pPr>
      <w:r w:rsidRPr="00156720">
        <w:t xml:space="preserve">Metrics for </w:t>
      </w:r>
      <w:r w:rsidR="006721E0">
        <w:t xml:space="preserve">fixed line </w:t>
      </w:r>
      <w:r w:rsidRPr="00156720">
        <w:t xml:space="preserve">outages and faults are summarised in </w:t>
      </w:r>
      <w:r w:rsidR="00E2438D">
        <w:t>Table 6</w:t>
      </w:r>
      <w:r w:rsidRPr="00156720">
        <w:t>. Note that the CSG and Priority Assistance do not apply to all fixed line telephone providers.</w:t>
      </w:r>
    </w:p>
    <w:p w14:paraId="0D4FEA1E" w14:textId="4A13D996" w:rsidR="00824A3F" w:rsidRPr="00156720" w:rsidRDefault="00824A3F" w:rsidP="00500F31">
      <w:pPr>
        <w:pStyle w:val="PwCNormal"/>
      </w:pPr>
      <w:r>
        <w:t>While some countries differentiate between outages and faults, Australia does not appear to do so. Mass outages (ie those caused by natural disasters), however, operate as a crite</w:t>
      </w:r>
      <w:r w:rsidR="00DA24F0">
        <w:t>ria for exemption from the CSG.</w:t>
      </w:r>
    </w:p>
    <w:p w14:paraId="27CBFBBE" w14:textId="1E4B5206" w:rsidR="00FA2001" w:rsidRPr="00156720" w:rsidRDefault="00FA2001" w:rsidP="009D1655">
      <w:pPr>
        <w:pStyle w:val="Caption"/>
      </w:pPr>
      <w:r w:rsidRPr="00156720">
        <w:lastRenderedPageBreak/>
        <w:t xml:space="preserve">Table </w:t>
      </w:r>
      <w:r w:rsidR="000B0990">
        <w:rPr>
          <w:noProof/>
        </w:rPr>
        <w:fldChar w:fldCharType="begin"/>
      </w:r>
      <w:r w:rsidR="000B0990">
        <w:rPr>
          <w:noProof/>
        </w:rPr>
        <w:instrText xml:space="preserve"> SEQ Table \* ARABIC </w:instrText>
      </w:r>
      <w:r w:rsidR="000B0990">
        <w:rPr>
          <w:noProof/>
        </w:rPr>
        <w:fldChar w:fldCharType="separate"/>
      </w:r>
      <w:r w:rsidR="00AE12E7">
        <w:rPr>
          <w:noProof/>
        </w:rPr>
        <w:t>6</w:t>
      </w:r>
      <w:r w:rsidR="000B0990">
        <w:rPr>
          <w:noProof/>
        </w:rPr>
        <w:fldChar w:fldCharType="end"/>
      </w:r>
      <w:bookmarkEnd w:id="33"/>
      <w:r w:rsidRPr="00156720">
        <w:t>: Outages and faults quality of service indicators – Australia</w:t>
      </w:r>
      <w:bookmarkEnd w:id="34"/>
      <w:r w:rsidRPr="00156720">
        <w:rPr>
          <w:rStyle w:val="FootnoteReference"/>
        </w:rPr>
        <w:footnoteReference w:id="36"/>
      </w:r>
      <w:r w:rsidR="00AC327F">
        <w:rPr>
          <w:vertAlign w:val="superscript"/>
        </w:rPr>
        <w:t>,</w:t>
      </w:r>
      <w:r w:rsidRPr="00156720">
        <w:t xml:space="preserve"> </w:t>
      </w:r>
      <w:r w:rsidRPr="00156720">
        <w:rPr>
          <w:rStyle w:val="FootnoteReference"/>
        </w:rPr>
        <w:footnoteReference w:id="37"/>
      </w:r>
      <w:r w:rsidR="00AC327F">
        <w:rPr>
          <w:vertAlign w:val="superscript"/>
        </w:rPr>
        <w:t>,</w:t>
      </w:r>
      <w:r w:rsidRPr="00156720">
        <w:t xml:space="preserve"> </w:t>
      </w:r>
      <w:r w:rsidRPr="00156720">
        <w:rPr>
          <w:rStyle w:val="FootnoteReference"/>
          <w:rFonts w:eastAsia="Georgia"/>
          <w:snapToGrid/>
        </w:rPr>
        <w:footnoteReference w:id="38"/>
      </w:r>
    </w:p>
    <w:tbl>
      <w:tblPr>
        <w:tblStyle w:val="Tables-APBase"/>
        <w:tblW w:w="8543" w:type="dxa"/>
        <w:tblLook w:val="06A0" w:firstRow="1" w:lastRow="0" w:firstColumn="1" w:lastColumn="0" w:noHBand="1" w:noVBand="1"/>
        <w:tblCaption w:val="Outages and faults quality of service indicators – Australia"/>
        <w:tblDescription w:val="The fault rectification quality indicator has the following applicable standards: &#10;CSG: Maximum rectification periods: One full working day in Urban centres, Two full working days in small urban/rural areas, Three full working days in other areas.&#10;Priority assistance: timeframe for rectification of a service: 24 hours in Urban and Rural, 48 hours in remote areas. A longer timeframe if requested by the customer&#10;&#10;The fault appointments quality indicator has the following applicable standards: &#10;CSG: Service providers must make appointments that are convenient to the customer. The appointment must be for a specific time or within a period of no more than 5 hours. A service provider must keep an appointment but may change by giving 24 hours’ notice or with the consumer’s agreement"/>
      </w:tblPr>
      <w:tblGrid>
        <w:gridCol w:w="2412"/>
        <w:gridCol w:w="6131"/>
      </w:tblGrid>
      <w:tr w:rsidR="00FA2001" w:rsidRPr="006E282F" w14:paraId="281DB5B5" w14:textId="77777777" w:rsidTr="007404FC">
        <w:trPr>
          <w:cnfStyle w:val="100000000000" w:firstRow="1" w:lastRow="0" w:firstColumn="0" w:lastColumn="0" w:oddVBand="0" w:evenVBand="0" w:oddHBand="0" w:evenHBand="0" w:firstRowFirstColumn="0" w:firstRowLastColumn="0" w:lastRowFirstColumn="0" w:lastRowLastColumn="0"/>
          <w:trHeight w:val="346"/>
        </w:trPr>
        <w:tc>
          <w:tcPr>
            <w:cnfStyle w:val="000000000100" w:firstRow="0" w:lastRow="0" w:firstColumn="0" w:lastColumn="0" w:oddVBand="0" w:evenVBand="0" w:oddHBand="0" w:evenHBand="0" w:firstRowFirstColumn="1" w:firstRowLastColumn="0" w:lastRowFirstColumn="0" w:lastRowLastColumn="0"/>
            <w:tcW w:w="2412" w:type="dxa"/>
          </w:tcPr>
          <w:p w14:paraId="578580F6" w14:textId="77777777" w:rsidR="00FA2001" w:rsidRPr="00156720" w:rsidRDefault="00FA2001" w:rsidP="007404FC">
            <w:pPr>
              <w:pStyle w:val="TableColumnHeadingNormal"/>
              <w:rPr>
                <w:rFonts w:eastAsia="Georgia"/>
              </w:rPr>
            </w:pPr>
            <w:r w:rsidRPr="00156720">
              <w:rPr>
                <w:rFonts w:eastAsia="Georgia"/>
              </w:rPr>
              <w:t>Quality of service indicator</w:t>
            </w:r>
          </w:p>
        </w:tc>
        <w:tc>
          <w:tcPr>
            <w:tcW w:w="6131" w:type="dxa"/>
          </w:tcPr>
          <w:p w14:paraId="37B14E82" w14:textId="77777777" w:rsidR="00FA2001" w:rsidRPr="00156720" w:rsidRDefault="00FA2001" w:rsidP="007404FC">
            <w:pPr>
              <w:pStyle w:val="TableColumnHeadingNormal"/>
              <w:cnfStyle w:val="100000000000" w:firstRow="1" w:lastRow="0" w:firstColumn="0" w:lastColumn="0" w:oddVBand="0" w:evenVBand="0" w:oddHBand="0" w:evenHBand="0" w:firstRowFirstColumn="0" w:firstRowLastColumn="0" w:lastRowFirstColumn="0" w:lastRowLastColumn="0"/>
              <w:rPr>
                <w:rFonts w:eastAsia="Georgia"/>
              </w:rPr>
            </w:pPr>
            <w:r w:rsidRPr="00156720">
              <w:rPr>
                <w:rFonts w:eastAsia="Georgia"/>
              </w:rPr>
              <w:t>Applicable standard</w:t>
            </w:r>
          </w:p>
        </w:tc>
      </w:tr>
      <w:tr w:rsidR="007F62CC" w:rsidRPr="006E282F" w14:paraId="6BBE57B9" w14:textId="77777777" w:rsidTr="007404FC">
        <w:trPr>
          <w:trHeight w:val="346"/>
        </w:trPr>
        <w:tc>
          <w:tcPr>
            <w:tcW w:w="2412" w:type="dxa"/>
          </w:tcPr>
          <w:p w14:paraId="16D0AA7C" w14:textId="77777777" w:rsidR="007F62CC" w:rsidRPr="00156720" w:rsidRDefault="007F62CC" w:rsidP="007404FC">
            <w:pPr>
              <w:pStyle w:val="TableTextNormal"/>
              <w:rPr>
                <w:rFonts w:eastAsia="Gungsuh"/>
              </w:rPr>
            </w:pPr>
            <w:r w:rsidRPr="00156720">
              <w:rPr>
                <w:rFonts w:eastAsia="Gungsuh"/>
              </w:rPr>
              <w:t>Fault rectification</w:t>
            </w:r>
          </w:p>
        </w:tc>
        <w:tc>
          <w:tcPr>
            <w:tcW w:w="6131" w:type="dxa"/>
          </w:tcPr>
          <w:p w14:paraId="114122C5" w14:textId="44F487DB" w:rsidR="007F62CC" w:rsidRDefault="007F62CC" w:rsidP="007404FC">
            <w:pPr>
              <w:pStyle w:val="TableTextNormal"/>
              <w:rPr>
                <w:rFonts w:eastAsia="Gungsuh"/>
              </w:rPr>
            </w:pPr>
            <w:r>
              <w:rPr>
                <w:rFonts w:eastAsia="Gungsuh"/>
                <w:b/>
              </w:rPr>
              <w:t xml:space="preserve">CSG: </w:t>
            </w:r>
            <w:r w:rsidR="00F128AE" w:rsidRPr="00164318">
              <w:rPr>
                <w:rFonts w:eastAsia="Gungsuh"/>
              </w:rPr>
              <w:t>Maximum r</w:t>
            </w:r>
            <w:r w:rsidRPr="00090659">
              <w:rPr>
                <w:rFonts w:eastAsia="Gungsuh"/>
              </w:rPr>
              <w:t>ectification</w:t>
            </w:r>
            <w:r>
              <w:rPr>
                <w:rFonts w:eastAsia="Gungsuh"/>
              </w:rPr>
              <w:t xml:space="preserve"> periods:</w:t>
            </w:r>
          </w:p>
          <w:p w14:paraId="0ADF8915" w14:textId="77777777" w:rsidR="007F62CC" w:rsidRDefault="007F62CC" w:rsidP="007404FC">
            <w:pPr>
              <w:pStyle w:val="TableBullet1Normal"/>
              <w:rPr>
                <w:rFonts w:eastAsia="Gungsuh"/>
              </w:rPr>
            </w:pPr>
            <w:r>
              <w:rPr>
                <w:rFonts w:eastAsia="Gungsuh"/>
              </w:rPr>
              <w:t>One full working day in Urban centres</w:t>
            </w:r>
          </w:p>
          <w:p w14:paraId="3C9A8FDE" w14:textId="0DF52B0E" w:rsidR="007F62CC" w:rsidRDefault="007F62CC" w:rsidP="007404FC">
            <w:pPr>
              <w:pStyle w:val="TableBullet1Normal"/>
              <w:rPr>
                <w:rFonts w:eastAsia="Gungsuh"/>
              </w:rPr>
            </w:pPr>
            <w:r>
              <w:rPr>
                <w:rFonts w:eastAsia="Gungsuh"/>
              </w:rPr>
              <w:t>Two full working days in small urban/rural areas</w:t>
            </w:r>
          </w:p>
          <w:p w14:paraId="108E1C0E" w14:textId="2048A875" w:rsidR="007F62CC" w:rsidRPr="00211712" w:rsidRDefault="007F62CC" w:rsidP="007404FC">
            <w:pPr>
              <w:pStyle w:val="TableBullet1Normal"/>
              <w:rPr>
                <w:rFonts w:eastAsia="Gungsuh"/>
              </w:rPr>
            </w:pPr>
            <w:r>
              <w:rPr>
                <w:rFonts w:eastAsia="Gungsuh"/>
              </w:rPr>
              <w:t>Three full working days in other areas</w:t>
            </w:r>
          </w:p>
          <w:p w14:paraId="36D707D9" w14:textId="3B94C7E7" w:rsidR="007F62CC" w:rsidRDefault="007F62CC" w:rsidP="001A69B0">
            <w:pPr>
              <w:pStyle w:val="TableTextNormal"/>
              <w:rPr>
                <w:rFonts w:eastAsia="Gungsuh"/>
              </w:rPr>
            </w:pPr>
            <w:r>
              <w:rPr>
                <w:rFonts w:eastAsia="Gungsuh"/>
                <w:b/>
              </w:rPr>
              <w:t xml:space="preserve">Priority assistance: </w:t>
            </w:r>
            <w:r>
              <w:rPr>
                <w:rFonts w:eastAsia="Gungsuh"/>
              </w:rPr>
              <w:t>timeframe for rectification of a service:</w:t>
            </w:r>
          </w:p>
          <w:p w14:paraId="7254E399" w14:textId="77777777" w:rsidR="007F62CC" w:rsidRDefault="007F62CC" w:rsidP="007404FC">
            <w:pPr>
              <w:pStyle w:val="TableBullet1Normal"/>
              <w:rPr>
                <w:rFonts w:eastAsia="Gungsuh"/>
              </w:rPr>
            </w:pPr>
            <w:r>
              <w:rPr>
                <w:rFonts w:eastAsia="Gungsuh"/>
              </w:rPr>
              <w:t>24 hours in Urban and Rural</w:t>
            </w:r>
          </w:p>
          <w:p w14:paraId="3DAC67A2" w14:textId="77777777" w:rsidR="007F62CC" w:rsidRDefault="007F62CC" w:rsidP="007404FC">
            <w:pPr>
              <w:pStyle w:val="TableBullet1Normal"/>
              <w:rPr>
                <w:rFonts w:eastAsia="Gungsuh"/>
              </w:rPr>
            </w:pPr>
            <w:r>
              <w:rPr>
                <w:rFonts w:eastAsia="Gungsuh"/>
              </w:rPr>
              <w:t>48 hours in remote areas</w:t>
            </w:r>
          </w:p>
          <w:p w14:paraId="5E2926B2" w14:textId="1A107FDB" w:rsidR="007F62CC" w:rsidRPr="00156720" w:rsidRDefault="007F62CC" w:rsidP="001A69B0">
            <w:pPr>
              <w:pStyle w:val="TableTextNormal"/>
              <w:rPr>
                <w:rFonts w:eastAsia="Gungsuh"/>
              </w:rPr>
            </w:pPr>
            <w:r>
              <w:rPr>
                <w:rFonts w:eastAsia="Gungsuh"/>
              </w:rPr>
              <w:t>A longer timeframe if requested by the customer</w:t>
            </w:r>
          </w:p>
        </w:tc>
      </w:tr>
      <w:tr w:rsidR="007F62CC" w:rsidRPr="00225950" w14:paraId="631102B5" w14:textId="77777777" w:rsidTr="007404FC">
        <w:trPr>
          <w:trHeight w:val="346"/>
        </w:trPr>
        <w:tc>
          <w:tcPr>
            <w:tcW w:w="2412" w:type="dxa"/>
          </w:tcPr>
          <w:p w14:paraId="003844FA" w14:textId="77777777" w:rsidR="007F62CC" w:rsidRPr="00156720" w:rsidRDefault="007F62CC" w:rsidP="007404FC">
            <w:pPr>
              <w:pStyle w:val="TableTextNormal"/>
              <w:rPr>
                <w:rFonts w:eastAsia="Gungsuh"/>
              </w:rPr>
            </w:pPr>
            <w:r w:rsidRPr="00156720">
              <w:rPr>
                <w:rFonts w:eastAsia="Gungsuh"/>
              </w:rPr>
              <w:t>Fault appointments</w:t>
            </w:r>
          </w:p>
        </w:tc>
        <w:tc>
          <w:tcPr>
            <w:tcW w:w="6131" w:type="dxa"/>
          </w:tcPr>
          <w:p w14:paraId="2C258CA5" w14:textId="7E3BC1CB" w:rsidR="00FA59CE" w:rsidRDefault="007F62CC" w:rsidP="007404FC">
            <w:pPr>
              <w:pStyle w:val="TableTextNormal"/>
              <w:rPr>
                <w:rFonts w:eastAsia="Gungsuh"/>
              </w:rPr>
            </w:pPr>
            <w:r w:rsidRPr="001A69B0">
              <w:rPr>
                <w:rFonts w:eastAsia="Gungsuh"/>
                <w:b/>
              </w:rPr>
              <w:t>CSG</w:t>
            </w:r>
            <w:r>
              <w:rPr>
                <w:rFonts w:eastAsia="Gungsuh"/>
              </w:rPr>
              <w:t>:</w:t>
            </w:r>
          </w:p>
          <w:p w14:paraId="379153AF" w14:textId="40B9D63A" w:rsidR="00FA59CE" w:rsidRDefault="007F62CC" w:rsidP="007404FC">
            <w:pPr>
              <w:pStyle w:val="TableBullet1Normal"/>
              <w:rPr>
                <w:rFonts w:eastAsia="Gungsuh"/>
              </w:rPr>
            </w:pPr>
            <w:r>
              <w:rPr>
                <w:rFonts w:eastAsia="Gungsuh"/>
              </w:rPr>
              <w:t>Service providers must make appointments that are convenient to the customer.</w:t>
            </w:r>
          </w:p>
          <w:p w14:paraId="5D442DD3" w14:textId="4782FD1C" w:rsidR="00FA59CE" w:rsidRDefault="007F62CC" w:rsidP="007404FC">
            <w:pPr>
              <w:pStyle w:val="TableBullet1Normal"/>
              <w:rPr>
                <w:rFonts w:eastAsia="Gungsuh"/>
              </w:rPr>
            </w:pPr>
            <w:r>
              <w:rPr>
                <w:rFonts w:eastAsia="Gungsuh"/>
              </w:rPr>
              <w:t>The appointment must be for a specific time or within a period of no more than 5 hours.</w:t>
            </w:r>
          </w:p>
          <w:p w14:paraId="09BAEC89" w14:textId="605810C1" w:rsidR="007F62CC" w:rsidRPr="007F62CC" w:rsidRDefault="007F62CC" w:rsidP="007404FC">
            <w:pPr>
              <w:pStyle w:val="TableBullet1Normal"/>
              <w:rPr>
                <w:rFonts w:eastAsia="Gungsuh"/>
              </w:rPr>
            </w:pPr>
            <w:r w:rsidRPr="007F62CC">
              <w:rPr>
                <w:rFonts w:eastAsia="Gungsuh"/>
              </w:rPr>
              <w:t>A service prov</w:t>
            </w:r>
            <w:r w:rsidR="00AC327F">
              <w:rPr>
                <w:rFonts w:eastAsia="Gungsuh"/>
              </w:rPr>
              <w:t>ider must keep an appointment but</w:t>
            </w:r>
            <w:r w:rsidRPr="007F62CC">
              <w:rPr>
                <w:rFonts w:eastAsia="Gungsuh"/>
              </w:rPr>
              <w:t xml:space="preserve"> may change by giving 24 </w:t>
            </w:r>
            <w:r w:rsidR="00AC327F" w:rsidRPr="007F62CC">
              <w:rPr>
                <w:rFonts w:eastAsia="Gungsuh"/>
              </w:rPr>
              <w:t>hour</w:t>
            </w:r>
            <w:r w:rsidR="00AC327F">
              <w:rPr>
                <w:rFonts w:eastAsia="Gungsuh"/>
              </w:rPr>
              <w:t>s</w:t>
            </w:r>
            <w:r w:rsidR="00AC327F" w:rsidRPr="007F62CC">
              <w:rPr>
                <w:rFonts w:eastAsia="Gungsuh"/>
              </w:rPr>
              <w:t>’ notice</w:t>
            </w:r>
            <w:r w:rsidRPr="007F62CC">
              <w:rPr>
                <w:rFonts w:eastAsia="Gungsuh"/>
              </w:rPr>
              <w:t xml:space="preserve"> or with the consumer’s agreement.</w:t>
            </w:r>
          </w:p>
        </w:tc>
      </w:tr>
    </w:tbl>
    <w:p w14:paraId="148FCAC6" w14:textId="20E20AD0" w:rsidR="00500F31" w:rsidRPr="00B339AC" w:rsidRDefault="00325598" w:rsidP="00325598">
      <w:pPr>
        <w:pStyle w:val="Heading4"/>
        <w:numPr>
          <w:ilvl w:val="0"/>
          <w:numId w:val="0"/>
        </w:numPr>
        <w:ind w:left="851" w:hanging="851"/>
        <w:rPr>
          <w:snapToGrid/>
        </w:rPr>
      </w:pPr>
      <w:r>
        <w:rPr>
          <w:snapToGrid/>
        </w:rPr>
        <w:t>3.1.6</w:t>
      </w:r>
      <w:r>
        <w:rPr>
          <w:snapToGrid/>
        </w:rPr>
        <w:tab/>
      </w:r>
      <w:r w:rsidR="00500F31">
        <w:rPr>
          <w:snapToGrid/>
        </w:rPr>
        <w:t>Penalties</w:t>
      </w:r>
      <w:r w:rsidR="00ED225F">
        <w:rPr>
          <w:snapToGrid/>
        </w:rPr>
        <w:t xml:space="preserve"> for non-compliance</w:t>
      </w:r>
    </w:p>
    <w:p w14:paraId="6B62C5AD" w14:textId="4CBDDB54" w:rsidR="00500F31" w:rsidRDefault="00500F31" w:rsidP="006721E0">
      <w:pPr>
        <w:keepNext/>
        <w:keepLines/>
        <w:kinsoku/>
        <w:overflowPunct/>
        <w:autoSpaceDE/>
        <w:autoSpaceDN/>
        <w:adjustRightInd/>
        <w:snapToGrid/>
        <w:spacing w:before="120" w:after="120"/>
      </w:pPr>
      <w:r w:rsidRPr="00225950">
        <w:t xml:space="preserve">The </w:t>
      </w:r>
      <w:r w:rsidR="00FB13F7">
        <w:t>CSG</w:t>
      </w:r>
      <w:r w:rsidRPr="00225950">
        <w:t xml:space="preserve"> ha</w:t>
      </w:r>
      <w:r>
        <w:t>s</w:t>
      </w:r>
      <w:r w:rsidRPr="00225950">
        <w:t xml:space="preserve"> penalties </w:t>
      </w:r>
      <w:r>
        <w:t>payable where maximum timeframes are exceeded</w:t>
      </w:r>
      <w:r w:rsidRPr="00225950">
        <w:t xml:space="preserve">. These </w:t>
      </w:r>
      <w:r>
        <w:t xml:space="preserve">are </w:t>
      </w:r>
      <w:r w:rsidRPr="00225950">
        <w:t xml:space="preserve">payable directly to the consumer. </w:t>
      </w:r>
      <w:r>
        <w:t xml:space="preserve">These are summarised in </w:t>
      </w:r>
      <w:r w:rsidR="00A16BB8">
        <w:t>Table 7</w:t>
      </w:r>
      <w:r>
        <w:t>.</w:t>
      </w:r>
    </w:p>
    <w:p w14:paraId="59A949F0" w14:textId="79B303D3" w:rsidR="00FA2001" w:rsidRDefault="00FA2001" w:rsidP="006721E0">
      <w:pPr>
        <w:pStyle w:val="Caption"/>
      </w:pPr>
      <w:r>
        <w:t xml:space="preserve">Table </w:t>
      </w:r>
      <w:r w:rsidR="000B0990">
        <w:rPr>
          <w:noProof/>
        </w:rPr>
        <w:fldChar w:fldCharType="begin"/>
      </w:r>
      <w:r w:rsidR="000B0990">
        <w:rPr>
          <w:noProof/>
        </w:rPr>
        <w:instrText xml:space="preserve"> SEQ Table \* ARABIC </w:instrText>
      </w:r>
      <w:r w:rsidR="000B0990">
        <w:rPr>
          <w:noProof/>
        </w:rPr>
        <w:fldChar w:fldCharType="separate"/>
      </w:r>
      <w:r w:rsidR="00AE12E7">
        <w:rPr>
          <w:noProof/>
        </w:rPr>
        <w:t>7</w:t>
      </w:r>
      <w:r w:rsidR="000B0990">
        <w:rPr>
          <w:noProof/>
        </w:rPr>
        <w:fldChar w:fldCharType="end"/>
      </w:r>
      <w:r>
        <w:t>: Penalties relating to fixed line telephone services in Australia (</w:t>
      </w:r>
      <w:r w:rsidR="00FB13F7">
        <w:t>CSG</w:t>
      </w:r>
      <w:r>
        <w:t>)</w:t>
      </w:r>
      <w:r>
        <w:rPr>
          <w:rStyle w:val="FootnoteReference"/>
        </w:rPr>
        <w:footnoteReference w:id="39"/>
      </w:r>
    </w:p>
    <w:tbl>
      <w:tblPr>
        <w:tblStyle w:val="Tables-APBase"/>
        <w:tblW w:w="8472" w:type="dxa"/>
        <w:tblLook w:val="0620" w:firstRow="1" w:lastRow="0" w:firstColumn="0" w:lastColumn="0" w:noHBand="1" w:noVBand="1"/>
        <w:tblCaption w:val="Penalties relating to fixed line telephone services in Australia (CSG)"/>
        <w:tblDescription w:val="Residential customer:&#10;Connection or repair of standard telephone service: $14.52 compensation per working day for first five working days, and $48.40 per working day after the first five working days.&#10;Connection or repair of enhanced call handling features to an existing service: $7.26 compensation per working day for first five working days, and $24.20 per working day after the first five working days.&#10;Connection or repair of two or more enhanced call handling features to an existing service: $14.52 compensation per working day for first five working days, and $48.40 per working day after the first five working days.&#10;Not keeping an appointment: $14.52 compensation per working day for first five working days.&#10;&#10;Business customer:&#10;Connection or repair of standard telephone service: $24.20 compensation per working day for first five working days, and $48.40 per working day after the first five working days.&#10;Connection or repair of enhanced call handling features to an existing service: $12.10 compensation per working day for first five working days, and $24.20 per working day after the first five working days.&#10;Connection or repair of two or more enhanced call handling features to an existing service: $24.20 compensation per working day for first five working days, and $48.40 per working day after the first five working days.&#10;Not keeping an appointment: $24.20 compensation per working day for first five working days.&#10;"/>
      </w:tblPr>
      <w:tblGrid>
        <w:gridCol w:w="1387"/>
        <w:gridCol w:w="2832"/>
        <w:gridCol w:w="2126"/>
        <w:gridCol w:w="2127"/>
      </w:tblGrid>
      <w:tr w:rsidR="00FA2001" w:rsidRPr="00333A52" w14:paraId="64D3FE65" w14:textId="77777777" w:rsidTr="00974610">
        <w:trPr>
          <w:cnfStyle w:val="100000000000" w:firstRow="1" w:lastRow="0" w:firstColumn="0" w:lastColumn="0" w:oddVBand="0" w:evenVBand="0" w:oddHBand="0" w:evenHBand="0" w:firstRowFirstColumn="0" w:firstRowLastColumn="0" w:lastRowFirstColumn="0" w:lastRowLastColumn="0"/>
          <w:trHeight w:val="601"/>
        </w:trPr>
        <w:tc>
          <w:tcPr>
            <w:tcW w:w="1387" w:type="dxa"/>
            <w:hideMark/>
          </w:tcPr>
          <w:p w14:paraId="4E866C5B" w14:textId="77777777" w:rsidR="00FA2001" w:rsidRPr="00333A52" w:rsidRDefault="00FA2001" w:rsidP="006721E0">
            <w:pPr>
              <w:pStyle w:val="TableColumnHeadingNormal"/>
              <w:rPr>
                <w:rFonts w:eastAsia="Georgia"/>
              </w:rPr>
            </w:pPr>
            <w:r w:rsidRPr="00333A52">
              <w:rPr>
                <w:rFonts w:eastAsia="Georgia"/>
              </w:rPr>
              <w:t>Customer</w:t>
            </w:r>
          </w:p>
        </w:tc>
        <w:tc>
          <w:tcPr>
            <w:tcW w:w="2832" w:type="dxa"/>
            <w:hideMark/>
          </w:tcPr>
          <w:p w14:paraId="15F7C125" w14:textId="77777777" w:rsidR="00FA2001" w:rsidRPr="00333A52" w:rsidRDefault="00FA2001" w:rsidP="006721E0">
            <w:pPr>
              <w:pStyle w:val="TableColumnHeadingNormal"/>
              <w:rPr>
                <w:rFonts w:eastAsia="Georgia"/>
              </w:rPr>
            </w:pPr>
            <w:r w:rsidRPr="00333A52">
              <w:rPr>
                <w:rFonts w:eastAsia="Georgia"/>
              </w:rPr>
              <w:t>Services Delayed</w:t>
            </w:r>
          </w:p>
        </w:tc>
        <w:tc>
          <w:tcPr>
            <w:tcW w:w="2126" w:type="dxa"/>
            <w:hideMark/>
          </w:tcPr>
          <w:p w14:paraId="5CB95300" w14:textId="06C707F2" w:rsidR="00FA2001" w:rsidRPr="00333A52" w:rsidRDefault="00FA2001" w:rsidP="006721E0">
            <w:pPr>
              <w:pStyle w:val="TableColumnHeadingNormal"/>
              <w:rPr>
                <w:rFonts w:eastAsia="Georgia"/>
              </w:rPr>
            </w:pPr>
            <w:r w:rsidRPr="00333A52">
              <w:rPr>
                <w:rFonts w:eastAsia="Georgia"/>
              </w:rPr>
              <w:t xml:space="preserve">Compensation </w:t>
            </w:r>
            <w:r w:rsidR="006721E0">
              <w:rPr>
                <w:rFonts w:eastAsia="Georgia"/>
              </w:rPr>
              <w:t xml:space="preserve">for </w:t>
            </w:r>
            <w:r w:rsidRPr="00333A52">
              <w:rPr>
                <w:rFonts w:eastAsia="Georgia"/>
              </w:rPr>
              <w:t>first 5 working days (per working day)</w:t>
            </w:r>
          </w:p>
        </w:tc>
        <w:tc>
          <w:tcPr>
            <w:tcW w:w="2127" w:type="dxa"/>
            <w:hideMark/>
          </w:tcPr>
          <w:p w14:paraId="4CB2076F" w14:textId="77777777" w:rsidR="00FA2001" w:rsidRPr="00333A52" w:rsidRDefault="00FA2001" w:rsidP="006721E0">
            <w:pPr>
              <w:pStyle w:val="TableColumnHeadingNormal"/>
              <w:rPr>
                <w:rFonts w:eastAsia="Georgia"/>
              </w:rPr>
            </w:pPr>
            <w:r w:rsidRPr="00333A52">
              <w:rPr>
                <w:rFonts w:eastAsia="Georgia"/>
              </w:rPr>
              <w:t>Compensation after first 5 working days (per working day)</w:t>
            </w:r>
          </w:p>
        </w:tc>
      </w:tr>
      <w:tr w:rsidR="00FA2001" w:rsidRPr="00333A52" w14:paraId="5CB8DAD5" w14:textId="77777777" w:rsidTr="00900071">
        <w:trPr>
          <w:cantSplit/>
          <w:trHeight w:val="442"/>
        </w:trPr>
        <w:tc>
          <w:tcPr>
            <w:tcW w:w="1387" w:type="dxa"/>
            <w:tcBorders>
              <w:top w:val="single" w:sz="4" w:space="0" w:color="A32020" w:themeColor="text2"/>
              <w:bottom w:val="single" w:sz="4" w:space="0" w:color="FFFFFF" w:themeColor="background1"/>
            </w:tcBorders>
            <w:hideMark/>
          </w:tcPr>
          <w:p w14:paraId="33D35710" w14:textId="77777777" w:rsidR="00FA2001" w:rsidRPr="007404FC" w:rsidRDefault="00FA2001" w:rsidP="006721E0">
            <w:pPr>
              <w:pStyle w:val="TableTextNormal"/>
              <w:keepNext/>
              <w:keepLines/>
              <w:spacing w:before="40" w:after="40"/>
              <w:rPr>
                <w:rFonts w:eastAsia="Gungsuh"/>
                <w:b/>
              </w:rPr>
            </w:pPr>
            <w:r w:rsidRPr="007404FC">
              <w:rPr>
                <w:rFonts w:eastAsia="Gungsuh"/>
                <w:b/>
              </w:rPr>
              <w:t>Residential</w:t>
            </w:r>
          </w:p>
        </w:tc>
        <w:tc>
          <w:tcPr>
            <w:tcW w:w="2832" w:type="dxa"/>
            <w:hideMark/>
          </w:tcPr>
          <w:p w14:paraId="4DBFC9A4" w14:textId="77777777" w:rsidR="00FA2001" w:rsidRPr="00333A52" w:rsidRDefault="00FA2001" w:rsidP="006721E0">
            <w:pPr>
              <w:pStyle w:val="TableTextNormal"/>
              <w:keepNext/>
              <w:keepLines/>
              <w:spacing w:before="40" w:after="40"/>
              <w:rPr>
                <w:rFonts w:eastAsia="Gungsuh"/>
              </w:rPr>
            </w:pPr>
            <w:r w:rsidRPr="00333A52">
              <w:rPr>
                <w:rFonts w:eastAsia="Gungsuh"/>
              </w:rPr>
              <w:t>Connection or repair of standard telephone service</w:t>
            </w:r>
          </w:p>
        </w:tc>
        <w:tc>
          <w:tcPr>
            <w:tcW w:w="2126" w:type="dxa"/>
            <w:hideMark/>
          </w:tcPr>
          <w:p w14:paraId="51A787B2" w14:textId="77777777" w:rsidR="00FA2001" w:rsidRPr="00333A52" w:rsidRDefault="00FA2001" w:rsidP="006721E0">
            <w:pPr>
              <w:pStyle w:val="TableTextNormal"/>
              <w:keepNext/>
              <w:keepLines/>
              <w:spacing w:before="40" w:after="40"/>
              <w:rPr>
                <w:rFonts w:eastAsia="Gungsuh"/>
              </w:rPr>
            </w:pPr>
            <w:r w:rsidRPr="00333A52">
              <w:rPr>
                <w:rFonts w:eastAsia="Gungsuh"/>
              </w:rPr>
              <w:t>$14.52</w:t>
            </w:r>
          </w:p>
        </w:tc>
        <w:tc>
          <w:tcPr>
            <w:tcW w:w="2127" w:type="dxa"/>
            <w:hideMark/>
          </w:tcPr>
          <w:p w14:paraId="230D9FD1" w14:textId="77777777" w:rsidR="00FA2001" w:rsidRPr="00333A52" w:rsidRDefault="00FA2001" w:rsidP="006721E0">
            <w:pPr>
              <w:pStyle w:val="TableTextNormal"/>
              <w:keepNext/>
              <w:keepLines/>
              <w:spacing w:before="40" w:after="40"/>
              <w:rPr>
                <w:rFonts w:eastAsia="Gungsuh"/>
              </w:rPr>
            </w:pPr>
            <w:r w:rsidRPr="00333A52">
              <w:rPr>
                <w:rFonts w:eastAsia="Gungsuh"/>
              </w:rPr>
              <w:t>$48.40</w:t>
            </w:r>
          </w:p>
        </w:tc>
      </w:tr>
      <w:tr w:rsidR="00FA2001" w:rsidRPr="00333A52" w14:paraId="56DF6B58" w14:textId="77777777" w:rsidTr="00900071">
        <w:trPr>
          <w:cantSplit/>
          <w:trHeight w:val="190"/>
        </w:trPr>
        <w:tc>
          <w:tcPr>
            <w:tcW w:w="1387" w:type="dxa"/>
            <w:tcBorders>
              <w:top w:val="single" w:sz="4" w:space="0" w:color="FFFFFF" w:themeColor="background1"/>
              <w:bottom w:val="single" w:sz="4" w:space="0" w:color="FFFFFF" w:themeColor="background1"/>
            </w:tcBorders>
            <w:hideMark/>
          </w:tcPr>
          <w:p w14:paraId="3AB00947" w14:textId="77777777" w:rsidR="00FA2001" w:rsidRPr="007404FC" w:rsidRDefault="00FA2001" w:rsidP="006721E0">
            <w:pPr>
              <w:pStyle w:val="TableTextNormal"/>
              <w:keepNext/>
              <w:keepLines/>
              <w:spacing w:before="40" w:after="40"/>
              <w:rPr>
                <w:rFonts w:eastAsia="Gungsuh"/>
                <w:b/>
              </w:rPr>
            </w:pPr>
          </w:p>
        </w:tc>
        <w:tc>
          <w:tcPr>
            <w:tcW w:w="2832" w:type="dxa"/>
            <w:hideMark/>
          </w:tcPr>
          <w:p w14:paraId="0E60B1DA" w14:textId="77777777" w:rsidR="00FA2001" w:rsidRPr="00333A52" w:rsidRDefault="00FA2001" w:rsidP="006721E0">
            <w:pPr>
              <w:pStyle w:val="TableTextNormal"/>
              <w:keepNext/>
              <w:keepLines/>
              <w:spacing w:before="40" w:after="40"/>
              <w:rPr>
                <w:rFonts w:eastAsia="Gungsuh"/>
              </w:rPr>
            </w:pPr>
            <w:r w:rsidRPr="00333A52">
              <w:rPr>
                <w:rFonts w:eastAsia="Gungsuh"/>
              </w:rPr>
              <w:t>Connection or repair of enhanced call handling features to an existing service</w:t>
            </w:r>
          </w:p>
        </w:tc>
        <w:tc>
          <w:tcPr>
            <w:tcW w:w="2126" w:type="dxa"/>
            <w:hideMark/>
          </w:tcPr>
          <w:p w14:paraId="2E93AF7E" w14:textId="77777777" w:rsidR="00FA2001" w:rsidRPr="00333A52" w:rsidRDefault="00FA2001" w:rsidP="006721E0">
            <w:pPr>
              <w:pStyle w:val="TableTextNormal"/>
              <w:keepNext/>
              <w:keepLines/>
              <w:spacing w:before="40" w:after="40"/>
              <w:rPr>
                <w:rFonts w:eastAsia="Gungsuh"/>
              </w:rPr>
            </w:pPr>
            <w:r w:rsidRPr="00333A52">
              <w:rPr>
                <w:rFonts w:eastAsia="Gungsuh"/>
              </w:rPr>
              <w:t>$7.26</w:t>
            </w:r>
          </w:p>
        </w:tc>
        <w:tc>
          <w:tcPr>
            <w:tcW w:w="2127" w:type="dxa"/>
            <w:hideMark/>
          </w:tcPr>
          <w:p w14:paraId="72C0508F" w14:textId="77777777" w:rsidR="00FA2001" w:rsidRPr="00333A52" w:rsidRDefault="00FA2001" w:rsidP="006721E0">
            <w:pPr>
              <w:pStyle w:val="TableTextNormal"/>
              <w:keepNext/>
              <w:keepLines/>
              <w:spacing w:before="40" w:after="40"/>
              <w:rPr>
                <w:rFonts w:eastAsia="Gungsuh"/>
              </w:rPr>
            </w:pPr>
            <w:r w:rsidRPr="00333A52">
              <w:rPr>
                <w:rFonts w:eastAsia="Gungsuh"/>
              </w:rPr>
              <w:t>$24.20</w:t>
            </w:r>
          </w:p>
        </w:tc>
      </w:tr>
      <w:tr w:rsidR="00FA2001" w:rsidRPr="00333A52" w14:paraId="1426C999" w14:textId="77777777" w:rsidTr="00900071">
        <w:trPr>
          <w:cantSplit/>
          <w:trHeight w:val="302"/>
        </w:trPr>
        <w:tc>
          <w:tcPr>
            <w:tcW w:w="1387" w:type="dxa"/>
            <w:tcBorders>
              <w:top w:val="single" w:sz="4" w:space="0" w:color="FFFFFF" w:themeColor="background1"/>
              <w:bottom w:val="single" w:sz="4" w:space="0" w:color="FFFFFF" w:themeColor="background1"/>
            </w:tcBorders>
            <w:hideMark/>
          </w:tcPr>
          <w:p w14:paraId="5425F04D" w14:textId="77777777" w:rsidR="00FA2001" w:rsidRPr="007404FC" w:rsidRDefault="00FA2001" w:rsidP="006721E0">
            <w:pPr>
              <w:pStyle w:val="TableTextNormal"/>
              <w:keepNext/>
              <w:keepLines/>
              <w:spacing w:before="40" w:after="40"/>
              <w:rPr>
                <w:rFonts w:eastAsia="Gungsuh"/>
                <w:b/>
              </w:rPr>
            </w:pPr>
          </w:p>
        </w:tc>
        <w:tc>
          <w:tcPr>
            <w:tcW w:w="2832" w:type="dxa"/>
            <w:hideMark/>
          </w:tcPr>
          <w:p w14:paraId="4E8091F0" w14:textId="29686CAA" w:rsidR="00FA2001" w:rsidRPr="00333A52" w:rsidRDefault="00FA2001" w:rsidP="006721E0">
            <w:pPr>
              <w:pStyle w:val="TableTextNormal"/>
              <w:keepNext/>
              <w:keepLines/>
              <w:spacing w:before="40" w:after="40"/>
              <w:rPr>
                <w:rFonts w:eastAsia="Gungsuh"/>
              </w:rPr>
            </w:pPr>
            <w:r w:rsidRPr="00333A52">
              <w:rPr>
                <w:rFonts w:eastAsia="Gungsuh"/>
              </w:rPr>
              <w:t>Connection or repair of two or more enhanced call handling features to an existing service</w:t>
            </w:r>
          </w:p>
        </w:tc>
        <w:tc>
          <w:tcPr>
            <w:tcW w:w="2126" w:type="dxa"/>
            <w:hideMark/>
          </w:tcPr>
          <w:p w14:paraId="356B8778" w14:textId="77777777" w:rsidR="00FA2001" w:rsidRPr="00333A52" w:rsidRDefault="00FA2001" w:rsidP="006721E0">
            <w:pPr>
              <w:pStyle w:val="TableTextNormal"/>
              <w:keepNext/>
              <w:keepLines/>
              <w:spacing w:before="40" w:after="40"/>
              <w:rPr>
                <w:rFonts w:eastAsia="Gungsuh"/>
              </w:rPr>
            </w:pPr>
            <w:r w:rsidRPr="00333A52">
              <w:rPr>
                <w:rFonts w:eastAsia="Gungsuh"/>
              </w:rPr>
              <w:t>$14.52</w:t>
            </w:r>
          </w:p>
        </w:tc>
        <w:tc>
          <w:tcPr>
            <w:tcW w:w="2127" w:type="dxa"/>
            <w:hideMark/>
          </w:tcPr>
          <w:p w14:paraId="7938D3EB" w14:textId="77777777" w:rsidR="00FA2001" w:rsidRPr="00333A52" w:rsidRDefault="00FA2001" w:rsidP="006721E0">
            <w:pPr>
              <w:pStyle w:val="TableTextNormal"/>
              <w:keepNext/>
              <w:keepLines/>
              <w:spacing w:before="40" w:after="40"/>
              <w:rPr>
                <w:rFonts w:eastAsia="Gungsuh"/>
              </w:rPr>
            </w:pPr>
            <w:r w:rsidRPr="00333A52">
              <w:rPr>
                <w:rFonts w:eastAsia="Gungsuh"/>
              </w:rPr>
              <w:t>$48.40</w:t>
            </w:r>
          </w:p>
        </w:tc>
      </w:tr>
      <w:tr w:rsidR="00FA2001" w:rsidRPr="00333A52" w14:paraId="027DA0AA" w14:textId="77777777" w:rsidTr="00900071">
        <w:trPr>
          <w:cantSplit/>
          <w:trHeight w:val="272"/>
        </w:trPr>
        <w:tc>
          <w:tcPr>
            <w:tcW w:w="1387" w:type="dxa"/>
            <w:tcBorders>
              <w:top w:val="single" w:sz="4" w:space="0" w:color="FFFFFF" w:themeColor="background1"/>
              <w:bottom w:val="single" w:sz="4" w:space="0" w:color="A32020" w:themeColor="text2"/>
            </w:tcBorders>
            <w:hideMark/>
          </w:tcPr>
          <w:p w14:paraId="2F10A35D" w14:textId="77777777" w:rsidR="00FA2001" w:rsidRPr="007404FC" w:rsidRDefault="00FA2001" w:rsidP="006721E0">
            <w:pPr>
              <w:pStyle w:val="TableTextNormal"/>
              <w:keepNext/>
              <w:keepLines/>
              <w:spacing w:before="40" w:after="40"/>
              <w:rPr>
                <w:rFonts w:eastAsia="Gungsuh"/>
                <w:b/>
              </w:rPr>
            </w:pPr>
          </w:p>
        </w:tc>
        <w:tc>
          <w:tcPr>
            <w:tcW w:w="2832" w:type="dxa"/>
            <w:hideMark/>
          </w:tcPr>
          <w:p w14:paraId="2C57E3C7" w14:textId="77777777" w:rsidR="00FA2001" w:rsidRPr="00333A52" w:rsidRDefault="00FA2001" w:rsidP="006721E0">
            <w:pPr>
              <w:pStyle w:val="TableTextNormal"/>
              <w:keepNext/>
              <w:keepLines/>
              <w:spacing w:before="40" w:after="40"/>
              <w:rPr>
                <w:rFonts w:eastAsia="Gungsuh"/>
              </w:rPr>
            </w:pPr>
            <w:r w:rsidRPr="00333A52">
              <w:rPr>
                <w:rFonts w:eastAsia="Gungsuh"/>
              </w:rPr>
              <w:t>Not keeping an appointment</w:t>
            </w:r>
          </w:p>
        </w:tc>
        <w:tc>
          <w:tcPr>
            <w:tcW w:w="2126" w:type="dxa"/>
            <w:hideMark/>
          </w:tcPr>
          <w:p w14:paraId="42CA1D96" w14:textId="77777777" w:rsidR="00FA2001" w:rsidRPr="00333A52" w:rsidRDefault="00FA2001" w:rsidP="006721E0">
            <w:pPr>
              <w:pStyle w:val="TableTextNormal"/>
              <w:keepNext/>
              <w:keepLines/>
              <w:spacing w:before="40" w:after="40"/>
              <w:rPr>
                <w:rFonts w:eastAsia="Gungsuh"/>
              </w:rPr>
            </w:pPr>
            <w:r w:rsidRPr="00333A52">
              <w:rPr>
                <w:rFonts w:eastAsia="Gungsuh"/>
              </w:rPr>
              <w:t>$14.52 for each missed appointment</w:t>
            </w:r>
          </w:p>
        </w:tc>
        <w:tc>
          <w:tcPr>
            <w:tcW w:w="2127" w:type="dxa"/>
            <w:hideMark/>
          </w:tcPr>
          <w:p w14:paraId="5EDDEA98" w14:textId="6009E3F4" w:rsidR="00FA2001" w:rsidRPr="00333A52" w:rsidRDefault="00355FA8" w:rsidP="006721E0">
            <w:pPr>
              <w:pStyle w:val="TableTextNormal"/>
              <w:keepNext/>
              <w:keepLines/>
              <w:spacing w:before="40" w:after="40"/>
              <w:rPr>
                <w:rFonts w:eastAsia="Gungsuh"/>
              </w:rPr>
            </w:pPr>
            <w:r>
              <w:rPr>
                <w:rFonts w:eastAsia="Gungsuh"/>
              </w:rPr>
              <w:t>-</w:t>
            </w:r>
          </w:p>
        </w:tc>
      </w:tr>
      <w:tr w:rsidR="00FA2001" w:rsidRPr="00333A52" w14:paraId="44458D52" w14:textId="77777777" w:rsidTr="00900071">
        <w:trPr>
          <w:cantSplit/>
          <w:trHeight w:val="100"/>
        </w:trPr>
        <w:tc>
          <w:tcPr>
            <w:tcW w:w="1387" w:type="dxa"/>
            <w:tcBorders>
              <w:top w:val="single" w:sz="4" w:space="0" w:color="A32020" w:themeColor="text2"/>
              <w:bottom w:val="single" w:sz="4" w:space="0" w:color="FFFFFF" w:themeColor="background1"/>
            </w:tcBorders>
            <w:hideMark/>
          </w:tcPr>
          <w:p w14:paraId="28894C43" w14:textId="77777777" w:rsidR="00FA2001" w:rsidRPr="007404FC" w:rsidRDefault="00FA2001" w:rsidP="006721E0">
            <w:pPr>
              <w:pStyle w:val="TableTextNormal"/>
              <w:keepNext/>
              <w:keepLines/>
              <w:spacing w:before="40" w:after="40"/>
              <w:rPr>
                <w:rFonts w:eastAsia="Gungsuh"/>
                <w:b/>
              </w:rPr>
            </w:pPr>
            <w:r w:rsidRPr="007404FC">
              <w:rPr>
                <w:rFonts w:eastAsia="Gungsuh"/>
                <w:b/>
              </w:rPr>
              <w:t>Business</w:t>
            </w:r>
          </w:p>
        </w:tc>
        <w:tc>
          <w:tcPr>
            <w:tcW w:w="2832" w:type="dxa"/>
            <w:hideMark/>
          </w:tcPr>
          <w:p w14:paraId="363F6A27" w14:textId="77777777" w:rsidR="00FA2001" w:rsidRPr="00333A52" w:rsidRDefault="00FA2001" w:rsidP="006721E0">
            <w:pPr>
              <w:pStyle w:val="TableTextNormal"/>
              <w:keepNext/>
              <w:keepLines/>
              <w:spacing w:before="40" w:after="40"/>
              <w:rPr>
                <w:rFonts w:eastAsia="Gungsuh"/>
              </w:rPr>
            </w:pPr>
            <w:r w:rsidRPr="00333A52">
              <w:rPr>
                <w:rFonts w:eastAsia="Gungsuh"/>
              </w:rPr>
              <w:t>Connection or repair of the standard telephone service</w:t>
            </w:r>
          </w:p>
        </w:tc>
        <w:tc>
          <w:tcPr>
            <w:tcW w:w="2126" w:type="dxa"/>
            <w:hideMark/>
          </w:tcPr>
          <w:p w14:paraId="39D83369" w14:textId="77777777" w:rsidR="00FA2001" w:rsidRPr="00333A52" w:rsidRDefault="00FA2001" w:rsidP="006721E0">
            <w:pPr>
              <w:pStyle w:val="TableTextNormal"/>
              <w:keepNext/>
              <w:keepLines/>
              <w:spacing w:before="40" w:after="40"/>
              <w:rPr>
                <w:rFonts w:eastAsia="Gungsuh"/>
              </w:rPr>
            </w:pPr>
            <w:r w:rsidRPr="00333A52">
              <w:rPr>
                <w:rFonts w:eastAsia="Gungsuh"/>
              </w:rPr>
              <w:t>$24.20</w:t>
            </w:r>
          </w:p>
        </w:tc>
        <w:tc>
          <w:tcPr>
            <w:tcW w:w="2127" w:type="dxa"/>
            <w:hideMark/>
          </w:tcPr>
          <w:p w14:paraId="3639036F" w14:textId="64EC490D" w:rsidR="00FA2001" w:rsidRPr="00333A52" w:rsidRDefault="00FA2001" w:rsidP="006721E0">
            <w:pPr>
              <w:pStyle w:val="TableTextNormal"/>
              <w:keepNext/>
              <w:keepLines/>
              <w:spacing w:before="40" w:after="40"/>
              <w:rPr>
                <w:rFonts w:eastAsia="Gungsuh"/>
              </w:rPr>
            </w:pPr>
            <w:r w:rsidRPr="00333A52">
              <w:rPr>
                <w:rFonts w:eastAsia="Gungsuh"/>
              </w:rPr>
              <w:t>$4</w:t>
            </w:r>
            <w:r w:rsidR="00355FA8">
              <w:rPr>
                <w:rFonts w:eastAsia="Gungsuh"/>
              </w:rPr>
              <w:t>8</w:t>
            </w:r>
            <w:r w:rsidRPr="00333A52">
              <w:rPr>
                <w:rFonts w:eastAsia="Gungsuh"/>
              </w:rPr>
              <w:t>.</w:t>
            </w:r>
            <w:r w:rsidR="00355FA8">
              <w:rPr>
                <w:rFonts w:eastAsia="Gungsuh"/>
              </w:rPr>
              <w:t>4</w:t>
            </w:r>
            <w:r w:rsidR="00355FA8" w:rsidRPr="00333A52">
              <w:rPr>
                <w:rFonts w:eastAsia="Gungsuh"/>
              </w:rPr>
              <w:t>0</w:t>
            </w:r>
          </w:p>
        </w:tc>
      </w:tr>
      <w:tr w:rsidR="00FA2001" w:rsidRPr="00333A52" w14:paraId="4B3BA82F" w14:textId="77777777" w:rsidTr="00900071">
        <w:trPr>
          <w:cantSplit/>
          <w:trHeight w:val="25"/>
        </w:trPr>
        <w:tc>
          <w:tcPr>
            <w:tcW w:w="1387" w:type="dxa"/>
            <w:tcBorders>
              <w:top w:val="single" w:sz="4" w:space="0" w:color="FFFFFF" w:themeColor="background1"/>
              <w:bottom w:val="single" w:sz="4" w:space="0" w:color="FFFFFF" w:themeColor="background1"/>
            </w:tcBorders>
            <w:hideMark/>
          </w:tcPr>
          <w:p w14:paraId="3B4B4E05" w14:textId="77777777" w:rsidR="00FA2001" w:rsidRPr="00333A52" w:rsidRDefault="00FA2001" w:rsidP="006721E0">
            <w:pPr>
              <w:pStyle w:val="PwCNormal"/>
              <w:keepNext/>
              <w:keepLines/>
              <w:spacing w:before="40" w:after="40"/>
              <w:ind w:left="171"/>
              <w:rPr>
                <w:rFonts w:asciiTheme="minorHAnsi" w:eastAsia="Gungsuh" w:hAnsiTheme="minorHAnsi" w:cstheme="minorHAnsi"/>
                <w:sz w:val="16"/>
              </w:rPr>
            </w:pPr>
          </w:p>
        </w:tc>
        <w:tc>
          <w:tcPr>
            <w:tcW w:w="2832" w:type="dxa"/>
            <w:hideMark/>
          </w:tcPr>
          <w:p w14:paraId="52FCD761" w14:textId="77777777" w:rsidR="00FA2001" w:rsidRPr="00333A52" w:rsidRDefault="00FA2001" w:rsidP="006721E0">
            <w:pPr>
              <w:pStyle w:val="TableTextNormal"/>
              <w:keepNext/>
              <w:keepLines/>
              <w:spacing w:before="40" w:after="40"/>
              <w:rPr>
                <w:rFonts w:eastAsia="Gungsuh"/>
              </w:rPr>
            </w:pPr>
            <w:r w:rsidRPr="00333A52">
              <w:rPr>
                <w:rFonts w:eastAsia="Gungsuh"/>
              </w:rPr>
              <w:t>Connection or repair of enhanced call handling features to an existing service</w:t>
            </w:r>
          </w:p>
        </w:tc>
        <w:tc>
          <w:tcPr>
            <w:tcW w:w="2126" w:type="dxa"/>
            <w:hideMark/>
          </w:tcPr>
          <w:p w14:paraId="48DF7B9B" w14:textId="77777777" w:rsidR="00FA2001" w:rsidRPr="00333A52" w:rsidRDefault="00FA2001" w:rsidP="006721E0">
            <w:pPr>
              <w:pStyle w:val="TableTextNormal"/>
              <w:keepNext/>
              <w:keepLines/>
              <w:spacing w:before="40" w:after="40"/>
              <w:rPr>
                <w:rFonts w:eastAsia="Gungsuh"/>
              </w:rPr>
            </w:pPr>
            <w:r w:rsidRPr="00333A52">
              <w:rPr>
                <w:rFonts w:eastAsia="Gungsuh"/>
              </w:rPr>
              <w:t>$12.10</w:t>
            </w:r>
          </w:p>
        </w:tc>
        <w:tc>
          <w:tcPr>
            <w:tcW w:w="2127" w:type="dxa"/>
            <w:hideMark/>
          </w:tcPr>
          <w:p w14:paraId="4095BB35" w14:textId="48ECCAB5" w:rsidR="00FA2001" w:rsidRPr="00333A52" w:rsidRDefault="00FA2001" w:rsidP="006721E0">
            <w:pPr>
              <w:pStyle w:val="TableTextNormal"/>
              <w:keepNext/>
              <w:keepLines/>
              <w:spacing w:before="40" w:after="40"/>
              <w:rPr>
                <w:rFonts w:eastAsia="Gungsuh"/>
              </w:rPr>
            </w:pPr>
            <w:r w:rsidRPr="00333A52">
              <w:rPr>
                <w:rFonts w:eastAsia="Gungsuh"/>
              </w:rPr>
              <w:t>$</w:t>
            </w:r>
            <w:r w:rsidR="00355FA8">
              <w:rPr>
                <w:rFonts w:eastAsia="Gungsuh"/>
              </w:rPr>
              <w:t>2</w:t>
            </w:r>
            <w:r w:rsidRPr="00333A52">
              <w:rPr>
                <w:rFonts w:eastAsia="Gungsuh"/>
              </w:rPr>
              <w:t>4.</w:t>
            </w:r>
            <w:r w:rsidR="00355FA8">
              <w:rPr>
                <w:rFonts w:eastAsia="Gungsuh"/>
              </w:rPr>
              <w:t>2</w:t>
            </w:r>
            <w:r w:rsidRPr="00333A52">
              <w:rPr>
                <w:rFonts w:eastAsia="Gungsuh"/>
              </w:rPr>
              <w:t>0</w:t>
            </w:r>
          </w:p>
        </w:tc>
      </w:tr>
      <w:tr w:rsidR="00FA2001" w:rsidRPr="00333A52" w14:paraId="5D286695" w14:textId="77777777" w:rsidTr="00900071">
        <w:trPr>
          <w:cantSplit/>
          <w:trHeight w:val="25"/>
        </w:trPr>
        <w:tc>
          <w:tcPr>
            <w:tcW w:w="1387" w:type="dxa"/>
            <w:tcBorders>
              <w:top w:val="single" w:sz="4" w:space="0" w:color="FFFFFF" w:themeColor="background1"/>
              <w:bottom w:val="single" w:sz="4" w:space="0" w:color="FFFFFF" w:themeColor="background1"/>
            </w:tcBorders>
            <w:hideMark/>
          </w:tcPr>
          <w:p w14:paraId="4AAFFB4D" w14:textId="77777777" w:rsidR="00FA2001" w:rsidRPr="00333A52" w:rsidRDefault="00FA2001" w:rsidP="006721E0">
            <w:pPr>
              <w:pStyle w:val="PwCNormal"/>
              <w:keepNext/>
              <w:keepLines/>
              <w:spacing w:before="40" w:after="40"/>
              <w:ind w:left="171"/>
              <w:rPr>
                <w:rFonts w:asciiTheme="minorHAnsi" w:eastAsia="Gungsuh" w:hAnsiTheme="minorHAnsi" w:cstheme="minorHAnsi"/>
                <w:sz w:val="16"/>
              </w:rPr>
            </w:pPr>
          </w:p>
        </w:tc>
        <w:tc>
          <w:tcPr>
            <w:tcW w:w="2832" w:type="dxa"/>
            <w:hideMark/>
          </w:tcPr>
          <w:p w14:paraId="5C4885D9" w14:textId="16258A2E" w:rsidR="00FA2001" w:rsidRPr="00333A52" w:rsidRDefault="00FA2001" w:rsidP="006721E0">
            <w:pPr>
              <w:pStyle w:val="TableTextNormal"/>
              <w:keepNext/>
              <w:keepLines/>
              <w:spacing w:before="40" w:after="40"/>
              <w:rPr>
                <w:rFonts w:eastAsia="Gungsuh"/>
              </w:rPr>
            </w:pPr>
            <w:r w:rsidRPr="00333A52">
              <w:rPr>
                <w:rFonts w:eastAsia="Gungsuh"/>
              </w:rPr>
              <w:t>Connection or repair of two or more enhanced call handling features to an existing service</w:t>
            </w:r>
          </w:p>
        </w:tc>
        <w:tc>
          <w:tcPr>
            <w:tcW w:w="2126" w:type="dxa"/>
            <w:hideMark/>
          </w:tcPr>
          <w:p w14:paraId="6543BD9B" w14:textId="77777777" w:rsidR="00FA2001" w:rsidRPr="00333A52" w:rsidRDefault="00FA2001" w:rsidP="006721E0">
            <w:pPr>
              <w:pStyle w:val="TableTextNormal"/>
              <w:keepNext/>
              <w:keepLines/>
              <w:spacing w:before="40" w:after="40"/>
              <w:rPr>
                <w:rFonts w:eastAsia="Gungsuh"/>
              </w:rPr>
            </w:pPr>
            <w:r w:rsidRPr="00333A52">
              <w:rPr>
                <w:rFonts w:eastAsia="Gungsuh"/>
              </w:rPr>
              <w:t>$24.20</w:t>
            </w:r>
          </w:p>
        </w:tc>
        <w:tc>
          <w:tcPr>
            <w:tcW w:w="2127" w:type="dxa"/>
            <w:hideMark/>
          </w:tcPr>
          <w:p w14:paraId="72CDD319" w14:textId="3F295FF0" w:rsidR="00FA2001" w:rsidRPr="00333A52" w:rsidRDefault="00355FA8" w:rsidP="006721E0">
            <w:pPr>
              <w:pStyle w:val="TableTextNormal"/>
              <w:keepNext/>
              <w:keepLines/>
              <w:spacing w:before="40" w:after="40"/>
              <w:rPr>
                <w:rFonts w:eastAsia="Gungsuh"/>
              </w:rPr>
            </w:pPr>
            <w:r>
              <w:rPr>
                <w:rFonts w:eastAsia="Gungsuh"/>
              </w:rPr>
              <w:t>$48.40</w:t>
            </w:r>
          </w:p>
        </w:tc>
      </w:tr>
      <w:tr w:rsidR="00FA2001" w:rsidRPr="00333A52" w14:paraId="5A44F983" w14:textId="77777777" w:rsidTr="00900071">
        <w:trPr>
          <w:cantSplit/>
          <w:trHeight w:val="25"/>
        </w:trPr>
        <w:tc>
          <w:tcPr>
            <w:tcW w:w="1387" w:type="dxa"/>
            <w:tcBorders>
              <w:top w:val="single" w:sz="4" w:space="0" w:color="FFFFFF" w:themeColor="background1"/>
              <w:bottom w:val="dotted" w:sz="8" w:space="0" w:color="A32020" w:themeColor="text2"/>
            </w:tcBorders>
            <w:hideMark/>
          </w:tcPr>
          <w:p w14:paraId="71F44FBF" w14:textId="77777777" w:rsidR="00FA2001" w:rsidRPr="00333A52" w:rsidRDefault="00FA2001" w:rsidP="006721E0">
            <w:pPr>
              <w:pStyle w:val="PwCNormal"/>
              <w:keepNext/>
              <w:keepLines/>
              <w:spacing w:before="40" w:after="40"/>
              <w:ind w:left="171"/>
              <w:rPr>
                <w:rFonts w:asciiTheme="minorHAnsi" w:eastAsia="Gungsuh" w:hAnsiTheme="minorHAnsi" w:cstheme="minorHAnsi"/>
                <w:sz w:val="16"/>
              </w:rPr>
            </w:pPr>
          </w:p>
        </w:tc>
        <w:tc>
          <w:tcPr>
            <w:tcW w:w="2832" w:type="dxa"/>
            <w:hideMark/>
          </w:tcPr>
          <w:p w14:paraId="44A448A0" w14:textId="77777777" w:rsidR="00FA2001" w:rsidRPr="00333A52" w:rsidRDefault="00FA2001" w:rsidP="006721E0">
            <w:pPr>
              <w:pStyle w:val="TableTextNormal"/>
              <w:keepNext/>
              <w:keepLines/>
              <w:spacing w:before="40" w:after="40"/>
              <w:rPr>
                <w:rFonts w:eastAsia="Gungsuh"/>
              </w:rPr>
            </w:pPr>
            <w:r w:rsidRPr="00333A52">
              <w:rPr>
                <w:rFonts w:eastAsia="Gungsuh"/>
              </w:rPr>
              <w:t>Not keeping an appointment</w:t>
            </w:r>
          </w:p>
        </w:tc>
        <w:tc>
          <w:tcPr>
            <w:tcW w:w="2126" w:type="dxa"/>
            <w:hideMark/>
          </w:tcPr>
          <w:p w14:paraId="6D82EDE0" w14:textId="77777777" w:rsidR="00FA2001" w:rsidRPr="00333A52" w:rsidRDefault="00FA2001" w:rsidP="006721E0">
            <w:pPr>
              <w:pStyle w:val="TableTextNormal"/>
              <w:keepNext/>
              <w:keepLines/>
              <w:spacing w:before="40" w:after="40"/>
              <w:rPr>
                <w:rFonts w:eastAsia="Gungsuh"/>
              </w:rPr>
            </w:pPr>
            <w:r w:rsidRPr="00333A52">
              <w:rPr>
                <w:rFonts w:eastAsia="Gungsuh"/>
              </w:rPr>
              <w:t>$24.20 for each missed appointment</w:t>
            </w:r>
          </w:p>
        </w:tc>
        <w:tc>
          <w:tcPr>
            <w:tcW w:w="2127" w:type="dxa"/>
            <w:hideMark/>
          </w:tcPr>
          <w:p w14:paraId="52EC9CB7" w14:textId="77777777" w:rsidR="00FA2001" w:rsidRPr="00333A52" w:rsidRDefault="00FA2001" w:rsidP="006721E0">
            <w:pPr>
              <w:pStyle w:val="TableTextNormal"/>
              <w:keepNext/>
              <w:keepLines/>
              <w:spacing w:before="40" w:after="40"/>
              <w:rPr>
                <w:rFonts w:eastAsia="Gungsuh"/>
              </w:rPr>
            </w:pPr>
            <w:r w:rsidRPr="00333A52">
              <w:rPr>
                <w:rFonts w:eastAsia="Gungsuh"/>
              </w:rPr>
              <w:t>-</w:t>
            </w:r>
          </w:p>
        </w:tc>
      </w:tr>
    </w:tbl>
    <w:p w14:paraId="6D76318B" w14:textId="0734F564" w:rsidR="00353D16" w:rsidRPr="000F13E8" w:rsidRDefault="006721E0" w:rsidP="006721E0">
      <w:pPr>
        <w:pStyle w:val="PwCNormal"/>
      </w:pPr>
      <w:r w:rsidRPr="006721E0">
        <w:t xml:space="preserve">The CSG performance benchmark applies to telecommunications service providers who are above a threshold of 100,000 CSG services or more across the previous financial year. In </w:t>
      </w:r>
      <w:r w:rsidR="00331849">
        <w:t>2016–17</w:t>
      </w:r>
      <w:r w:rsidRPr="006721E0">
        <w:t xml:space="preserve"> there were four providers who were above this threshold. In instances where a service provider does not meet the benchmarks, the ACMA may take compliance action. This could include formal warnings, enforceable undertakings, remedial directions, infringement notices and initiating civil penalty proceedings</w:t>
      </w:r>
      <w:r w:rsidR="00353D16" w:rsidRPr="00F155C6">
        <w:t>.</w:t>
      </w:r>
      <w:r w:rsidR="00353D16">
        <w:rPr>
          <w:rStyle w:val="FootnoteReference"/>
          <w:rFonts w:eastAsia="Georgia"/>
          <w:snapToGrid/>
        </w:rPr>
        <w:footnoteReference w:id="40"/>
      </w:r>
    </w:p>
    <w:p w14:paraId="13561639" w14:textId="3FDF45D2" w:rsidR="00FA2001" w:rsidRPr="00225950" w:rsidRDefault="00824A3F" w:rsidP="00900071">
      <w:pPr>
        <w:pStyle w:val="PwCNormal"/>
        <w:keepNext/>
        <w:keepLines/>
        <w:rPr>
          <w:rFonts w:eastAsia="Georgia"/>
        </w:rPr>
      </w:pPr>
      <w:r>
        <w:rPr>
          <w:rFonts w:eastAsia="Georgia"/>
        </w:rPr>
        <w:t>Despite the absence of</w:t>
      </w:r>
      <w:r w:rsidR="009C76E0">
        <w:rPr>
          <w:rFonts w:eastAsia="Georgia"/>
        </w:rPr>
        <w:t xml:space="preserve"> specific regulated requirements </w:t>
      </w:r>
      <w:r>
        <w:rPr>
          <w:rFonts w:eastAsia="Georgia"/>
        </w:rPr>
        <w:t>for</w:t>
      </w:r>
      <w:r w:rsidR="00DA24F0">
        <w:rPr>
          <w:rFonts w:eastAsia="Georgia"/>
        </w:rPr>
        <w:t xml:space="preserve"> </w:t>
      </w:r>
      <w:r w:rsidR="009C76E0">
        <w:rPr>
          <w:rFonts w:eastAsia="Georgia"/>
        </w:rPr>
        <w:t>the reliability of broadband services</w:t>
      </w:r>
      <w:r>
        <w:rPr>
          <w:rFonts w:eastAsia="Georgia"/>
        </w:rPr>
        <w:t>,</w:t>
      </w:r>
      <w:r w:rsidR="00DA24F0">
        <w:rPr>
          <w:rFonts w:eastAsia="Georgia"/>
        </w:rPr>
        <w:t xml:space="preserve"> </w:t>
      </w:r>
      <w:r w:rsidR="00FA2001" w:rsidRPr="00225950">
        <w:rPr>
          <w:rFonts w:eastAsia="Georgia"/>
        </w:rPr>
        <w:t xml:space="preserve">the ACCC has taken action </w:t>
      </w:r>
      <w:r w:rsidR="00FA2001">
        <w:rPr>
          <w:rFonts w:eastAsia="Georgia"/>
        </w:rPr>
        <w:t xml:space="preserve">under Australian Consumer Law in circumstances </w:t>
      </w:r>
      <w:r w:rsidR="00FA2001" w:rsidRPr="00225950">
        <w:rPr>
          <w:rFonts w:eastAsia="Georgia"/>
        </w:rPr>
        <w:t xml:space="preserve">where </w:t>
      </w:r>
      <w:r w:rsidR="00E23FE2">
        <w:rPr>
          <w:rFonts w:eastAsia="Georgia"/>
        </w:rPr>
        <w:t>consumer</w:t>
      </w:r>
      <w:r w:rsidR="009C76E0">
        <w:rPr>
          <w:rFonts w:eastAsia="Georgia"/>
        </w:rPr>
        <w:t>s</w:t>
      </w:r>
      <w:r w:rsidR="00E23FE2">
        <w:rPr>
          <w:rFonts w:eastAsia="Georgia"/>
        </w:rPr>
        <w:t xml:space="preserve"> were sold </w:t>
      </w:r>
      <w:r w:rsidR="00FA2001">
        <w:rPr>
          <w:rFonts w:eastAsia="Georgia"/>
        </w:rPr>
        <w:t xml:space="preserve">broadband </w:t>
      </w:r>
      <w:r w:rsidR="00E23FE2">
        <w:rPr>
          <w:rFonts w:eastAsia="Georgia"/>
        </w:rPr>
        <w:t>plan</w:t>
      </w:r>
      <w:r w:rsidR="009C76E0">
        <w:rPr>
          <w:rFonts w:eastAsia="Georgia"/>
        </w:rPr>
        <w:t>s</w:t>
      </w:r>
      <w:r w:rsidR="00E23FE2">
        <w:rPr>
          <w:rFonts w:eastAsia="Georgia"/>
        </w:rPr>
        <w:t xml:space="preserve"> which were incapable</w:t>
      </w:r>
      <w:r w:rsidR="00E23FE2" w:rsidRPr="00225950">
        <w:rPr>
          <w:rFonts w:eastAsia="Georgia"/>
        </w:rPr>
        <w:t xml:space="preserve"> </w:t>
      </w:r>
      <w:r w:rsidR="00E23FE2">
        <w:rPr>
          <w:rFonts w:eastAsia="Georgia"/>
        </w:rPr>
        <w:t>of achieving the</w:t>
      </w:r>
      <w:r w:rsidR="00FA2001" w:rsidRPr="00225950">
        <w:rPr>
          <w:rFonts w:eastAsia="Georgia"/>
        </w:rPr>
        <w:t xml:space="preserve"> advertised speeds. </w:t>
      </w:r>
      <w:r w:rsidR="00FA2001">
        <w:rPr>
          <w:rFonts w:eastAsia="Georgia"/>
        </w:rPr>
        <w:t xml:space="preserve">A number of providers have entered into court enforceable undertakings, and have offered </w:t>
      </w:r>
      <w:r w:rsidR="00FA2001" w:rsidRPr="00225950">
        <w:rPr>
          <w:rFonts w:eastAsia="Georgia"/>
        </w:rPr>
        <w:t>c</w:t>
      </w:r>
      <w:r w:rsidR="00FA2001">
        <w:rPr>
          <w:rFonts w:eastAsia="Georgia"/>
        </w:rPr>
        <w:t>onsumers</w:t>
      </w:r>
      <w:r w:rsidR="00FA2001" w:rsidRPr="00225950">
        <w:rPr>
          <w:rFonts w:eastAsia="Georgia"/>
        </w:rPr>
        <w:t xml:space="preserve"> </w:t>
      </w:r>
      <w:r w:rsidR="00FA2001">
        <w:rPr>
          <w:rFonts w:eastAsia="Georgia"/>
        </w:rPr>
        <w:t>remedies, such as</w:t>
      </w:r>
      <w:r w:rsidR="00FA2001" w:rsidRPr="00225950">
        <w:rPr>
          <w:rFonts w:eastAsia="Georgia"/>
        </w:rPr>
        <w:t>:</w:t>
      </w:r>
    </w:p>
    <w:p w14:paraId="689F4D7D" w14:textId="77777777" w:rsidR="00FA2001" w:rsidRPr="00225950" w:rsidRDefault="00FA2001" w:rsidP="00900071">
      <w:pPr>
        <w:pStyle w:val="ListBullet"/>
        <w:keepNext/>
        <w:rPr>
          <w:rFonts w:eastAsia="Georgia"/>
        </w:rPr>
      </w:pPr>
      <w:r>
        <w:rPr>
          <w:rFonts w:eastAsia="Georgia"/>
        </w:rPr>
        <w:t xml:space="preserve">the ability to </w:t>
      </w:r>
      <w:r w:rsidRPr="00225950">
        <w:rPr>
          <w:rFonts w:eastAsia="Georgia"/>
        </w:rPr>
        <w:t>exit from their contract</w:t>
      </w:r>
      <w:r>
        <w:rPr>
          <w:rFonts w:eastAsia="Georgia"/>
        </w:rPr>
        <w:t xml:space="preserve"> free of charge</w:t>
      </w:r>
      <w:r w:rsidRPr="00225950">
        <w:rPr>
          <w:rFonts w:eastAsia="Georgia"/>
        </w:rPr>
        <w:t xml:space="preserve"> (including any bundle) and a refund</w:t>
      </w:r>
    </w:p>
    <w:p w14:paraId="54348C82" w14:textId="77777777" w:rsidR="00193BF6" w:rsidRPr="00193BF6" w:rsidRDefault="00FA2001" w:rsidP="00582FBF">
      <w:pPr>
        <w:pStyle w:val="ListBullet"/>
      </w:pPr>
      <w:r w:rsidRPr="007404FC">
        <w:rPr>
          <w:rFonts w:eastAsia="Georgia"/>
        </w:rPr>
        <w:t>move to a different speed plan and receive a refund.</w:t>
      </w:r>
      <w:r w:rsidRPr="00225950">
        <w:rPr>
          <w:rStyle w:val="FootnoteReference"/>
          <w:rFonts w:eastAsia="Georgia"/>
        </w:rPr>
        <w:footnoteReference w:id="41"/>
      </w:r>
    </w:p>
    <w:p w14:paraId="1BD8BED7" w14:textId="77777777" w:rsidR="00193BF6" w:rsidRDefault="00193BF6">
      <w:pPr>
        <w:kinsoku/>
        <w:overflowPunct/>
        <w:autoSpaceDE/>
        <w:autoSpaceDN/>
        <w:adjustRightInd/>
        <w:snapToGrid/>
      </w:pPr>
      <w:r>
        <w:lastRenderedPageBreak/>
        <w:br w:type="page"/>
      </w:r>
    </w:p>
    <w:p w14:paraId="53E90720" w14:textId="6B8355B8" w:rsidR="00421714" w:rsidRDefault="00325598" w:rsidP="00325598">
      <w:pPr>
        <w:pStyle w:val="Heading3"/>
        <w:numPr>
          <w:ilvl w:val="0"/>
          <w:numId w:val="0"/>
        </w:numPr>
        <w:ind w:left="851" w:hanging="851"/>
      </w:pPr>
      <w:bookmarkStart w:id="35" w:name="_Toc518337347"/>
      <w:bookmarkStart w:id="36" w:name="_Toc525650414"/>
      <w:r>
        <w:lastRenderedPageBreak/>
        <w:t>3.2</w:t>
      </w:r>
      <w:r>
        <w:tab/>
      </w:r>
      <w:r w:rsidR="00421714" w:rsidRPr="00225950">
        <w:t>Canada</w:t>
      </w:r>
      <w:bookmarkEnd w:id="35"/>
      <w:bookmarkEnd w:id="36"/>
    </w:p>
    <w:p w14:paraId="76263EE8" w14:textId="7A792F60" w:rsidR="00500F31" w:rsidRPr="00225950" w:rsidRDefault="00500F31" w:rsidP="00500F31">
      <w:pPr>
        <w:widowControl w:val="0"/>
        <w:spacing w:before="120" w:after="120"/>
        <w:rPr>
          <w:rFonts w:eastAsia="Georgia" w:cs="Georgia"/>
        </w:rPr>
      </w:pPr>
      <w:r w:rsidRPr="00225950">
        <w:rPr>
          <w:rFonts w:eastAsia="Georgia" w:cs="Georgia"/>
        </w:rPr>
        <w:t>The Canadian Radio-television and Telecommunications Commission</w:t>
      </w:r>
      <w:r>
        <w:rPr>
          <w:rFonts w:eastAsia="Georgia" w:cs="Georgia"/>
        </w:rPr>
        <w:t xml:space="preserve"> (CRTC)</w:t>
      </w:r>
      <w:r w:rsidRPr="00225950">
        <w:rPr>
          <w:rFonts w:eastAsia="Georgia" w:cs="Georgia"/>
        </w:rPr>
        <w:t xml:space="preserve"> is an independent public authority</w:t>
      </w:r>
      <w:r>
        <w:rPr>
          <w:rFonts w:eastAsia="Georgia" w:cs="Georgia"/>
        </w:rPr>
        <w:t xml:space="preserve"> established under the </w:t>
      </w:r>
      <w:r w:rsidRPr="003F5610">
        <w:rPr>
          <w:rFonts w:eastAsia="Georgia" w:cs="Georgia"/>
          <w:i/>
        </w:rPr>
        <w:t>Cana</w:t>
      </w:r>
      <w:r w:rsidR="002F0392">
        <w:rPr>
          <w:rFonts w:eastAsia="Georgia" w:cs="Georgia"/>
          <w:i/>
        </w:rPr>
        <w:t>da Telecommunications Act 1993</w:t>
      </w:r>
      <w:r w:rsidR="00D27DE3">
        <w:rPr>
          <w:rFonts w:eastAsia="Georgia" w:cs="Georgia"/>
          <w:i/>
        </w:rPr>
        <w:t xml:space="preserve">. </w:t>
      </w:r>
      <w:r>
        <w:rPr>
          <w:rFonts w:eastAsia="Georgia" w:cs="Georgia"/>
        </w:rPr>
        <w:t>The CRTC is responsible for</w:t>
      </w:r>
      <w:r>
        <w:t xml:space="preserve"> regulating</w:t>
      </w:r>
      <w:r w:rsidRPr="00973277">
        <w:t xml:space="preserve"> and supervis</w:t>
      </w:r>
      <w:r>
        <w:t>ing</w:t>
      </w:r>
      <w:r w:rsidRPr="00973277">
        <w:t xml:space="preserve"> broa</w:t>
      </w:r>
      <w:r>
        <w:t>dca</w:t>
      </w:r>
      <w:r w:rsidRPr="00973277">
        <w:t xml:space="preserve">sting and telecommunications </w:t>
      </w:r>
      <w:r>
        <w:t xml:space="preserve">services </w:t>
      </w:r>
      <w:r w:rsidRPr="00973277">
        <w:t>(wireline and wi</w:t>
      </w:r>
      <w:r w:rsidR="00DB0DD9">
        <w:t>reless) in the public interest</w:t>
      </w:r>
      <w:r>
        <w:rPr>
          <w:rFonts w:eastAsia="Georgia" w:cs="Georgia"/>
        </w:rPr>
        <w:t>.</w:t>
      </w:r>
      <w:r w:rsidRPr="00225950">
        <w:rPr>
          <w:rStyle w:val="FootnoteReference"/>
          <w:rFonts w:eastAsia="Georgia"/>
        </w:rPr>
        <w:footnoteReference w:id="42"/>
      </w:r>
    </w:p>
    <w:p w14:paraId="34484D2F" w14:textId="234C3880" w:rsidR="00500F31" w:rsidRDefault="00500F31" w:rsidP="00500F31">
      <w:pPr>
        <w:widowControl w:val="0"/>
        <w:spacing w:before="120" w:after="120"/>
        <w:rPr>
          <w:rFonts w:eastAsia="Georgia" w:cs="Georgia"/>
        </w:rPr>
      </w:pPr>
      <w:r>
        <w:rPr>
          <w:rFonts w:eastAsia="Georgia" w:cs="Georgia"/>
        </w:rPr>
        <w:t xml:space="preserve">The CRTC publishes directions and policies that outline how it regulates the telecommunications industry. Regulation of Quality of Service </w:t>
      </w:r>
      <w:r w:rsidR="00D962AC">
        <w:rPr>
          <w:rFonts w:eastAsia="Georgia" w:cs="Georgia"/>
        </w:rPr>
        <w:t>applies</w:t>
      </w:r>
      <w:r>
        <w:rPr>
          <w:rFonts w:eastAsia="Georgia" w:cs="Georgia"/>
        </w:rPr>
        <w:t xml:space="preserve"> to Incumbent Local Exchange Carriers (ILECs) with </w:t>
      </w:r>
      <w:r>
        <w:rPr>
          <w:rFonts w:eastAsia="Georgia"/>
        </w:rPr>
        <w:t xml:space="preserve">over 25,000 network access services. The purpose of this </w:t>
      </w:r>
      <w:r w:rsidR="009C76E0">
        <w:rPr>
          <w:rFonts w:eastAsia="Georgia"/>
        </w:rPr>
        <w:t>is</w:t>
      </w:r>
      <w:r w:rsidR="00B92A80">
        <w:rPr>
          <w:rFonts w:eastAsia="Georgia"/>
        </w:rPr>
        <w:t xml:space="preserve"> </w:t>
      </w:r>
      <w:r>
        <w:rPr>
          <w:rFonts w:eastAsia="Georgia"/>
        </w:rPr>
        <w:t>to promote competition and to ensure Canadians receive consistent, high quality service in all areas, including where</w:t>
      </w:r>
      <w:r>
        <w:rPr>
          <w:rFonts w:eastAsia="Georgia" w:cs="Georgia"/>
        </w:rPr>
        <w:t xml:space="preserve"> market forces are not sufficient to ensure high quality of service to customers.</w:t>
      </w:r>
      <w:r w:rsidRPr="00225950">
        <w:rPr>
          <w:rStyle w:val="FootnoteReference"/>
          <w:rFonts w:eastAsia="Georgia"/>
        </w:rPr>
        <w:footnoteReference w:id="43"/>
      </w:r>
    </w:p>
    <w:p w14:paraId="54C5C423" w14:textId="5094BC11" w:rsidR="00500F31" w:rsidRPr="00857FD8" w:rsidRDefault="00500F31" w:rsidP="00500F31">
      <w:pPr>
        <w:pStyle w:val="PwCNormal"/>
        <w:rPr>
          <w:rFonts w:eastAsia="Georgia"/>
        </w:rPr>
      </w:pPr>
      <w:r>
        <w:rPr>
          <w:rFonts w:eastAsia="Georgia"/>
        </w:rPr>
        <w:t xml:space="preserve">ILECs may provide both wholesale and retail services, therefore the CRTC has implemented service quality standards across both of these areas, </w:t>
      </w:r>
      <w:r w:rsidR="00D962AC">
        <w:rPr>
          <w:rFonts w:eastAsia="Georgia"/>
        </w:rPr>
        <w:t xml:space="preserve">but </w:t>
      </w:r>
      <w:r>
        <w:rPr>
          <w:rFonts w:eastAsia="Georgia"/>
        </w:rPr>
        <w:t>with the provision of wholesale services the predominant focus.</w:t>
      </w:r>
    </w:p>
    <w:p w14:paraId="4202582B" w14:textId="57253F65" w:rsidR="00500F31" w:rsidRPr="00225950" w:rsidRDefault="00500F31" w:rsidP="00500F31">
      <w:pPr>
        <w:widowControl w:val="0"/>
        <w:spacing w:before="120" w:after="120"/>
        <w:rPr>
          <w:rFonts w:eastAsia="Georgia" w:cs="Georgia"/>
        </w:rPr>
      </w:pPr>
      <w:r w:rsidRPr="00225950">
        <w:rPr>
          <w:rFonts w:eastAsia="Georgia" w:cs="Georgia"/>
        </w:rPr>
        <w:t xml:space="preserve">The existing wholesale regulation </w:t>
      </w:r>
      <w:r w:rsidRPr="009924D4">
        <w:rPr>
          <w:rFonts w:eastAsia="Georgia" w:cs="Georgia"/>
        </w:rPr>
        <w:t xml:space="preserve">quality of service </w:t>
      </w:r>
      <w:r w:rsidRPr="00225950">
        <w:rPr>
          <w:rFonts w:eastAsia="Georgia" w:cs="Georgia"/>
        </w:rPr>
        <w:t xml:space="preserve">plan was announced in 2005 when the regulator introduced the </w:t>
      </w:r>
      <w:r w:rsidRPr="009924D4">
        <w:rPr>
          <w:rFonts w:eastAsia="Georgia" w:cs="Georgia"/>
        </w:rPr>
        <w:t xml:space="preserve">quality of service </w:t>
      </w:r>
      <w:r w:rsidRPr="00225950">
        <w:rPr>
          <w:rFonts w:eastAsia="Georgia" w:cs="Georgia"/>
        </w:rPr>
        <w:t xml:space="preserve">Rate Rebate Plan for ILECs. Service providers are required to meet a suite of </w:t>
      </w:r>
      <w:r w:rsidRPr="009924D4">
        <w:rPr>
          <w:rFonts w:eastAsia="Georgia" w:cs="Georgia"/>
        </w:rPr>
        <w:t xml:space="preserve">quality of service </w:t>
      </w:r>
      <w:r w:rsidRPr="00225950">
        <w:rPr>
          <w:rFonts w:eastAsia="Georgia" w:cs="Georgia"/>
        </w:rPr>
        <w:t xml:space="preserve">standards across their provision of certain wholesale services to competitors, in an attempt to drive competition in the market. Each indicator within the </w:t>
      </w:r>
      <w:r w:rsidRPr="009924D4">
        <w:rPr>
          <w:rFonts w:eastAsia="Georgia" w:cs="Georgia"/>
        </w:rPr>
        <w:t xml:space="preserve">quality of service </w:t>
      </w:r>
      <w:r w:rsidRPr="00225950">
        <w:rPr>
          <w:rFonts w:eastAsia="Georgia" w:cs="Georgia"/>
        </w:rPr>
        <w:t>regime has a minimum service performance standard which must be met. If not, the ILEC’s are required to pay rebates to competitors, unless the Commission determines othe</w:t>
      </w:r>
      <w:r>
        <w:rPr>
          <w:rFonts w:eastAsia="Georgia" w:cs="Georgia"/>
        </w:rPr>
        <w:t>rwise.</w:t>
      </w:r>
      <w:r w:rsidRPr="00225950">
        <w:rPr>
          <w:rStyle w:val="FootnoteReference"/>
          <w:rFonts w:eastAsia="Georgia"/>
        </w:rPr>
        <w:footnoteReference w:id="44"/>
      </w:r>
    </w:p>
    <w:p w14:paraId="2B156D1A" w14:textId="1BFAC29F" w:rsidR="00E80473" w:rsidRPr="00225950" w:rsidRDefault="00E80473" w:rsidP="00E80473">
      <w:pPr>
        <w:widowControl w:val="0"/>
        <w:spacing w:before="120" w:after="120"/>
        <w:rPr>
          <w:rFonts w:eastAsia="Georgia" w:cs="Georgia"/>
        </w:rPr>
      </w:pPr>
      <w:r w:rsidRPr="00225950">
        <w:rPr>
          <w:rFonts w:eastAsia="Georgia" w:cs="Georgia"/>
        </w:rPr>
        <w:t>In April 2018,</w:t>
      </w:r>
      <w:r w:rsidR="00A16BB8" w:rsidRPr="00225950">
        <w:rPr>
          <w:rFonts w:eastAsia="Georgia" w:cs="Georgia"/>
          <w:vertAlign w:val="superscript"/>
        </w:rPr>
        <w:footnoteReference w:id="45"/>
      </w:r>
      <w:r w:rsidRPr="00225950">
        <w:rPr>
          <w:rFonts w:eastAsia="Georgia" w:cs="Georgia"/>
        </w:rPr>
        <w:t xml:space="preserve"> the Commission published the results of its review of the </w:t>
      </w:r>
      <w:r w:rsidRPr="009924D4">
        <w:rPr>
          <w:rFonts w:eastAsia="Georgia" w:cs="Georgia"/>
        </w:rPr>
        <w:t xml:space="preserve">quality of service </w:t>
      </w:r>
      <w:r w:rsidRPr="00225950">
        <w:rPr>
          <w:rFonts w:eastAsia="Georgia" w:cs="Georgia"/>
        </w:rPr>
        <w:t xml:space="preserve">regime. It determined that additional oversight is required for all providers of aggregated and disaggregated wholesale high speed access services, and these should be included in a competitor </w:t>
      </w:r>
      <w:r w:rsidRPr="009924D4">
        <w:rPr>
          <w:rFonts w:eastAsia="Georgia" w:cs="Georgia"/>
        </w:rPr>
        <w:t xml:space="preserve">quality of service </w:t>
      </w:r>
      <w:r w:rsidRPr="00225950">
        <w:rPr>
          <w:rFonts w:eastAsia="Georgia" w:cs="Georgia"/>
        </w:rPr>
        <w:t>regime. The Commission also determined that large ILECs</w:t>
      </w:r>
      <w:r w:rsidR="005A47B9">
        <w:rPr>
          <w:rFonts w:eastAsia="Georgia" w:cs="Georgia"/>
        </w:rPr>
        <w:t>’</w:t>
      </w:r>
      <w:r w:rsidRPr="00225950">
        <w:rPr>
          <w:rFonts w:eastAsia="Georgia" w:cs="Georgia"/>
        </w:rPr>
        <w:t xml:space="preserve"> wholesale services and process</w:t>
      </w:r>
      <w:r>
        <w:rPr>
          <w:rFonts w:eastAsia="Georgia" w:cs="Georgia"/>
        </w:rPr>
        <w:t>es</w:t>
      </w:r>
      <w:r w:rsidRPr="00225950">
        <w:rPr>
          <w:rFonts w:eastAsia="Georgia" w:cs="Georgia"/>
        </w:rPr>
        <w:t xml:space="preserve"> should no longer be included in the </w:t>
      </w:r>
      <w:r w:rsidRPr="009924D4">
        <w:rPr>
          <w:rFonts w:eastAsia="Georgia" w:cs="Georgia"/>
        </w:rPr>
        <w:t xml:space="preserve">quality of service </w:t>
      </w:r>
      <w:r w:rsidRPr="00225950">
        <w:rPr>
          <w:rFonts w:eastAsia="Georgia" w:cs="Georgia"/>
        </w:rPr>
        <w:t xml:space="preserve">regime, small ILECs should retain the current complaints based approach, and Northwestel </w:t>
      </w:r>
      <w:r w:rsidR="00353D16">
        <w:rPr>
          <w:rFonts w:eastAsia="Georgia" w:cs="Georgia"/>
        </w:rPr>
        <w:t xml:space="preserve">(a large ILEC in Canada) </w:t>
      </w:r>
      <w:r w:rsidRPr="00225950">
        <w:rPr>
          <w:rFonts w:eastAsia="Georgia" w:cs="Georgia"/>
        </w:rPr>
        <w:t>should come under a monitoring regime. The results of this review have not been actioned as of June 2018.</w:t>
      </w:r>
    </w:p>
    <w:p w14:paraId="555CBAFB" w14:textId="44BCF718" w:rsidR="00B339AC" w:rsidRPr="00B339AC" w:rsidRDefault="00325598" w:rsidP="00325598">
      <w:pPr>
        <w:pStyle w:val="Heading4"/>
        <w:numPr>
          <w:ilvl w:val="0"/>
          <w:numId w:val="0"/>
        </w:numPr>
        <w:ind w:left="851" w:hanging="851"/>
        <w:rPr>
          <w:snapToGrid/>
        </w:rPr>
      </w:pPr>
      <w:r>
        <w:rPr>
          <w:snapToGrid/>
        </w:rPr>
        <w:lastRenderedPageBreak/>
        <w:t>3.2.1</w:t>
      </w:r>
      <w:r>
        <w:rPr>
          <w:snapToGrid/>
        </w:rPr>
        <w:tab/>
      </w:r>
      <w:r w:rsidR="00B339AC" w:rsidRPr="00B339AC">
        <w:rPr>
          <w:snapToGrid/>
        </w:rPr>
        <w:t>Connection</w:t>
      </w:r>
    </w:p>
    <w:p w14:paraId="6F469D21" w14:textId="0366C083" w:rsidR="00E80473" w:rsidRPr="007B0C1F" w:rsidRDefault="0068553A" w:rsidP="00A32A28">
      <w:pPr>
        <w:keepNext/>
      </w:pPr>
      <w:r>
        <w:rPr>
          <w:rFonts w:eastAsia="Georgia"/>
          <w:snapToGrid/>
        </w:rPr>
        <w:t>I</w:t>
      </w:r>
      <w:r w:rsidR="00E80473" w:rsidRPr="007B0C1F">
        <w:rPr>
          <w:rFonts w:eastAsia="Georgia"/>
          <w:snapToGrid/>
        </w:rPr>
        <w:t>n Canada</w:t>
      </w:r>
      <w:r w:rsidR="005A47B9">
        <w:rPr>
          <w:rFonts w:eastAsia="Georgia"/>
          <w:snapToGrid/>
        </w:rPr>
        <w:t>,</w:t>
      </w:r>
      <w:r w:rsidR="00E80473" w:rsidRPr="007B0C1F">
        <w:rPr>
          <w:rFonts w:eastAsia="Georgia"/>
          <w:snapToGrid/>
        </w:rPr>
        <w:t xml:space="preserve"> </w:t>
      </w:r>
      <w:r>
        <w:rPr>
          <w:rFonts w:eastAsia="Georgia"/>
          <w:snapToGrid/>
        </w:rPr>
        <w:t>m</w:t>
      </w:r>
      <w:r w:rsidR="00E80473" w:rsidRPr="007B0C1F">
        <w:rPr>
          <w:rFonts w:eastAsia="Georgia"/>
          <w:snapToGrid/>
        </w:rPr>
        <w:t xml:space="preserve">onitoring of retail connection processes is limited to the number of installation appointments, whereas </w:t>
      </w:r>
      <w:r w:rsidR="003316DD">
        <w:t>16</w:t>
      </w:r>
      <w:r w:rsidR="003316DD" w:rsidRPr="007B0C1F">
        <w:t xml:space="preserve"> </w:t>
      </w:r>
      <w:r w:rsidR="00E80473" w:rsidRPr="007B0C1F">
        <w:t>indicators are monitored in the wholesale market.</w:t>
      </w:r>
    </w:p>
    <w:p w14:paraId="0306FB58" w14:textId="77777777" w:rsidR="00E80473" w:rsidRDefault="00E80473" w:rsidP="00325598">
      <w:pPr>
        <w:pStyle w:val="styeheading5"/>
        <w:rPr>
          <w:rFonts w:eastAsia="Georgia"/>
          <w:snapToGrid/>
        </w:rPr>
      </w:pPr>
      <w:r w:rsidRPr="00B339AC">
        <w:rPr>
          <w:rFonts w:eastAsia="Georgia"/>
          <w:snapToGrid/>
        </w:rPr>
        <w:t>Telephone connections</w:t>
      </w:r>
    </w:p>
    <w:p w14:paraId="3DE5184A" w14:textId="7C429C4B" w:rsidR="00E80473" w:rsidRDefault="00486253" w:rsidP="009D1655">
      <w:pPr>
        <w:pStyle w:val="styleheading6"/>
      </w:pPr>
      <w:r w:rsidRPr="00486253">
        <w:t>New service connection times</w:t>
      </w:r>
    </w:p>
    <w:p w14:paraId="18E1A701" w14:textId="4304B4AD" w:rsidR="00E80473" w:rsidRPr="00225950" w:rsidRDefault="00E80473" w:rsidP="009D1655">
      <w:pPr>
        <w:pStyle w:val="Caption"/>
      </w:pPr>
      <w:r w:rsidRPr="00225950">
        <w:t xml:space="preserve">Table </w:t>
      </w:r>
      <w:r w:rsidR="000B0990">
        <w:rPr>
          <w:noProof/>
        </w:rPr>
        <w:fldChar w:fldCharType="begin"/>
      </w:r>
      <w:r w:rsidR="000B0990">
        <w:rPr>
          <w:noProof/>
        </w:rPr>
        <w:instrText xml:space="preserve"> SEQ Table \* ARABIC </w:instrText>
      </w:r>
      <w:r w:rsidR="000B0990">
        <w:rPr>
          <w:noProof/>
        </w:rPr>
        <w:fldChar w:fldCharType="separate"/>
      </w:r>
      <w:r w:rsidR="00AE12E7">
        <w:rPr>
          <w:noProof/>
        </w:rPr>
        <w:t>8</w:t>
      </w:r>
      <w:r w:rsidR="000B0990">
        <w:rPr>
          <w:noProof/>
        </w:rPr>
        <w:fldChar w:fldCharType="end"/>
      </w:r>
      <w:r w:rsidRPr="00225950">
        <w:t xml:space="preserve">: Retail </w:t>
      </w:r>
      <w:r w:rsidR="00F61956">
        <w:t>connection indicators – Canada</w:t>
      </w:r>
      <w:r w:rsidRPr="00225950">
        <w:rPr>
          <w:rStyle w:val="FootnoteReference"/>
        </w:rPr>
        <w:footnoteReference w:id="46"/>
      </w:r>
    </w:p>
    <w:tbl>
      <w:tblPr>
        <w:tblStyle w:val="Tables-APBase"/>
        <w:tblW w:w="5000" w:type="pct"/>
        <w:tblLook w:val="04A0" w:firstRow="1" w:lastRow="0" w:firstColumn="1" w:lastColumn="0" w:noHBand="0" w:noVBand="1"/>
        <w:tblCaption w:val="Retail connection indicators – Canada"/>
        <w:tblDescription w:val="Installation appointments performance indicator met (urban/rural/community): 90% or more"/>
      </w:tblPr>
      <w:tblGrid>
        <w:gridCol w:w="5671"/>
        <w:gridCol w:w="2550"/>
      </w:tblGrid>
      <w:tr w:rsidR="00E80473" w:rsidRPr="00225950" w14:paraId="4D76D6FC" w14:textId="77777777" w:rsidTr="007404FC">
        <w:trPr>
          <w:cnfStyle w:val="100000000000" w:firstRow="1" w:lastRow="0" w:firstColumn="0" w:lastColumn="0" w:oddVBand="0" w:evenVBand="0" w:oddHBand="0" w:evenHBand="0" w:firstRowFirstColumn="0" w:firstRowLastColumn="0" w:lastRowFirstColumn="0" w:lastRowLastColumn="0"/>
          <w:trHeight w:val="199"/>
        </w:trPr>
        <w:tc>
          <w:tcPr>
            <w:cnfStyle w:val="000000000100" w:firstRow="0" w:lastRow="0" w:firstColumn="0" w:lastColumn="0" w:oddVBand="0" w:evenVBand="0" w:oddHBand="0" w:evenHBand="0" w:firstRowFirstColumn="1" w:firstRowLastColumn="0" w:lastRowFirstColumn="0" w:lastRowLastColumn="0"/>
            <w:tcW w:w="3449" w:type="pct"/>
          </w:tcPr>
          <w:p w14:paraId="23D08CDC" w14:textId="77777777" w:rsidR="00E80473" w:rsidRPr="00225950" w:rsidRDefault="00E80473" w:rsidP="007404FC">
            <w:pPr>
              <w:pStyle w:val="TableColumnHeadingNormal"/>
              <w:rPr>
                <w:rFonts w:eastAsia="Georgia"/>
              </w:rPr>
            </w:pPr>
            <w:r w:rsidRPr="00225950">
              <w:rPr>
                <w:rFonts w:eastAsia="Georgia"/>
              </w:rPr>
              <w:t>Performance indicator</w:t>
            </w:r>
          </w:p>
        </w:tc>
        <w:tc>
          <w:tcPr>
            <w:tcW w:w="1551" w:type="pct"/>
          </w:tcPr>
          <w:p w14:paraId="12B88FF1" w14:textId="77777777" w:rsidR="00E80473" w:rsidRPr="00225950" w:rsidRDefault="00E80473" w:rsidP="007404FC">
            <w:pPr>
              <w:pStyle w:val="TableColumnHeadingNormal"/>
              <w:cnfStyle w:val="100000000000" w:firstRow="1" w:lastRow="0" w:firstColumn="0" w:lastColumn="0" w:oddVBand="0" w:evenVBand="0" w:oddHBand="0" w:evenHBand="0" w:firstRowFirstColumn="0" w:firstRowLastColumn="0" w:lastRowFirstColumn="0" w:lastRowLastColumn="0"/>
              <w:rPr>
                <w:rFonts w:eastAsia="Georgia"/>
              </w:rPr>
            </w:pPr>
            <w:r w:rsidRPr="00225950">
              <w:rPr>
                <w:rFonts w:eastAsia="Georgia"/>
              </w:rPr>
              <w:t>Standard</w:t>
            </w:r>
          </w:p>
        </w:tc>
      </w:tr>
      <w:tr w:rsidR="00E80473" w:rsidRPr="00225950" w14:paraId="4AD4CB09" w14:textId="77777777" w:rsidTr="007404FC">
        <w:trPr>
          <w:trHeight w:val="373"/>
        </w:trPr>
        <w:tc>
          <w:tcPr>
            <w:tcW w:w="3449" w:type="pct"/>
          </w:tcPr>
          <w:p w14:paraId="6322517E" w14:textId="1D62EA5F" w:rsidR="00E80473" w:rsidRPr="00225950" w:rsidRDefault="00E80473" w:rsidP="007404FC">
            <w:pPr>
              <w:pStyle w:val="TableTextNormal"/>
              <w:rPr>
                <w:rFonts w:eastAsia="Georgia"/>
                <w:szCs w:val="16"/>
              </w:rPr>
            </w:pPr>
            <w:r w:rsidRPr="00225950">
              <w:rPr>
                <w:rFonts w:eastAsia="Georgia"/>
              </w:rPr>
              <w:t>Installation ap</w:t>
            </w:r>
            <w:r w:rsidR="002F0392">
              <w:rPr>
                <w:rFonts w:eastAsia="Georgia"/>
              </w:rPr>
              <w:t>pointments met (urban/rural/</w:t>
            </w:r>
            <w:r w:rsidRPr="00225950">
              <w:rPr>
                <w:rFonts w:eastAsia="Georgia"/>
              </w:rPr>
              <w:t>community)</w:t>
            </w:r>
          </w:p>
        </w:tc>
        <w:tc>
          <w:tcPr>
            <w:tcW w:w="1551" w:type="pct"/>
          </w:tcPr>
          <w:p w14:paraId="369D47B5" w14:textId="77777777" w:rsidR="00E80473" w:rsidRPr="00225950" w:rsidRDefault="00E80473" w:rsidP="007404FC">
            <w:pPr>
              <w:pStyle w:val="TableTextNormal"/>
              <w:rPr>
                <w:rFonts w:eastAsia="Georgia"/>
                <w:szCs w:val="16"/>
              </w:rPr>
            </w:pPr>
            <w:r w:rsidRPr="00225950">
              <w:rPr>
                <w:rFonts w:eastAsia="Georgia"/>
              </w:rPr>
              <w:t>90% or more</w:t>
            </w:r>
          </w:p>
        </w:tc>
      </w:tr>
    </w:tbl>
    <w:p w14:paraId="607E01C4" w14:textId="41FDE394" w:rsidR="00E80473" w:rsidRDefault="00E80473" w:rsidP="00E80473">
      <w:pPr>
        <w:pStyle w:val="PwCNormal"/>
        <w:numPr>
          <w:ilvl w:val="0"/>
          <w:numId w:val="0"/>
        </w:numPr>
        <w:rPr>
          <w:rFonts w:eastAsia="Georgia"/>
        </w:rPr>
      </w:pPr>
      <w:r>
        <w:rPr>
          <w:rFonts w:eastAsia="Georgia"/>
        </w:rPr>
        <w:t xml:space="preserve">In Canada, ILECs are required to </w:t>
      </w:r>
      <w:r w:rsidR="00222133">
        <w:rPr>
          <w:rFonts w:eastAsia="Georgia"/>
        </w:rPr>
        <w:t xml:space="preserve">report quarterly </w:t>
      </w:r>
      <w:r>
        <w:rPr>
          <w:rFonts w:eastAsia="Georgia"/>
        </w:rPr>
        <w:t>in relation to the number of installation appointments met for urban, rural and community areas. The required standard under this requirement is for 90</w:t>
      </w:r>
      <w:r w:rsidR="00EC1653">
        <w:rPr>
          <w:rFonts w:eastAsia="Georgia"/>
        </w:rPr>
        <w:t xml:space="preserve"> per cent</w:t>
      </w:r>
      <w:r>
        <w:rPr>
          <w:rFonts w:eastAsia="Georgia"/>
        </w:rPr>
        <w:t xml:space="preserve"> or more of installation appointments to be met</w:t>
      </w:r>
      <w:r w:rsidR="00222133">
        <w:rPr>
          <w:rFonts w:eastAsia="Georgia"/>
        </w:rPr>
        <w:t xml:space="preserve"> each month</w:t>
      </w:r>
      <w:r>
        <w:rPr>
          <w:rFonts w:eastAsia="Georgia"/>
        </w:rPr>
        <w:t>. Where an ILEC does not meet the standard for three consecutive months, it is required to file an exception report identifying the problem and course of action to rectify it. The service standard must be met for three months before an ILEC will no longer have to file an exception report.</w:t>
      </w:r>
      <w:r>
        <w:rPr>
          <w:rStyle w:val="FootnoteReference"/>
          <w:rFonts w:eastAsia="Georgia"/>
        </w:rPr>
        <w:footnoteReference w:id="47"/>
      </w:r>
    </w:p>
    <w:p w14:paraId="1C257D43" w14:textId="0E5CACDD" w:rsidR="00B339AC" w:rsidRDefault="00C649E1" w:rsidP="00325598">
      <w:pPr>
        <w:pStyle w:val="styeheading5"/>
        <w:rPr>
          <w:rFonts w:eastAsia="Georgia"/>
          <w:snapToGrid/>
        </w:rPr>
      </w:pPr>
      <w:r>
        <w:rPr>
          <w:rFonts w:eastAsia="Georgia"/>
          <w:snapToGrid/>
        </w:rPr>
        <w:t>Data connections</w:t>
      </w:r>
    </w:p>
    <w:p w14:paraId="49B1B63E" w14:textId="37744730" w:rsidR="00E80473" w:rsidRPr="008D7B5C" w:rsidRDefault="00E80473" w:rsidP="00E80473">
      <w:pPr>
        <w:pStyle w:val="PwCNormal"/>
        <w:rPr>
          <w:rFonts w:eastAsia="Georgia"/>
          <w:snapToGrid/>
        </w:rPr>
      </w:pPr>
      <w:r>
        <w:rPr>
          <w:rFonts w:eastAsia="Georgia"/>
          <w:snapToGrid/>
        </w:rPr>
        <w:t xml:space="preserve">In Canada, internet service providers are primarily responsible for their quality of service and customer relations. If customers have an issue with the service being provided to them, </w:t>
      </w:r>
      <w:r w:rsidR="00353D16">
        <w:rPr>
          <w:rFonts w:eastAsia="Georgia"/>
          <w:snapToGrid/>
        </w:rPr>
        <w:t>the CRTC states that consumers are free</w:t>
      </w:r>
      <w:r>
        <w:rPr>
          <w:rFonts w:eastAsia="Georgia"/>
          <w:snapToGrid/>
        </w:rPr>
        <w:t xml:space="preserve"> to switch service provider or </w:t>
      </w:r>
      <w:r w:rsidR="00353D16">
        <w:rPr>
          <w:rFonts w:eastAsia="Georgia"/>
          <w:snapToGrid/>
        </w:rPr>
        <w:t>should</w:t>
      </w:r>
      <w:r w:rsidR="00313FD9">
        <w:rPr>
          <w:rFonts w:eastAsia="Georgia"/>
          <w:snapToGrid/>
        </w:rPr>
        <w:t xml:space="preserve"> </w:t>
      </w:r>
      <w:r>
        <w:rPr>
          <w:rFonts w:eastAsia="Georgia"/>
          <w:snapToGrid/>
        </w:rPr>
        <w:t>direct</w:t>
      </w:r>
      <w:r w:rsidR="00353D16">
        <w:rPr>
          <w:rFonts w:eastAsia="Georgia"/>
          <w:snapToGrid/>
        </w:rPr>
        <w:t xml:space="preserve"> their concerns</w:t>
      </w:r>
      <w:r>
        <w:rPr>
          <w:rFonts w:eastAsia="Georgia"/>
          <w:snapToGrid/>
        </w:rPr>
        <w:t xml:space="preserve"> to the telecommunications complaints handling body for dispute resolution.</w:t>
      </w:r>
      <w:r>
        <w:rPr>
          <w:rStyle w:val="FootnoteReference"/>
          <w:rFonts w:eastAsia="Georgia"/>
          <w:i/>
          <w:snapToGrid/>
        </w:rPr>
        <w:footnoteReference w:id="48"/>
      </w:r>
    </w:p>
    <w:p w14:paraId="7BDDBBFC" w14:textId="078EC40D" w:rsidR="00B339AC" w:rsidRPr="00B339AC" w:rsidRDefault="00870376" w:rsidP="00870376">
      <w:pPr>
        <w:pStyle w:val="Heading4"/>
        <w:numPr>
          <w:ilvl w:val="0"/>
          <w:numId w:val="0"/>
        </w:numPr>
        <w:ind w:left="851" w:hanging="851"/>
        <w:rPr>
          <w:snapToGrid/>
        </w:rPr>
      </w:pPr>
      <w:r>
        <w:rPr>
          <w:snapToGrid/>
        </w:rPr>
        <w:t>3.2.2</w:t>
      </w:r>
      <w:r>
        <w:rPr>
          <w:snapToGrid/>
        </w:rPr>
        <w:tab/>
      </w:r>
      <w:r w:rsidR="00B339AC" w:rsidRPr="00B339AC">
        <w:rPr>
          <w:snapToGrid/>
        </w:rPr>
        <w:t>Outages and faults</w:t>
      </w:r>
    </w:p>
    <w:p w14:paraId="7C072046" w14:textId="082CF2F0" w:rsidR="00B339AC" w:rsidRDefault="00B339AC" w:rsidP="00870376">
      <w:pPr>
        <w:pStyle w:val="styeheading5"/>
        <w:rPr>
          <w:rFonts w:eastAsia="Georgia"/>
          <w:snapToGrid/>
        </w:rPr>
      </w:pPr>
      <w:r w:rsidRPr="00B339AC">
        <w:rPr>
          <w:rFonts w:eastAsia="Georgia"/>
          <w:snapToGrid/>
        </w:rPr>
        <w:t>Number of report outages/faults</w:t>
      </w:r>
      <w:r w:rsidR="00E80473">
        <w:rPr>
          <w:rFonts w:eastAsia="Georgia"/>
          <w:snapToGrid/>
        </w:rPr>
        <w:t xml:space="preserve"> and r</w:t>
      </w:r>
      <w:r w:rsidRPr="00B339AC">
        <w:rPr>
          <w:rFonts w:eastAsia="Georgia"/>
          <w:snapToGrid/>
        </w:rPr>
        <w:t>epair time</w:t>
      </w:r>
    </w:p>
    <w:p w14:paraId="47F20CE2" w14:textId="7574CB24" w:rsidR="00E80473" w:rsidRDefault="00E80473" w:rsidP="00E80473">
      <w:r w:rsidRPr="00225950">
        <w:t>In Canada the regulator requires reporting against outages and faults</w:t>
      </w:r>
      <w:r>
        <w:t xml:space="preserve"> relating to</w:t>
      </w:r>
      <w:r w:rsidRPr="00225950">
        <w:t xml:space="preserve"> </w:t>
      </w:r>
      <w:r w:rsidRPr="009924D4">
        <w:rPr>
          <w:rFonts w:eastAsia="Georgia" w:cs="Georgia"/>
        </w:rPr>
        <w:t xml:space="preserve">quality of service </w:t>
      </w:r>
      <w:r w:rsidRPr="00225950">
        <w:t xml:space="preserve">standards across both retail and wholesale markets. Out-of-service trouble reports and repair appointments met are monitored across both </w:t>
      </w:r>
      <w:r>
        <w:t xml:space="preserve">wholesale and retail </w:t>
      </w:r>
      <w:r w:rsidRPr="00225950">
        <w:t xml:space="preserve">markets, while </w:t>
      </w:r>
      <w:r>
        <w:t>the average</w:t>
      </w:r>
      <w:r w:rsidRPr="00225950">
        <w:t xml:space="preserve"> time to repair is monitored at the wholesale level.</w:t>
      </w:r>
    </w:p>
    <w:p w14:paraId="2BE50568" w14:textId="411BA9B9" w:rsidR="00E80473" w:rsidRDefault="00E80473" w:rsidP="00E80473">
      <w:pPr>
        <w:pStyle w:val="PwCNormal"/>
      </w:pPr>
      <w:r>
        <w:t>ILEC</w:t>
      </w:r>
      <w:r w:rsidR="00FA4EF8">
        <w:t>s are required to report their o</w:t>
      </w:r>
      <w:r>
        <w:t>ut-of-service trouble reports and number of repair appointments met to the CRTC on a quarterly basis. They are required to meet service standards of 80-90</w:t>
      </w:r>
      <w:r w:rsidR="00EC1653">
        <w:t xml:space="preserve"> per cent</w:t>
      </w:r>
      <w:r w:rsidR="00FA4EF8">
        <w:t xml:space="preserve"> o</w:t>
      </w:r>
      <w:r>
        <w:t xml:space="preserve">ut-of-service trouble reports cleared within 24 hours, and </w:t>
      </w:r>
      <w:r w:rsidR="00772421">
        <w:t xml:space="preserve">meet </w:t>
      </w:r>
      <w:r>
        <w:t>90</w:t>
      </w:r>
      <w:r w:rsidR="00F02153">
        <w:t> per cent</w:t>
      </w:r>
      <w:r>
        <w:t xml:space="preserve"> or more of r</w:t>
      </w:r>
      <w:r w:rsidR="00486253">
        <w:t>epair appointments.</w:t>
      </w:r>
    </w:p>
    <w:p w14:paraId="0C0D2F51" w14:textId="76A111D9" w:rsidR="00E80473" w:rsidRDefault="00E80473" w:rsidP="00A32A28">
      <w:pPr>
        <w:pStyle w:val="Caption"/>
      </w:pPr>
      <w:r>
        <w:lastRenderedPageBreak/>
        <w:t xml:space="preserve">Table </w:t>
      </w:r>
      <w:r w:rsidR="000B0990">
        <w:rPr>
          <w:noProof/>
        </w:rPr>
        <w:fldChar w:fldCharType="begin"/>
      </w:r>
      <w:r w:rsidR="000B0990">
        <w:rPr>
          <w:noProof/>
        </w:rPr>
        <w:instrText xml:space="preserve"> SEQ Table \* ARABIC </w:instrText>
      </w:r>
      <w:r w:rsidR="000B0990">
        <w:rPr>
          <w:noProof/>
        </w:rPr>
        <w:fldChar w:fldCharType="separate"/>
      </w:r>
      <w:r w:rsidR="00AE12E7">
        <w:rPr>
          <w:noProof/>
        </w:rPr>
        <w:t>9</w:t>
      </w:r>
      <w:r w:rsidR="000B0990">
        <w:rPr>
          <w:noProof/>
        </w:rPr>
        <w:fldChar w:fldCharType="end"/>
      </w:r>
      <w:r>
        <w:t xml:space="preserve">: Outages and faults quality </w:t>
      </w:r>
      <w:r w:rsidR="00FE3B4F">
        <w:t xml:space="preserve">of </w:t>
      </w:r>
      <w:r>
        <w:t xml:space="preserve">service </w:t>
      </w:r>
      <w:r w:rsidR="00367B4D">
        <w:t>indicators</w:t>
      </w:r>
      <w:r w:rsidR="00F61956">
        <w:t xml:space="preserve"> – Canada</w:t>
      </w:r>
      <w:r w:rsidR="00402D6D">
        <w:rPr>
          <w:rStyle w:val="FootnoteReference"/>
        </w:rPr>
        <w:footnoteReference w:id="49"/>
      </w:r>
    </w:p>
    <w:tbl>
      <w:tblPr>
        <w:tblStyle w:val="Tables-APBase"/>
        <w:tblW w:w="8200" w:type="dxa"/>
        <w:tblLook w:val="06A0" w:firstRow="1" w:lastRow="0" w:firstColumn="1" w:lastColumn="0" w:noHBand="1" w:noVBand="1"/>
        <w:tblCaption w:val="Outages and faults quality of service indicators – Canada"/>
        <w:tblDescription w:val="Out-of-Service trouble reports cleared within 24 Hours (urban/rural) performance indicator: 80%+&#10;Out-of-Service trouble reports cleared within 5 days (remote) performance indicator: 90%+&#10;Repair appointments met (urban/rural/community) performance indicator: 90% or more"/>
      </w:tblPr>
      <w:tblGrid>
        <w:gridCol w:w="4862"/>
        <w:gridCol w:w="3338"/>
      </w:tblGrid>
      <w:tr w:rsidR="00E80473" w:rsidRPr="00225950" w14:paraId="2A1C5805" w14:textId="77777777" w:rsidTr="007404FC">
        <w:trPr>
          <w:cnfStyle w:val="100000000000" w:firstRow="1" w:lastRow="0" w:firstColumn="0" w:lastColumn="0" w:oddVBand="0" w:evenVBand="0" w:oddHBand="0" w:evenHBand="0" w:firstRowFirstColumn="0" w:firstRowLastColumn="0" w:lastRowFirstColumn="0" w:lastRowLastColumn="0"/>
          <w:trHeight w:val="151"/>
        </w:trPr>
        <w:tc>
          <w:tcPr>
            <w:cnfStyle w:val="000000000100" w:firstRow="0" w:lastRow="0" w:firstColumn="0" w:lastColumn="0" w:oddVBand="0" w:evenVBand="0" w:oddHBand="0" w:evenHBand="0" w:firstRowFirstColumn="1" w:firstRowLastColumn="0" w:lastRowFirstColumn="0" w:lastRowLastColumn="0"/>
            <w:tcW w:w="4862" w:type="dxa"/>
          </w:tcPr>
          <w:p w14:paraId="70DCE34E" w14:textId="77777777" w:rsidR="00E80473" w:rsidRPr="00225950" w:rsidRDefault="00E80473" w:rsidP="00A32A28">
            <w:pPr>
              <w:pStyle w:val="TableColumnHeadingNormal"/>
              <w:rPr>
                <w:rFonts w:eastAsia="Georgia"/>
              </w:rPr>
            </w:pPr>
            <w:r w:rsidRPr="00225950">
              <w:rPr>
                <w:rFonts w:eastAsia="Georgia"/>
              </w:rPr>
              <w:t>Performance indicator</w:t>
            </w:r>
          </w:p>
        </w:tc>
        <w:tc>
          <w:tcPr>
            <w:tcW w:w="3338" w:type="dxa"/>
          </w:tcPr>
          <w:p w14:paraId="65091FF8" w14:textId="77777777" w:rsidR="00E80473" w:rsidRPr="00225950" w:rsidRDefault="00E80473" w:rsidP="00A32A28">
            <w:pPr>
              <w:pStyle w:val="TableColumnHeadingNormal"/>
              <w:cnfStyle w:val="100000000000" w:firstRow="1" w:lastRow="0" w:firstColumn="0" w:lastColumn="0" w:oddVBand="0" w:evenVBand="0" w:oddHBand="0" w:evenHBand="0" w:firstRowFirstColumn="0" w:firstRowLastColumn="0" w:lastRowFirstColumn="0" w:lastRowLastColumn="0"/>
              <w:rPr>
                <w:rFonts w:eastAsia="Georgia"/>
              </w:rPr>
            </w:pPr>
            <w:r w:rsidRPr="00225950">
              <w:rPr>
                <w:rFonts w:eastAsia="Georgia"/>
              </w:rPr>
              <w:t>Standard</w:t>
            </w:r>
          </w:p>
        </w:tc>
      </w:tr>
      <w:tr w:rsidR="00E80473" w:rsidRPr="00225950" w14:paraId="069430F4" w14:textId="77777777" w:rsidTr="007404FC">
        <w:trPr>
          <w:trHeight w:val="286"/>
        </w:trPr>
        <w:tc>
          <w:tcPr>
            <w:tcW w:w="4862" w:type="dxa"/>
          </w:tcPr>
          <w:p w14:paraId="1C697303" w14:textId="764A5EAC" w:rsidR="00E80473" w:rsidRPr="00225950" w:rsidRDefault="00E80473" w:rsidP="00A32A28">
            <w:pPr>
              <w:pStyle w:val="TableTextNormal"/>
              <w:keepNext/>
              <w:keepLines/>
              <w:rPr>
                <w:rFonts w:eastAsia="Georgia"/>
              </w:rPr>
            </w:pPr>
            <w:r w:rsidRPr="00225950">
              <w:rPr>
                <w:rFonts w:eastAsia="Georgia"/>
              </w:rPr>
              <w:t>Out-of-Service trouble reports c</w:t>
            </w:r>
            <w:r w:rsidR="002F0392">
              <w:rPr>
                <w:rFonts w:eastAsia="Georgia"/>
              </w:rPr>
              <w:t>leared within 24 Hours (urban/</w:t>
            </w:r>
            <w:r w:rsidRPr="00225950">
              <w:rPr>
                <w:rFonts w:eastAsia="Georgia"/>
              </w:rPr>
              <w:t>rural)</w:t>
            </w:r>
          </w:p>
        </w:tc>
        <w:tc>
          <w:tcPr>
            <w:tcW w:w="3338" w:type="dxa"/>
          </w:tcPr>
          <w:p w14:paraId="5B19C47F" w14:textId="7F96EDAB" w:rsidR="00E80473" w:rsidRPr="00225950" w:rsidRDefault="00E80473" w:rsidP="00C55BBE">
            <w:pPr>
              <w:pStyle w:val="TableTextNormal"/>
              <w:keepNext/>
              <w:keepLines/>
              <w:rPr>
                <w:rFonts w:eastAsia="Georgia"/>
              </w:rPr>
            </w:pPr>
            <w:r w:rsidRPr="00225950">
              <w:rPr>
                <w:rFonts w:eastAsia="Georgia"/>
              </w:rPr>
              <w:t>80%+</w:t>
            </w:r>
          </w:p>
        </w:tc>
      </w:tr>
      <w:tr w:rsidR="00367B4D" w:rsidRPr="00225950" w14:paraId="2FA313AB" w14:textId="77777777" w:rsidTr="007404FC">
        <w:trPr>
          <w:trHeight w:val="286"/>
        </w:trPr>
        <w:tc>
          <w:tcPr>
            <w:tcW w:w="4862" w:type="dxa"/>
          </w:tcPr>
          <w:p w14:paraId="415483AF" w14:textId="6F1B95A0" w:rsidR="00367B4D" w:rsidRPr="00225950" w:rsidRDefault="00367B4D" w:rsidP="00A32A28">
            <w:pPr>
              <w:pStyle w:val="TableTextNormal"/>
              <w:keepNext/>
              <w:keepLines/>
              <w:rPr>
                <w:rFonts w:eastAsia="Georgia"/>
              </w:rPr>
            </w:pPr>
            <w:r w:rsidRPr="00225950">
              <w:rPr>
                <w:rFonts w:eastAsia="Georgia"/>
              </w:rPr>
              <w:t>Out-of-Service t</w:t>
            </w:r>
            <w:r>
              <w:rPr>
                <w:rFonts w:eastAsia="Georgia"/>
              </w:rPr>
              <w:t>rouble reports cleared within 5 days</w:t>
            </w:r>
            <w:r w:rsidRPr="00225950">
              <w:rPr>
                <w:rFonts w:eastAsia="Georgia"/>
              </w:rPr>
              <w:t xml:space="preserve"> (remote)</w:t>
            </w:r>
          </w:p>
        </w:tc>
        <w:tc>
          <w:tcPr>
            <w:tcW w:w="3338" w:type="dxa"/>
          </w:tcPr>
          <w:p w14:paraId="624C9954" w14:textId="122B706D" w:rsidR="00367B4D" w:rsidRPr="00225950" w:rsidRDefault="00367B4D" w:rsidP="00A32A28">
            <w:pPr>
              <w:pStyle w:val="TableTextNormal"/>
              <w:keepNext/>
              <w:keepLines/>
              <w:rPr>
                <w:rFonts w:eastAsia="Georgia"/>
              </w:rPr>
            </w:pPr>
            <w:r w:rsidRPr="00225950">
              <w:rPr>
                <w:rFonts w:eastAsia="Georgia"/>
              </w:rPr>
              <w:t>90%+</w:t>
            </w:r>
          </w:p>
        </w:tc>
      </w:tr>
      <w:tr w:rsidR="00E80473" w:rsidRPr="00225950" w14:paraId="209BC28E" w14:textId="77777777" w:rsidTr="007404FC">
        <w:trPr>
          <w:trHeight w:val="151"/>
        </w:trPr>
        <w:tc>
          <w:tcPr>
            <w:tcW w:w="4862" w:type="dxa"/>
          </w:tcPr>
          <w:p w14:paraId="7E26BAEE" w14:textId="3974AF8E" w:rsidR="00E80473" w:rsidRPr="00225950" w:rsidRDefault="00E80473" w:rsidP="00A32A28">
            <w:pPr>
              <w:pStyle w:val="TableTextNormal"/>
              <w:keepNext/>
              <w:keepLines/>
              <w:rPr>
                <w:rFonts w:eastAsia="Georgia"/>
              </w:rPr>
            </w:pPr>
            <w:r w:rsidRPr="00225950">
              <w:rPr>
                <w:rFonts w:eastAsia="Georgia"/>
              </w:rPr>
              <w:t>Repair ap</w:t>
            </w:r>
            <w:r w:rsidR="002F0392">
              <w:rPr>
                <w:rFonts w:eastAsia="Georgia"/>
              </w:rPr>
              <w:t>pointments met (urban/rural/</w:t>
            </w:r>
            <w:r w:rsidRPr="00225950">
              <w:rPr>
                <w:rFonts w:eastAsia="Georgia"/>
              </w:rPr>
              <w:t>community)</w:t>
            </w:r>
          </w:p>
        </w:tc>
        <w:tc>
          <w:tcPr>
            <w:tcW w:w="3338" w:type="dxa"/>
          </w:tcPr>
          <w:p w14:paraId="2EDE48CE" w14:textId="77777777" w:rsidR="00E80473" w:rsidRPr="00225950" w:rsidRDefault="00E80473" w:rsidP="00A32A28">
            <w:pPr>
              <w:pStyle w:val="TableTextNormal"/>
              <w:keepNext/>
              <w:keepLines/>
              <w:rPr>
                <w:rFonts w:eastAsia="Georgia"/>
              </w:rPr>
            </w:pPr>
            <w:r w:rsidRPr="00225950">
              <w:rPr>
                <w:rFonts w:eastAsia="Georgia"/>
              </w:rPr>
              <w:t>90% or more</w:t>
            </w:r>
          </w:p>
        </w:tc>
      </w:tr>
    </w:tbl>
    <w:p w14:paraId="71AEBB55" w14:textId="61F0FB8C" w:rsidR="00500F31" w:rsidRPr="00A4224B" w:rsidRDefault="00500F31" w:rsidP="00500F31">
      <w:pPr>
        <w:pStyle w:val="PwCNormal"/>
      </w:pPr>
      <w:r>
        <w:t>As noted above, if an ILEC fails to meet the service standards for three consecutive months, it must provide an exception report to the CRTC.</w:t>
      </w:r>
    </w:p>
    <w:p w14:paraId="71EF92FB" w14:textId="2620F9D3" w:rsidR="00B339AC" w:rsidRDefault="00870376" w:rsidP="00870376">
      <w:pPr>
        <w:pStyle w:val="Heading4"/>
        <w:numPr>
          <w:ilvl w:val="0"/>
          <w:numId w:val="0"/>
        </w:numPr>
        <w:ind w:left="851" w:hanging="851"/>
        <w:rPr>
          <w:snapToGrid/>
        </w:rPr>
      </w:pPr>
      <w:r>
        <w:rPr>
          <w:snapToGrid/>
        </w:rPr>
        <w:t>3.2.3</w:t>
      </w:r>
      <w:r>
        <w:rPr>
          <w:snapToGrid/>
        </w:rPr>
        <w:tab/>
      </w:r>
      <w:r w:rsidR="00B339AC" w:rsidRPr="00B339AC">
        <w:rPr>
          <w:snapToGrid/>
        </w:rPr>
        <w:t>Penalties for non-compliance</w:t>
      </w:r>
    </w:p>
    <w:p w14:paraId="1824F7BC" w14:textId="141A857E" w:rsidR="00500F31" w:rsidRPr="00225950" w:rsidRDefault="00500F31" w:rsidP="00500F31">
      <w:pPr>
        <w:shd w:val="clear" w:color="auto" w:fill="FFFFFF"/>
        <w:spacing w:before="120" w:after="120"/>
        <w:rPr>
          <w:rFonts w:eastAsia="Georgia" w:cs="Georgia"/>
        </w:rPr>
      </w:pPr>
      <w:r w:rsidRPr="00225950">
        <w:rPr>
          <w:rFonts w:eastAsia="Georgia" w:cs="Georgia"/>
        </w:rPr>
        <w:t xml:space="preserve">There are currently no penalties for non-compliance in the retail market. The </w:t>
      </w:r>
      <w:r w:rsidRPr="009924D4">
        <w:rPr>
          <w:rFonts w:eastAsia="Georgia" w:cs="Georgia"/>
        </w:rPr>
        <w:t>quality of service</w:t>
      </w:r>
      <w:r w:rsidRPr="00225950">
        <w:rPr>
          <w:rFonts w:eastAsia="Georgia" w:cs="Georgia"/>
        </w:rPr>
        <w:t xml:space="preserve"> standards are solely an information requirement</w:t>
      </w:r>
      <w:r>
        <w:rPr>
          <w:rFonts w:eastAsia="Georgia" w:cs="Georgia"/>
        </w:rPr>
        <w:t xml:space="preserve">, </w:t>
      </w:r>
      <w:r w:rsidR="00222133">
        <w:rPr>
          <w:rFonts w:eastAsia="Georgia" w:cs="Georgia"/>
        </w:rPr>
        <w:t xml:space="preserve">allowing </w:t>
      </w:r>
      <w:r w:rsidRPr="00225950">
        <w:rPr>
          <w:rFonts w:eastAsia="Georgia" w:cs="Georgia"/>
        </w:rPr>
        <w:t xml:space="preserve">consumers </w:t>
      </w:r>
      <w:r w:rsidR="00222133">
        <w:rPr>
          <w:rFonts w:eastAsia="Georgia" w:cs="Georgia"/>
        </w:rPr>
        <w:t xml:space="preserve">to have visibility of </w:t>
      </w:r>
      <w:r w:rsidRPr="00225950">
        <w:rPr>
          <w:rFonts w:eastAsia="Georgia" w:cs="Georgia"/>
        </w:rPr>
        <w:t>the quality of telecommunications services they receive.</w:t>
      </w:r>
      <w:r w:rsidRPr="00225950">
        <w:rPr>
          <w:rStyle w:val="FootnoteReference"/>
          <w:rFonts w:eastAsia="Georgia"/>
        </w:rPr>
        <w:footnoteReference w:id="50"/>
      </w:r>
    </w:p>
    <w:p w14:paraId="0CE5184E" w14:textId="08E11428" w:rsidR="00E80473" w:rsidRDefault="00E80473" w:rsidP="00E80473">
      <w:pPr>
        <w:pStyle w:val="PwCNormal"/>
        <w:numPr>
          <w:ilvl w:val="0"/>
          <w:numId w:val="0"/>
        </w:numPr>
        <w:rPr>
          <w:rFonts w:eastAsia="Georgia"/>
        </w:rPr>
      </w:pPr>
      <w:r>
        <w:rPr>
          <w:rFonts w:eastAsia="Georgia" w:cs="Georgia"/>
        </w:rPr>
        <w:t>In the wholesale market t</w:t>
      </w:r>
      <w:r w:rsidR="00FA4EF8">
        <w:rPr>
          <w:rFonts w:eastAsia="Georgia" w:cs="Georgia"/>
        </w:rPr>
        <w:t>here is a Rate Rebate Plan</w:t>
      </w:r>
      <w:r>
        <w:rPr>
          <w:rFonts w:eastAsia="Georgia" w:cs="Georgia"/>
        </w:rPr>
        <w:t xml:space="preserve"> in place. U</w:t>
      </w:r>
      <w:r w:rsidRPr="00F30C6E">
        <w:rPr>
          <w:rFonts w:eastAsia="Georgia" w:cs="Georgia"/>
        </w:rPr>
        <w:t xml:space="preserve">nder </w:t>
      </w:r>
      <w:r w:rsidR="00353D16">
        <w:rPr>
          <w:rFonts w:eastAsia="Georgia" w:cs="Georgia"/>
        </w:rPr>
        <w:t>this</w:t>
      </w:r>
      <w:r w:rsidRPr="00F30C6E">
        <w:rPr>
          <w:rFonts w:eastAsia="Georgia" w:cs="Georgia"/>
        </w:rPr>
        <w:t xml:space="preserve"> plan, </w:t>
      </w:r>
      <w:r w:rsidR="00313FD9">
        <w:rPr>
          <w:rFonts w:eastAsia="Georgia" w:cs="Georgia"/>
        </w:rPr>
        <w:t>ILECs</w:t>
      </w:r>
      <w:r w:rsidRPr="00F36806">
        <w:rPr>
          <w:rFonts w:eastAsia="Georgia" w:cs="Georgia"/>
        </w:rPr>
        <w:t xml:space="preserve"> </w:t>
      </w:r>
      <w:r w:rsidRPr="00F30C6E">
        <w:rPr>
          <w:rFonts w:eastAsia="Georgia" w:cs="Georgia"/>
        </w:rPr>
        <w:t xml:space="preserve">must meet </w:t>
      </w:r>
      <w:r>
        <w:rPr>
          <w:rFonts w:eastAsia="Georgia" w:cs="Georgia"/>
        </w:rPr>
        <w:t>the</w:t>
      </w:r>
      <w:r w:rsidRPr="00F30C6E">
        <w:rPr>
          <w:rFonts w:eastAsia="Georgia" w:cs="Georgia"/>
        </w:rPr>
        <w:t xml:space="preserve"> </w:t>
      </w:r>
      <w:r w:rsidR="005A47B9">
        <w:rPr>
          <w:rFonts w:eastAsia="Georgia" w:cs="Georgia"/>
        </w:rPr>
        <w:t>wholesale</w:t>
      </w:r>
      <w:r w:rsidR="00494A47">
        <w:rPr>
          <w:rFonts w:eastAsia="Georgia" w:cs="Georgia"/>
        </w:rPr>
        <w:t xml:space="preserve"> </w:t>
      </w:r>
      <w:r w:rsidRPr="00F30C6E">
        <w:rPr>
          <w:rFonts w:eastAsia="Georgia" w:cs="Georgia"/>
        </w:rPr>
        <w:t>quality of service indicators</w:t>
      </w:r>
      <w:r>
        <w:rPr>
          <w:rFonts w:eastAsia="Georgia" w:cs="Georgia"/>
        </w:rPr>
        <w:t xml:space="preserve"> outlined above. If </w:t>
      </w:r>
      <w:r w:rsidRPr="00F30C6E">
        <w:rPr>
          <w:rFonts w:eastAsia="Georgia" w:cs="Georgia"/>
        </w:rPr>
        <w:t xml:space="preserve">they </w:t>
      </w:r>
      <w:r>
        <w:rPr>
          <w:rFonts w:eastAsia="Georgia" w:cs="Georgia"/>
        </w:rPr>
        <w:t xml:space="preserve">fail to do so, they are required </w:t>
      </w:r>
      <w:r w:rsidRPr="00F30C6E">
        <w:rPr>
          <w:rFonts w:eastAsia="Georgia" w:cs="Georgia"/>
        </w:rPr>
        <w:t xml:space="preserve">to pay a rebate to competitors who have purchased ILEC services. </w:t>
      </w:r>
      <w:r>
        <w:rPr>
          <w:rFonts w:eastAsia="Georgia" w:cs="Georgia"/>
        </w:rPr>
        <w:t xml:space="preserve">The magnitude of the rebate is dependent on a formula which considers the number of indicators missed. </w:t>
      </w:r>
      <w:r w:rsidRPr="00F36806">
        <w:rPr>
          <w:rFonts w:eastAsia="Georgia" w:cs="Georgia"/>
        </w:rPr>
        <w:t xml:space="preserve">If all </w:t>
      </w:r>
      <w:r w:rsidR="00F128AE">
        <w:rPr>
          <w:rFonts w:eastAsia="Georgia" w:cs="Georgia"/>
        </w:rPr>
        <w:t>quality of service</w:t>
      </w:r>
      <w:r>
        <w:rPr>
          <w:rFonts w:eastAsia="Georgia" w:cs="Georgia"/>
        </w:rPr>
        <w:t xml:space="preserve"> standards</w:t>
      </w:r>
      <w:r w:rsidRPr="00F30C6E">
        <w:rPr>
          <w:rFonts w:eastAsia="Georgia" w:cs="Georgia"/>
        </w:rPr>
        <w:t xml:space="preserve"> are missed, the competitor is eligible to receive a rebate from the ILEC </w:t>
      </w:r>
      <w:r>
        <w:rPr>
          <w:rFonts w:eastAsia="Georgia" w:cs="Georgia"/>
        </w:rPr>
        <w:t xml:space="preserve">of </w:t>
      </w:r>
      <w:r w:rsidR="0000588F">
        <w:rPr>
          <w:rFonts w:eastAsia="Georgia" w:cs="Georgia"/>
        </w:rPr>
        <w:t>5 </w:t>
      </w:r>
      <w:r w:rsidR="00FA4EF8">
        <w:rPr>
          <w:rFonts w:eastAsia="Georgia" w:cs="Georgia"/>
        </w:rPr>
        <w:t>per cent</w:t>
      </w:r>
      <w:r w:rsidRPr="00F30C6E">
        <w:rPr>
          <w:rFonts w:eastAsia="Georgia" w:cs="Georgia"/>
        </w:rPr>
        <w:t xml:space="preserve"> of all its one time and monthly charges. </w:t>
      </w:r>
      <w:r>
        <w:rPr>
          <w:rFonts w:eastAsia="Georgia" w:cs="Georgia"/>
        </w:rPr>
        <w:t>In the case where not a</w:t>
      </w:r>
      <w:r w:rsidR="00FA4EF8">
        <w:rPr>
          <w:rFonts w:eastAsia="Georgia" w:cs="Georgia"/>
        </w:rPr>
        <w:t>ll indicators are missed, the 5 per cent</w:t>
      </w:r>
      <w:r>
        <w:rPr>
          <w:rFonts w:eastAsia="Georgia" w:cs="Georgia"/>
        </w:rPr>
        <w:t xml:space="preserve"> figure is pro-rated based on the proportion of indicators missed. The Commission has the power to choose not to impose a rebate if it deems a rebate inappropriate based on the ILEC’s current circumstances. </w:t>
      </w:r>
      <w:r w:rsidRPr="00225950">
        <w:rPr>
          <w:rFonts w:eastAsia="Georgia" w:cs="Georgia"/>
        </w:rPr>
        <w:t>The Commission also has the authority to impose administrative monetary penalties to promote compliance with regulation.</w:t>
      </w:r>
      <w:r w:rsidRPr="00225950">
        <w:rPr>
          <w:rStyle w:val="FootnoteReference"/>
          <w:rFonts w:eastAsia="Georgia"/>
        </w:rPr>
        <w:footnoteReference w:id="51"/>
      </w:r>
    </w:p>
    <w:p w14:paraId="62785102" w14:textId="0107949F" w:rsidR="00E80473" w:rsidRDefault="00E80473">
      <w:pPr>
        <w:kinsoku/>
        <w:overflowPunct/>
        <w:autoSpaceDE/>
        <w:autoSpaceDN/>
        <w:adjustRightInd/>
        <w:snapToGrid/>
        <w:rPr>
          <w:rFonts w:eastAsia="Georgia" w:cs="Georgia"/>
        </w:rPr>
      </w:pPr>
      <w:r>
        <w:rPr>
          <w:rFonts w:eastAsia="Georgia" w:cs="Georgia"/>
        </w:rPr>
        <w:br w:type="page"/>
      </w:r>
    </w:p>
    <w:p w14:paraId="1700DA57" w14:textId="0215FCD9" w:rsidR="00FA4EF8" w:rsidRDefault="00870376" w:rsidP="00870376">
      <w:pPr>
        <w:pStyle w:val="Heading3"/>
        <w:numPr>
          <w:ilvl w:val="0"/>
          <w:numId w:val="0"/>
        </w:numPr>
        <w:ind w:left="851" w:hanging="851"/>
      </w:pPr>
      <w:bookmarkStart w:id="37" w:name="_Ref516653450"/>
      <w:bookmarkStart w:id="38" w:name="_Toc518337348"/>
      <w:bookmarkStart w:id="39" w:name="_Toc525650415"/>
      <w:r>
        <w:lastRenderedPageBreak/>
        <w:t>3.3</w:t>
      </w:r>
      <w:r>
        <w:tab/>
      </w:r>
      <w:r w:rsidR="00FA4EF8" w:rsidRPr="00225950">
        <w:t>European Union</w:t>
      </w:r>
      <w:r w:rsidR="00FA4EF8">
        <w:t xml:space="preserve"> – legal context</w:t>
      </w:r>
      <w:bookmarkEnd w:id="37"/>
      <w:bookmarkEnd w:id="38"/>
      <w:bookmarkEnd w:id="39"/>
    </w:p>
    <w:p w14:paraId="16C4EFAF" w14:textId="7D49E7BB" w:rsidR="00FA4EF8" w:rsidRPr="008E3A9E" w:rsidRDefault="00FA4EF8" w:rsidP="00FA4EF8">
      <w:pPr>
        <w:pStyle w:val="PwCNormal"/>
        <w:rPr>
          <w:rFonts w:eastAsia="Georgia"/>
        </w:rPr>
      </w:pPr>
      <w:r>
        <w:rPr>
          <w:rFonts w:eastAsia="Georgia"/>
        </w:rPr>
        <w:t xml:space="preserve">Telecommunications markets in the European Union </w:t>
      </w:r>
      <w:r w:rsidR="00CF626F">
        <w:rPr>
          <w:rFonts w:eastAsia="Georgia"/>
        </w:rPr>
        <w:t xml:space="preserve">(EU) </w:t>
      </w:r>
      <w:r>
        <w:rPr>
          <w:rFonts w:eastAsia="Georgia"/>
        </w:rPr>
        <w:t xml:space="preserve">were historically characterised by national public monopolies. A series of legislative packages, </w:t>
      </w:r>
      <w:r w:rsidR="00A16BB8">
        <w:rPr>
          <w:rFonts w:eastAsia="Georgia"/>
        </w:rPr>
        <w:t xml:space="preserve">passed between </w:t>
      </w:r>
      <w:r>
        <w:rPr>
          <w:rFonts w:eastAsia="Georgia"/>
        </w:rPr>
        <w:t xml:space="preserve">1988 </w:t>
      </w:r>
      <w:r w:rsidR="00A16BB8">
        <w:rPr>
          <w:rFonts w:eastAsia="Georgia"/>
        </w:rPr>
        <w:t>and</w:t>
      </w:r>
      <w:r>
        <w:rPr>
          <w:rFonts w:eastAsia="Georgia"/>
        </w:rPr>
        <w:t xml:space="preserve"> 1998, culminated in the full liberalisation of the industry. The current Telecoms Regulatory Framework for electronic communications was last updated in 2009 and has been supplemented by several additional legislative instruments since.</w:t>
      </w:r>
      <w:r>
        <w:rPr>
          <w:rStyle w:val="FootnoteReference"/>
          <w:rFonts w:eastAsia="Georgia"/>
        </w:rPr>
        <w:footnoteReference w:id="52"/>
      </w:r>
    </w:p>
    <w:p w14:paraId="1C2BC945" w14:textId="0D9F6870" w:rsidR="00FA4EF8" w:rsidRPr="0023354B" w:rsidRDefault="00FA4EF8" w:rsidP="00FA4EF8">
      <w:pPr>
        <w:pStyle w:val="PwCNormal"/>
        <w:rPr>
          <w:rFonts w:eastAsia="Georgia"/>
        </w:rPr>
      </w:pPr>
      <w:r w:rsidRPr="0023354B">
        <w:rPr>
          <w:rFonts w:eastAsia="Georgia"/>
        </w:rPr>
        <w:t>This framework is applicable to all EU countries, including France and the United Kingdom</w:t>
      </w:r>
      <w:r w:rsidR="00A16BB8">
        <w:rPr>
          <w:rFonts w:eastAsia="Georgia"/>
        </w:rPr>
        <w:t>,</w:t>
      </w:r>
      <w:r>
        <w:rPr>
          <w:rStyle w:val="FootnoteReference"/>
          <w:rFonts w:eastAsia="Georgia"/>
        </w:rPr>
        <w:footnoteReference w:id="53"/>
      </w:r>
      <w:r w:rsidRPr="0023354B">
        <w:rPr>
          <w:rFonts w:eastAsia="Georgia"/>
        </w:rPr>
        <w:t xml:space="preserve"> which are discussed in further detail below. </w:t>
      </w:r>
      <w:r w:rsidR="00A16BB8">
        <w:rPr>
          <w:rFonts w:eastAsia="Georgia"/>
        </w:rPr>
        <w:t>This section</w:t>
      </w:r>
      <w:r w:rsidRPr="0023354B">
        <w:rPr>
          <w:rFonts w:eastAsia="Georgia"/>
        </w:rPr>
        <w:t xml:space="preserve"> outlines the legal context in which these three jurisdictions operate, and subsequent sections outline the role of national regulatory authorities in their respective jurisdictions.</w:t>
      </w:r>
    </w:p>
    <w:p w14:paraId="56D5147D" w14:textId="3D53CAD5" w:rsidR="00FA4EF8" w:rsidRPr="00225950" w:rsidRDefault="00FA4EF8" w:rsidP="00FA4EF8">
      <w:pPr>
        <w:pStyle w:val="PwCNormal"/>
        <w:rPr>
          <w:rFonts w:eastAsia="Georgia"/>
        </w:rPr>
      </w:pPr>
      <w:r w:rsidRPr="00225950">
        <w:rPr>
          <w:rFonts w:eastAsia="Georgia"/>
        </w:rPr>
        <w:t>The EU’s regulatory framework for electronic communication is a series of rules which apply throughout the EU Member States. They aim to encourage competition, improve market functioning and guarantee basic user rights. The current telecom</w:t>
      </w:r>
      <w:r w:rsidR="00CF626F">
        <w:rPr>
          <w:rFonts w:eastAsia="Georgia"/>
        </w:rPr>
        <w:t>munications</w:t>
      </w:r>
      <w:r w:rsidRPr="00225950">
        <w:rPr>
          <w:rFonts w:eastAsia="Georgia"/>
        </w:rPr>
        <w:t xml:space="preserve"> rules are under review via the ‘connectivity package’ launched in September 2016. The </w:t>
      </w:r>
      <w:r w:rsidR="00494A47">
        <w:rPr>
          <w:rFonts w:eastAsia="Georgia"/>
        </w:rPr>
        <w:t xml:space="preserve">European </w:t>
      </w:r>
      <w:r w:rsidRPr="00225950">
        <w:rPr>
          <w:rFonts w:eastAsia="Georgia"/>
        </w:rPr>
        <w:t>Commission has proposed a new European Electronic Communications Code including simplified rules to attract investment across Europe</w:t>
      </w:r>
      <w:r>
        <w:rPr>
          <w:rFonts w:eastAsia="Georgia"/>
        </w:rPr>
        <w:t>.</w:t>
      </w:r>
      <w:r w:rsidRPr="00225950">
        <w:rPr>
          <w:rStyle w:val="FootnoteReference"/>
          <w:rFonts w:eastAsia="Georgia"/>
        </w:rPr>
        <w:footnoteReference w:id="54"/>
      </w:r>
    </w:p>
    <w:p w14:paraId="477FD0A2" w14:textId="3BE5AB20" w:rsidR="00FA4EF8" w:rsidRPr="00225950" w:rsidRDefault="00FA4EF8" w:rsidP="00FA4EF8">
      <w:pPr>
        <w:pStyle w:val="PwCNormal"/>
        <w:rPr>
          <w:rFonts w:eastAsia="Georgia"/>
        </w:rPr>
      </w:pPr>
      <w:r>
        <w:rPr>
          <w:rFonts w:eastAsia="Georgia"/>
        </w:rPr>
        <w:t>Four of the five European d</w:t>
      </w:r>
      <w:r w:rsidRPr="00225950">
        <w:rPr>
          <w:rFonts w:eastAsia="Georgia"/>
        </w:rPr>
        <w:t xml:space="preserve">irectives discuss quality of service standards for the telecommunications sector. These include publication, non-discrimination, minimum </w:t>
      </w:r>
      <w:r w:rsidRPr="009924D4">
        <w:rPr>
          <w:rFonts w:eastAsia="Georgia" w:cs="Georgia"/>
        </w:rPr>
        <w:t>quality of service</w:t>
      </w:r>
      <w:r w:rsidRPr="00225950">
        <w:rPr>
          <w:rFonts w:eastAsia="Georgia"/>
        </w:rPr>
        <w:t xml:space="preserve"> level</w:t>
      </w:r>
      <w:r w:rsidR="009D4C62">
        <w:rPr>
          <w:rFonts w:eastAsia="Georgia"/>
        </w:rPr>
        <w:t>s</w:t>
      </w:r>
      <w:r w:rsidRPr="00225950">
        <w:rPr>
          <w:rFonts w:eastAsia="Georgia"/>
        </w:rPr>
        <w:t xml:space="preserve"> and contractual impacts</w:t>
      </w:r>
      <w:r>
        <w:rPr>
          <w:rFonts w:eastAsia="Georgia"/>
        </w:rPr>
        <w:t>.</w:t>
      </w:r>
      <w:r w:rsidRPr="00225950">
        <w:rPr>
          <w:rFonts w:eastAsia="Georgia"/>
          <w:vertAlign w:val="superscript"/>
        </w:rPr>
        <w:footnoteReference w:id="55"/>
      </w:r>
      <w:r w:rsidRPr="00225950">
        <w:rPr>
          <w:rFonts w:eastAsia="Georgia"/>
        </w:rPr>
        <w:t xml:space="preserve"> The directives are:</w:t>
      </w:r>
    </w:p>
    <w:p w14:paraId="0D73ACCC" w14:textId="48E25655" w:rsidR="00FA4EF8" w:rsidRPr="00225950" w:rsidRDefault="00FA4EF8" w:rsidP="00FA4EF8">
      <w:pPr>
        <w:pStyle w:val="ListBullet"/>
        <w:rPr>
          <w:rFonts w:eastAsia="Georgia"/>
        </w:rPr>
      </w:pPr>
      <w:r w:rsidRPr="00FA4EF8">
        <w:rPr>
          <w:rFonts w:eastAsia="Georgia"/>
          <w:b/>
        </w:rPr>
        <w:t>The ‘framework’ directive:</w:t>
      </w:r>
      <w:r w:rsidR="005A47B9">
        <w:rPr>
          <w:rFonts w:eastAsia="Georgia"/>
        </w:rPr>
        <w:t xml:space="preserve"> </w:t>
      </w:r>
      <w:r w:rsidRPr="00225950">
        <w:rPr>
          <w:rFonts w:eastAsia="Georgia"/>
        </w:rPr>
        <w:t>promote</w:t>
      </w:r>
      <w:r w:rsidR="005A47B9">
        <w:rPr>
          <w:rFonts w:eastAsia="Georgia"/>
        </w:rPr>
        <w:t>s</w:t>
      </w:r>
      <w:r w:rsidRPr="00225950">
        <w:rPr>
          <w:rFonts w:eastAsia="Georgia"/>
        </w:rPr>
        <w:t xml:space="preserve"> competition by “ensuring that users, includ</w:t>
      </w:r>
      <w:r>
        <w:rPr>
          <w:rFonts w:eastAsia="Georgia"/>
        </w:rPr>
        <w:t>ing</w:t>
      </w:r>
      <w:r w:rsidRPr="00225950">
        <w:rPr>
          <w:rFonts w:eastAsia="Georgia"/>
        </w:rPr>
        <w:t xml:space="preserve"> disabled users, derive maximum benefit in term</w:t>
      </w:r>
      <w:r>
        <w:rPr>
          <w:rFonts w:eastAsia="Georgia"/>
        </w:rPr>
        <w:t>s of choice, price, and quality</w:t>
      </w:r>
      <w:r w:rsidRPr="00225950">
        <w:rPr>
          <w:rFonts w:eastAsia="Georgia"/>
        </w:rPr>
        <w:t>”</w:t>
      </w:r>
      <w:r>
        <w:rPr>
          <w:rFonts w:eastAsia="Georgia"/>
        </w:rPr>
        <w:t>.</w:t>
      </w:r>
    </w:p>
    <w:p w14:paraId="29B8CEB3" w14:textId="4959AEFA" w:rsidR="00FA4EF8" w:rsidRPr="00225950" w:rsidRDefault="00FA4EF8" w:rsidP="00FA4EF8">
      <w:pPr>
        <w:pStyle w:val="ListBullet"/>
        <w:rPr>
          <w:rFonts w:eastAsia="Georgia"/>
        </w:rPr>
      </w:pPr>
      <w:r w:rsidRPr="00FA4EF8">
        <w:rPr>
          <w:rFonts w:eastAsia="Georgia"/>
          <w:b/>
        </w:rPr>
        <w:t>The ‘authorisation’ directive:</w:t>
      </w:r>
      <w:r w:rsidRPr="00225950">
        <w:rPr>
          <w:rFonts w:eastAsia="Georgia"/>
        </w:rPr>
        <w:t xml:space="preserve"> require</w:t>
      </w:r>
      <w:r w:rsidR="005A47B9">
        <w:rPr>
          <w:rFonts w:eastAsia="Georgia"/>
        </w:rPr>
        <w:t>s</w:t>
      </w:r>
      <w:r w:rsidRPr="00225950">
        <w:rPr>
          <w:rFonts w:eastAsia="Georgia"/>
        </w:rPr>
        <w:t xml:space="preserve"> operators to provide information for “publication of comparative overviews of quality and price of services for the benefit of consumers”</w:t>
      </w:r>
      <w:r>
        <w:rPr>
          <w:rFonts w:eastAsia="Georgia"/>
        </w:rPr>
        <w:t>.</w:t>
      </w:r>
    </w:p>
    <w:p w14:paraId="31DE7288" w14:textId="16B8E045" w:rsidR="00FA4EF8" w:rsidRPr="00225950" w:rsidRDefault="00FA4EF8" w:rsidP="00FA4EF8">
      <w:pPr>
        <w:pStyle w:val="ListBullet"/>
        <w:rPr>
          <w:rFonts w:eastAsia="Georgia"/>
        </w:rPr>
      </w:pPr>
      <w:r w:rsidRPr="00FA4EF8">
        <w:rPr>
          <w:rFonts w:eastAsia="Georgia"/>
          <w:b/>
        </w:rPr>
        <w:t>The ‘access’ directive:</w:t>
      </w:r>
      <w:r w:rsidR="005A47B9">
        <w:rPr>
          <w:rFonts w:eastAsia="Georgia"/>
        </w:rPr>
        <w:t xml:space="preserve"> prescribes</w:t>
      </w:r>
      <w:r w:rsidRPr="00225950">
        <w:rPr>
          <w:rFonts w:eastAsia="Georgia"/>
        </w:rPr>
        <w:t xml:space="preserve"> non-discrimination in the provision and quality of services to subsidiaries or partners from own company services.</w:t>
      </w:r>
    </w:p>
    <w:p w14:paraId="3DDCAC84" w14:textId="7054494C" w:rsidR="00FA4EF8" w:rsidRDefault="00FA4EF8" w:rsidP="005A47B9">
      <w:pPr>
        <w:pStyle w:val="ListBullet"/>
        <w:rPr>
          <w:rFonts w:eastAsia="Georgia"/>
        </w:rPr>
      </w:pPr>
      <w:r w:rsidRPr="00FA4EF8">
        <w:rPr>
          <w:rFonts w:eastAsia="Georgia"/>
          <w:b/>
        </w:rPr>
        <w:t>The ‘universal service’ directive:</w:t>
      </w:r>
      <w:r w:rsidRPr="00225950">
        <w:rPr>
          <w:rFonts w:eastAsia="Georgia"/>
        </w:rPr>
        <w:t xml:space="preserve"> </w:t>
      </w:r>
      <w:r w:rsidR="005A47B9" w:rsidRPr="005A47B9">
        <w:rPr>
          <w:rFonts w:eastAsia="Georgia"/>
        </w:rPr>
        <w:t xml:space="preserve">aims to “ensure the availability throughout the Community of good-quality publicly available services </w:t>
      </w:r>
      <w:r w:rsidR="005A47B9" w:rsidRPr="005A47B9">
        <w:rPr>
          <w:rFonts w:eastAsia="Georgia"/>
        </w:rPr>
        <w:lastRenderedPageBreak/>
        <w:t>through effective competition and choice and to deal with circumstances in which the needs of end users are not sa</w:t>
      </w:r>
      <w:r w:rsidR="005A47B9">
        <w:rPr>
          <w:rFonts w:eastAsia="Georgia"/>
        </w:rPr>
        <w:t>tisfactorily met by the market”</w:t>
      </w:r>
      <w:r w:rsidRPr="005A47B9">
        <w:rPr>
          <w:rFonts w:eastAsia="Georgia"/>
        </w:rPr>
        <w:t>.</w:t>
      </w:r>
      <w:r w:rsidRPr="00225950">
        <w:rPr>
          <w:rStyle w:val="FootnoteReference"/>
          <w:rFonts w:eastAsia="Georgia"/>
        </w:rPr>
        <w:footnoteReference w:id="56"/>
      </w:r>
    </w:p>
    <w:p w14:paraId="55D30703" w14:textId="4F7C31BD" w:rsidR="00FA4EF8" w:rsidRDefault="00FA4EF8" w:rsidP="00B14B8B">
      <w:pPr>
        <w:pStyle w:val="ListBullet"/>
        <w:keepNext/>
        <w:numPr>
          <w:ilvl w:val="0"/>
          <w:numId w:val="0"/>
        </w:numPr>
        <w:ind w:left="284" w:hanging="284"/>
        <w:rPr>
          <w:rFonts w:eastAsia="Georgia"/>
        </w:rPr>
      </w:pPr>
      <w:r>
        <w:rPr>
          <w:rFonts w:eastAsia="Georgia"/>
        </w:rPr>
        <w:t xml:space="preserve">The universal service directive includes three articles relevant to </w:t>
      </w:r>
      <w:r w:rsidRPr="009924D4">
        <w:rPr>
          <w:rFonts w:eastAsia="Georgia" w:cs="Georgia"/>
        </w:rPr>
        <w:t>quality of service</w:t>
      </w:r>
      <w:r>
        <w:rPr>
          <w:rFonts w:eastAsia="Georgia"/>
        </w:rPr>
        <w:t>:</w:t>
      </w:r>
      <w:r>
        <w:rPr>
          <w:rStyle w:val="FootnoteReference"/>
          <w:rFonts w:eastAsia="Georgia"/>
        </w:rPr>
        <w:footnoteReference w:id="57"/>
      </w:r>
    </w:p>
    <w:p w14:paraId="1BC0EDBC" w14:textId="723CF411" w:rsidR="00FA4EF8" w:rsidRDefault="00FA4EF8" w:rsidP="00193BF6">
      <w:pPr>
        <w:pStyle w:val="ListBullet"/>
        <w:keepNext/>
        <w:rPr>
          <w:rFonts w:eastAsia="Georgia"/>
        </w:rPr>
      </w:pPr>
      <w:r w:rsidRPr="00FA4EF8">
        <w:rPr>
          <w:rFonts w:eastAsia="Georgia"/>
          <w:b/>
        </w:rPr>
        <w:t>Article 11:</w:t>
      </w:r>
      <w:r w:rsidR="00A16BB8">
        <w:rPr>
          <w:rFonts w:eastAsia="Georgia"/>
        </w:rPr>
        <w:t xml:space="preserve"> Universal providers should </w:t>
      </w:r>
      <w:r w:rsidR="00494A47">
        <w:rPr>
          <w:rFonts w:eastAsia="Georgia"/>
        </w:rPr>
        <w:t>“</w:t>
      </w:r>
      <w:r>
        <w:rPr>
          <w:rFonts w:eastAsia="Georgia"/>
        </w:rPr>
        <w:t>publish adequate and up-to-date information concerning their performance in the provisio</w:t>
      </w:r>
      <w:r w:rsidR="00A16BB8">
        <w:rPr>
          <w:rFonts w:eastAsia="Georgia"/>
        </w:rPr>
        <w:t>n of universal service</w:t>
      </w:r>
      <w:r w:rsidR="00494A47">
        <w:rPr>
          <w:rFonts w:eastAsia="Georgia"/>
        </w:rPr>
        <w:t>”</w:t>
      </w:r>
      <w:r w:rsidR="00A16BB8">
        <w:rPr>
          <w:rFonts w:eastAsia="Georgia"/>
        </w:rPr>
        <w:t>.</w:t>
      </w:r>
      <w:r>
        <w:rPr>
          <w:rFonts w:eastAsia="Georgia"/>
        </w:rPr>
        <w:t xml:space="preserve"> Additional to this,</w:t>
      </w:r>
      <w:r w:rsidR="00A16BB8">
        <w:rPr>
          <w:rFonts w:eastAsia="Georgia"/>
        </w:rPr>
        <w:t xml:space="preserve"> national regulatory authorities</w:t>
      </w:r>
      <w:r>
        <w:rPr>
          <w:rFonts w:eastAsia="Georgia"/>
        </w:rPr>
        <w:t>:</w:t>
      </w:r>
    </w:p>
    <w:p w14:paraId="536D1180" w14:textId="2928BEA7" w:rsidR="00FA4EF8" w:rsidRDefault="00DB0DD9" w:rsidP="00A16BB8">
      <w:pPr>
        <w:pStyle w:val="ListBullet2"/>
        <w:rPr>
          <w:rFonts w:eastAsia="Georgia"/>
        </w:rPr>
      </w:pPr>
      <w:r>
        <w:rPr>
          <w:rFonts w:eastAsia="Georgia"/>
        </w:rPr>
        <w:t>M</w:t>
      </w:r>
      <w:r w:rsidR="00A16BB8">
        <w:rPr>
          <w:rFonts w:eastAsia="Georgia"/>
        </w:rPr>
        <w:t>ay s</w:t>
      </w:r>
      <w:r w:rsidR="00FA4EF8">
        <w:rPr>
          <w:rFonts w:eastAsia="Georgia"/>
        </w:rPr>
        <w:t xml:space="preserve">pecify </w:t>
      </w:r>
      <w:r w:rsidR="00A16BB8">
        <w:rPr>
          <w:rFonts w:eastAsia="Georgia"/>
        </w:rPr>
        <w:t>‘</w:t>
      </w:r>
      <w:r w:rsidR="00FA4EF8">
        <w:rPr>
          <w:rFonts w:eastAsia="Georgia"/>
        </w:rPr>
        <w:t xml:space="preserve">additional </w:t>
      </w:r>
      <w:r w:rsidR="00FA4EF8" w:rsidRPr="009924D4">
        <w:rPr>
          <w:rFonts w:eastAsia="Georgia" w:cs="Georgia"/>
        </w:rPr>
        <w:t>quality of service</w:t>
      </w:r>
      <w:r w:rsidR="00FA4EF8">
        <w:rPr>
          <w:rFonts w:eastAsia="Georgia"/>
        </w:rPr>
        <w:t xml:space="preserve"> standards for disabled end users.</w:t>
      </w:r>
      <w:r w:rsidR="00A16BB8">
        <w:rPr>
          <w:rFonts w:eastAsia="Georgia"/>
        </w:rPr>
        <w:t>’</w:t>
      </w:r>
    </w:p>
    <w:p w14:paraId="1A452AED" w14:textId="4078188A" w:rsidR="00FA4EF8" w:rsidRDefault="00DB0DD9" w:rsidP="00A16BB8">
      <w:pPr>
        <w:pStyle w:val="ListBullet2"/>
        <w:rPr>
          <w:rFonts w:eastAsia="Georgia"/>
        </w:rPr>
      </w:pPr>
      <w:r>
        <w:rPr>
          <w:rFonts w:eastAsia="Georgia"/>
        </w:rPr>
        <w:t>M</w:t>
      </w:r>
      <w:r w:rsidR="00A16BB8">
        <w:rPr>
          <w:rFonts w:eastAsia="Georgia"/>
        </w:rPr>
        <w:t>ay s</w:t>
      </w:r>
      <w:r w:rsidR="00FA4EF8">
        <w:rPr>
          <w:rFonts w:eastAsia="Georgia"/>
        </w:rPr>
        <w:t xml:space="preserve">pecify </w:t>
      </w:r>
      <w:r w:rsidR="00A16BB8">
        <w:rPr>
          <w:rFonts w:eastAsia="Georgia"/>
        </w:rPr>
        <w:t>‘</w:t>
      </w:r>
      <w:r w:rsidR="00FA4EF8">
        <w:rPr>
          <w:rFonts w:eastAsia="Georgia"/>
        </w:rPr>
        <w:t>the content form and manner of information to be published, in order to ensure that end users and consumers have access to comprehensive, comparabl</w:t>
      </w:r>
      <w:r w:rsidR="00A16BB8">
        <w:rPr>
          <w:rFonts w:eastAsia="Georgia"/>
        </w:rPr>
        <w:t>e and user friendly information</w:t>
      </w:r>
      <w:r w:rsidR="00FA4EF8">
        <w:rPr>
          <w:rFonts w:eastAsia="Georgia"/>
        </w:rPr>
        <w:t>.</w:t>
      </w:r>
      <w:r w:rsidR="00A16BB8">
        <w:rPr>
          <w:rFonts w:eastAsia="Georgia"/>
        </w:rPr>
        <w:t>’</w:t>
      </w:r>
    </w:p>
    <w:p w14:paraId="6A8C8E40" w14:textId="5C796FE9" w:rsidR="00FA4EF8" w:rsidRPr="00600A51" w:rsidRDefault="00DB0DD9" w:rsidP="00A16BB8">
      <w:pPr>
        <w:pStyle w:val="ListBullet2"/>
        <w:rPr>
          <w:rFonts w:eastAsia="Georgia"/>
        </w:rPr>
      </w:pPr>
      <w:r>
        <w:rPr>
          <w:rFonts w:eastAsia="Georgia"/>
        </w:rPr>
        <w:t>‘S</w:t>
      </w:r>
      <w:r w:rsidR="00FA4EF8" w:rsidRPr="00600A51">
        <w:rPr>
          <w:rFonts w:eastAsia="Georgia"/>
        </w:rPr>
        <w:t>hall be able to set performance targets for those undertakings wit</w:t>
      </w:r>
      <w:r w:rsidR="00A16BB8">
        <w:rPr>
          <w:rFonts w:eastAsia="Georgia"/>
        </w:rPr>
        <w:t>h universal service obligations’</w:t>
      </w:r>
      <w:r w:rsidR="00FA4EF8" w:rsidRPr="00600A51">
        <w:rPr>
          <w:rFonts w:eastAsia="Georgia"/>
        </w:rPr>
        <w:t xml:space="preserve"> (having</w:t>
      </w:r>
      <w:r w:rsidR="00FA4EF8">
        <w:rPr>
          <w:rFonts w:eastAsia="Georgia"/>
        </w:rPr>
        <w:t xml:space="preserve"> </w:t>
      </w:r>
      <w:r w:rsidR="00FA4EF8" w:rsidRPr="00600A51">
        <w:rPr>
          <w:rFonts w:eastAsia="Georgia"/>
        </w:rPr>
        <w:t xml:space="preserve">taken into account </w:t>
      </w:r>
      <w:r w:rsidR="00FA4EF8">
        <w:rPr>
          <w:rFonts w:eastAsia="Georgia"/>
        </w:rPr>
        <w:t>the view of interested parties).</w:t>
      </w:r>
      <w:r w:rsidR="00CF626F">
        <w:rPr>
          <w:rFonts w:eastAsia="Georgia"/>
        </w:rPr>
        <w:t>’</w:t>
      </w:r>
    </w:p>
    <w:p w14:paraId="2D3A2A62" w14:textId="33773E4A" w:rsidR="00FA4EF8" w:rsidRPr="00600A51" w:rsidRDefault="00DB0DD9" w:rsidP="00A16BB8">
      <w:pPr>
        <w:pStyle w:val="ListBullet2"/>
        <w:rPr>
          <w:rFonts w:eastAsia="Georgia"/>
        </w:rPr>
      </w:pPr>
      <w:r>
        <w:rPr>
          <w:rFonts w:eastAsia="Georgia"/>
        </w:rPr>
        <w:t>‘S</w:t>
      </w:r>
      <w:r w:rsidR="00FA4EF8" w:rsidRPr="00600A51">
        <w:rPr>
          <w:rFonts w:eastAsia="Georgia"/>
        </w:rPr>
        <w:t>hall be able to order independent audits or similar reviews of the performance data, paid for by the undertaking</w:t>
      </w:r>
      <w:r w:rsidR="00FA4EF8">
        <w:rPr>
          <w:rFonts w:eastAsia="Georgia"/>
        </w:rPr>
        <w:t xml:space="preserve"> </w:t>
      </w:r>
      <w:r w:rsidR="00FA4EF8" w:rsidRPr="00600A51">
        <w:rPr>
          <w:rFonts w:eastAsia="Georgia"/>
        </w:rPr>
        <w:t>concerned, in order to ensure the accuracy and</w:t>
      </w:r>
      <w:r w:rsidR="00FA4EF8">
        <w:rPr>
          <w:rFonts w:eastAsia="Georgia"/>
        </w:rPr>
        <w:t xml:space="preserve"> </w:t>
      </w:r>
      <w:r w:rsidR="00FA4EF8" w:rsidRPr="00600A51">
        <w:rPr>
          <w:rFonts w:eastAsia="Georgia"/>
        </w:rPr>
        <w:t>comparability of the data made available by undertakings</w:t>
      </w:r>
      <w:r w:rsidR="00FA4EF8">
        <w:rPr>
          <w:rFonts w:eastAsia="Georgia"/>
        </w:rPr>
        <w:t xml:space="preserve"> </w:t>
      </w:r>
      <w:r w:rsidR="00FA4EF8" w:rsidRPr="00600A51">
        <w:rPr>
          <w:rFonts w:eastAsia="Georgia"/>
        </w:rPr>
        <w:t>wit</w:t>
      </w:r>
      <w:r w:rsidR="00A16BB8">
        <w:rPr>
          <w:rFonts w:eastAsia="Georgia"/>
        </w:rPr>
        <w:t>h universal service obligations</w:t>
      </w:r>
      <w:r w:rsidR="00FA4EF8" w:rsidRPr="00600A51">
        <w:rPr>
          <w:rFonts w:eastAsia="Georgia"/>
        </w:rPr>
        <w:t>.</w:t>
      </w:r>
      <w:r w:rsidR="00A16BB8">
        <w:rPr>
          <w:rFonts w:eastAsia="Georgia"/>
        </w:rPr>
        <w:t>’</w:t>
      </w:r>
    </w:p>
    <w:p w14:paraId="2B78B21E" w14:textId="0E0A8720" w:rsidR="00FA4EF8" w:rsidRDefault="00FA4EF8" w:rsidP="00FA4EF8">
      <w:pPr>
        <w:pStyle w:val="ListBullet"/>
        <w:rPr>
          <w:rFonts w:eastAsia="Georgia"/>
        </w:rPr>
      </w:pPr>
      <w:r w:rsidRPr="00FA4EF8">
        <w:rPr>
          <w:rFonts w:eastAsia="Georgia"/>
          <w:b/>
        </w:rPr>
        <w:t>Article 20</w:t>
      </w:r>
      <w:r>
        <w:rPr>
          <w:rFonts w:eastAsia="Georgia"/>
          <w:b/>
        </w:rPr>
        <w:t>:</w:t>
      </w:r>
      <w:r w:rsidRPr="00FA4EF8">
        <w:rPr>
          <w:rFonts w:eastAsia="Georgia"/>
          <w:b/>
        </w:rPr>
        <w:t xml:space="preserve"> </w:t>
      </w:r>
      <w:r>
        <w:rPr>
          <w:rFonts w:eastAsia="Georgia"/>
        </w:rPr>
        <w:t xml:space="preserve">states public telephone network contracts should include quality of service standards and compensation amounts applicable where these standards are not met. This should include information on procedures regarding the network link traffic, and </w:t>
      </w:r>
      <w:r w:rsidR="00A16BB8">
        <w:rPr>
          <w:rFonts w:eastAsia="Georgia"/>
        </w:rPr>
        <w:t>‘</w:t>
      </w:r>
      <w:r>
        <w:rPr>
          <w:rFonts w:eastAsia="Georgia"/>
        </w:rPr>
        <w:t xml:space="preserve">information on how those procedures </w:t>
      </w:r>
      <w:r w:rsidR="00A16BB8">
        <w:rPr>
          <w:rFonts w:eastAsia="Georgia"/>
        </w:rPr>
        <w:t>could impact on service quality’</w:t>
      </w:r>
      <w:r>
        <w:rPr>
          <w:rFonts w:eastAsia="Georgia"/>
        </w:rPr>
        <w:t>.</w:t>
      </w:r>
    </w:p>
    <w:p w14:paraId="5055EB6F" w14:textId="77777777" w:rsidR="00FA4EF8" w:rsidRPr="00745E26" w:rsidRDefault="00FA4EF8" w:rsidP="00FA4EF8">
      <w:pPr>
        <w:pStyle w:val="ListBullet"/>
        <w:rPr>
          <w:rFonts w:eastAsia="Georgia"/>
        </w:rPr>
      </w:pPr>
      <w:r w:rsidRPr="00FA4EF8">
        <w:rPr>
          <w:rFonts w:eastAsia="Georgia"/>
          <w:b/>
        </w:rPr>
        <w:t>Article 22:</w:t>
      </w:r>
      <w:r w:rsidRPr="00745E26">
        <w:rPr>
          <w:rFonts w:eastAsia="Georgia"/>
        </w:rPr>
        <w:t xml:space="preserve"> states national regulatory authorities can both require service operators to publish information on </w:t>
      </w:r>
      <w:r w:rsidRPr="009924D4">
        <w:rPr>
          <w:rFonts w:eastAsia="Georgia" w:cs="Georgia"/>
        </w:rPr>
        <w:t>quality of service</w:t>
      </w:r>
      <w:r w:rsidRPr="00745E26">
        <w:rPr>
          <w:rFonts w:eastAsia="Georgia"/>
        </w:rPr>
        <w:t xml:space="preserve"> indicators and specify the format and content, after consultation with the operator, and, set minimum </w:t>
      </w:r>
      <w:r w:rsidRPr="009924D4">
        <w:rPr>
          <w:rFonts w:eastAsia="Georgia" w:cs="Georgia"/>
        </w:rPr>
        <w:t>quality of service</w:t>
      </w:r>
      <w:r w:rsidRPr="00745E26">
        <w:rPr>
          <w:rFonts w:eastAsia="Georgia"/>
        </w:rPr>
        <w:t xml:space="preserve"> standards on the provision of public communications networks.</w:t>
      </w:r>
    </w:p>
    <w:p w14:paraId="0B35E68E" w14:textId="40D51056" w:rsidR="00FA4EF8" w:rsidRPr="00225950" w:rsidRDefault="00FA4EF8" w:rsidP="00FA4EF8">
      <w:pPr>
        <w:rPr>
          <w:rFonts w:eastAsia="Georgia"/>
        </w:rPr>
      </w:pPr>
      <w:r w:rsidRPr="00225950">
        <w:rPr>
          <w:rFonts w:eastAsia="Georgia"/>
        </w:rPr>
        <w:t>The uniform application of EU directives and regulation is supported by the Body of European Regulators for E</w:t>
      </w:r>
      <w:r>
        <w:rPr>
          <w:rFonts w:eastAsia="Georgia"/>
        </w:rPr>
        <w:t>lectronic Communications</w:t>
      </w:r>
      <w:r w:rsidR="00AE12E7">
        <w:rPr>
          <w:rFonts w:eastAsia="Georgia"/>
        </w:rPr>
        <w:t xml:space="preserve"> (BEREC)</w:t>
      </w:r>
      <w:r>
        <w:rPr>
          <w:rFonts w:eastAsia="Georgia"/>
        </w:rPr>
        <w:t>.</w:t>
      </w:r>
      <w:r w:rsidRPr="00225950">
        <w:rPr>
          <w:rStyle w:val="FootnoteReference"/>
          <w:rFonts w:eastAsia="Georgia"/>
        </w:rPr>
        <w:footnoteReference w:id="58"/>
      </w:r>
      <w:r w:rsidRPr="00225950">
        <w:rPr>
          <w:rFonts w:eastAsia="Georgia"/>
        </w:rPr>
        <w:t xml:space="preserve"> This body was established in 2009 as part of the Telecom Reform package, by Regulation (EC) No 1211/2009. The three strategic pillars underpinning BEREC’s strategy are:</w:t>
      </w:r>
    </w:p>
    <w:p w14:paraId="2DDA9846" w14:textId="77777777" w:rsidR="00FA4EF8" w:rsidRPr="00225950" w:rsidRDefault="00FA4EF8" w:rsidP="00FA4EF8">
      <w:pPr>
        <w:pStyle w:val="ListBullet"/>
        <w:rPr>
          <w:rFonts w:eastAsia="Georgia"/>
        </w:rPr>
      </w:pPr>
      <w:r w:rsidRPr="00225950">
        <w:rPr>
          <w:rFonts w:eastAsia="Georgia"/>
        </w:rPr>
        <w:lastRenderedPageBreak/>
        <w:t>promoting competition and investment</w:t>
      </w:r>
    </w:p>
    <w:p w14:paraId="3610823B" w14:textId="77777777" w:rsidR="00FA4EF8" w:rsidRPr="00225950" w:rsidRDefault="00FA4EF8" w:rsidP="00FA4EF8">
      <w:pPr>
        <w:pStyle w:val="ListBullet"/>
        <w:rPr>
          <w:rFonts w:eastAsia="Georgia"/>
        </w:rPr>
      </w:pPr>
      <w:r w:rsidRPr="00225950">
        <w:rPr>
          <w:rFonts w:eastAsia="Georgia"/>
        </w:rPr>
        <w:t>promoting the internal market</w:t>
      </w:r>
    </w:p>
    <w:p w14:paraId="3260F23E" w14:textId="77777777" w:rsidR="00FA4EF8" w:rsidRPr="00225950" w:rsidRDefault="00FA4EF8" w:rsidP="00FA4EF8">
      <w:pPr>
        <w:pStyle w:val="ListBullet"/>
        <w:rPr>
          <w:rFonts w:eastAsia="Georgia"/>
        </w:rPr>
      </w:pPr>
      <w:r w:rsidRPr="00225950">
        <w:rPr>
          <w:rFonts w:eastAsia="Georgia"/>
        </w:rPr>
        <w:t>empowering and protecting end-users</w:t>
      </w:r>
      <w:r>
        <w:rPr>
          <w:rFonts w:eastAsia="Georgia"/>
        </w:rPr>
        <w:t>.</w:t>
      </w:r>
    </w:p>
    <w:p w14:paraId="4C3A0213" w14:textId="77777777" w:rsidR="00FA4EF8" w:rsidRPr="00225950" w:rsidRDefault="00FA4EF8" w:rsidP="00FA4EF8">
      <w:pPr>
        <w:pStyle w:val="PwCNormal"/>
        <w:rPr>
          <w:rFonts w:eastAsia="Georgia"/>
        </w:rPr>
      </w:pPr>
      <w:r w:rsidRPr="00225950">
        <w:rPr>
          <w:rFonts w:eastAsia="Georgia"/>
        </w:rPr>
        <w:t>The body has a mandate to develop and disseminate best practice, advice of regulatory issues</w:t>
      </w:r>
      <w:r>
        <w:rPr>
          <w:rFonts w:eastAsia="Georgia"/>
        </w:rPr>
        <w:t>,</w:t>
      </w:r>
      <w:r w:rsidRPr="00225950">
        <w:rPr>
          <w:rFonts w:eastAsia="Georgia"/>
        </w:rPr>
        <w:t xml:space="preserve"> and </w:t>
      </w:r>
      <w:r>
        <w:rPr>
          <w:rFonts w:eastAsia="Georgia"/>
        </w:rPr>
        <w:t xml:space="preserve">to </w:t>
      </w:r>
      <w:r w:rsidRPr="00225950">
        <w:rPr>
          <w:rFonts w:eastAsia="Georgia"/>
        </w:rPr>
        <w:t>provide support to national regulatory authorities</w:t>
      </w:r>
      <w:r>
        <w:rPr>
          <w:rFonts w:eastAsia="Georgia"/>
        </w:rPr>
        <w:t>.</w:t>
      </w:r>
      <w:r w:rsidRPr="00225950">
        <w:rPr>
          <w:rStyle w:val="FootnoteReference"/>
          <w:rFonts w:eastAsia="Georgia"/>
        </w:rPr>
        <w:footnoteReference w:id="59"/>
      </w:r>
    </w:p>
    <w:p w14:paraId="7B93BA07" w14:textId="5038F5DA" w:rsidR="0078047A" w:rsidRDefault="009D1655" w:rsidP="009D1655">
      <w:pPr>
        <w:pStyle w:val="Heading3"/>
        <w:numPr>
          <w:ilvl w:val="0"/>
          <w:numId w:val="0"/>
        </w:numPr>
        <w:ind w:left="851" w:hanging="851"/>
      </w:pPr>
      <w:bookmarkStart w:id="40" w:name="_Toc518337349"/>
      <w:bookmarkStart w:id="41" w:name="_Toc525650416"/>
      <w:r>
        <w:t>3.4</w:t>
      </w:r>
      <w:r>
        <w:tab/>
      </w:r>
      <w:r w:rsidR="0078047A" w:rsidRPr="00225950">
        <w:t>France</w:t>
      </w:r>
      <w:bookmarkEnd w:id="40"/>
      <w:bookmarkEnd w:id="41"/>
    </w:p>
    <w:p w14:paraId="603FBE67" w14:textId="1749BA42" w:rsidR="00500F31" w:rsidRPr="00500F31" w:rsidRDefault="00870376" w:rsidP="00870376">
      <w:pPr>
        <w:pStyle w:val="Heading4"/>
        <w:numPr>
          <w:ilvl w:val="0"/>
          <w:numId w:val="0"/>
        </w:numPr>
        <w:ind w:left="851" w:hanging="851"/>
      </w:pPr>
      <w:r>
        <w:t>3.4.1</w:t>
      </w:r>
      <w:r>
        <w:tab/>
      </w:r>
      <w:r w:rsidR="00500F31">
        <w:t>French Regulator</w:t>
      </w:r>
    </w:p>
    <w:p w14:paraId="14971216" w14:textId="4D924CAE" w:rsidR="00FD0BA5" w:rsidRDefault="00FD0BA5" w:rsidP="00B14B8B">
      <w:pPr>
        <w:pStyle w:val="PwCNormal"/>
        <w:keepLines/>
        <w:rPr>
          <w:rFonts w:eastAsia="Georgia"/>
        </w:rPr>
      </w:pPr>
      <w:r w:rsidRPr="00225950">
        <w:rPr>
          <w:rFonts w:eastAsia="Georgia"/>
        </w:rPr>
        <w:t xml:space="preserve">The Authority of Electronic </w:t>
      </w:r>
      <w:r w:rsidR="00313FD9">
        <w:rPr>
          <w:rFonts w:eastAsia="Georgia"/>
        </w:rPr>
        <w:t>C</w:t>
      </w:r>
      <w:r w:rsidR="00313FD9" w:rsidRPr="00225950">
        <w:rPr>
          <w:rFonts w:eastAsia="Georgia"/>
        </w:rPr>
        <w:t xml:space="preserve">ommunications </w:t>
      </w:r>
      <w:r w:rsidRPr="00225950">
        <w:rPr>
          <w:rFonts w:eastAsia="Georgia"/>
        </w:rPr>
        <w:t xml:space="preserve">and Posts (ARCEP) is an independent French agency in charge of regulating telecommunications. The Code on Posts and Electronic Communications (CPEC) defines the roles and responsibilities of ARCEP. All electronic communications services including fixed line </w:t>
      </w:r>
      <w:r w:rsidR="00FA4EF8">
        <w:rPr>
          <w:rFonts w:eastAsia="Georgia"/>
        </w:rPr>
        <w:t>telecommunications</w:t>
      </w:r>
      <w:r w:rsidRPr="00225950">
        <w:rPr>
          <w:rFonts w:eastAsia="Georgia"/>
        </w:rPr>
        <w:t>, mobiles, the airwaves over</w:t>
      </w:r>
      <w:r w:rsidR="00AE12E7">
        <w:rPr>
          <w:rFonts w:eastAsia="Georgia"/>
        </w:rPr>
        <w:t xml:space="preserve"> which wireless devices operate</w:t>
      </w:r>
      <w:r w:rsidRPr="00225950">
        <w:rPr>
          <w:rFonts w:eastAsia="Georgia"/>
        </w:rPr>
        <w:t xml:space="preserve"> and postal services are regulated in France</w:t>
      </w:r>
      <w:r>
        <w:rPr>
          <w:rFonts w:eastAsia="Georgia"/>
        </w:rPr>
        <w:t>.</w:t>
      </w:r>
      <w:r w:rsidRPr="00225950">
        <w:rPr>
          <w:rStyle w:val="FootnoteReference"/>
          <w:rFonts w:eastAsia="Georgia"/>
        </w:rPr>
        <w:footnoteReference w:id="60"/>
      </w:r>
    </w:p>
    <w:p w14:paraId="72E2F8EA" w14:textId="2D36E37E" w:rsidR="00FD0BA5" w:rsidRPr="00FA2BCE" w:rsidRDefault="005A47B9" w:rsidP="00FD0BA5">
      <w:pPr>
        <w:pStyle w:val="PwCNormal"/>
        <w:numPr>
          <w:ilvl w:val="0"/>
          <w:numId w:val="0"/>
        </w:numPr>
        <w:rPr>
          <w:rFonts w:eastAsia="Georgia"/>
        </w:rPr>
      </w:pPr>
      <w:r w:rsidRPr="005A47B9">
        <w:rPr>
          <w:rFonts w:eastAsia="Georgia"/>
        </w:rPr>
        <w:t>ARCEP’s key responsibilities are for measures aimed at ensuring fair competition, managing radio frequencies and telephone numbers, protection of consumers and their data, and dispute resolution. The French reliability standards are primarily derived from the EU Authorisation Directive.</w:t>
      </w:r>
    </w:p>
    <w:p w14:paraId="087426AB" w14:textId="6C8C5E74" w:rsidR="00FD0BA5" w:rsidRPr="00225950" w:rsidRDefault="00FD0BA5" w:rsidP="00FD0BA5">
      <w:pPr>
        <w:pStyle w:val="PwCNormal"/>
        <w:rPr>
          <w:rFonts w:eastAsia="Georgia"/>
        </w:rPr>
      </w:pPr>
      <w:r w:rsidRPr="00225950">
        <w:rPr>
          <w:rFonts w:eastAsia="Georgia"/>
        </w:rPr>
        <w:t>The majority of telecommunications operators can operate wi</w:t>
      </w:r>
      <w:r w:rsidR="00FA4EF8">
        <w:rPr>
          <w:rFonts w:eastAsia="Georgia"/>
        </w:rPr>
        <w:t>thout formal consent or a licenc</w:t>
      </w:r>
      <w:r w:rsidRPr="00225950">
        <w:rPr>
          <w:rFonts w:eastAsia="Georgia"/>
        </w:rPr>
        <w:t xml:space="preserve">e, and this general concept of authorisation is derived from the EU Authorisation Directive (outlined above). However, unlike many other EU Member States, France does stipulate all operators provide a declaration to the </w:t>
      </w:r>
      <w:r w:rsidR="00494A47">
        <w:rPr>
          <w:rFonts w:eastAsia="Georgia"/>
        </w:rPr>
        <w:t>ARCEP</w:t>
      </w:r>
      <w:r w:rsidR="00494A47" w:rsidRPr="00225950">
        <w:rPr>
          <w:rFonts w:eastAsia="Georgia"/>
        </w:rPr>
        <w:t xml:space="preserve"> </w:t>
      </w:r>
      <w:r w:rsidRPr="00225950">
        <w:rPr>
          <w:rFonts w:eastAsia="Georgia"/>
        </w:rPr>
        <w:t>prior to providing services.</w:t>
      </w:r>
      <w:r w:rsidRPr="00225950">
        <w:rPr>
          <w:rFonts w:eastAsia="Georgia"/>
          <w:vertAlign w:val="superscript"/>
        </w:rPr>
        <w:footnoteReference w:id="61"/>
      </w:r>
      <w:r w:rsidRPr="00225950">
        <w:rPr>
          <w:rFonts w:eastAsia="Georgia"/>
        </w:rPr>
        <w:t xml:space="preserve"> This should include:</w:t>
      </w:r>
    </w:p>
    <w:p w14:paraId="6AFC29B0" w14:textId="77777777" w:rsidR="00FD0BA5" w:rsidRPr="00225950" w:rsidRDefault="00FD0BA5" w:rsidP="00FD0BA5">
      <w:pPr>
        <w:pStyle w:val="ListBullet"/>
      </w:pPr>
      <w:r>
        <w:rPr>
          <w:rFonts w:eastAsia="Georgia"/>
        </w:rPr>
        <w:t>n</w:t>
      </w:r>
      <w:r w:rsidRPr="00225950">
        <w:rPr>
          <w:rFonts w:eastAsia="Georgia"/>
        </w:rPr>
        <w:t>ature of the activity</w:t>
      </w:r>
    </w:p>
    <w:p w14:paraId="66D82E49" w14:textId="77777777" w:rsidR="00FD0BA5" w:rsidRPr="00225950" w:rsidRDefault="00FD0BA5" w:rsidP="00FD0BA5">
      <w:pPr>
        <w:pStyle w:val="ListBullet"/>
      </w:pPr>
      <w:r>
        <w:rPr>
          <w:rFonts w:eastAsia="Georgia"/>
        </w:rPr>
        <w:t>c</w:t>
      </w:r>
      <w:r w:rsidRPr="00225950">
        <w:rPr>
          <w:rFonts w:eastAsia="Georgia"/>
        </w:rPr>
        <w:t>ategory of targeted clients</w:t>
      </w:r>
    </w:p>
    <w:p w14:paraId="0E748F59" w14:textId="77777777" w:rsidR="00FD0BA5" w:rsidRPr="00225950" w:rsidRDefault="00FD0BA5" w:rsidP="00FD0BA5">
      <w:pPr>
        <w:pStyle w:val="ListBullet"/>
      </w:pPr>
      <w:r>
        <w:rPr>
          <w:rFonts w:eastAsia="Georgia"/>
        </w:rPr>
        <w:t>g</w:t>
      </w:r>
      <w:r w:rsidRPr="00225950">
        <w:rPr>
          <w:rFonts w:eastAsia="Georgia"/>
        </w:rPr>
        <w:t>eographical coverage</w:t>
      </w:r>
    </w:p>
    <w:p w14:paraId="28AC013B" w14:textId="77777777" w:rsidR="00FD0BA5" w:rsidRPr="00225950" w:rsidRDefault="00FD0BA5" w:rsidP="00FD0BA5">
      <w:pPr>
        <w:pStyle w:val="ListBullet"/>
      </w:pPr>
      <w:r>
        <w:rPr>
          <w:rFonts w:eastAsia="Georgia"/>
        </w:rPr>
        <w:t>t</w:t>
      </w:r>
      <w:r w:rsidRPr="00225950">
        <w:rPr>
          <w:rFonts w:eastAsia="Georgia"/>
        </w:rPr>
        <w:t>ype of electronic communications services provided</w:t>
      </w:r>
    </w:p>
    <w:p w14:paraId="69B7FB3D" w14:textId="77777777" w:rsidR="00FD0BA5" w:rsidRPr="00225950" w:rsidRDefault="00FD0BA5" w:rsidP="00FD0BA5">
      <w:pPr>
        <w:pStyle w:val="ListBullet"/>
      </w:pPr>
      <w:r>
        <w:rPr>
          <w:rFonts w:eastAsia="Georgia"/>
        </w:rPr>
        <w:t>n</w:t>
      </w:r>
      <w:r w:rsidRPr="00225950">
        <w:rPr>
          <w:rFonts w:eastAsia="Georgia"/>
        </w:rPr>
        <w:t>etwork infrastructure</w:t>
      </w:r>
      <w:r>
        <w:rPr>
          <w:rFonts w:eastAsia="Georgia"/>
        </w:rPr>
        <w:t>.</w:t>
      </w:r>
    </w:p>
    <w:p w14:paraId="522E45F3" w14:textId="79C9E0CE" w:rsidR="00FD0BA5" w:rsidRDefault="00494A47" w:rsidP="00FD0BA5">
      <w:pPr>
        <w:pStyle w:val="PwCNormal"/>
        <w:rPr>
          <w:rFonts w:eastAsia="Georgia"/>
        </w:rPr>
      </w:pPr>
      <w:r>
        <w:rPr>
          <w:rFonts w:eastAsia="Georgia"/>
        </w:rPr>
        <w:lastRenderedPageBreak/>
        <w:t>ARCEP</w:t>
      </w:r>
      <w:r w:rsidR="00FD0BA5" w:rsidRPr="00225950">
        <w:rPr>
          <w:rFonts w:eastAsia="Georgia"/>
        </w:rPr>
        <w:t xml:space="preserve"> conducts market analysis on a regular basis and, when doing so, requires </w:t>
      </w:r>
      <w:r w:rsidR="00FD0BA5" w:rsidRPr="009924D4">
        <w:rPr>
          <w:rFonts w:eastAsia="Georgia" w:cs="Georgia"/>
        </w:rPr>
        <w:t>quality of service</w:t>
      </w:r>
      <w:r w:rsidR="00FD0BA5" w:rsidRPr="00225950">
        <w:rPr>
          <w:rFonts w:eastAsia="Georgia"/>
        </w:rPr>
        <w:t xml:space="preserve"> metrics to be shared by operators</w:t>
      </w:r>
      <w:r w:rsidR="00FD0BA5">
        <w:rPr>
          <w:rFonts w:eastAsia="Georgia"/>
        </w:rPr>
        <w:t>.</w:t>
      </w:r>
      <w:r w:rsidR="00FD0BA5" w:rsidRPr="00225950">
        <w:rPr>
          <w:rStyle w:val="FootnoteReference"/>
          <w:rFonts w:eastAsia="Georgia"/>
        </w:rPr>
        <w:footnoteReference w:id="62"/>
      </w:r>
      <w:r w:rsidR="00FD0BA5" w:rsidRPr="00225950">
        <w:rPr>
          <w:rFonts w:eastAsia="Georgia"/>
        </w:rPr>
        <w:t xml:space="preserve"> However</w:t>
      </w:r>
      <w:r>
        <w:rPr>
          <w:rFonts w:eastAsia="Georgia"/>
        </w:rPr>
        <w:t>, ARCEP</w:t>
      </w:r>
      <w:r w:rsidR="00FD0BA5" w:rsidRPr="00225950">
        <w:rPr>
          <w:rFonts w:eastAsia="Georgia"/>
        </w:rPr>
        <w:t xml:space="preserve"> does not </w:t>
      </w:r>
      <w:r w:rsidR="00A16BB8">
        <w:rPr>
          <w:rFonts w:eastAsia="Georgia"/>
        </w:rPr>
        <w:t>impose standards;</w:t>
      </w:r>
      <w:r w:rsidR="00FD0BA5">
        <w:rPr>
          <w:rFonts w:eastAsia="Georgia"/>
        </w:rPr>
        <w:t xml:space="preserve"> </w:t>
      </w:r>
      <w:r w:rsidR="00313FD9">
        <w:rPr>
          <w:rFonts w:eastAsia="Georgia"/>
        </w:rPr>
        <w:t>it</w:t>
      </w:r>
      <w:r w:rsidR="00FD0BA5">
        <w:rPr>
          <w:rFonts w:eastAsia="Georgia"/>
        </w:rPr>
        <w:t xml:space="preserve"> </w:t>
      </w:r>
      <w:r w:rsidR="00FD0BA5" w:rsidRPr="00225950">
        <w:rPr>
          <w:rFonts w:eastAsia="Georgia"/>
        </w:rPr>
        <w:t>monitor</w:t>
      </w:r>
      <w:r w:rsidR="00313FD9">
        <w:rPr>
          <w:rFonts w:eastAsia="Georgia"/>
        </w:rPr>
        <w:t>s</w:t>
      </w:r>
      <w:r w:rsidR="00FD0BA5" w:rsidRPr="00225950">
        <w:rPr>
          <w:rFonts w:eastAsia="Georgia"/>
        </w:rPr>
        <w:t xml:space="preserve"> and report</w:t>
      </w:r>
      <w:r w:rsidR="00313FD9">
        <w:rPr>
          <w:rFonts w:eastAsia="Georgia"/>
        </w:rPr>
        <w:t>s on</w:t>
      </w:r>
      <w:r w:rsidR="00FD0BA5" w:rsidRPr="00225950">
        <w:rPr>
          <w:rFonts w:eastAsia="Georgia"/>
        </w:rPr>
        <w:t xml:space="preserve"> </w:t>
      </w:r>
      <w:r w:rsidR="00FD0BA5" w:rsidRPr="009924D4">
        <w:rPr>
          <w:rFonts w:eastAsia="Georgia" w:cs="Georgia"/>
        </w:rPr>
        <w:t>quality of service</w:t>
      </w:r>
      <w:r w:rsidR="00FD0BA5" w:rsidRPr="00225950">
        <w:rPr>
          <w:rFonts w:eastAsia="Georgia"/>
        </w:rPr>
        <w:t xml:space="preserve">, to drive competition and improve the level of </w:t>
      </w:r>
      <w:r w:rsidR="00FD0BA5" w:rsidRPr="009924D4">
        <w:rPr>
          <w:rFonts w:eastAsia="Georgia" w:cs="Georgia"/>
        </w:rPr>
        <w:t>quality of service</w:t>
      </w:r>
      <w:r w:rsidR="00FD0BA5" w:rsidRPr="00225950">
        <w:rPr>
          <w:rFonts w:eastAsia="Georgia"/>
        </w:rPr>
        <w:t xml:space="preserve"> to customers.</w:t>
      </w:r>
      <w:r w:rsidR="00FD0BA5" w:rsidRPr="00225950">
        <w:rPr>
          <w:rStyle w:val="FootnoteReference"/>
          <w:rFonts w:eastAsia="Georgia"/>
        </w:rPr>
        <w:footnoteReference w:id="63"/>
      </w:r>
    </w:p>
    <w:p w14:paraId="543E5F9B" w14:textId="5372B13F" w:rsidR="00FD0BA5" w:rsidRDefault="00870376" w:rsidP="00870376">
      <w:pPr>
        <w:pStyle w:val="Heading4"/>
        <w:numPr>
          <w:ilvl w:val="0"/>
          <w:numId w:val="0"/>
        </w:numPr>
        <w:ind w:left="851" w:hanging="851"/>
        <w:rPr>
          <w:snapToGrid/>
        </w:rPr>
      </w:pPr>
      <w:r>
        <w:rPr>
          <w:snapToGrid/>
        </w:rPr>
        <w:t>3.4.2</w:t>
      </w:r>
      <w:r>
        <w:rPr>
          <w:snapToGrid/>
        </w:rPr>
        <w:tab/>
      </w:r>
      <w:r w:rsidR="00FD0BA5" w:rsidRPr="00B339AC">
        <w:rPr>
          <w:snapToGrid/>
        </w:rPr>
        <w:t>Connection</w:t>
      </w:r>
    </w:p>
    <w:p w14:paraId="267E4D87" w14:textId="77777777" w:rsidR="00775091" w:rsidRPr="00B339AC" w:rsidRDefault="00775091" w:rsidP="00325598">
      <w:pPr>
        <w:pStyle w:val="styeheading5"/>
        <w:rPr>
          <w:rFonts w:eastAsia="Georgia"/>
          <w:snapToGrid/>
        </w:rPr>
      </w:pPr>
      <w:r w:rsidRPr="00B339AC">
        <w:rPr>
          <w:rFonts w:eastAsia="Georgia"/>
          <w:snapToGrid/>
        </w:rPr>
        <w:t>Telephone connections</w:t>
      </w:r>
    </w:p>
    <w:p w14:paraId="5670E904" w14:textId="1A8D3289" w:rsidR="00775091" w:rsidRPr="00225950" w:rsidRDefault="00775091" w:rsidP="00775091">
      <w:pPr>
        <w:pStyle w:val="PwCNormal"/>
        <w:keepNext/>
        <w:keepLines/>
        <w:rPr>
          <w:rFonts w:eastAsia="Georgia"/>
        </w:rPr>
      </w:pPr>
      <w:r w:rsidRPr="00225950">
        <w:rPr>
          <w:rFonts w:eastAsia="Georgia"/>
        </w:rPr>
        <w:t xml:space="preserve">The length of time required for </w:t>
      </w:r>
      <w:r>
        <w:rPr>
          <w:rFonts w:eastAsia="Georgia"/>
        </w:rPr>
        <w:t xml:space="preserve">consumer </w:t>
      </w:r>
      <w:r w:rsidRPr="00225950">
        <w:rPr>
          <w:rFonts w:eastAsia="Georgia"/>
        </w:rPr>
        <w:t xml:space="preserve">access requests to be delivered </w:t>
      </w:r>
      <w:r>
        <w:rPr>
          <w:rFonts w:eastAsia="Georgia"/>
        </w:rPr>
        <w:t>is</w:t>
      </w:r>
      <w:r w:rsidRPr="00225950">
        <w:rPr>
          <w:rFonts w:eastAsia="Georgia"/>
        </w:rPr>
        <w:t xml:space="preserve"> monitored by </w:t>
      </w:r>
      <w:r w:rsidR="00494A47">
        <w:rPr>
          <w:rFonts w:eastAsia="Georgia"/>
        </w:rPr>
        <w:t>ARCEP</w:t>
      </w:r>
      <w:r w:rsidRPr="00225950">
        <w:rPr>
          <w:rFonts w:eastAsia="Georgia"/>
        </w:rPr>
        <w:t xml:space="preserve"> in France.</w:t>
      </w:r>
      <w:r w:rsidR="00402D6D" w:rsidRPr="00225950">
        <w:rPr>
          <w:rStyle w:val="FootnoteReference"/>
        </w:rPr>
        <w:footnoteReference w:id="64"/>
      </w:r>
    </w:p>
    <w:p w14:paraId="448CE41F" w14:textId="5471B7E1" w:rsidR="00775091" w:rsidRPr="005A47B9" w:rsidRDefault="00775091" w:rsidP="006B7CA5">
      <w:pPr>
        <w:pStyle w:val="PwCNormal"/>
        <w:rPr>
          <w:rFonts w:eastAsia="Georgia"/>
          <w:snapToGrid/>
        </w:rPr>
      </w:pPr>
      <w:r w:rsidRPr="005A47B9">
        <w:rPr>
          <w:rFonts w:eastAsia="Georgia"/>
          <w:snapToGrid/>
        </w:rPr>
        <w:t xml:space="preserve">Other metrics are monitored by </w:t>
      </w:r>
      <w:r w:rsidR="00494A47" w:rsidRPr="005A47B9">
        <w:rPr>
          <w:rFonts w:eastAsia="Georgia"/>
          <w:snapToGrid/>
        </w:rPr>
        <w:t>ARCEP</w:t>
      </w:r>
      <w:r w:rsidRPr="005A47B9">
        <w:rPr>
          <w:rFonts w:eastAsia="Georgia"/>
          <w:snapToGrid/>
        </w:rPr>
        <w:t xml:space="preserve"> for telephony services an</w:t>
      </w:r>
      <w:r w:rsidR="00402D6D" w:rsidRPr="005A47B9">
        <w:rPr>
          <w:rFonts w:eastAsia="Georgia"/>
          <w:snapToGrid/>
        </w:rPr>
        <w:t>d made available to the public.</w:t>
      </w:r>
      <w:r w:rsidR="005A47B9">
        <w:rPr>
          <w:rFonts w:eastAsia="Georgia"/>
          <w:snapToGrid/>
        </w:rPr>
        <w:t xml:space="preserve"> </w:t>
      </w:r>
      <w:r w:rsidR="005A47B9" w:rsidRPr="005A47B9">
        <w:rPr>
          <w:rFonts w:eastAsia="Georgia"/>
          <w:snapToGrid/>
        </w:rPr>
        <w:t>However, s</w:t>
      </w:r>
      <w:r w:rsidR="00FE3B4F" w:rsidRPr="005A47B9">
        <w:rPr>
          <w:rFonts w:eastAsia="Georgia"/>
          <w:snapToGrid/>
        </w:rPr>
        <w:t xml:space="preserve">pecific </w:t>
      </w:r>
      <w:r w:rsidR="0036073B" w:rsidRPr="005A47B9">
        <w:rPr>
          <w:rFonts w:eastAsia="Georgia"/>
          <w:snapToGrid/>
        </w:rPr>
        <w:t>performance</w:t>
      </w:r>
      <w:r w:rsidR="008076CB" w:rsidRPr="005A47B9">
        <w:rPr>
          <w:rFonts w:eastAsia="Georgia"/>
          <w:snapToGrid/>
        </w:rPr>
        <w:t xml:space="preserve"> </w:t>
      </w:r>
      <w:r w:rsidR="00D75BD5" w:rsidRPr="005A47B9">
        <w:rPr>
          <w:rFonts w:eastAsia="Georgia"/>
          <w:snapToGrid/>
        </w:rPr>
        <w:t>i</w:t>
      </w:r>
      <w:r w:rsidR="00FE3B4F" w:rsidRPr="005A47B9">
        <w:rPr>
          <w:rFonts w:eastAsia="Georgia"/>
          <w:snapToGrid/>
        </w:rPr>
        <w:t xml:space="preserve">ndicators </w:t>
      </w:r>
      <w:r w:rsidR="005A47B9">
        <w:rPr>
          <w:rFonts w:eastAsia="Georgia"/>
          <w:snapToGrid/>
        </w:rPr>
        <w:t xml:space="preserve">for those metrics were not readily </w:t>
      </w:r>
      <w:r w:rsidR="00FE3B4F" w:rsidRPr="005A47B9">
        <w:rPr>
          <w:rFonts w:eastAsia="Georgia"/>
          <w:snapToGrid/>
        </w:rPr>
        <w:t xml:space="preserve">identified through a desktop review of </w:t>
      </w:r>
      <w:r w:rsidR="00DB0DD9" w:rsidRPr="005A47B9">
        <w:rPr>
          <w:rFonts w:eastAsia="Georgia"/>
          <w:snapToGrid/>
        </w:rPr>
        <w:t>publicly available information.</w:t>
      </w:r>
    </w:p>
    <w:p w14:paraId="7E7D83FD" w14:textId="352BB975" w:rsidR="00775091" w:rsidRDefault="00775091" w:rsidP="005A47B9">
      <w:pPr>
        <w:pStyle w:val="Caption"/>
      </w:pPr>
      <w:r>
        <w:t xml:space="preserve">Table </w:t>
      </w:r>
      <w:r w:rsidR="000B0990">
        <w:rPr>
          <w:noProof/>
        </w:rPr>
        <w:fldChar w:fldCharType="begin"/>
      </w:r>
      <w:r w:rsidR="000B0990">
        <w:rPr>
          <w:noProof/>
        </w:rPr>
        <w:instrText xml:space="preserve"> SEQ Table \* ARABIC </w:instrText>
      </w:r>
      <w:r w:rsidR="000B0990">
        <w:rPr>
          <w:noProof/>
        </w:rPr>
        <w:fldChar w:fldCharType="separate"/>
      </w:r>
      <w:r w:rsidR="00AE12E7">
        <w:rPr>
          <w:noProof/>
        </w:rPr>
        <w:t>10</w:t>
      </w:r>
      <w:r w:rsidR="000B0990">
        <w:rPr>
          <w:noProof/>
        </w:rPr>
        <w:fldChar w:fldCharType="end"/>
      </w:r>
      <w:r>
        <w:t xml:space="preserve">: </w:t>
      </w:r>
      <w:r w:rsidR="00494A47">
        <w:t xml:space="preserve">Connection </w:t>
      </w:r>
      <w:r w:rsidR="00F61956">
        <w:t>q</w:t>
      </w:r>
      <w:r w:rsidR="00402D6D">
        <w:t xml:space="preserve">uality of service </w:t>
      </w:r>
      <w:r w:rsidR="00FE3B4F">
        <w:t>indicators</w:t>
      </w:r>
      <w:r w:rsidR="00494A47">
        <w:t xml:space="preserve"> </w:t>
      </w:r>
      <w:r w:rsidR="00F61956">
        <w:t>–</w:t>
      </w:r>
      <w:r w:rsidR="00494A47">
        <w:t xml:space="preserve"> France</w:t>
      </w:r>
      <w:r w:rsidR="00402D6D" w:rsidRPr="00225950">
        <w:rPr>
          <w:rStyle w:val="FootnoteReference"/>
        </w:rPr>
        <w:footnoteReference w:id="65"/>
      </w:r>
    </w:p>
    <w:tbl>
      <w:tblPr>
        <w:tblStyle w:val="Tables-APBase"/>
        <w:tblW w:w="8482" w:type="dxa"/>
        <w:tblLook w:val="06A0" w:firstRow="1" w:lastRow="0" w:firstColumn="1" w:lastColumn="0" w:noHBand="1" w:noVBand="1"/>
        <w:tblCaption w:val="Connection quality of service indicators – France"/>
        <w:tblDescription w:val="The table summarises the connection quality of service indicators for France, including:&#10;Unsuccessful call ratio (local/international) quality of service indicator: Fixed&#10;Call set up time quality of service indicator: Fixed&#10;Speech quality (local) quality of service indicator: Fixed&#10;Packet loss quality of service indicator: Internet&#10;Call maintenance (by time period) quality of service indicator: Mobile&#10;"/>
      </w:tblPr>
      <w:tblGrid>
        <w:gridCol w:w="4241"/>
        <w:gridCol w:w="4241"/>
      </w:tblGrid>
      <w:tr w:rsidR="00775091" w:rsidRPr="00225950" w14:paraId="44CC6D55" w14:textId="77777777" w:rsidTr="007404FC">
        <w:trPr>
          <w:cnfStyle w:val="100000000000" w:firstRow="1" w:lastRow="0" w:firstColumn="0" w:lastColumn="0" w:oddVBand="0" w:evenVBand="0" w:oddHBand="0" w:evenHBand="0" w:firstRowFirstColumn="0" w:firstRowLastColumn="0" w:lastRowFirstColumn="0" w:lastRowLastColumn="0"/>
          <w:trHeight w:val="329"/>
        </w:trPr>
        <w:tc>
          <w:tcPr>
            <w:cnfStyle w:val="000000000100" w:firstRow="0" w:lastRow="0" w:firstColumn="0" w:lastColumn="0" w:oddVBand="0" w:evenVBand="0" w:oddHBand="0" w:evenHBand="0" w:firstRowFirstColumn="1" w:firstRowLastColumn="0" w:lastRowFirstColumn="0" w:lastRowLastColumn="0"/>
            <w:tcW w:w="4241" w:type="dxa"/>
          </w:tcPr>
          <w:p w14:paraId="303D8C34" w14:textId="77777777" w:rsidR="00775091" w:rsidRPr="00225950" w:rsidRDefault="00775091" w:rsidP="005A47B9">
            <w:pPr>
              <w:pStyle w:val="TableColumnHeadingNormal"/>
              <w:rPr>
                <w:rFonts w:eastAsia="Georgia"/>
              </w:rPr>
            </w:pPr>
            <w:r w:rsidRPr="00225950">
              <w:rPr>
                <w:rFonts w:eastAsia="Georgia"/>
              </w:rPr>
              <w:t>Standard</w:t>
            </w:r>
          </w:p>
        </w:tc>
        <w:tc>
          <w:tcPr>
            <w:tcW w:w="4241" w:type="dxa"/>
          </w:tcPr>
          <w:p w14:paraId="44387424" w14:textId="77777777" w:rsidR="00775091" w:rsidRPr="00225950" w:rsidRDefault="00775091" w:rsidP="005A47B9">
            <w:pPr>
              <w:pStyle w:val="TableColumnHeadingNormal"/>
              <w:cnfStyle w:val="100000000000" w:firstRow="1" w:lastRow="0" w:firstColumn="0" w:lastColumn="0" w:oddVBand="0" w:evenVBand="0" w:oddHBand="0" w:evenHBand="0" w:firstRowFirstColumn="0" w:firstRowLastColumn="0" w:lastRowFirstColumn="0" w:lastRowLastColumn="0"/>
              <w:rPr>
                <w:rFonts w:eastAsia="Georgia"/>
              </w:rPr>
            </w:pPr>
            <w:r w:rsidRPr="00225950">
              <w:rPr>
                <w:rFonts w:eastAsia="Georgia"/>
              </w:rPr>
              <w:t>Applicable services</w:t>
            </w:r>
          </w:p>
        </w:tc>
      </w:tr>
      <w:tr w:rsidR="00775091" w:rsidRPr="00225950" w14:paraId="31934E60" w14:textId="77777777" w:rsidTr="007404FC">
        <w:trPr>
          <w:trHeight w:val="329"/>
        </w:trPr>
        <w:tc>
          <w:tcPr>
            <w:tcW w:w="4241" w:type="dxa"/>
          </w:tcPr>
          <w:p w14:paraId="718B3110" w14:textId="1348FA92" w:rsidR="00775091" w:rsidRPr="00225950" w:rsidRDefault="00775091" w:rsidP="005A47B9">
            <w:pPr>
              <w:pStyle w:val="TableTextNormal"/>
              <w:keepNext/>
              <w:keepLines/>
              <w:rPr>
                <w:rFonts w:eastAsia="Gungsuh"/>
              </w:rPr>
            </w:pPr>
            <w:r w:rsidRPr="00225950">
              <w:rPr>
                <w:rFonts w:eastAsia="Gungsuh"/>
              </w:rPr>
              <w:t>U</w:t>
            </w:r>
            <w:r w:rsidR="002F0392">
              <w:rPr>
                <w:rFonts w:eastAsia="Gungsuh"/>
              </w:rPr>
              <w:t>nsuccessful call ratio (local/</w:t>
            </w:r>
            <w:r w:rsidRPr="00225950">
              <w:rPr>
                <w:rFonts w:eastAsia="Gungsuh"/>
              </w:rPr>
              <w:t>international)</w:t>
            </w:r>
          </w:p>
        </w:tc>
        <w:tc>
          <w:tcPr>
            <w:tcW w:w="4241" w:type="dxa"/>
          </w:tcPr>
          <w:p w14:paraId="03E63531" w14:textId="77777777" w:rsidR="00775091" w:rsidRPr="00225950" w:rsidRDefault="00775091" w:rsidP="005A47B9">
            <w:pPr>
              <w:pStyle w:val="TableTextNormal"/>
              <w:keepNext/>
              <w:keepLines/>
              <w:rPr>
                <w:rFonts w:eastAsia="Gungsuh"/>
              </w:rPr>
            </w:pPr>
            <w:r w:rsidRPr="00225950">
              <w:rPr>
                <w:rFonts w:eastAsia="Gungsuh"/>
              </w:rPr>
              <w:t>Fixed</w:t>
            </w:r>
          </w:p>
        </w:tc>
      </w:tr>
      <w:tr w:rsidR="00775091" w:rsidRPr="00225950" w14:paraId="7082F6BD" w14:textId="77777777" w:rsidTr="007404FC">
        <w:trPr>
          <w:trHeight w:val="329"/>
        </w:trPr>
        <w:tc>
          <w:tcPr>
            <w:tcW w:w="4241" w:type="dxa"/>
          </w:tcPr>
          <w:p w14:paraId="7B328DD7" w14:textId="77777777" w:rsidR="00775091" w:rsidRPr="00225950" w:rsidRDefault="00775091" w:rsidP="005A47B9">
            <w:pPr>
              <w:pStyle w:val="TableTextNormal"/>
              <w:keepNext/>
              <w:keepLines/>
              <w:rPr>
                <w:rFonts w:eastAsia="Gungsuh"/>
              </w:rPr>
            </w:pPr>
            <w:r w:rsidRPr="00225950">
              <w:rPr>
                <w:rFonts w:eastAsia="Gungsuh"/>
              </w:rPr>
              <w:t>Call set up time</w:t>
            </w:r>
          </w:p>
        </w:tc>
        <w:tc>
          <w:tcPr>
            <w:tcW w:w="4241" w:type="dxa"/>
          </w:tcPr>
          <w:p w14:paraId="5D78708F" w14:textId="77777777" w:rsidR="00775091" w:rsidRPr="00225950" w:rsidRDefault="00775091" w:rsidP="005A47B9">
            <w:pPr>
              <w:pStyle w:val="TableTextNormal"/>
              <w:keepNext/>
              <w:keepLines/>
              <w:rPr>
                <w:rFonts w:eastAsia="Gungsuh"/>
              </w:rPr>
            </w:pPr>
            <w:r w:rsidRPr="00225950">
              <w:rPr>
                <w:rFonts w:eastAsia="Gungsuh"/>
              </w:rPr>
              <w:t>Fixed</w:t>
            </w:r>
          </w:p>
        </w:tc>
      </w:tr>
      <w:tr w:rsidR="00775091" w:rsidRPr="00225950" w14:paraId="0E0D2904" w14:textId="77777777" w:rsidTr="007404FC">
        <w:trPr>
          <w:trHeight w:val="329"/>
        </w:trPr>
        <w:tc>
          <w:tcPr>
            <w:tcW w:w="4241" w:type="dxa"/>
          </w:tcPr>
          <w:p w14:paraId="1E69F952" w14:textId="77777777" w:rsidR="00775091" w:rsidRPr="00225950" w:rsidRDefault="00775091" w:rsidP="005A47B9">
            <w:pPr>
              <w:pStyle w:val="TableTextNormal"/>
              <w:keepNext/>
              <w:keepLines/>
              <w:rPr>
                <w:rFonts w:eastAsia="Gungsuh"/>
              </w:rPr>
            </w:pPr>
            <w:r w:rsidRPr="00225950">
              <w:rPr>
                <w:rFonts w:eastAsia="Gungsuh"/>
              </w:rPr>
              <w:t>Speech quality (local)</w:t>
            </w:r>
          </w:p>
        </w:tc>
        <w:tc>
          <w:tcPr>
            <w:tcW w:w="4241" w:type="dxa"/>
          </w:tcPr>
          <w:p w14:paraId="628E7436" w14:textId="77777777" w:rsidR="00775091" w:rsidRPr="00225950" w:rsidRDefault="00775091" w:rsidP="005A47B9">
            <w:pPr>
              <w:pStyle w:val="TableTextNormal"/>
              <w:keepNext/>
              <w:keepLines/>
              <w:rPr>
                <w:rFonts w:eastAsia="Gungsuh"/>
              </w:rPr>
            </w:pPr>
            <w:r w:rsidRPr="00225950">
              <w:rPr>
                <w:rFonts w:eastAsia="Gungsuh"/>
              </w:rPr>
              <w:t>Fixed</w:t>
            </w:r>
          </w:p>
        </w:tc>
      </w:tr>
      <w:tr w:rsidR="00402D6D" w:rsidRPr="00225950" w14:paraId="0E59B8F2" w14:textId="77777777" w:rsidTr="007404FC">
        <w:trPr>
          <w:trHeight w:val="329"/>
        </w:trPr>
        <w:tc>
          <w:tcPr>
            <w:tcW w:w="4241" w:type="dxa"/>
          </w:tcPr>
          <w:p w14:paraId="13BD57E0" w14:textId="377E2F96" w:rsidR="00402D6D" w:rsidRPr="00225950" w:rsidRDefault="00402D6D" w:rsidP="005A47B9">
            <w:pPr>
              <w:pStyle w:val="TableTextNormal"/>
              <w:keepNext/>
              <w:keepLines/>
              <w:rPr>
                <w:rFonts w:eastAsia="Gungsuh"/>
              </w:rPr>
            </w:pPr>
            <w:r w:rsidRPr="00225950">
              <w:rPr>
                <w:rFonts w:eastAsia="Gungsuh"/>
              </w:rPr>
              <w:t>Packet loss</w:t>
            </w:r>
          </w:p>
        </w:tc>
        <w:tc>
          <w:tcPr>
            <w:tcW w:w="4241" w:type="dxa"/>
          </w:tcPr>
          <w:p w14:paraId="61E0F667" w14:textId="7EF451AC" w:rsidR="00402D6D" w:rsidRPr="00225950" w:rsidRDefault="00402D6D" w:rsidP="005A47B9">
            <w:pPr>
              <w:pStyle w:val="TableTextNormal"/>
              <w:keepNext/>
              <w:keepLines/>
              <w:rPr>
                <w:rFonts w:eastAsia="Gungsuh"/>
              </w:rPr>
            </w:pPr>
            <w:r w:rsidRPr="00225950">
              <w:rPr>
                <w:rFonts w:eastAsia="Gungsuh"/>
              </w:rPr>
              <w:t>Internet</w:t>
            </w:r>
          </w:p>
        </w:tc>
      </w:tr>
      <w:tr w:rsidR="00402D6D" w:rsidRPr="00225950" w14:paraId="27AFE111" w14:textId="77777777" w:rsidTr="007404FC">
        <w:trPr>
          <w:trHeight w:val="329"/>
        </w:trPr>
        <w:tc>
          <w:tcPr>
            <w:tcW w:w="4241" w:type="dxa"/>
          </w:tcPr>
          <w:p w14:paraId="2F7B651A" w14:textId="7DEE3EEC" w:rsidR="00402D6D" w:rsidRPr="00225950" w:rsidRDefault="00402D6D" w:rsidP="005A47B9">
            <w:pPr>
              <w:pStyle w:val="TableTextNormal"/>
              <w:keepNext/>
              <w:keepLines/>
              <w:rPr>
                <w:rFonts w:eastAsia="Gungsuh"/>
              </w:rPr>
            </w:pPr>
            <w:r w:rsidRPr="00225950">
              <w:rPr>
                <w:rFonts w:eastAsia="Gungsuh"/>
              </w:rPr>
              <w:t>Call maintenance (by time period)</w:t>
            </w:r>
          </w:p>
        </w:tc>
        <w:tc>
          <w:tcPr>
            <w:tcW w:w="4241" w:type="dxa"/>
          </w:tcPr>
          <w:p w14:paraId="2BE267AB" w14:textId="37F0E549" w:rsidR="00402D6D" w:rsidRPr="00225950" w:rsidRDefault="00402D6D" w:rsidP="005A47B9">
            <w:pPr>
              <w:pStyle w:val="TableTextNormal"/>
              <w:keepNext/>
              <w:keepLines/>
              <w:rPr>
                <w:rFonts w:eastAsia="Gungsuh"/>
              </w:rPr>
            </w:pPr>
            <w:r w:rsidRPr="00225950">
              <w:rPr>
                <w:rFonts w:eastAsia="Gungsuh"/>
              </w:rPr>
              <w:t>Mobile</w:t>
            </w:r>
          </w:p>
        </w:tc>
      </w:tr>
    </w:tbl>
    <w:p w14:paraId="4006BC33" w14:textId="06F50084" w:rsidR="00775091" w:rsidRPr="00B9239E" w:rsidRDefault="00775091" w:rsidP="00325598">
      <w:pPr>
        <w:pStyle w:val="styeheading5"/>
        <w:rPr>
          <w:rFonts w:eastAsia="Georgia"/>
          <w:snapToGrid/>
        </w:rPr>
      </w:pPr>
      <w:r>
        <w:rPr>
          <w:rFonts w:eastAsia="Georgia"/>
          <w:snapToGrid/>
        </w:rPr>
        <w:t>Data</w:t>
      </w:r>
      <w:r w:rsidRPr="00B339AC">
        <w:rPr>
          <w:rFonts w:eastAsia="Georgia"/>
          <w:snapToGrid/>
        </w:rPr>
        <w:t xml:space="preserve"> connections</w:t>
      </w:r>
    </w:p>
    <w:p w14:paraId="3094DE78" w14:textId="58C8D895" w:rsidR="00EE2F14" w:rsidRPr="00225950" w:rsidRDefault="00500F31" w:rsidP="00370822">
      <w:pPr>
        <w:pStyle w:val="PwCNormal"/>
      </w:pPr>
      <w:r>
        <w:t>The q</w:t>
      </w:r>
      <w:r w:rsidRPr="00225950">
        <w:t>uality and performance</w:t>
      </w:r>
      <w:r>
        <w:t xml:space="preserve"> of a connection</w:t>
      </w:r>
      <w:r w:rsidRPr="00225950">
        <w:t xml:space="preserve"> </w:t>
      </w:r>
      <w:r>
        <w:t>are</w:t>
      </w:r>
      <w:r w:rsidRPr="00225950">
        <w:t xml:space="preserve"> monitored through various </w:t>
      </w:r>
      <w:r w:rsidRPr="00222133">
        <w:rPr>
          <w:rFonts w:eastAsia="Georgia" w:cs="Georgia"/>
        </w:rPr>
        <w:t>quality of service</w:t>
      </w:r>
      <w:r w:rsidRPr="00225950">
        <w:t xml:space="preserve"> standards captured </w:t>
      </w:r>
      <w:r>
        <w:t xml:space="preserve">in the table </w:t>
      </w:r>
      <w:r w:rsidR="00494A47">
        <w:t>above</w:t>
      </w:r>
      <w:r w:rsidR="00AE12E7">
        <w:t>.</w:t>
      </w:r>
      <w:r w:rsidRPr="00225950">
        <w:t xml:space="preserve"> These standards span services including fixed line, mobile, internet services</w:t>
      </w:r>
      <w:r>
        <w:t>,</w:t>
      </w:r>
      <w:r w:rsidRPr="00225950">
        <w:t xml:space="preserve"> and </w:t>
      </w:r>
      <w:r w:rsidRPr="00225950">
        <w:lastRenderedPageBreak/>
        <w:t xml:space="preserve">wholesale </w:t>
      </w:r>
      <w:r w:rsidR="00777019" w:rsidRPr="00225950">
        <w:t>markets.</w:t>
      </w:r>
      <w:r w:rsidR="00777019" w:rsidRPr="00222133">
        <w:rPr>
          <w:rFonts w:eastAsia="Georgia"/>
          <w:snapToGrid/>
        </w:rPr>
        <w:t xml:space="preserve"> The</w:t>
      </w:r>
      <w:r w:rsidR="00EE2F14" w:rsidRPr="00222133">
        <w:rPr>
          <w:rFonts w:eastAsia="Georgia"/>
          <w:snapToGrid/>
        </w:rPr>
        <w:t xml:space="preserve"> specific metrics </w:t>
      </w:r>
      <w:r w:rsidR="00222133">
        <w:rPr>
          <w:rFonts w:eastAsia="Georgia"/>
          <w:snapToGrid/>
        </w:rPr>
        <w:t xml:space="preserve">for the standards above </w:t>
      </w:r>
      <w:r w:rsidR="00EE2F14" w:rsidRPr="00222133">
        <w:rPr>
          <w:rFonts w:eastAsia="Georgia"/>
          <w:snapToGrid/>
        </w:rPr>
        <w:t>were not identifi</w:t>
      </w:r>
      <w:r w:rsidR="00DB0DD9" w:rsidRPr="00222133">
        <w:rPr>
          <w:rFonts w:eastAsia="Georgia"/>
          <w:snapToGrid/>
        </w:rPr>
        <w:t>ed through the desktop review.</w:t>
      </w:r>
    </w:p>
    <w:p w14:paraId="2CD1FDC1" w14:textId="2403FD42" w:rsidR="00FD0BA5" w:rsidRDefault="00870376" w:rsidP="00870376">
      <w:pPr>
        <w:pStyle w:val="Heading4"/>
        <w:numPr>
          <w:ilvl w:val="0"/>
          <w:numId w:val="0"/>
        </w:numPr>
        <w:ind w:left="851" w:hanging="851"/>
        <w:rPr>
          <w:snapToGrid/>
        </w:rPr>
      </w:pPr>
      <w:r>
        <w:rPr>
          <w:snapToGrid/>
        </w:rPr>
        <w:t>3.4.3</w:t>
      </w:r>
      <w:r>
        <w:rPr>
          <w:snapToGrid/>
        </w:rPr>
        <w:tab/>
      </w:r>
      <w:r w:rsidR="00FD0BA5" w:rsidRPr="00B339AC">
        <w:rPr>
          <w:snapToGrid/>
        </w:rPr>
        <w:t>Outages and faults</w:t>
      </w:r>
    </w:p>
    <w:p w14:paraId="0F00994D" w14:textId="2080194B" w:rsidR="00FD0BA5" w:rsidRDefault="004D2DC0" w:rsidP="00FD0BA5">
      <w:pPr>
        <w:pStyle w:val="PwCNormal"/>
        <w:rPr>
          <w:rFonts w:eastAsia="Georgia"/>
        </w:rPr>
      </w:pPr>
      <w:r w:rsidRPr="00225950">
        <w:rPr>
          <w:rFonts w:eastAsia="Georgia"/>
        </w:rPr>
        <w:t>ARCEP</w:t>
      </w:r>
      <w:r w:rsidRPr="00225950" w:rsidDel="004D2DC0">
        <w:rPr>
          <w:rFonts w:eastAsia="Georgia"/>
        </w:rPr>
        <w:t xml:space="preserve"> </w:t>
      </w:r>
      <w:r w:rsidR="00FD0BA5" w:rsidRPr="00225950">
        <w:rPr>
          <w:rFonts w:eastAsia="Georgia"/>
        </w:rPr>
        <w:t xml:space="preserve">monitors the number of faults and call centre response times across all wholesale telecommunications services. There </w:t>
      </w:r>
      <w:r w:rsidR="00FD0BA5">
        <w:rPr>
          <w:rFonts w:eastAsia="Georgia"/>
        </w:rPr>
        <w:t xml:space="preserve">is also a </w:t>
      </w:r>
      <w:r w:rsidR="00FD0BA5" w:rsidRPr="00866A66">
        <w:rPr>
          <w:rFonts w:eastAsia="Georgia"/>
        </w:rPr>
        <w:t xml:space="preserve">Post and Electronic Communications Code (telephone service) </w:t>
      </w:r>
      <w:r w:rsidR="00FD0BA5">
        <w:rPr>
          <w:rFonts w:eastAsia="Georgia"/>
        </w:rPr>
        <w:t xml:space="preserve">that sets </w:t>
      </w:r>
      <w:r w:rsidR="00FD0BA5" w:rsidRPr="00225950">
        <w:rPr>
          <w:rFonts w:eastAsia="Georgia"/>
        </w:rPr>
        <w:t>standards for fixed lines including</w:t>
      </w:r>
      <w:r w:rsidR="00AE12E7">
        <w:rPr>
          <w:rFonts w:eastAsia="Georgia"/>
        </w:rPr>
        <w:t xml:space="preserve"> fault repair times, complaint </w:t>
      </w:r>
      <w:r w:rsidR="00FD0BA5" w:rsidRPr="00225950">
        <w:rPr>
          <w:rFonts w:eastAsia="Georgia"/>
        </w:rPr>
        <w:t>rates and customer bill correctness.</w:t>
      </w:r>
    </w:p>
    <w:p w14:paraId="5FE8C4B9" w14:textId="43361522" w:rsidR="00FE3B4F" w:rsidRPr="00F405F6" w:rsidRDefault="00FE3B4F" w:rsidP="00FE3B4F">
      <w:pPr>
        <w:pStyle w:val="PwCNormal"/>
        <w:rPr>
          <w:rFonts w:eastAsia="Georgia"/>
          <w:snapToGrid/>
        </w:rPr>
      </w:pPr>
      <w:r>
        <w:rPr>
          <w:rFonts w:eastAsia="Georgia"/>
          <w:snapToGrid/>
        </w:rPr>
        <w:t xml:space="preserve">Specific </w:t>
      </w:r>
      <w:r w:rsidR="00222133">
        <w:rPr>
          <w:rFonts w:eastAsia="Georgia"/>
          <w:snapToGrid/>
        </w:rPr>
        <w:t xml:space="preserve">performance metrics against the standards below were </w:t>
      </w:r>
      <w:r>
        <w:rPr>
          <w:rFonts w:eastAsia="Georgia"/>
          <w:snapToGrid/>
        </w:rPr>
        <w:t xml:space="preserve">not identified through </w:t>
      </w:r>
      <w:r w:rsidR="00222133">
        <w:rPr>
          <w:rFonts w:eastAsia="Georgia"/>
          <w:snapToGrid/>
        </w:rPr>
        <w:t xml:space="preserve">the </w:t>
      </w:r>
      <w:r>
        <w:rPr>
          <w:rFonts w:eastAsia="Georgia"/>
          <w:snapToGrid/>
        </w:rPr>
        <w:t>desktop review of publicly available inf</w:t>
      </w:r>
      <w:r w:rsidR="00DB0DD9">
        <w:rPr>
          <w:rFonts w:eastAsia="Georgia"/>
          <w:snapToGrid/>
        </w:rPr>
        <w:t>ormation.</w:t>
      </w:r>
    </w:p>
    <w:p w14:paraId="6D16840C" w14:textId="2E62BB7D" w:rsidR="00FD0BA5" w:rsidRPr="00225950" w:rsidRDefault="00FD0BA5" w:rsidP="009D1655">
      <w:pPr>
        <w:pStyle w:val="Caption"/>
      </w:pPr>
      <w:r w:rsidRPr="00225950">
        <w:t xml:space="preserve">Table </w:t>
      </w:r>
      <w:r w:rsidR="000B0990">
        <w:rPr>
          <w:noProof/>
        </w:rPr>
        <w:fldChar w:fldCharType="begin"/>
      </w:r>
      <w:r w:rsidR="000B0990">
        <w:rPr>
          <w:noProof/>
        </w:rPr>
        <w:instrText xml:space="preserve"> SEQ Table \* ARABIC </w:instrText>
      </w:r>
      <w:r w:rsidR="000B0990">
        <w:rPr>
          <w:noProof/>
        </w:rPr>
        <w:fldChar w:fldCharType="separate"/>
      </w:r>
      <w:r w:rsidR="00AE12E7">
        <w:rPr>
          <w:noProof/>
        </w:rPr>
        <w:t>11</w:t>
      </w:r>
      <w:r w:rsidR="000B0990">
        <w:rPr>
          <w:noProof/>
        </w:rPr>
        <w:fldChar w:fldCharType="end"/>
      </w:r>
      <w:r w:rsidRPr="00225950">
        <w:t xml:space="preserve">: Outages and faults </w:t>
      </w:r>
      <w:r w:rsidRPr="009924D4">
        <w:t xml:space="preserve">quality of service </w:t>
      </w:r>
      <w:r w:rsidRPr="00225950">
        <w:t>indicators</w:t>
      </w:r>
      <w:r>
        <w:t xml:space="preserve">– </w:t>
      </w:r>
      <w:r w:rsidRPr="00225950">
        <w:t>France</w:t>
      </w:r>
      <w:r w:rsidRPr="00225950">
        <w:rPr>
          <w:rStyle w:val="FootnoteReference"/>
        </w:rPr>
        <w:footnoteReference w:id="66"/>
      </w:r>
    </w:p>
    <w:tbl>
      <w:tblPr>
        <w:tblStyle w:val="Tables-APBase"/>
        <w:tblW w:w="8518" w:type="dxa"/>
        <w:tblLook w:val="06A0" w:firstRow="1" w:lastRow="0" w:firstColumn="1" w:lastColumn="0" w:noHBand="1" w:noVBand="1"/>
        <w:tblCaption w:val="Outages and faults quality of service indicators– France"/>
        <w:tblDescription w:val="This table summarises outages and faults quality of service indicators for France.Fault report rate quality of service indicator: Fixed&#10;Fault repair time quality of service indicator: Fixed, leased lines&#10;Complaints rate quality of service indicator: Fixed&#10;Customer and bill correctness complaints and resolution times quality of service indicator: Fixed&#10;Call centre response time &amp; accuracy quality of service indicator: All enquiry services&#10;Faults on lines delivered in the last calendar month quality of service indicator: All wholesale services&#10;Faults caused by operators quality of service indicator: All wholesale services&#10;"/>
      </w:tblPr>
      <w:tblGrid>
        <w:gridCol w:w="5778"/>
        <w:gridCol w:w="2740"/>
      </w:tblGrid>
      <w:tr w:rsidR="00FD0BA5" w:rsidRPr="00225950" w14:paraId="63E274CD" w14:textId="77777777" w:rsidTr="00193BF6">
        <w:trPr>
          <w:cnfStyle w:val="100000000000" w:firstRow="1" w:lastRow="0" w:firstColumn="0" w:lastColumn="0" w:oddVBand="0" w:evenVBand="0" w:oddHBand="0" w:evenHBand="0" w:firstRowFirstColumn="0" w:firstRowLastColumn="0" w:lastRowFirstColumn="0" w:lastRowLastColumn="0"/>
          <w:cantSplit/>
          <w:trHeight w:val="340"/>
        </w:trPr>
        <w:tc>
          <w:tcPr>
            <w:cnfStyle w:val="000000000100" w:firstRow="0" w:lastRow="0" w:firstColumn="0" w:lastColumn="0" w:oddVBand="0" w:evenVBand="0" w:oddHBand="0" w:evenHBand="0" w:firstRowFirstColumn="1" w:firstRowLastColumn="0" w:lastRowFirstColumn="0" w:lastRowLastColumn="0"/>
            <w:tcW w:w="5778" w:type="dxa"/>
          </w:tcPr>
          <w:p w14:paraId="13D4BBC5" w14:textId="77777777" w:rsidR="00FD0BA5" w:rsidRPr="00225950" w:rsidRDefault="00FD0BA5" w:rsidP="00193BF6">
            <w:pPr>
              <w:pStyle w:val="TableColumnHeadingNormal"/>
              <w:rPr>
                <w:rFonts w:eastAsia="Georgia"/>
              </w:rPr>
            </w:pPr>
            <w:r w:rsidRPr="00225950">
              <w:rPr>
                <w:rFonts w:eastAsia="Georgia"/>
              </w:rPr>
              <w:t>Standard</w:t>
            </w:r>
          </w:p>
        </w:tc>
        <w:tc>
          <w:tcPr>
            <w:tcW w:w="2740" w:type="dxa"/>
          </w:tcPr>
          <w:p w14:paraId="63342E56" w14:textId="77777777" w:rsidR="00FD0BA5" w:rsidRPr="00225950" w:rsidRDefault="00FD0BA5" w:rsidP="00193BF6">
            <w:pPr>
              <w:pStyle w:val="TableColumnHeadingNormal"/>
              <w:cnfStyle w:val="100000000000" w:firstRow="1" w:lastRow="0" w:firstColumn="0" w:lastColumn="0" w:oddVBand="0" w:evenVBand="0" w:oddHBand="0" w:evenHBand="0" w:firstRowFirstColumn="0" w:firstRowLastColumn="0" w:lastRowFirstColumn="0" w:lastRowLastColumn="0"/>
              <w:rPr>
                <w:rFonts w:eastAsia="Georgia"/>
              </w:rPr>
            </w:pPr>
            <w:r w:rsidRPr="00225950">
              <w:rPr>
                <w:rFonts w:eastAsia="Georgia"/>
              </w:rPr>
              <w:t>Applicable services</w:t>
            </w:r>
          </w:p>
        </w:tc>
      </w:tr>
      <w:tr w:rsidR="00FD0BA5" w:rsidRPr="00225950" w14:paraId="55AC17AD" w14:textId="77777777" w:rsidTr="00193BF6">
        <w:trPr>
          <w:cantSplit/>
          <w:trHeight w:val="340"/>
        </w:trPr>
        <w:tc>
          <w:tcPr>
            <w:tcW w:w="5778" w:type="dxa"/>
          </w:tcPr>
          <w:p w14:paraId="01A7DB55" w14:textId="77777777" w:rsidR="00FD0BA5" w:rsidRPr="00225950" w:rsidRDefault="00FD0BA5" w:rsidP="00193BF6">
            <w:pPr>
              <w:pStyle w:val="TableTextNormal"/>
              <w:keepNext/>
              <w:rPr>
                <w:rFonts w:eastAsia="Gungsuh"/>
              </w:rPr>
            </w:pPr>
            <w:r w:rsidRPr="00225950">
              <w:rPr>
                <w:rFonts w:eastAsia="Gungsuh"/>
              </w:rPr>
              <w:t>Fault report rate</w:t>
            </w:r>
          </w:p>
        </w:tc>
        <w:tc>
          <w:tcPr>
            <w:tcW w:w="2740" w:type="dxa"/>
          </w:tcPr>
          <w:p w14:paraId="1F95ECDA" w14:textId="77777777" w:rsidR="00FD0BA5" w:rsidRPr="00225950" w:rsidRDefault="00FD0BA5" w:rsidP="00193BF6">
            <w:pPr>
              <w:pStyle w:val="TableTextNormal"/>
              <w:keepNext/>
              <w:rPr>
                <w:rFonts w:eastAsia="Gungsuh"/>
              </w:rPr>
            </w:pPr>
            <w:r w:rsidRPr="00225950">
              <w:rPr>
                <w:rFonts w:eastAsia="Gungsuh"/>
              </w:rPr>
              <w:t>Fixed</w:t>
            </w:r>
          </w:p>
        </w:tc>
      </w:tr>
      <w:tr w:rsidR="00FD0BA5" w:rsidRPr="00225950" w14:paraId="1E6EA722" w14:textId="77777777" w:rsidTr="00193BF6">
        <w:trPr>
          <w:cantSplit/>
          <w:trHeight w:val="340"/>
        </w:trPr>
        <w:tc>
          <w:tcPr>
            <w:tcW w:w="5778" w:type="dxa"/>
          </w:tcPr>
          <w:p w14:paraId="46151AD5" w14:textId="77777777" w:rsidR="00FD0BA5" w:rsidRPr="00225950" w:rsidRDefault="00FD0BA5" w:rsidP="00193BF6">
            <w:pPr>
              <w:pStyle w:val="TableTextNormal"/>
              <w:keepNext/>
              <w:rPr>
                <w:rFonts w:eastAsia="Gungsuh"/>
              </w:rPr>
            </w:pPr>
            <w:r w:rsidRPr="00225950">
              <w:rPr>
                <w:rFonts w:eastAsia="Gungsuh"/>
              </w:rPr>
              <w:t>Fault repair time</w:t>
            </w:r>
          </w:p>
        </w:tc>
        <w:tc>
          <w:tcPr>
            <w:tcW w:w="2740" w:type="dxa"/>
          </w:tcPr>
          <w:p w14:paraId="32B32A68" w14:textId="77777777" w:rsidR="00FD0BA5" w:rsidRPr="00225950" w:rsidRDefault="00FD0BA5" w:rsidP="00193BF6">
            <w:pPr>
              <w:pStyle w:val="TableTextNormal"/>
              <w:keepNext/>
              <w:rPr>
                <w:rFonts w:eastAsia="Gungsuh"/>
              </w:rPr>
            </w:pPr>
            <w:r w:rsidRPr="00225950">
              <w:rPr>
                <w:rFonts w:eastAsia="Gungsuh"/>
              </w:rPr>
              <w:t>Fixed, leased lines</w:t>
            </w:r>
          </w:p>
        </w:tc>
      </w:tr>
      <w:tr w:rsidR="00FD0BA5" w:rsidRPr="00225950" w14:paraId="756C0F51" w14:textId="77777777" w:rsidTr="00193BF6">
        <w:trPr>
          <w:cantSplit/>
          <w:trHeight w:val="340"/>
        </w:trPr>
        <w:tc>
          <w:tcPr>
            <w:tcW w:w="5778" w:type="dxa"/>
          </w:tcPr>
          <w:p w14:paraId="160E848B" w14:textId="77777777" w:rsidR="00FD0BA5" w:rsidRPr="00225950" w:rsidRDefault="00FD0BA5" w:rsidP="007404FC">
            <w:pPr>
              <w:pStyle w:val="TableTextNormal"/>
              <w:rPr>
                <w:rFonts w:eastAsia="Gungsuh"/>
              </w:rPr>
            </w:pPr>
            <w:r w:rsidRPr="00225950">
              <w:rPr>
                <w:rFonts w:eastAsia="Gungsuh"/>
              </w:rPr>
              <w:t>Complaints rate</w:t>
            </w:r>
          </w:p>
        </w:tc>
        <w:tc>
          <w:tcPr>
            <w:tcW w:w="2740" w:type="dxa"/>
          </w:tcPr>
          <w:p w14:paraId="45FF7D05" w14:textId="77777777" w:rsidR="00FD0BA5" w:rsidRPr="00225950" w:rsidRDefault="00FD0BA5" w:rsidP="007404FC">
            <w:pPr>
              <w:pStyle w:val="TableTextNormal"/>
              <w:rPr>
                <w:rFonts w:eastAsia="Gungsuh"/>
              </w:rPr>
            </w:pPr>
            <w:r w:rsidRPr="00225950">
              <w:rPr>
                <w:rFonts w:eastAsia="Gungsuh"/>
              </w:rPr>
              <w:t>Fixed</w:t>
            </w:r>
          </w:p>
        </w:tc>
      </w:tr>
      <w:tr w:rsidR="00FD0BA5" w:rsidRPr="00225950" w14:paraId="41385B05" w14:textId="77777777" w:rsidTr="00193BF6">
        <w:trPr>
          <w:cantSplit/>
          <w:trHeight w:val="340"/>
        </w:trPr>
        <w:tc>
          <w:tcPr>
            <w:tcW w:w="5778" w:type="dxa"/>
          </w:tcPr>
          <w:p w14:paraId="4D9482D9" w14:textId="77777777" w:rsidR="00FD0BA5" w:rsidRPr="00225950" w:rsidRDefault="00FD0BA5" w:rsidP="007404FC">
            <w:pPr>
              <w:pStyle w:val="TableTextNormal"/>
              <w:rPr>
                <w:rFonts w:eastAsia="Gungsuh"/>
              </w:rPr>
            </w:pPr>
            <w:r w:rsidRPr="00225950">
              <w:rPr>
                <w:rFonts w:eastAsia="Gungsuh"/>
              </w:rPr>
              <w:t>Customer and bill correctness complaints and resolution times</w:t>
            </w:r>
          </w:p>
        </w:tc>
        <w:tc>
          <w:tcPr>
            <w:tcW w:w="2740" w:type="dxa"/>
          </w:tcPr>
          <w:p w14:paraId="556C9260" w14:textId="77777777" w:rsidR="00FD0BA5" w:rsidRPr="00225950" w:rsidRDefault="00FD0BA5" w:rsidP="007404FC">
            <w:pPr>
              <w:pStyle w:val="TableTextNormal"/>
              <w:rPr>
                <w:rFonts w:eastAsia="Gungsuh"/>
              </w:rPr>
            </w:pPr>
            <w:r w:rsidRPr="00225950">
              <w:rPr>
                <w:rFonts w:eastAsia="Gungsuh"/>
              </w:rPr>
              <w:t>Fixed</w:t>
            </w:r>
          </w:p>
        </w:tc>
      </w:tr>
      <w:tr w:rsidR="00FD0BA5" w:rsidRPr="00225950" w14:paraId="6E237C1F" w14:textId="77777777" w:rsidTr="00193BF6">
        <w:trPr>
          <w:cantSplit/>
          <w:trHeight w:val="340"/>
        </w:trPr>
        <w:tc>
          <w:tcPr>
            <w:tcW w:w="5778" w:type="dxa"/>
          </w:tcPr>
          <w:p w14:paraId="2A08A91B" w14:textId="77777777" w:rsidR="00FD0BA5" w:rsidRPr="00225950" w:rsidRDefault="00FD0BA5" w:rsidP="007404FC">
            <w:pPr>
              <w:pStyle w:val="TableTextNormal"/>
              <w:rPr>
                <w:rFonts w:eastAsia="Gungsuh"/>
              </w:rPr>
            </w:pPr>
            <w:r w:rsidRPr="00225950">
              <w:rPr>
                <w:rFonts w:eastAsia="Gungsuh"/>
              </w:rPr>
              <w:t>Call centre response time &amp; accuracy</w:t>
            </w:r>
          </w:p>
        </w:tc>
        <w:tc>
          <w:tcPr>
            <w:tcW w:w="2740" w:type="dxa"/>
          </w:tcPr>
          <w:p w14:paraId="294C45EE" w14:textId="77777777" w:rsidR="00FD0BA5" w:rsidRPr="00225950" w:rsidRDefault="00FD0BA5" w:rsidP="007404FC">
            <w:pPr>
              <w:pStyle w:val="TableTextNormal"/>
              <w:rPr>
                <w:rFonts w:eastAsia="Gungsuh"/>
              </w:rPr>
            </w:pPr>
            <w:r w:rsidRPr="00225950">
              <w:rPr>
                <w:rFonts w:eastAsia="Gungsuh"/>
              </w:rPr>
              <w:t>All enquiry services</w:t>
            </w:r>
          </w:p>
        </w:tc>
      </w:tr>
      <w:tr w:rsidR="00FD0BA5" w:rsidRPr="00225950" w14:paraId="1FD6C9B8" w14:textId="77777777" w:rsidTr="00193BF6">
        <w:trPr>
          <w:cantSplit/>
          <w:trHeight w:val="340"/>
        </w:trPr>
        <w:tc>
          <w:tcPr>
            <w:tcW w:w="5778" w:type="dxa"/>
          </w:tcPr>
          <w:p w14:paraId="625DA819" w14:textId="77777777" w:rsidR="00FD0BA5" w:rsidRPr="00225950" w:rsidRDefault="00FD0BA5" w:rsidP="007404FC">
            <w:pPr>
              <w:pStyle w:val="TableTextNormal"/>
              <w:rPr>
                <w:rFonts w:eastAsia="Gungsuh"/>
              </w:rPr>
            </w:pPr>
            <w:r w:rsidRPr="00225950">
              <w:rPr>
                <w:rFonts w:eastAsia="Gungsuh"/>
              </w:rPr>
              <w:t>Faults on lines delivered in the last calendar month</w:t>
            </w:r>
          </w:p>
        </w:tc>
        <w:tc>
          <w:tcPr>
            <w:tcW w:w="2740" w:type="dxa"/>
          </w:tcPr>
          <w:p w14:paraId="3E06A438" w14:textId="77777777" w:rsidR="00FD0BA5" w:rsidRPr="00225950" w:rsidRDefault="00FD0BA5" w:rsidP="007404FC">
            <w:pPr>
              <w:pStyle w:val="TableTextNormal"/>
              <w:rPr>
                <w:rFonts w:eastAsia="Gungsuh"/>
              </w:rPr>
            </w:pPr>
            <w:r w:rsidRPr="00225950">
              <w:rPr>
                <w:rFonts w:eastAsia="Gungsuh"/>
              </w:rPr>
              <w:t>All wholesale services</w:t>
            </w:r>
          </w:p>
        </w:tc>
      </w:tr>
      <w:tr w:rsidR="00AE12E7" w:rsidRPr="00225950" w14:paraId="45A1A79B" w14:textId="77777777" w:rsidTr="00193BF6">
        <w:trPr>
          <w:cantSplit/>
          <w:trHeight w:val="340"/>
        </w:trPr>
        <w:tc>
          <w:tcPr>
            <w:tcW w:w="5778" w:type="dxa"/>
          </w:tcPr>
          <w:p w14:paraId="0E05555D" w14:textId="253D6DA0" w:rsidR="00AE12E7" w:rsidRPr="00225950" w:rsidRDefault="00AE12E7" w:rsidP="00D75BD5">
            <w:pPr>
              <w:pStyle w:val="TableTextNormal"/>
              <w:rPr>
                <w:rFonts w:eastAsia="Gungsuh"/>
              </w:rPr>
            </w:pPr>
            <w:r>
              <w:rPr>
                <w:rFonts w:eastAsia="Gungsuh"/>
              </w:rPr>
              <w:t xml:space="preserve">Faults caused by </w:t>
            </w:r>
            <w:r w:rsidRPr="00225950">
              <w:rPr>
                <w:rFonts w:eastAsia="Gungsuh"/>
              </w:rPr>
              <w:t>operators</w:t>
            </w:r>
          </w:p>
        </w:tc>
        <w:tc>
          <w:tcPr>
            <w:tcW w:w="2740" w:type="dxa"/>
          </w:tcPr>
          <w:p w14:paraId="7DA88921" w14:textId="77777777" w:rsidR="00AE12E7" w:rsidRPr="00225950" w:rsidRDefault="00AE12E7" w:rsidP="007404FC">
            <w:pPr>
              <w:pStyle w:val="TableTextNormal"/>
              <w:rPr>
                <w:rFonts w:eastAsia="Gungsuh"/>
              </w:rPr>
            </w:pPr>
            <w:r w:rsidRPr="00225950">
              <w:rPr>
                <w:rFonts w:eastAsia="Gungsuh"/>
              </w:rPr>
              <w:t>All wholesale services</w:t>
            </w:r>
          </w:p>
        </w:tc>
      </w:tr>
    </w:tbl>
    <w:p w14:paraId="65A7BF72" w14:textId="7829BB21" w:rsidR="00FD0BA5" w:rsidRDefault="009D1655" w:rsidP="009D1655">
      <w:pPr>
        <w:pStyle w:val="Heading4"/>
        <w:numPr>
          <w:ilvl w:val="0"/>
          <w:numId w:val="0"/>
        </w:numPr>
        <w:ind w:left="851" w:hanging="851"/>
        <w:rPr>
          <w:snapToGrid/>
        </w:rPr>
      </w:pPr>
      <w:r>
        <w:rPr>
          <w:snapToGrid/>
        </w:rPr>
        <w:t>3.4.4</w:t>
      </w:r>
      <w:r>
        <w:rPr>
          <w:snapToGrid/>
        </w:rPr>
        <w:tab/>
      </w:r>
      <w:r w:rsidR="00FD0BA5" w:rsidRPr="00B339AC">
        <w:rPr>
          <w:snapToGrid/>
        </w:rPr>
        <w:t>Penalties for non-compliance</w:t>
      </w:r>
    </w:p>
    <w:p w14:paraId="6F6865F5" w14:textId="1F9375C8" w:rsidR="00FD0BA5" w:rsidRPr="00225950" w:rsidRDefault="00FD0BA5" w:rsidP="00FD0BA5">
      <w:pPr>
        <w:shd w:val="clear" w:color="auto" w:fill="FFFFFF"/>
        <w:spacing w:before="120" w:after="120"/>
        <w:rPr>
          <w:rFonts w:eastAsia="Georgia" w:cs="Georgia"/>
        </w:rPr>
      </w:pPr>
      <w:r w:rsidRPr="00225950">
        <w:rPr>
          <w:rFonts w:eastAsia="Georgia" w:cs="Georgia"/>
        </w:rPr>
        <w:t xml:space="preserve">The </w:t>
      </w:r>
      <w:r w:rsidR="00494A47">
        <w:rPr>
          <w:rFonts w:eastAsia="Georgia" w:cs="Georgia"/>
        </w:rPr>
        <w:t>ARCEP</w:t>
      </w:r>
      <w:r w:rsidRPr="00225950">
        <w:rPr>
          <w:rFonts w:eastAsia="Georgia" w:cs="Georgia"/>
        </w:rPr>
        <w:t xml:space="preserve"> is responsible for ensuring that telecommunications operators are compliant with their obligations as per EU and ARCEP regulations. The </w:t>
      </w:r>
      <w:r w:rsidR="00494A47">
        <w:rPr>
          <w:rFonts w:eastAsia="Georgia" w:cs="Georgia"/>
        </w:rPr>
        <w:t>ARCEP</w:t>
      </w:r>
      <w:r w:rsidRPr="00225950">
        <w:rPr>
          <w:rFonts w:eastAsia="Georgia" w:cs="Georgia"/>
        </w:rPr>
        <w:t xml:space="preserve">, subject to its own discretion, will send a notice to non-compliant operators and require operators in breach to take action to remedy the situation </w:t>
      </w:r>
      <w:r w:rsidR="00FA4EF8">
        <w:rPr>
          <w:rFonts w:eastAsia="Georgia" w:cs="Georgia"/>
        </w:rPr>
        <w:t>within a specified</w:t>
      </w:r>
      <w:r w:rsidRPr="00225950">
        <w:rPr>
          <w:rFonts w:eastAsia="Georgia" w:cs="Georgia"/>
        </w:rPr>
        <w:t xml:space="preserve"> timeframe. If this timeframe is not met, the </w:t>
      </w:r>
      <w:r w:rsidR="00494A47">
        <w:rPr>
          <w:rFonts w:eastAsia="Georgia" w:cs="Georgia"/>
        </w:rPr>
        <w:t>ARCEP</w:t>
      </w:r>
      <w:r w:rsidRPr="00225950">
        <w:rPr>
          <w:rFonts w:eastAsia="Georgia" w:cs="Georgia"/>
        </w:rPr>
        <w:t xml:space="preserve"> can:</w:t>
      </w:r>
    </w:p>
    <w:p w14:paraId="43E253CF" w14:textId="67FD84C3" w:rsidR="00500F31" w:rsidRPr="00225950" w:rsidRDefault="00DB0DD9" w:rsidP="00500F31">
      <w:pPr>
        <w:pStyle w:val="ListBullet"/>
        <w:rPr>
          <w:rFonts w:eastAsia="Georgia"/>
        </w:rPr>
      </w:pPr>
      <w:r>
        <w:rPr>
          <w:rFonts w:eastAsia="Georgia"/>
        </w:rPr>
        <w:t>S</w:t>
      </w:r>
      <w:r w:rsidR="00500F31" w:rsidRPr="00225950">
        <w:rPr>
          <w:rFonts w:eastAsia="Georgia"/>
        </w:rPr>
        <w:t>uspend the rights of the operator in relation to its activities (for a maximum duration of three years)</w:t>
      </w:r>
      <w:r>
        <w:rPr>
          <w:rFonts w:eastAsia="Georgia"/>
        </w:rPr>
        <w:t>.</w:t>
      </w:r>
    </w:p>
    <w:p w14:paraId="5CB5F6C0" w14:textId="71B8BF9A" w:rsidR="00500F31" w:rsidRPr="00225950" w:rsidRDefault="00DB0DD9" w:rsidP="00500F31">
      <w:pPr>
        <w:pStyle w:val="ListBullet"/>
        <w:rPr>
          <w:rFonts w:eastAsia="Georgia"/>
        </w:rPr>
      </w:pPr>
      <w:r>
        <w:rPr>
          <w:rFonts w:eastAsia="Georgia"/>
        </w:rPr>
        <w:t>I</w:t>
      </w:r>
      <w:r w:rsidR="00FA4EF8">
        <w:rPr>
          <w:rFonts w:eastAsia="Georgia"/>
        </w:rPr>
        <w:t>mpose</w:t>
      </w:r>
      <w:r w:rsidR="00500F31" w:rsidRPr="00225950">
        <w:rPr>
          <w:rFonts w:eastAsia="Georgia"/>
        </w:rPr>
        <w:t xml:space="preserve"> a fine which will be proportionate to the seriousness of the breach and to the benefits drawn from such </w:t>
      </w:r>
      <w:r w:rsidR="00500F31">
        <w:rPr>
          <w:rFonts w:eastAsia="Georgia"/>
        </w:rPr>
        <w:t xml:space="preserve">a </w:t>
      </w:r>
      <w:r w:rsidR="00500F31" w:rsidRPr="00225950">
        <w:rPr>
          <w:rFonts w:eastAsia="Georgia"/>
        </w:rPr>
        <w:t>breach by the o</w:t>
      </w:r>
      <w:r w:rsidR="0000588F">
        <w:rPr>
          <w:rFonts w:eastAsia="Georgia"/>
        </w:rPr>
        <w:t>perator (within the limits of 3 per cent</w:t>
      </w:r>
      <w:r w:rsidR="00500F31" w:rsidRPr="00225950">
        <w:rPr>
          <w:rFonts w:eastAsia="Georgia"/>
        </w:rPr>
        <w:t xml:space="preserve"> of its net annual revenue, or </w:t>
      </w:r>
      <w:r w:rsidR="006913FC">
        <w:rPr>
          <w:rFonts w:eastAsia="Georgia"/>
        </w:rPr>
        <w:t>€</w:t>
      </w:r>
      <w:r w:rsidR="00500F31" w:rsidRPr="00225950">
        <w:rPr>
          <w:rFonts w:eastAsia="Georgia"/>
        </w:rPr>
        <w:t xml:space="preserve">150,000 </w:t>
      </w:r>
      <w:r w:rsidR="0000588F">
        <w:rPr>
          <w:rFonts w:eastAsia="Georgia" w:cs="Georgia"/>
        </w:rPr>
        <w:lastRenderedPageBreak/>
        <w:t>(~AUD$</w:t>
      </w:r>
      <w:r w:rsidR="0000588F" w:rsidRPr="00DD7896">
        <w:t>236,773</w:t>
      </w:r>
      <w:r w:rsidR="0000588F">
        <w:rPr>
          <w:rStyle w:val="FootnoteReference"/>
        </w:rPr>
        <w:footnoteReference w:id="67"/>
      </w:r>
      <w:r w:rsidR="0000588F">
        <w:t xml:space="preserve">) </w:t>
      </w:r>
      <w:r w:rsidR="00500F31" w:rsidRPr="00225950">
        <w:rPr>
          <w:rFonts w:eastAsia="Georgia"/>
        </w:rPr>
        <w:t>in the event its previous annual revenue cannot be assessed)</w:t>
      </w:r>
      <w:r w:rsidR="00500F31">
        <w:rPr>
          <w:rFonts w:eastAsia="Georgia"/>
        </w:rPr>
        <w:t>.</w:t>
      </w:r>
      <w:r w:rsidR="00500F31" w:rsidRPr="00225950">
        <w:rPr>
          <w:rStyle w:val="FootnoteReference"/>
          <w:rFonts w:eastAsia="Georgia"/>
        </w:rPr>
        <w:footnoteReference w:id="68"/>
      </w:r>
    </w:p>
    <w:p w14:paraId="5D22318D" w14:textId="77777777" w:rsidR="00FD0BA5" w:rsidRPr="001A69B0" w:rsidRDefault="00FD0BA5" w:rsidP="00AC327F">
      <w:pPr>
        <w:pStyle w:val="PwCNormal"/>
        <w:rPr>
          <w:rFonts w:eastAsia="Georgia"/>
        </w:rPr>
      </w:pPr>
      <w:r w:rsidRPr="001A69B0">
        <w:rPr>
          <w:rFonts w:eastAsia="Georgia"/>
        </w:rPr>
        <w:br w:type="page"/>
      </w:r>
    </w:p>
    <w:p w14:paraId="7CAB1436" w14:textId="11FEA9CD" w:rsidR="00500F31" w:rsidRPr="00225950" w:rsidRDefault="009D1655" w:rsidP="009D1655">
      <w:pPr>
        <w:pStyle w:val="Heading3"/>
        <w:numPr>
          <w:ilvl w:val="0"/>
          <w:numId w:val="0"/>
        </w:numPr>
        <w:ind w:left="851" w:hanging="851"/>
      </w:pPr>
      <w:bookmarkStart w:id="42" w:name="_x1i7p2i12ihr" w:colFirst="0" w:colLast="0"/>
      <w:bookmarkStart w:id="43" w:name="_Toc518337350"/>
      <w:bookmarkStart w:id="44" w:name="_Toc525650417"/>
      <w:bookmarkEnd w:id="42"/>
      <w:r>
        <w:lastRenderedPageBreak/>
        <w:t>3.5</w:t>
      </w:r>
      <w:r>
        <w:tab/>
      </w:r>
      <w:r w:rsidR="00500F31" w:rsidRPr="00225950">
        <w:t>New Zealand</w:t>
      </w:r>
      <w:bookmarkEnd w:id="43"/>
      <w:bookmarkEnd w:id="44"/>
    </w:p>
    <w:p w14:paraId="4A3351B4" w14:textId="2FCC4CFE" w:rsidR="00500F31" w:rsidRDefault="00500F31" w:rsidP="00500F31">
      <w:pPr>
        <w:spacing w:before="120" w:after="120"/>
        <w:rPr>
          <w:rFonts w:eastAsia="Georgia" w:cs="Georgia"/>
        </w:rPr>
      </w:pPr>
      <w:r>
        <w:rPr>
          <w:rFonts w:eastAsia="Georgia" w:cs="Georgia"/>
        </w:rPr>
        <w:t>In New Zealand t</w:t>
      </w:r>
      <w:r w:rsidRPr="00225950">
        <w:rPr>
          <w:rFonts w:eastAsia="Georgia" w:cs="Georgia"/>
        </w:rPr>
        <w:t>he Commerce Commission</w:t>
      </w:r>
      <w:r w:rsidR="007B4E70">
        <w:rPr>
          <w:rFonts w:eastAsia="Georgia" w:cs="Georgia"/>
        </w:rPr>
        <w:t xml:space="preserve"> (Commerce Commission)</w:t>
      </w:r>
      <w:r w:rsidRPr="00225950">
        <w:rPr>
          <w:rFonts w:eastAsia="Georgia" w:cs="Georgia"/>
        </w:rPr>
        <w:t xml:space="preserve"> </w:t>
      </w:r>
      <w:r>
        <w:rPr>
          <w:rFonts w:eastAsia="Georgia" w:cs="Georgia"/>
        </w:rPr>
        <w:t>is</w:t>
      </w:r>
      <w:r w:rsidRPr="00225950">
        <w:rPr>
          <w:rFonts w:eastAsia="Georgia" w:cs="Georgia"/>
        </w:rPr>
        <w:t xml:space="preserve"> responsible for implementing, monitoring and enforcing the </w:t>
      </w:r>
      <w:r>
        <w:rPr>
          <w:rFonts w:eastAsia="Georgia" w:cs="Georgia"/>
        </w:rPr>
        <w:t xml:space="preserve">New Zealand </w:t>
      </w:r>
      <w:r w:rsidRPr="003F5610">
        <w:rPr>
          <w:rFonts w:eastAsia="Georgia" w:cs="Georgia"/>
          <w:i/>
        </w:rPr>
        <w:t>Telecommunications Act 2001</w:t>
      </w:r>
      <w:r w:rsidR="00FA4EF8">
        <w:rPr>
          <w:rFonts w:eastAsia="Georgia" w:cs="Georgia"/>
          <w:i/>
        </w:rPr>
        <w:t xml:space="preserve">, </w:t>
      </w:r>
      <w:r w:rsidR="00FA4EF8" w:rsidRPr="00777019">
        <w:rPr>
          <w:rFonts w:eastAsia="Georgia" w:cs="Georgia"/>
        </w:rPr>
        <w:t>which</w:t>
      </w:r>
      <w:r w:rsidR="00FA4EF8">
        <w:rPr>
          <w:rFonts w:eastAsia="Georgia" w:cs="Georgia"/>
          <w:i/>
        </w:rPr>
        <w:t xml:space="preserve"> </w:t>
      </w:r>
      <w:r w:rsidRPr="00225950">
        <w:rPr>
          <w:rFonts w:eastAsia="Georgia" w:cs="Georgia"/>
        </w:rPr>
        <w:t>regulates the supply of telecommunication</w:t>
      </w:r>
      <w:r>
        <w:rPr>
          <w:rFonts w:eastAsia="Georgia" w:cs="Georgia"/>
        </w:rPr>
        <w:t>s</w:t>
      </w:r>
      <w:r w:rsidRPr="00225950">
        <w:rPr>
          <w:rFonts w:eastAsia="Georgia" w:cs="Georgia"/>
        </w:rPr>
        <w:t xml:space="preserve"> services. </w:t>
      </w:r>
      <w:r>
        <w:rPr>
          <w:rFonts w:eastAsia="Georgia" w:cs="Georgia"/>
        </w:rPr>
        <w:t xml:space="preserve">The </w:t>
      </w:r>
      <w:r w:rsidR="00976B45">
        <w:rPr>
          <w:rFonts w:eastAsia="Georgia" w:cs="Georgia"/>
        </w:rPr>
        <w:t>Comme</w:t>
      </w:r>
      <w:r w:rsidR="00AF25CC">
        <w:rPr>
          <w:rFonts w:eastAsia="Georgia" w:cs="Georgia"/>
        </w:rPr>
        <w:t>r</w:t>
      </w:r>
      <w:r w:rsidR="00976B45">
        <w:rPr>
          <w:rFonts w:eastAsia="Georgia" w:cs="Georgia"/>
        </w:rPr>
        <w:t xml:space="preserve">ce </w:t>
      </w:r>
      <w:r>
        <w:rPr>
          <w:rFonts w:eastAsia="Georgia" w:cs="Georgia"/>
        </w:rPr>
        <w:t>Commission has broad responsibilit</w:t>
      </w:r>
      <w:r w:rsidR="005A47B9">
        <w:rPr>
          <w:rFonts w:eastAsia="Georgia" w:cs="Georgia"/>
        </w:rPr>
        <w:t>y for regulation in New Zealand;</w:t>
      </w:r>
      <w:r>
        <w:rPr>
          <w:rFonts w:eastAsia="Georgia" w:cs="Georgia"/>
        </w:rPr>
        <w:t xml:space="preserve"> it also has a mandate to enforce competition laws, as established under the </w:t>
      </w:r>
      <w:r w:rsidRPr="00973277">
        <w:rPr>
          <w:i/>
        </w:rPr>
        <w:t>Commerce Act 1986</w:t>
      </w:r>
      <w:r>
        <w:rPr>
          <w:i/>
        </w:rPr>
        <w:t>.</w:t>
      </w:r>
    </w:p>
    <w:p w14:paraId="1EC223AA" w14:textId="256A872C" w:rsidR="00BE12F3" w:rsidRPr="00225950" w:rsidRDefault="00BE12F3" w:rsidP="00BE12F3">
      <w:pPr>
        <w:spacing w:before="120" w:after="120"/>
      </w:pPr>
      <w:r w:rsidRPr="00225950">
        <w:rPr>
          <w:rFonts w:eastAsia="Georgia" w:cs="Georgia"/>
        </w:rPr>
        <w:t>The Commerce Commission in 2009 stated</w:t>
      </w:r>
      <w:r>
        <w:rPr>
          <w:rFonts w:eastAsia="Georgia" w:cs="Georgia"/>
        </w:rPr>
        <w:t>:</w:t>
      </w:r>
    </w:p>
    <w:p w14:paraId="18DEF505" w14:textId="4B4945E1" w:rsidR="00BE12F3" w:rsidRPr="00225950" w:rsidRDefault="00BE12F3" w:rsidP="00BE12F3">
      <w:pPr>
        <w:spacing w:before="120" w:after="120"/>
        <w:ind w:left="720"/>
        <w:rPr>
          <w:rFonts w:eastAsia="Georgia" w:cs="Georgia"/>
          <w:i/>
        </w:rPr>
      </w:pPr>
      <w:r w:rsidRPr="00225950">
        <w:rPr>
          <w:rFonts w:eastAsia="Georgia" w:cs="Georgia"/>
          <w:i/>
        </w:rPr>
        <w:t>In our view, regulatory intervention should be scaled back in areas where it is no longer necessary to promote competition, and regulation should not impose or maintain burdens that are unnecessary.</w:t>
      </w:r>
      <w:r w:rsidR="00A16BB8" w:rsidRPr="00225950">
        <w:rPr>
          <w:rStyle w:val="FootnoteReference"/>
          <w:rFonts w:eastAsia="Georgia"/>
        </w:rPr>
        <w:footnoteReference w:id="69"/>
      </w:r>
    </w:p>
    <w:p w14:paraId="3C6A8680" w14:textId="556EC459" w:rsidR="00BE12F3" w:rsidRPr="00225950" w:rsidRDefault="00BE12F3" w:rsidP="00BE12F3">
      <w:pPr>
        <w:spacing w:before="120" w:after="120"/>
        <w:rPr>
          <w:rFonts w:eastAsia="Georgia" w:cs="Georgia"/>
        </w:rPr>
      </w:pPr>
      <w:r w:rsidRPr="00225950">
        <w:rPr>
          <w:rFonts w:eastAsia="Georgia" w:cs="Georgia"/>
        </w:rPr>
        <w:t>In alignment with this statement, the Commerce Commission does not appear to set minimum standards that providers must adhere to. The Commerce Commission provide</w:t>
      </w:r>
      <w:r>
        <w:rPr>
          <w:rFonts w:eastAsia="Georgia" w:cs="Georgia"/>
        </w:rPr>
        <w:t>s</w:t>
      </w:r>
      <w:r w:rsidRPr="00225950">
        <w:rPr>
          <w:rFonts w:eastAsia="Georgia" w:cs="Georgia"/>
        </w:rPr>
        <w:t xml:space="preserve"> performance information through </w:t>
      </w:r>
      <w:r w:rsidR="00313FD9">
        <w:rPr>
          <w:rFonts w:eastAsia="Georgia" w:cs="Georgia"/>
        </w:rPr>
        <w:t>its</w:t>
      </w:r>
      <w:r w:rsidR="00313FD9" w:rsidRPr="00225950">
        <w:rPr>
          <w:rFonts w:eastAsia="Georgia" w:cs="Georgia"/>
        </w:rPr>
        <w:t xml:space="preserve"> </w:t>
      </w:r>
      <w:r w:rsidRPr="00225950">
        <w:rPr>
          <w:rFonts w:eastAsia="Georgia" w:cs="Georgia"/>
        </w:rPr>
        <w:t>annual monitoring report</w:t>
      </w:r>
      <w:r>
        <w:rPr>
          <w:rFonts w:eastAsia="Georgia" w:cs="Georgia"/>
        </w:rPr>
        <w:t>,</w:t>
      </w:r>
      <w:r w:rsidRPr="00225950">
        <w:rPr>
          <w:rStyle w:val="FootnoteReference"/>
          <w:rFonts w:eastAsia="Georgia"/>
        </w:rPr>
        <w:footnoteReference w:id="70"/>
      </w:r>
      <w:r w:rsidRPr="00225950">
        <w:rPr>
          <w:rFonts w:eastAsia="Georgia" w:cs="Georgia"/>
        </w:rPr>
        <w:t xml:space="preserve"> and Stats NZ</w:t>
      </w:r>
      <w:r w:rsidRPr="00225950">
        <w:rPr>
          <w:rStyle w:val="FootnoteReference"/>
          <w:rFonts w:eastAsia="Georgia"/>
        </w:rPr>
        <w:footnoteReference w:id="71"/>
      </w:r>
      <w:r>
        <w:rPr>
          <w:rFonts w:eastAsia="Georgia" w:cs="Georgia"/>
        </w:rPr>
        <w:t xml:space="preserve"> </w:t>
      </w:r>
      <w:r w:rsidRPr="00225950">
        <w:rPr>
          <w:rFonts w:eastAsia="Georgia" w:cs="Georgia"/>
        </w:rPr>
        <w:t>provide</w:t>
      </w:r>
      <w:r>
        <w:rPr>
          <w:rFonts w:eastAsia="Georgia" w:cs="Georgia"/>
        </w:rPr>
        <w:t>s</w:t>
      </w:r>
      <w:r w:rsidRPr="00225950">
        <w:rPr>
          <w:rFonts w:eastAsia="Georgia" w:cs="Georgia"/>
        </w:rPr>
        <w:t xml:space="preserve"> further informatio</w:t>
      </w:r>
      <w:r w:rsidR="00DB0DD9">
        <w:rPr>
          <w:rFonts w:eastAsia="Georgia" w:cs="Georgia"/>
        </w:rPr>
        <w:t>n at the whole of sector level.</w:t>
      </w:r>
    </w:p>
    <w:p w14:paraId="5DB6B37E" w14:textId="25228356" w:rsidR="00BE12F3" w:rsidRDefault="00BE12F3" w:rsidP="00BE12F3">
      <w:pPr>
        <w:spacing w:before="120" w:after="120"/>
        <w:rPr>
          <w:rFonts w:eastAsia="Georgia" w:cs="Georgia"/>
        </w:rPr>
      </w:pPr>
      <w:r w:rsidRPr="00225950">
        <w:rPr>
          <w:rFonts w:eastAsia="Georgia" w:cs="Georgia"/>
        </w:rPr>
        <w:t xml:space="preserve">The Commerce Commission has a number of Standard Terms Determinations which set out the terms on which telecommunications service providers must provide wholesale services regulated under the </w:t>
      </w:r>
      <w:r w:rsidRPr="00FA4EF8">
        <w:rPr>
          <w:rFonts w:eastAsia="Georgia" w:cs="Georgia"/>
          <w:i/>
        </w:rPr>
        <w:t>Telecommunications Act 2001</w:t>
      </w:r>
      <w:r w:rsidRPr="00225950">
        <w:rPr>
          <w:rFonts w:eastAsia="Georgia" w:cs="Georgia"/>
        </w:rPr>
        <w:t xml:space="preserve"> to other telecommunications service providers</w:t>
      </w:r>
      <w:r>
        <w:rPr>
          <w:rFonts w:eastAsia="Georgia" w:cs="Georgia"/>
        </w:rPr>
        <w:t>.</w:t>
      </w:r>
      <w:r w:rsidRPr="00225950">
        <w:rPr>
          <w:rStyle w:val="FootnoteReference"/>
          <w:rFonts w:eastAsia="Georgia"/>
        </w:rPr>
        <w:footnoteReference w:id="72"/>
      </w:r>
    </w:p>
    <w:p w14:paraId="4510BE31" w14:textId="008DABF1" w:rsidR="00BE12F3" w:rsidRPr="00225950" w:rsidRDefault="00BE12F3" w:rsidP="00BE12F3">
      <w:pPr>
        <w:spacing w:before="120" w:after="120"/>
        <w:rPr>
          <w:rFonts w:eastAsia="Georgia" w:cs="Georgia"/>
        </w:rPr>
      </w:pPr>
      <w:r w:rsidRPr="00225950">
        <w:rPr>
          <w:rFonts w:eastAsia="Georgia" w:cs="Georgia"/>
        </w:rPr>
        <w:t xml:space="preserve">The New Zealand Telecommunications Forum </w:t>
      </w:r>
      <w:r w:rsidR="007B4E70">
        <w:rPr>
          <w:rFonts w:eastAsia="Georgia" w:cs="Georgia"/>
        </w:rPr>
        <w:t xml:space="preserve">(the Forum) </w:t>
      </w:r>
      <w:r w:rsidRPr="00225950">
        <w:rPr>
          <w:rFonts w:eastAsia="Georgia" w:cs="Georgia"/>
        </w:rPr>
        <w:t>is a member</w:t>
      </w:r>
      <w:r w:rsidR="007B4E70">
        <w:rPr>
          <w:rFonts w:eastAsia="Georgia" w:cs="Georgia"/>
        </w:rPr>
        <w:t xml:space="preserve">-based </w:t>
      </w:r>
      <w:r w:rsidR="00777019">
        <w:rPr>
          <w:rFonts w:eastAsia="Georgia" w:cs="Georgia"/>
        </w:rPr>
        <w:t>industry</w:t>
      </w:r>
      <w:r w:rsidR="00777019" w:rsidRPr="00225950">
        <w:rPr>
          <w:rFonts w:eastAsia="Georgia" w:cs="Georgia"/>
        </w:rPr>
        <w:t xml:space="preserve"> organisation</w:t>
      </w:r>
      <w:r w:rsidRPr="00225950">
        <w:rPr>
          <w:rFonts w:eastAsia="Georgia" w:cs="Georgia"/>
        </w:rPr>
        <w:t xml:space="preserve"> that represents telecommunication</w:t>
      </w:r>
      <w:r w:rsidR="007B50FC">
        <w:rPr>
          <w:rFonts w:eastAsia="Georgia" w:cs="Georgia"/>
        </w:rPr>
        <w:t>s</w:t>
      </w:r>
      <w:r w:rsidRPr="00225950">
        <w:rPr>
          <w:rFonts w:eastAsia="Georgia" w:cs="Georgia"/>
        </w:rPr>
        <w:t xml:space="preserve"> providers in New Zealand. </w:t>
      </w:r>
      <w:r>
        <w:rPr>
          <w:rFonts w:eastAsia="Georgia" w:cs="Georgia"/>
        </w:rPr>
        <w:t>It</w:t>
      </w:r>
      <w:r w:rsidRPr="00225950">
        <w:rPr>
          <w:rFonts w:eastAsia="Georgia" w:cs="Georgia"/>
        </w:rPr>
        <w:t xml:space="preserve"> provide</w:t>
      </w:r>
      <w:r>
        <w:rPr>
          <w:rFonts w:eastAsia="Georgia" w:cs="Georgia"/>
        </w:rPr>
        <w:t>s</w:t>
      </w:r>
      <w:r w:rsidRPr="00225950">
        <w:rPr>
          <w:rFonts w:eastAsia="Georgia" w:cs="Georgia"/>
        </w:rPr>
        <w:t xml:space="preserve"> neutral, independent information about telecommunications products and services</w:t>
      </w:r>
      <w:r w:rsidR="00976B45">
        <w:rPr>
          <w:rFonts w:eastAsia="Georgia" w:cs="Georgia"/>
        </w:rPr>
        <w:t>,</w:t>
      </w:r>
      <w:r w:rsidRPr="00225950">
        <w:rPr>
          <w:rFonts w:eastAsia="Georgia" w:cs="Georgia"/>
        </w:rPr>
        <w:t xml:space="preserve"> and how the industry works in New Zealand. In addition to this</w:t>
      </w:r>
      <w:r>
        <w:rPr>
          <w:rFonts w:eastAsia="Georgia" w:cs="Georgia"/>
        </w:rPr>
        <w:t>, it</w:t>
      </w:r>
      <w:r w:rsidRPr="00225950">
        <w:rPr>
          <w:rFonts w:eastAsia="Georgia" w:cs="Georgia"/>
        </w:rPr>
        <w:t xml:space="preserve"> develop</w:t>
      </w:r>
      <w:r>
        <w:rPr>
          <w:rFonts w:eastAsia="Georgia" w:cs="Georgia"/>
        </w:rPr>
        <w:t>s</w:t>
      </w:r>
      <w:r w:rsidRPr="00225950">
        <w:rPr>
          <w:rFonts w:eastAsia="Georgia" w:cs="Georgia"/>
        </w:rPr>
        <w:t xml:space="preserve"> codes and guidelines to meet the needs of consumers, industry and government.</w:t>
      </w:r>
      <w:r w:rsidR="00B60541">
        <w:rPr>
          <w:rFonts w:eastAsia="Georgia" w:cs="Georgia"/>
        </w:rPr>
        <w:t xml:space="preserve"> </w:t>
      </w:r>
      <w:r w:rsidRPr="00225950">
        <w:rPr>
          <w:rFonts w:eastAsia="Georgia" w:cs="Georgia"/>
        </w:rPr>
        <w:t>These industry standard</w:t>
      </w:r>
      <w:r w:rsidR="00FA4EF8">
        <w:rPr>
          <w:rFonts w:eastAsia="Georgia" w:cs="Georgia"/>
        </w:rPr>
        <w:t xml:space="preserve">s and codes are </w:t>
      </w:r>
      <w:r w:rsidR="007B4E70">
        <w:rPr>
          <w:rFonts w:eastAsia="Georgia" w:cs="Georgia"/>
        </w:rPr>
        <w:t xml:space="preserve">grouped </w:t>
      </w:r>
      <w:r w:rsidR="00FA4EF8">
        <w:rPr>
          <w:rFonts w:eastAsia="Georgia" w:cs="Georgia"/>
        </w:rPr>
        <w:t>broadly across five</w:t>
      </w:r>
      <w:r w:rsidRPr="00225950">
        <w:rPr>
          <w:rFonts w:eastAsia="Georgia" w:cs="Georgia"/>
        </w:rPr>
        <w:t xml:space="preserve"> categories</w:t>
      </w:r>
      <w:r>
        <w:rPr>
          <w:rFonts w:eastAsia="Georgia" w:cs="Georgia"/>
        </w:rPr>
        <w:t>:</w:t>
      </w:r>
    </w:p>
    <w:p w14:paraId="2E5D3A57" w14:textId="77777777" w:rsidR="00BE12F3" w:rsidRPr="00225950" w:rsidRDefault="00BE12F3" w:rsidP="00BE12F3">
      <w:pPr>
        <w:pStyle w:val="ListBullet"/>
      </w:pPr>
      <w:r>
        <w:rPr>
          <w:rFonts w:eastAsia="Georgia"/>
        </w:rPr>
        <w:t>c</w:t>
      </w:r>
      <w:r w:rsidRPr="00225950">
        <w:rPr>
          <w:rFonts w:eastAsia="Georgia"/>
        </w:rPr>
        <w:t>ompliance</w:t>
      </w:r>
    </w:p>
    <w:p w14:paraId="4993DB98" w14:textId="77777777" w:rsidR="00BE12F3" w:rsidRPr="00225950" w:rsidRDefault="00BE12F3" w:rsidP="00BE12F3">
      <w:pPr>
        <w:pStyle w:val="ListBullet"/>
      </w:pPr>
      <w:r>
        <w:rPr>
          <w:rFonts w:eastAsia="Georgia"/>
        </w:rPr>
        <w:t>c</w:t>
      </w:r>
      <w:r w:rsidRPr="00225950">
        <w:rPr>
          <w:rFonts w:eastAsia="Georgia"/>
        </w:rPr>
        <w:t>ustomer experience</w:t>
      </w:r>
    </w:p>
    <w:p w14:paraId="485C34B4" w14:textId="77777777" w:rsidR="00BE12F3" w:rsidRPr="00225950" w:rsidRDefault="00BE12F3" w:rsidP="00BE12F3">
      <w:pPr>
        <w:pStyle w:val="ListBullet"/>
      </w:pPr>
      <w:r>
        <w:rPr>
          <w:rFonts w:eastAsia="Georgia"/>
        </w:rPr>
        <w:t>i</w:t>
      </w:r>
      <w:r w:rsidRPr="00225950">
        <w:rPr>
          <w:rFonts w:eastAsia="Georgia"/>
        </w:rPr>
        <w:t xml:space="preserve">nfrastructure and </w:t>
      </w:r>
      <w:r>
        <w:rPr>
          <w:rFonts w:eastAsia="Georgia"/>
        </w:rPr>
        <w:t>i</w:t>
      </w:r>
      <w:r w:rsidRPr="00225950">
        <w:rPr>
          <w:rFonts w:eastAsia="Georgia"/>
        </w:rPr>
        <w:t>nterconnections</w:t>
      </w:r>
    </w:p>
    <w:p w14:paraId="145EB91B" w14:textId="77777777" w:rsidR="00BE12F3" w:rsidRPr="00225950" w:rsidRDefault="00BE12F3" w:rsidP="00BE12F3">
      <w:pPr>
        <w:pStyle w:val="ListBullet"/>
      </w:pPr>
      <w:r>
        <w:rPr>
          <w:rFonts w:eastAsia="Georgia"/>
        </w:rPr>
        <w:t>m</w:t>
      </w:r>
      <w:r w:rsidRPr="00225950">
        <w:rPr>
          <w:rFonts w:eastAsia="Georgia"/>
        </w:rPr>
        <w:t>obile phone services</w:t>
      </w:r>
    </w:p>
    <w:p w14:paraId="10F000E0" w14:textId="5BC1C4AD" w:rsidR="00BE12F3" w:rsidRPr="00225950" w:rsidRDefault="00BE12F3" w:rsidP="00BE12F3">
      <w:pPr>
        <w:pStyle w:val="ListBullet"/>
      </w:pPr>
      <w:r>
        <w:rPr>
          <w:rFonts w:eastAsia="Georgia"/>
        </w:rPr>
        <w:lastRenderedPageBreak/>
        <w:t>p</w:t>
      </w:r>
      <w:r w:rsidRPr="00225950">
        <w:rPr>
          <w:rFonts w:eastAsia="Georgia"/>
        </w:rPr>
        <w:t>ublic services.</w:t>
      </w:r>
      <w:r w:rsidR="00A16BB8" w:rsidRPr="00225950">
        <w:rPr>
          <w:rStyle w:val="FootnoteReference"/>
          <w:rFonts w:eastAsia="Georgia"/>
        </w:rPr>
        <w:footnoteReference w:id="73"/>
      </w:r>
    </w:p>
    <w:p w14:paraId="625E5076" w14:textId="3C7AD560" w:rsidR="00BE12F3" w:rsidRPr="00225950" w:rsidRDefault="00BE12F3" w:rsidP="00BE12F3">
      <w:pPr>
        <w:spacing w:before="120" w:after="120"/>
        <w:rPr>
          <w:rFonts w:eastAsia="Georgia" w:cs="Georgia"/>
        </w:rPr>
      </w:pPr>
      <w:r w:rsidRPr="00225950">
        <w:rPr>
          <w:rFonts w:eastAsia="Georgia" w:cs="Georgia"/>
        </w:rPr>
        <w:t>Not all codes are compulsory</w:t>
      </w:r>
      <w:r w:rsidR="00680CB0">
        <w:rPr>
          <w:rFonts w:eastAsia="Georgia" w:cs="Georgia"/>
        </w:rPr>
        <w:t xml:space="preserve">. However, once providers have signed an industry code they are expected to abide by it and some sanctions </w:t>
      </w:r>
      <w:r w:rsidR="00E743E0">
        <w:rPr>
          <w:rFonts w:eastAsia="Georgia" w:cs="Georgia"/>
        </w:rPr>
        <w:t>may</w:t>
      </w:r>
      <w:r w:rsidR="00680CB0">
        <w:rPr>
          <w:rFonts w:eastAsia="Georgia" w:cs="Georgia"/>
        </w:rPr>
        <w:t xml:space="preserve"> be imposed by the industry forum.</w:t>
      </w:r>
    </w:p>
    <w:p w14:paraId="5741BCD2" w14:textId="6A2378DA" w:rsidR="00BE12F3" w:rsidRPr="00225950" w:rsidRDefault="00BE12F3" w:rsidP="00B14B8B">
      <w:pPr>
        <w:keepNext/>
        <w:spacing w:before="120" w:after="120"/>
        <w:rPr>
          <w:rFonts w:eastAsia="Georgia" w:cs="Georgia"/>
        </w:rPr>
      </w:pPr>
      <w:r w:rsidRPr="00225950">
        <w:rPr>
          <w:rFonts w:eastAsia="Georgia" w:cs="Georgia"/>
        </w:rPr>
        <w:t xml:space="preserve">The New Zealand Telecommunications Forum in </w:t>
      </w:r>
      <w:r w:rsidR="00606F43">
        <w:rPr>
          <w:rFonts w:eastAsia="Georgia" w:cs="Georgia"/>
        </w:rPr>
        <w:t>its</w:t>
      </w:r>
      <w:r w:rsidRPr="00225950">
        <w:rPr>
          <w:rFonts w:eastAsia="Georgia" w:cs="Georgia"/>
        </w:rPr>
        <w:t xml:space="preserve"> Code Compliance Framework state</w:t>
      </w:r>
      <w:r w:rsidR="00045A3B">
        <w:rPr>
          <w:rFonts w:eastAsia="Georgia" w:cs="Georgia"/>
        </w:rPr>
        <w:t>s that</w:t>
      </w:r>
      <w:r>
        <w:rPr>
          <w:rFonts w:eastAsia="Georgia" w:cs="Georgia"/>
        </w:rPr>
        <w:t>:</w:t>
      </w:r>
    </w:p>
    <w:p w14:paraId="0FF5AB18" w14:textId="74DEBDF4" w:rsidR="00BE12F3" w:rsidRPr="00DB0DD9" w:rsidRDefault="00BE12F3" w:rsidP="00B14B8B">
      <w:pPr>
        <w:keepLines/>
        <w:spacing w:before="120" w:after="120"/>
        <w:ind w:left="720"/>
        <w:rPr>
          <w:rFonts w:eastAsia="Georgia" w:cs="Georgia"/>
          <w:i/>
        </w:rPr>
      </w:pPr>
      <w:r w:rsidRPr="00DB0DD9">
        <w:rPr>
          <w:rFonts w:eastAsia="Georgia" w:cs="Georgia"/>
          <w:i/>
        </w:rPr>
        <w:t>A self-regulated compliance regime is clearly preferable from an industry perspective to one that is imposed on the industry. It is therefore important that these government expectations are taken seriously. The New Zealand Telecommunications Forum must be seen as an effective self-regulatory body to reduce government intervention.</w:t>
      </w:r>
      <w:r w:rsidR="00A16BB8" w:rsidRPr="00DB0DD9">
        <w:rPr>
          <w:rStyle w:val="FootnoteReference"/>
          <w:rFonts w:eastAsia="Georgia"/>
          <w:i/>
        </w:rPr>
        <w:t xml:space="preserve"> </w:t>
      </w:r>
      <w:r w:rsidR="00A16BB8" w:rsidRPr="00DB0DD9">
        <w:rPr>
          <w:rStyle w:val="FootnoteReference"/>
          <w:rFonts w:eastAsia="Georgia"/>
          <w:i/>
        </w:rPr>
        <w:footnoteReference w:id="74"/>
      </w:r>
    </w:p>
    <w:p w14:paraId="1FF441A0" w14:textId="232EE9EB" w:rsidR="00500F31" w:rsidRPr="00225950" w:rsidRDefault="00500F31" w:rsidP="00500F31">
      <w:pPr>
        <w:spacing w:before="120" w:after="120"/>
        <w:rPr>
          <w:rFonts w:eastAsia="Georgia" w:cs="Georgia"/>
        </w:rPr>
      </w:pPr>
      <w:r w:rsidRPr="00225950">
        <w:rPr>
          <w:rFonts w:eastAsia="Georgia" w:cs="Georgia"/>
        </w:rPr>
        <w:t xml:space="preserve">Service providers in New Zealand have set internal standards that they </w:t>
      </w:r>
      <w:r w:rsidR="00606F43">
        <w:rPr>
          <w:rFonts w:eastAsia="Georgia" w:cs="Georgia"/>
        </w:rPr>
        <w:t>aim to meet</w:t>
      </w:r>
      <w:r>
        <w:rPr>
          <w:rFonts w:eastAsia="Georgia" w:cs="Georgia"/>
        </w:rPr>
        <w:t xml:space="preserve"> </w:t>
      </w:r>
      <w:r w:rsidRPr="00225950">
        <w:rPr>
          <w:rFonts w:eastAsia="Georgia" w:cs="Georgia"/>
        </w:rPr>
        <w:t xml:space="preserve">outside of regulation. An example of this is Spark, the largest supplier of fixed phone lines, </w:t>
      </w:r>
      <w:r w:rsidR="00045A3B">
        <w:rPr>
          <w:rFonts w:eastAsia="Georgia" w:cs="Georgia"/>
        </w:rPr>
        <w:t>largest</w:t>
      </w:r>
      <w:r w:rsidR="00045A3B" w:rsidRPr="00225950">
        <w:rPr>
          <w:rFonts w:eastAsia="Georgia" w:cs="Georgia"/>
        </w:rPr>
        <w:t xml:space="preserve"> </w:t>
      </w:r>
      <w:r w:rsidRPr="00225950">
        <w:rPr>
          <w:rFonts w:eastAsia="Georgia" w:cs="Georgia"/>
        </w:rPr>
        <w:t>internet provider and the largest mobile provider (inclusive of Skinny</w:t>
      </w:r>
      <w:r w:rsidR="006C3EB1">
        <w:rPr>
          <w:rFonts w:eastAsia="Georgia" w:cs="Georgia"/>
        </w:rPr>
        <w:t xml:space="preserve">, a division of </w:t>
      </w:r>
      <w:r w:rsidRPr="00225950">
        <w:rPr>
          <w:rFonts w:eastAsia="Georgia" w:cs="Georgia"/>
        </w:rPr>
        <w:t xml:space="preserve">Spark). Service attributes and associated targets that have been set by Spark </w:t>
      </w:r>
      <w:r>
        <w:rPr>
          <w:rFonts w:eastAsia="Georgia" w:cs="Georgia"/>
        </w:rPr>
        <w:t>are set out</w:t>
      </w:r>
      <w:r w:rsidRPr="00225950">
        <w:rPr>
          <w:rFonts w:eastAsia="Georgia" w:cs="Georgia"/>
        </w:rPr>
        <w:t xml:space="preserve"> below</w:t>
      </w:r>
      <w:r>
        <w:rPr>
          <w:rFonts w:eastAsia="Georgia" w:cs="Georgia"/>
        </w:rPr>
        <w:t>.</w:t>
      </w:r>
      <w:r w:rsidRPr="00225950">
        <w:rPr>
          <w:rStyle w:val="FootnoteReference"/>
          <w:rFonts w:eastAsia="Georgia"/>
        </w:rPr>
        <w:footnoteReference w:id="75"/>
      </w:r>
    </w:p>
    <w:p w14:paraId="58A0A0DE" w14:textId="168B50AB" w:rsidR="00BE12F3" w:rsidRDefault="00BE12F3" w:rsidP="00BE12F3">
      <w:pPr>
        <w:spacing w:before="120" w:after="120"/>
        <w:rPr>
          <w:rFonts w:eastAsia="Georgia" w:cs="Georgia"/>
        </w:rPr>
      </w:pPr>
      <w:r w:rsidRPr="00225950">
        <w:rPr>
          <w:rFonts w:eastAsia="Georgia" w:cs="Georgia"/>
        </w:rPr>
        <w:t xml:space="preserve">New Zealand is </w:t>
      </w:r>
      <w:r w:rsidR="007B4E70">
        <w:rPr>
          <w:rFonts w:eastAsia="Georgia" w:cs="Georgia"/>
        </w:rPr>
        <w:t xml:space="preserve">also </w:t>
      </w:r>
      <w:r w:rsidRPr="00225950">
        <w:rPr>
          <w:rFonts w:eastAsia="Georgia" w:cs="Georgia"/>
        </w:rPr>
        <w:t>currently embarking on significant changes within the provision of telecommunication services through a series of major telecommunications policy initiatives aimed at accelerating the rollout of ultra-fast broadband</w:t>
      </w:r>
      <w:r>
        <w:rPr>
          <w:rFonts w:eastAsia="Georgia" w:cs="Georgia"/>
        </w:rPr>
        <w:t xml:space="preserve">. </w:t>
      </w:r>
      <w:r w:rsidR="006913FC">
        <w:rPr>
          <w:rFonts w:eastAsia="Georgia" w:cs="Georgia"/>
        </w:rPr>
        <w:t xml:space="preserve">This shares some </w:t>
      </w:r>
      <w:r>
        <w:rPr>
          <w:rFonts w:eastAsia="Georgia" w:cs="Georgia"/>
        </w:rPr>
        <w:t xml:space="preserve">similarities </w:t>
      </w:r>
      <w:r w:rsidR="006913FC">
        <w:rPr>
          <w:rFonts w:eastAsia="Georgia" w:cs="Georgia"/>
        </w:rPr>
        <w:t xml:space="preserve">with rollout of high speed broadband in Australia, but </w:t>
      </w:r>
      <w:r>
        <w:rPr>
          <w:rFonts w:eastAsia="Georgia" w:cs="Georgia"/>
        </w:rPr>
        <w:t xml:space="preserve">there are a number of </w:t>
      </w:r>
      <w:r w:rsidRPr="00225950">
        <w:rPr>
          <w:rFonts w:eastAsia="Georgia" w:cs="Georgia"/>
        </w:rPr>
        <w:t xml:space="preserve">differences between the </w:t>
      </w:r>
      <w:r w:rsidR="003316DD">
        <w:rPr>
          <w:rFonts w:eastAsia="Georgia" w:cs="Georgia"/>
        </w:rPr>
        <w:t>projects</w:t>
      </w:r>
      <w:r>
        <w:rPr>
          <w:rFonts w:eastAsia="Georgia" w:cs="Georgia"/>
        </w:rPr>
        <w:t xml:space="preserve"> including:</w:t>
      </w:r>
    </w:p>
    <w:p w14:paraId="25484D53" w14:textId="0937EC6C" w:rsidR="00BE12F3" w:rsidRPr="00002174" w:rsidRDefault="00DB0DD9" w:rsidP="00BE12F3">
      <w:pPr>
        <w:pStyle w:val="ListBullet"/>
        <w:rPr>
          <w:rFonts w:eastAsia="Georgia" w:cs="Georgia"/>
        </w:rPr>
      </w:pPr>
      <w:r>
        <w:rPr>
          <w:rFonts w:eastAsia="Georgia"/>
        </w:rPr>
        <w:t>T</w:t>
      </w:r>
      <w:r w:rsidR="00BE12F3" w:rsidRPr="000256AC">
        <w:rPr>
          <w:rFonts w:eastAsia="Georgia"/>
        </w:rPr>
        <w:t>he delivery model</w:t>
      </w:r>
      <w:r w:rsidR="00606F43">
        <w:rPr>
          <w:rFonts w:eastAsia="Georgia"/>
        </w:rPr>
        <w:t xml:space="preserve"> (</w:t>
      </w:r>
      <w:r w:rsidR="00BE12F3">
        <w:rPr>
          <w:rFonts w:eastAsia="Georgia"/>
        </w:rPr>
        <w:t xml:space="preserve">Australia’s NBN </w:t>
      </w:r>
      <w:r w:rsidR="00606F43">
        <w:rPr>
          <w:rFonts w:eastAsia="Georgia"/>
        </w:rPr>
        <w:t>is being</w:t>
      </w:r>
      <w:r w:rsidR="00BE12F3">
        <w:rPr>
          <w:rFonts w:eastAsia="Georgia"/>
        </w:rPr>
        <w:t xml:space="preserve"> rolled out by </w:t>
      </w:r>
      <w:r w:rsidR="00BE12F3" w:rsidRPr="000256AC">
        <w:rPr>
          <w:rFonts w:eastAsia="Georgia"/>
        </w:rPr>
        <w:t xml:space="preserve">a </w:t>
      </w:r>
      <w:r w:rsidR="00606F43">
        <w:rPr>
          <w:rFonts w:eastAsia="Georgia"/>
        </w:rPr>
        <w:t>wholesale only Government Business Enterprise</w:t>
      </w:r>
      <w:r w:rsidR="00BE12F3" w:rsidRPr="000256AC">
        <w:rPr>
          <w:rFonts w:eastAsia="Georgia"/>
        </w:rPr>
        <w:t xml:space="preserve"> compared to</w:t>
      </w:r>
      <w:r w:rsidR="00BE12F3">
        <w:rPr>
          <w:rFonts w:eastAsia="Georgia"/>
        </w:rPr>
        <w:t xml:space="preserve"> the split of Telecom NZ into a wholesa</w:t>
      </w:r>
      <w:r w:rsidR="00FA4EF8">
        <w:rPr>
          <w:rFonts w:eastAsia="Georgia"/>
        </w:rPr>
        <w:t>le operator and retailer in New </w:t>
      </w:r>
      <w:r w:rsidR="00BE12F3">
        <w:rPr>
          <w:rFonts w:eastAsia="Georgia"/>
        </w:rPr>
        <w:t>Zealand</w:t>
      </w:r>
      <w:r w:rsidR="00606F43">
        <w:rPr>
          <w:rFonts w:eastAsia="Georgia"/>
        </w:rPr>
        <w:t>)</w:t>
      </w:r>
      <w:r>
        <w:rPr>
          <w:rFonts w:eastAsia="Georgia"/>
        </w:rPr>
        <w:t>.</w:t>
      </w:r>
    </w:p>
    <w:p w14:paraId="61CB3979" w14:textId="4E04870A" w:rsidR="00BE12F3" w:rsidRPr="00002174" w:rsidRDefault="00DB0DD9" w:rsidP="00BE12F3">
      <w:pPr>
        <w:pStyle w:val="ListBullet"/>
        <w:rPr>
          <w:rFonts w:eastAsia="Georgia" w:cs="Georgia"/>
        </w:rPr>
      </w:pPr>
      <w:r>
        <w:rPr>
          <w:rFonts w:eastAsia="Georgia"/>
        </w:rPr>
        <w:t>T</w:t>
      </w:r>
      <w:r w:rsidR="00BE12F3">
        <w:rPr>
          <w:rFonts w:eastAsia="Georgia"/>
        </w:rPr>
        <w:t>he scale of the rollout as a result of the relative size</w:t>
      </w:r>
      <w:r w:rsidR="00606F43">
        <w:rPr>
          <w:rFonts w:eastAsia="Georgia"/>
        </w:rPr>
        <w:t>/population</w:t>
      </w:r>
      <w:r w:rsidR="00BE12F3">
        <w:rPr>
          <w:rFonts w:eastAsia="Georgia"/>
        </w:rPr>
        <w:t xml:space="preserve"> of </w:t>
      </w:r>
      <w:r w:rsidR="003316DD">
        <w:rPr>
          <w:rFonts w:eastAsia="Georgia"/>
        </w:rPr>
        <w:t>each</w:t>
      </w:r>
      <w:r w:rsidR="00BE12F3">
        <w:rPr>
          <w:rFonts w:eastAsia="Georgia"/>
        </w:rPr>
        <w:t xml:space="preserve"> countr</w:t>
      </w:r>
      <w:r w:rsidR="003316DD">
        <w:rPr>
          <w:rFonts w:eastAsia="Georgia"/>
        </w:rPr>
        <w:t>y</w:t>
      </w:r>
      <w:r>
        <w:rPr>
          <w:rFonts w:eastAsia="Georgia"/>
        </w:rPr>
        <w:t>.</w:t>
      </w:r>
    </w:p>
    <w:p w14:paraId="4C68CC5F" w14:textId="2716C54C" w:rsidR="00BE12F3" w:rsidRPr="00B339AC" w:rsidRDefault="005A47B9" w:rsidP="005A47B9">
      <w:pPr>
        <w:pStyle w:val="PwCNormal"/>
        <w:rPr>
          <w:rFonts w:eastAsia="Georgia" w:cs="Georgia"/>
        </w:rPr>
      </w:pPr>
      <w:r>
        <w:rPr>
          <w:rFonts w:eastAsia="Georgia"/>
        </w:rPr>
        <w:t>Mandatory</w:t>
      </w:r>
      <w:r w:rsidR="00BE12F3" w:rsidRPr="000256AC">
        <w:rPr>
          <w:rFonts w:eastAsia="Georgia"/>
        </w:rPr>
        <w:t xml:space="preserve"> disconnection of </w:t>
      </w:r>
      <w:r w:rsidR="00606F43">
        <w:rPr>
          <w:rFonts w:eastAsia="Georgia"/>
        </w:rPr>
        <w:t xml:space="preserve">the majority of </w:t>
      </w:r>
      <w:r w:rsidR="00BE12F3" w:rsidRPr="000256AC">
        <w:rPr>
          <w:rFonts w:eastAsia="Georgia"/>
        </w:rPr>
        <w:t>fixed line services in Australia but not</w:t>
      </w:r>
      <w:r w:rsidR="00FA4EF8">
        <w:rPr>
          <w:rFonts w:eastAsia="Georgia"/>
        </w:rPr>
        <w:t xml:space="preserve"> in</w:t>
      </w:r>
      <w:r w:rsidR="00BE12F3" w:rsidRPr="000256AC">
        <w:rPr>
          <w:rFonts w:eastAsia="Georgia"/>
        </w:rPr>
        <w:t xml:space="preserve"> New Zealand</w:t>
      </w:r>
      <w:r w:rsidR="00AC327F">
        <w:rPr>
          <w:rFonts w:eastAsia="Georgia"/>
        </w:rPr>
        <w:t>.</w:t>
      </w:r>
      <w:r w:rsidR="00A16BB8" w:rsidRPr="00225950">
        <w:rPr>
          <w:rStyle w:val="FootnoteReference"/>
          <w:rFonts w:eastAsia="Georgia"/>
        </w:rPr>
        <w:footnoteReference w:id="76"/>
      </w:r>
    </w:p>
    <w:p w14:paraId="61C8E9C7" w14:textId="77777777" w:rsidR="005A47B9" w:rsidRPr="007B4E70" w:rsidRDefault="005A47B9" w:rsidP="005A47B9">
      <w:pPr>
        <w:pStyle w:val="PwCNormal"/>
        <w:rPr>
          <w:rFonts w:eastAsia="Georgia"/>
        </w:rPr>
      </w:pPr>
      <w:r>
        <w:rPr>
          <w:rFonts w:eastAsia="Georgia"/>
        </w:rPr>
        <w:t xml:space="preserve">New Zealand has recently completed a review of its telecommunications legislation. In 2017, the New Zealand Government announced the details of a not yet passed reform package for the </w:t>
      </w:r>
      <w:r w:rsidRPr="00FA4EF8">
        <w:rPr>
          <w:rFonts w:eastAsia="Georgia" w:cs="Georgia"/>
          <w:i/>
        </w:rPr>
        <w:t>Telecommunications Act 2001</w:t>
      </w:r>
      <w:r>
        <w:rPr>
          <w:rFonts w:eastAsia="Georgia"/>
        </w:rPr>
        <w:t xml:space="preserve">. This package was accompanied by statements from the Office of the Minister for Communications that indicated the current regulatory settings are not delivering sufficient information to support adequate consumer choice, </w:t>
      </w:r>
      <w:r>
        <w:rPr>
          <w:rFonts w:eastAsia="Georgia"/>
        </w:rPr>
        <w:lastRenderedPageBreak/>
        <w:t>are over reliant on industry self-regulation, and are modest in their attempts to safeguard consumer interests when compared to Australia and the USA.</w:t>
      </w:r>
      <w:r>
        <w:rPr>
          <w:rStyle w:val="FootnoteReference"/>
          <w:rFonts w:eastAsia="Georgia"/>
        </w:rPr>
        <w:footnoteReference w:id="77"/>
      </w:r>
    </w:p>
    <w:p w14:paraId="6B752430" w14:textId="4213D05C" w:rsidR="00BE12F3" w:rsidRDefault="009D1655" w:rsidP="009D1655">
      <w:pPr>
        <w:pStyle w:val="Heading4"/>
        <w:numPr>
          <w:ilvl w:val="0"/>
          <w:numId w:val="0"/>
        </w:numPr>
        <w:ind w:left="851" w:hanging="851"/>
        <w:rPr>
          <w:snapToGrid/>
        </w:rPr>
      </w:pPr>
      <w:r>
        <w:rPr>
          <w:snapToGrid/>
        </w:rPr>
        <w:t>3.5.1</w:t>
      </w:r>
      <w:r>
        <w:rPr>
          <w:snapToGrid/>
        </w:rPr>
        <w:tab/>
      </w:r>
      <w:r w:rsidR="00BE12F3" w:rsidRPr="00B339AC">
        <w:rPr>
          <w:snapToGrid/>
        </w:rPr>
        <w:t>Connection</w:t>
      </w:r>
    </w:p>
    <w:p w14:paraId="162071D3" w14:textId="77777777" w:rsidR="00775091" w:rsidRDefault="00775091" w:rsidP="00325598">
      <w:pPr>
        <w:pStyle w:val="styeheading5"/>
        <w:rPr>
          <w:rFonts w:eastAsia="Georgia"/>
          <w:snapToGrid/>
        </w:rPr>
      </w:pPr>
      <w:r w:rsidRPr="00B339AC">
        <w:rPr>
          <w:rFonts w:eastAsia="Georgia"/>
          <w:snapToGrid/>
        </w:rPr>
        <w:t>Telephone connections</w:t>
      </w:r>
    </w:p>
    <w:p w14:paraId="07FA30D0" w14:textId="32CE2E5A" w:rsidR="00BE12F3" w:rsidRDefault="00917F29" w:rsidP="00B14B8B">
      <w:pPr>
        <w:keepNext/>
        <w:spacing w:before="120" w:after="120"/>
        <w:rPr>
          <w:rFonts w:eastAsia="Georgia" w:cs="Georgia"/>
        </w:rPr>
      </w:pPr>
      <w:r>
        <w:rPr>
          <w:rFonts w:eastAsia="Georgia" w:cs="Georgia"/>
        </w:rPr>
        <w:t>T</w:t>
      </w:r>
      <w:r w:rsidR="007D33E0" w:rsidRPr="00225950">
        <w:rPr>
          <w:rFonts w:eastAsia="Georgia" w:cs="Georgia"/>
        </w:rPr>
        <w:t xml:space="preserve">here </w:t>
      </w:r>
      <w:r w:rsidR="00BE12F3" w:rsidRPr="00225950">
        <w:rPr>
          <w:rFonts w:eastAsia="Georgia" w:cs="Georgia"/>
        </w:rPr>
        <w:t>do not appear to be any publicly available minimum standards set out by regulatory bod</w:t>
      </w:r>
      <w:r w:rsidR="00FA4EF8">
        <w:rPr>
          <w:rFonts w:eastAsia="Georgia" w:cs="Georgia"/>
        </w:rPr>
        <w:t>ies relating to connections</w:t>
      </w:r>
      <w:r w:rsidR="00BE12F3" w:rsidRPr="00225950">
        <w:rPr>
          <w:rFonts w:eastAsia="Georgia" w:cs="Georgia"/>
        </w:rPr>
        <w:t xml:space="preserve"> across fixed line</w:t>
      </w:r>
      <w:r w:rsidR="00FA4EF8">
        <w:rPr>
          <w:rFonts w:eastAsia="Georgia" w:cs="Georgia"/>
        </w:rPr>
        <w:t xml:space="preserve"> telephone and mobile services.</w:t>
      </w:r>
    </w:p>
    <w:p w14:paraId="62970B06" w14:textId="0523BA74" w:rsidR="00775091" w:rsidRDefault="00775091" w:rsidP="00325598">
      <w:pPr>
        <w:pStyle w:val="styeheading5"/>
        <w:rPr>
          <w:rFonts w:eastAsia="Georgia"/>
          <w:snapToGrid/>
        </w:rPr>
      </w:pPr>
      <w:r>
        <w:rPr>
          <w:rFonts w:eastAsia="Georgia"/>
          <w:snapToGrid/>
        </w:rPr>
        <w:t>Internet</w:t>
      </w:r>
      <w:r w:rsidRPr="00B339AC">
        <w:rPr>
          <w:rFonts w:eastAsia="Georgia"/>
          <w:snapToGrid/>
        </w:rPr>
        <w:t xml:space="preserve"> connections</w:t>
      </w:r>
    </w:p>
    <w:p w14:paraId="58EE9DE5" w14:textId="565DA810" w:rsidR="001A40A0" w:rsidRPr="001A40A0" w:rsidRDefault="00BE12F3" w:rsidP="00B14B8B">
      <w:pPr>
        <w:keepLines/>
        <w:spacing w:before="120" w:after="120"/>
        <w:rPr>
          <w:rFonts w:eastAsia="Georgia"/>
        </w:rPr>
      </w:pPr>
      <w:r w:rsidRPr="00225950">
        <w:rPr>
          <w:rFonts w:eastAsia="Georgia" w:cs="Georgia"/>
        </w:rPr>
        <w:t xml:space="preserve">Given the recent rollout of the Ultra-fast broadband scheme and associated fibre lines, the New Zealand Telecommunications Forum has developed a code relating to customer experience during the transfer to this new fibre connection known as the </w:t>
      </w:r>
      <w:r w:rsidRPr="00225950">
        <w:rPr>
          <w:rFonts w:eastAsia="Georgia" w:cs="Georgia"/>
          <w:i/>
        </w:rPr>
        <w:t>Customer Transfer Code for Fibre Services</w:t>
      </w:r>
      <w:r w:rsidRPr="00225950">
        <w:rPr>
          <w:rFonts w:eastAsia="Georgia" w:cs="Georgia"/>
        </w:rPr>
        <w:t>. This aims to ensure customers can be actively</w:t>
      </w:r>
      <w:r w:rsidR="00A16BB8">
        <w:rPr>
          <w:rFonts w:eastAsia="Georgia" w:cs="Georgia"/>
        </w:rPr>
        <w:t xml:space="preserve"> using their fibre line within one</w:t>
      </w:r>
      <w:r w:rsidRPr="00225950">
        <w:rPr>
          <w:rFonts w:eastAsia="Georgia" w:cs="Georgia"/>
        </w:rPr>
        <w:t xml:space="preserve"> business day of the transfer process</w:t>
      </w:r>
      <w:r>
        <w:rPr>
          <w:rFonts w:eastAsia="Georgia" w:cs="Georgia"/>
        </w:rPr>
        <w:t>.</w:t>
      </w:r>
      <w:r w:rsidRPr="00225950">
        <w:rPr>
          <w:rStyle w:val="FootnoteReference"/>
          <w:rFonts w:eastAsia="Georgia"/>
        </w:rPr>
        <w:footnoteReference w:id="78"/>
      </w:r>
      <w:r w:rsidR="005A47B9">
        <w:rPr>
          <w:rFonts w:eastAsia="Georgia" w:cs="Georgia"/>
        </w:rPr>
        <w:t xml:space="preserve"> </w:t>
      </w:r>
      <w:r w:rsidR="001A40A0" w:rsidRPr="00225950">
        <w:rPr>
          <w:rFonts w:eastAsia="Georgia"/>
        </w:rPr>
        <w:t xml:space="preserve">The </w:t>
      </w:r>
      <w:r w:rsidR="001A40A0" w:rsidRPr="00225950">
        <w:rPr>
          <w:rFonts w:eastAsia="Georgia"/>
          <w:i/>
        </w:rPr>
        <w:t xml:space="preserve">Customer Transfer Code for </w:t>
      </w:r>
      <w:r w:rsidR="00115B96">
        <w:rPr>
          <w:rFonts w:eastAsia="Georgia"/>
          <w:i/>
        </w:rPr>
        <w:t>R</w:t>
      </w:r>
      <w:r w:rsidR="001A40A0" w:rsidRPr="00225950">
        <w:rPr>
          <w:rFonts w:eastAsia="Georgia"/>
          <w:i/>
        </w:rPr>
        <w:t xml:space="preserve">egulated </w:t>
      </w:r>
      <w:r w:rsidR="00115B96">
        <w:rPr>
          <w:rFonts w:eastAsia="Georgia"/>
          <w:i/>
        </w:rPr>
        <w:t>S</w:t>
      </w:r>
      <w:r w:rsidR="001A40A0" w:rsidRPr="00225950">
        <w:rPr>
          <w:rFonts w:eastAsia="Georgia"/>
          <w:i/>
        </w:rPr>
        <w:t>ervices</w:t>
      </w:r>
      <w:r w:rsidR="001A40A0" w:rsidRPr="00225950">
        <w:rPr>
          <w:rFonts w:eastAsia="Georgia"/>
        </w:rPr>
        <w:t xml:space="preserve"> sets out practices that</w:t>
      </w:r>
      <w:r w:rsidR="001A40A0">
        <w:rPr>
          <w:rFonts w:eastAsia="Georgia"/>
        </w:rPr>
        <w:t xml:space="preserve"> all providers in the supply chain </w:t>
      </w:r>
      <w:r w:rsidR="001A40A0" w:rsidRPr="00225950">
        <w:rPr>
          <w:rFonts w:eastAsia="Georgia"/>
        </w:rPr>
        <w:t>must comply with. This sets out some timeframes that must be met by both the ‘losing’ and ‘new’ service provider</w:t>
      </w:r>
      <w:r w:rsidR="001A40A0">
        <w:rPr>
          <w:rFonts w:eastAsia="Georgia"/>
        </w:rPr>
        <w:t>.</w:t>
      </w:r>
      <w:r w:rsidR="001A40A0" w:rsidRPr="00225950">
        <w:rPr>
          <w:rStyle w:val="FootnoteReference"/>
          <w:rFonts w:eastAsia="Georgia"/>
        </w:rPr>
        <w:footnoteReference w:id="79"/>
      </w:r>
    </w:p>
    <w:p w14:paraId="150927FA" w14:textId="5FD8FE4C" w:rsidR="00BE12F3" w:rsidRPr="00B339AC" w:rsidRDefault="009D1655" w:rsidP="009D1655">
      <w:pPr>
        <w:pStyle w:val="Heading4"/>
        <w:numPr>
          <w:ilvl w:val="0"/>
          <w:numId w:val="0"/>
        </w:numPr>
        <w:ind w:left="851" w:hanging="851"/>
        <w:rPr>
          <w:snapToGrid/>
        </w:rPr>
      </w:pPr>
      <w:r>
        <w:rPr>
          <w:snapToGrid/>
        </w:rPr>
        <w:t>3.5.2</w:t>
      </w:r>
      <w:r>
        <w:rPr>
          <w:snapToGrid/>
        </w:rPr>
        <w:tab/>
      </w:r>
      <w:r w:rsidR="00BE12F3" w:rsidRPr="00B339AC">
        <w:rPr>
          <w:snapToGrid/>
        </w:rPr>
        <w:t>Outages and faults</w:t>
      </w:r>
    </w:p>
    <w:p w14:paraId="1B4F4EB4" w14:textId="4A0D850D" w:rsidR="00BE12F3" w:rsidRPr="00BE12F3" w:rsidRDefault="00BE12F3" w:rsidP="00BE12F3">
      <w:pPr>
        <w:spacing w:before="120" w:after="120"/>
        <w:rPr>
          <w:rFonts w:eastAsia="Georgia" w:cs="Georgia"/>
        </w:rPr>
      </w:pPr>
      <w:r w:rsidRPr="00225950">
        <w:rPr>
          <w:rFonts w:eastAsia="Georgia" w:cs="Georgia"/>
        </w:rPr>
        <w:t xml:space="preserve">Whilst there appear to be no clear standards or rules set out by the Commerce Commission or New Zealand Telecommunications Forum relating to outages and faults, some telecommunication providers have set their own internal standards for this process. </w:t>
      </w:r>
      <w:r w:rsidR="00A16BB8">
        <w:rPr>
          <w:rFonts w:eastAsia="Georgia" w:cs="Georgia"/>
        </w:rPr>
        <w:t>T</w:t>
      </w:r>
      <w:r w:rsidRPr="00225950">
        <w:rPr>
          <w:rFonts w:eastAsia="Georgia" w:cs="Georgia"/>
        </w:rPr>
        <w:t>able</w:t>
      </w:r>
      <w:r w:rsidR="00A16BB8">
        <w:rPr>
          <w:rFonts w:eastAsia="Georgia" w:cs="Georgia"/>
        </w:rPr>
        <w:t xml:space="preserve"> 12</w:t>
      </w:r>
      <w:r w:rsidRPr="00225950">
        <w:rPr>
          <w:rFonts w:eastAsia="Georgia" w:cs="Georgia"/>
        </w:rPr>
        <w:t xml:space="preserve"> outline</w:t>
      </w:r>
      <w:r>
        <w:rPr>
          <w:rFonts w:eastAsia="Georgia" w:cs="Georgia"/>
        </w:rPr>
        <w:t>s</w:t>
      </w:r>
      <w:r w:rsidRPr="00225950">
        <w:rPr>
          <w:rFonts w:eastAsia="Georgia" w:cs="Georgia"/>
        </w:rPr>
        <w:t xml:space="preserve"> internal service targets set for service restoration across a range of different services by Spark (NZ’s</w:t>
      </w:r>
      <w:r w:rsidRPr="00225950">
        <w:t xml:space="preserve"> </w:t>
      </w:r>
      <w:r w:rsidRPr="00225950">
        <w:rPr>
          <w:rFonts w:eastAsia="Georgia" w:cs="Georgia"/>
        </w:rPr>
        <w:t xml:space="preserve">largest supplier of fixed phone lines, internet and mobile </w:t>
      </w:r>
      <w:r>
        <w:rPr>
          <w:rFonts w:eastAsia="Georgia" w:cs="Georgia"/>
        </w:rPr>
        <w:t>phones</w:t>
      </w:r>
      <w:r w:rsidRPr="00225950">
        <w:rPr>
          <w:rFonts w:eastAsia="Georgia" w:cs="Georgia"/>
        </w:rPr>
        <w:t>)</w:t>
      </w:r>
      <w:r w:rsidR="00D75B15">
        <w:rPr>
          <w:rFonts w:eastAsia="Georgia" w:cs="Georgia"/>
        </w:rPr>
        <w:t>.</w:t>
      </w:r>
      <w:r w:rsidRPr="00225950">
        <w:rPr>
          <w:rStyle w:val="FootnoteReference"/>
          <w:rFonts w:eastAsia="Georgia"/>
        </w:rPr>
        <w:footnoteReference w:id="80"/>
      </w:r>
    </w:p>
    <w:p w14:paraId="4C8B21A9" w14:textId="3F4A6F5E" w:rsidR="00BE12F3" w:rsidRPr="00225950" w:rsidRDefault="00BE12F3" w:rsidP="00BE12F3">
      <w:pPr>
        <w:pStyle w:val="Caption"/>
      </w:pPr>
      <w:r w:rsidRPr="00225950">
        <w:lastRenderedPageBreak/>
        <w:t xml:space="preserve">Table </w:t>
      </w:r>
      <w:r w:rsidR="000B0990">
        <w:rPr>
          <w:noProof/>
        </w:rPr>
        <w:fldChar w:fldCharType="begin"/>
      </w:r>
      <w:r w:rsidR="000B0990">
        <w:rPr>
          <w:noProof/>
        </w:rPr>
        <w:instrText xml:space="preserve"> SEQ Table \* ARABIC </w:instrText>
      </w:r>
      <w:r w:rsidR="000B0990">
        <w:rPr>
          <w:noProof/>
        </w:rPr>
        <w:fldChar w:fldCharType="separate"/>
      </w:r>
      <w:r w:rsidR="00AE12E7">
        <w:rPr>
          <w:noProof/>
        </w:rPr>
        <w:t>12</w:t>
      </w:r>
      <w:r w:rsidR="000B0990">
        <w:rPr>
          <w:noProof/>
        </w:rPr>
        <w:fldChar w:fldCharType="end"/>
      </w:r>
      <w:r w:rsidRPr="00225950">
        <w:t xml:space="preserve">: Spark (NZ service provider) internal </w:t>
      </w:r>
      <w:r w:rsidRPr="009924D4">
        <w:t>quality of service</w:t>
      </w:r>
      <w:r w:rsidRPr="00225950">
        <w:t xml:space="preserve"> </w:t>
      </w:r>
      <w:r w:rsidR="00FE3B4F">
        <w:t>indicators</w:t>
      </w:r>
      <w:r w:rsidRPr="00225950">
        <w:rPr>
          <w:rStyle w:val="FootnoteReference"/>
          <w:rFonts w:eastAsia="Georgia"/>
        </w:rPr>
        <w:footnoteReference w:id="81"/>
      </w:r>
    </w:p>
    <w:tbl>
      <w:tblPr>
        <w:tblStyle w:val="Tables-APBase"/>
        <w:tblW w:w="8472" w:type="dxa"/>
        <w:tblLook w:val="06A0" w:firstRow="1" w:lastRow="0" w:firstColumn="1" w:lastColumn="0" w:noHBand="1" w:noVBand="1"/>
        <w:tblCaption w:val="Spark (NZ service provider) internal quality of service indicators"/>
        <w:tblDescription w:val="This table summarises the Spark (a New Zealand service provider) internal quality of service indicators.&#10;Voice and Network Services: 24 hours (reasonable endeavours)&#10;Spark mobile network services: 6 hours (reasonable endeavours)&#10;Dedicated Internet Access Services: Major Metropolitan Areas 6 hours, Other Areas 8 hours&#10;Data network services: 6 hours (reasonable endeavours)"/>
      </w:tblPr>
      <w:tblGrid>
        <w:gridCol w:w="3652"/>
        <w:gridCol w:w="4820"/>
      </w:tblGrid>
      <w:tr w:rsidR="00BE12F3" w:rsidRPr="00225950" w14:paraId="7FA07D45" w14:textId="77777777" w:rsidTr="009D1655">
        <w:trPr>
          <w:cnfStyle w:val="100000000000" w:firstRow="1" w:lastRow="0" w:firstColumn="0" w:lastColumn="0" w:oddVBand="0" w:evenVBand="0" w:oddHBand="0" w:evenHBand="0" w:firstRowFirstColumn="0" w:firstRowLastColumn="0" w:lastRowFirstColumn="0" w:lastRowLastColumn="0"/>
          <w:trHeight w:val="298"/>
        </w:trPr>
        <w:tc>
          <w:tcPr>
            <w:cnfStyle w:val="000000000100" w:firstRow="0" w:lastRow="0" w:firstColumn="0" w:lastColumn="0" w:oddVBand="0" w:evenVBand="0" w:oddHBand="0" w:evenHBand="0" w:firstRowFirstColumn="1" w:firstRowLastColumn="0" w:lastRowFirstColumn="0" w:lastRowLastColumn="0"/>
            <w:tcW w:w="3652" w:type="dxa"/>
          </w:tcPr>
          <w:p w14:paraId="10973B2C" w14:textId="77777777" w:rsidR="00BE12F3" w:rsidRPr="00225950" w:rsidRDefault="00BE12F3" w:rsidP="007404FC">
            <w:pPr>
              <w:pStyle w:val="TableColumnHeadingNormal"/>
              <w:rPr>
                <w:rFonts w:eastAsia="Georgia"/>
              </w:rPr>
            </w:pPr>
            <w:r w:rsidRPr="00225950">
              <w:rPr>
                <w:rFonts w:eastAsia="Georgia"/>
              </w:rPr>
              <w:t>Service</w:t>
            </w:r>
          </w:p>
        </w:tc>
        <w:tc>
          <w:tcPr>
            <w:tcW w:w="4820" w:type="dxa"/>
          </w:tcPr>
          <w:p w14:paraId="14C5B43E" w14:textId="77777777" w:rsidR="00BE12F3" w:rsidRPr="00225950" w:rsidRDefault="00BE12F3" w:rsidP="007404FC">
            <w:pPr>
              <w:pStyle w:val="TableColumnHeadingNormal"/>
              <w:cnfStyle w:val="100000000000" w:firstRow="1" w:lastRow="0" w:firstColumn="0" w:lastColumn="0" w:oddVBand="0" w:evenVBand="0" w:oddHBand="0" w:evenHBand="0" w:firstRowFirstColumn="0" w:firstRowLastColumn="0" w:lastRowFirstColumn="0" w:lastRowLastColumn="0"/>
              <w:rPr>
                <w:rFonts w:eastAsia="Georgia"/>
              </w:rPr>
            </w:pPr>
            <w:r w:rsidRPr="00225950">
              <w:rPr>
                <w:rFonts w:eastAsia="Georgia"/>
              </w:rPr>
              <w:t>Service Target (during normal service hours - Monday to Friday, 8am to 5.30pm)</w:t>
            </w:r>
          </w:p>
        </w:tc>
      </w:tr>
      <w:tr w:rsidR="00BE12F3" w:rsidRPr="00225950" w14:paraId="1766EF27" w14:textId="77777777" w:rsidTr="009D1655">
        <w:trPr>
          <w:trHeight w:val="298"/>
        </w:trPr>
        <w:tc>
          <w:tcPr>
            <w:tcW w:w="3652" w:type="dxa"/>
          </w:tcPr>
          <w:p w14:paraId="4AF2BC99" w14:textId="77777777" w:rsidR="00BE12F3" w:rsidRPr="00225950" w:rsidRDefault="00BE12F3" w:rsidP="007404FC">
            <w:pPr>
              <w:pStyle w:val="TableTextNormal"/>
              <w:rPr>
                <w:rFonts w:eastAsia="Gungsuh"/>
              </w:rPr>
            </w:pPr>
            <w:r w:rsidRPr="00225950">
              <w:rPr>
                <w:rFonts w:eastAsia="Gungsuh"/>
              </w:rPr>
              <w:t>Voice and Network Services</w:t>
            </w:r>
          </w:p>
        </w:tc>
        <w:tc>
          <w:tcPr>
            <w:tcW w:w="4820" w:type="dxa"/>
          </w:tcPr>
          <w:p w14:paraId="5D3A0F39" w14:textId="070F0FE6" w:rsidR="00BE12F3" w:rsidRPr="00225950" w:rsidRDefault="00BE12F3" w:rsidP="007404FC">
            <w:pPr>
              <w:pStyle w:val="TableTextNormal"/>
              <w:rPr>
                <w:rFonts w:eastAsia="Gungsuh"/>
              </w:rPr>
            </w:pPr>
            <w:r w:rsidRPr="00225950">
              <w:rPr>
                <w:rFonts w:eastAsia="Gungsuh"/>
              </w:rPr>
              <w:t>24 hours (reasonable endeavour</w:t>
            </w:r>
            <w:r w:rsidR="00606F43">
              <w:rPr>
                <w:rFonts w:eastAsia="Gungsuh"/>
              </w:rPr>
              <w:t>s</w:t>
            </w:r>
            <w:r w:rsidRPr="00225950">
              <w:rPr>
                <w:rFonts w:eastAsia="Gungsuh"/>
              </w:rPr>
              <w:t>)</w:t>
            </w:r>
          </w:p>
        </w:tc>
      </w:tr>
      <w:tr w:rsidR="00BE12F3" w:rsidRPr="00225950" w14:paraId="6ADF8134" w14:textId="77777777" w:rsidTr="009D1655">
        <w:trPr>
          <w:trHeight w:val="298"/>
        </w:trPr>
        <w:tc>
          <w:tcPr>
            <w:tcW w:w="3652" w:type="dxa"/>
          </w:tcPr>
          <w:p w14:paraId="62F15ECB" w14:textId="77777777" w:rsidR="00BE12F3" w:rsidRPr="00225950" w:rsidRDefault="00BE12F3" w:rsidP="007404FC">
            <w:pPr>
              <w:pStyle w:val="TableTextNormal"/>
              <w:rPr>
                <w:rFonts w:eastAsia="Gungsuh"/>
              </w:rPr>
            </w:pPr>
            <w:r w:rsidRPr="00225950">
              <w:rPr>
                <w:rFonts w:eastAsia="Gungsuh"/>
              </w:rPr>
              <w:t>Spark mobile network services</w:t>
            </w:r>
          </w:p>
        </w:tc>
        <w:tc>
          <w:tcPr>
            <w:tcW w:w="4820" w:type="dxa"/>
          </w:tcPr>
          <w:p w14:paraId="60CE715A" w14:textId="23E2AD0E" w:rsidR="00BE12F3" w:rsidRPr="00225950" w:rsidRDefault="00BE12F3" w:rsidP="007404FC">
            <w:pPr>
              <w:pStyle w:val="TableTextNormal"/>
              <w:rPr>
                <w:rFonts w:eastAsia="Gungsuh"/>
              </w:rPr>
            </w:pPr>
            <w:r w:rsidRPr="00225950">
              <w:rPr>
                <w:rFonts w:eastAsia="Gungsuh"/>
              </w:rPr>
              <w:t xml:space="preserve">6 </w:t>
            </w:r>
            <w:r w:rsidR="00606F43">
              <w:rPr>
                <w:rFonts w:eastAsia="Gungsuh"/>
              </w:rPr>
              <w:t>h</w:t>
            </w:r>
            <w:r w:rsidRPr="00225950">
              <w:rPr>
                <w:rFonts w:eastAsia="Gungsuh"/>
              </w:rPr>
              <w:t xml:space="preserve">ours </w:t>
            </w:r>
            <w:r w:rsidR="00606F43">
              <w:rPr>
                <w:rFonts w:eastAsia="Gungsuh"/>
              </w:rPr>
              <w:t>(</w:t>
            </w:r>
            <w:r w:rsidRPr="00225950">
              <w:rPr>
                <w:rFonts w:eastAsia="Gungsuh"/>
              </w:rPr>
              <w:t>reasonable endeavours</w:t>
            </w:r>
            <w:r w:rsidR="00606F43">
              <w:rPr>
                <w:rFonts w:eastAsia="Gungsuh"/>
              </w:rPr>
              <w:t>)</w:t>
            </w:r>
          </w:p>
        </w:tc>
      </w:tr>
      <w:tr w:rsidR="00BE12F3" w:rsidRPr="00225950" w14:paraId="024A0551" w14:textId="77777777" w:rsidTr="009D1655">
        <w:trPr>
          <w:trHeight w:val="298"/>
        </w:trPr>
        <w:tc>
          <w:tcPr>
            <w:tcW w:w="3652" w:type="dxa"/>
          </w:tcPr>
          <w:p w14:paraId="1B6C9D3B" w14:textId="77777777" w:rsidR="00BE12F3" w:rsidRPr="00225950" w:rsidRDefault="00BE12F3" w:rsidP="007404FC">
            <w:pPr>
              <w:pStyle w:val="TableTextNormal"/>
              <w:rPr>
                <w:rFonts w:eastAsia="Gungsuh"/>
              </w:rPr>
            </w:pPr>
            <w:r w:rsidRPr="00225950">
              <w:rPr>
                <w:rFonts w:eastAsia="Gungsuh"/>
              </w:rPr>
              <w:t>Dedicated Internet Access Services</w:t>
            </w:r>
          </w:p>
        </w:tc>
        <w:tc>
          <w:tcPr>
            <w:tcW w:w="4820" w:type="dxa"/>
          </w:tcPr>
          <w:p w14:paraId="30D8A54B" w14:textId="14C23A9E" w:rsidR="00BE12F3" w:rsidRPr="00225950" w:rsidRDefault="00BE12F3" w:rsidP="007404FC">
            <w:pPr>
              <w:pStyle w:val="TableTextNormal"/>
              <w:rPr>
                <w:rFonts w:eastAsia="Gungsuh"/>
              </w:rPr>
            </w:pPr>
            <w:r w:rsidRPr="00225950">
              <w:rPr>
                <w:rFonts w:eastAsia="Gungsuh"/>
              </w:rPr>
              <w:t xml:space="preserve">Major Metropolitan Areas: 6 </w:t>
            </w:r>
            <w:r w:rsidR="006913FC">
              <w:rPr>
                <w:rFonts w:eastAsia="Gungsuh"/>
              </w:rPr>
              <w:t>h</w:t>
            </w:r>
            <w:r w:rsidRPr="00225950">
              <w:rPr>
                <w:rFonts w:eastAsia="Gungsuh"/>
              </w:rPr>
              <w:t>ours</w:t>
            </w:r>
            <w:r w:rsidRPr="00225950">
              <w:rPr>
                <w:rFonts w:eastAsia="Gungsuh"/>
              </w:rPr>
              <w:br/>
              <w:t>Other Areas: 8 hours</w:t>
            </w:r>
          </w:p>
        </w:tc>
      </w:tr>
      <w:tr w:rsidR="00BE12F3" w:rsidRPr="00225950" w14:paraId="700B139A" w14:textId="77777777" w:rsidTr="009D1655">
        <w:trPr>
          <w:trHeight w:val="298"/>
        </w:trPr>
        <w:tc>
          <w:tcPr>
            <w:tcW w:w="3652" w:type="dxa"/>
          </w:tcPr>
          <w:p w14:paraId="6CBAAA72" w14:textId="77777777" w:rsidR="00BE12F3" w:rsidRPr="00225950" w:rsidRDefault="00BE12F3" w:rsidP="007404FC">
            <w:pPr>
              <w:pStyle w:val="TableTextNormal"/>
              <w:rPr>
                <w:rFonts w:eastAsia="Gungsuh"/>
              </w:rPr>
            </w:pPr>
            <w:r w:rsidRPr="00225950">
              <w:rPr>
                <w:rFonts w:eastAsia="Gungsuh"/>
              </w:rPr>
              <w:t>Data network services.</w:t>
            </w:r>
          </w:p>
        </w:tc>
        <w:tc>
          <w:tcPr>
            <w:tcW w:w="4820" w:type="dxa"/>
          </w:tcPr>
          <w:p w14:paraId="5029D632" w14:textId="31F8FEDE" w:rsidR="00BE12F3" w:rsidRPr="00225950" w:rsidRDefault="009D1655" w:rsidP="009D1655">
            <w:pPr>
              <w:pStyle w:val="TableTextNormal"/>
              <w:ind w:left="33"/>
              <w:rPr>
                <w:rFonts w:eastAsia="Gungsuh"/>
              </w:rPr>
            </w:pPr>
            <w:r>
              <w:rPr>
                <w:rFonts w:eastAsia="Gungsuh"/>
              </w:rPr>
              <w:t xml:space="preserve">6 </w:t>
            </w:r>
            <w:r w:rsidR="00606F43">
              <w:rPr>
                <w:rFonts w:eastAsia="Gungsuh"/>
              </w:rPr>
              <w:t>h</w:t>
            </w:r>
            <w:r w:rsidR="00BE12F3" w:rsidRPr="00225950">
              <w:rPr>
                <w:rFonts w:eastAsia="Gungsuh"/>
              </w:rPr>
              <w:t xml:space="preserve">ours </w:t>
            </w:r>
            <w:r w:rsidR="00606F43">
              <w:rPr>
                <w:rFonts w:eastAsia="Gungsuh"/>
              </w:rPr>
              <w:t>(</w:t>
            </w:r>
            <w:r w:rsidR="00BE12F3" w:rsidRPr="00225950">
              <w:rPr>
                <w:rFonts w:eastAsia="Gungsuh"/>
              </w:rPr>
              <w:t>reasonable endeavours</w:t>
            </w:r>
            <w:r w:rsidR="00606F43">
              <w:rPr>
                <w:rFonts w:eastAsia="Gungsuh"/>
              </w:rPr>
              <w:t>)</w:t>
            </w:r>
          </w:p>
        </w:tc>
      </w:tr>
    </w:tbl>
    <w:p w14:paraId="24B9544F" w14:textId="01F7C8B9" w:rsidR="00BE12F3" w:rsidRPr="00225950" w:rsidRDefault="009D1655" w:rsidP="009D1655">
      <w:pPr>
        <w:pStyle w:val="Heading4"/>
        <w:numPr>
          <w:ilvl w:val="0"/>
          <w:numId w:val="0"/>
        </w:numPr>
        <w:ind w:left="851" w:hanging="851"/>
      </w:pPr>
      <w:r>
        <w:t>3.5.3</w:t>
      </w:r>
      <w:r>
        <w:tab/>
      </w:r>
      <w:r w:rsidR="00BE12F3" w:rsidRPr="00225950">
        <w:t>Penalties for non-compliance</w:t>
      </w:r>
    </w:p>
    <w:p w14:paraId="7050745B" w14:textId="4E55ED0F" w:rsidR="00BE12F3" w:rsidRPr="00D75B15" w:rsidRDefault="00BE12F3" w:rsidP="00193BF6">
      <w:pPr>
        <w:keepNext/>
        <w:keepLines/>
        <w:spacing w:before="120" w:after="120"/>
        <w:rPr>
          <w:rFonts w:eastAsia="Georgia" w:cs="Georgia"/>
        </w:rPr>
      </w:pPr>
      <w:r w:rsidRPr="00225950">
        <w:rPr>
          <w:rFonts w:eastAsia="Georgia" w:cs="Georgia"/>
        </w:rPr>
        <w:t>The New Zealand Telecommunications Forum ha</w:t>
      </w:r>
      <w:r>
        <w:rPr>
          <w:rFonts w:eastAsia="Georgia" w:cs="Georgia"/>
        </w:rPr>
        <w:t>s</w:t>
      </w:r>
      <w:r w:rsidRPr="00225950">
        <w:rPr>
          <w:rFonts w:eastAsia="Georgia" w:cs="Georgia"/>
        </w:rPr>
        <w:t xml:space="preserve"> developed a Code Compliance F</w:t>
      </w:r>
      <w:r w:rsidR="002F0392">
        <w:rPr>
          <w:rFonts w:eastAsia="Georgia" w:cs="Georgia"/>
        </w:rPr>
        <w:t>ramework, under which members/</w:t>
      </w:r>
      <w:r w:rsidRPr="00225950">
        <w:rPr>
          <w:rFonts w:eastAsia="Georgia" w:cs="Georgia"/>
        </w:rPr>
        <w:t>service providers become signatories on selected codes. One of the objectives of the Code Compliance Framework is</w:t>
      </w:r>
      <w:r w:rsidR="00D75B15">
        <w:rPr>
          <w:rFonts w:eastAsia="Georgia" w:cs="Georgia"/>
        </w:rPr>
        <w:t xml:space="preserve"> to </w:t>
      </w:r>
      <w:r w:rsidRPr="00D75B15">
        <w:rPr>
          <w:rFonts w:eastAsia="Georgia" w:cs="Georgia"/>
        </w:rPr>
        <w:t>‘</w:t>
      </w:r>
      <w:r w:rsidR="00D75B15">
        <w:rPr>
          <w:rFonts w:eastAsia="Georgia" w:cs="Georgia"/>
        </w:rPr>
        <w:t>p</w:t>
      </w:r>
      <w:r w:rsidRPr="00D75B15">
        <w:rPr>
          <w:rFonts w:eastAsia="Georgia" w:cs="Georgia"/>
        </w:rPr>
        <w:t xml:space="preserve">rovide strong incentives for Code Signatories to comply; and </w:t>
      </w:r>
      <w:r w:rsidR="006913FC">
        <w:rPr>
          <w:rFonts w:eastAsia="Georgia" w:cs="Georgia"/>
        </w:rPr>
        <w:t>s</w:t>
      </w:r>
      <w:r w:rsidRPr="00D75B15">
        <w:rPr>
          <w:rFonts w:eastAsia="Georgia" w:cs="Georgia"/>
        </w:rPr>
        <w:t>anctions for non-compliance</w:t>
      </w:r>
      <w:r w:rsidR="00D75B15">
        <w:rPr>
          <w:rFonts w:eastAsia="Georgia" w:cs="Georgia"/>
        </w:rPr>
        <w:t>’.</w:t>
      </w:r>
      <w:r w:rsidR="00D75B15" w:rsidRPr="00225950">
        <w:rPr>
          <w:rStyle w:val="FootnoteReference"/>
          <w:rFonts w:eastAsia="Georgia"/>
        </w:rPr>
        <w:footnoteReference w:id="82"/>
      </w:r>
    </w:p>
    <w:p w14:paraId="598CBD5E" w14:textId="77777777" w:rsidR="00BE12F3" w:rsidRPr="00225950" w:rsidRDefault="00BE12F3" w:rsidP="00BE12F3">
      <w:pPr>
        <w:spacing w:before="120" w:after="120"/>
        <w:rPr>
          <w:rFonts w:eastAsia="Georgia" w:cs="Georgia"/>
        </w:rPr>
      </w:pPr>
      <w:r>
        <w:rPr>
          <w:rFonts w:eastAsia="Georgia" w:cs="Georgia"/>
        </w:rPr>
        <w:t xml:space="preserve">These codes include measures regarding the connection process when consumers are beginning new services. </w:t>
      </w:r>
      <w:r w:rsidRPr="00225950">
        <w:rPr>
          <w:rFonts w:eastAsia="Georgia" w:cs="Georgia"/>
        </w:rPr>
        <w:t>Sanctions applied for non-compliance are not financial in nature. The level of the sanction is graded depending on the level of impact, code category and/or failure for the non-compliant provider to implement remedial action.</w:t>
      </w:r>
    </w:p>
    <w:p w14:paraId="0749B829" w14:textId="09227EFA" w:rsidR="00BE12F3" w:rsidRPr="00225950" w:rsidRDefault="005A47B9" w:rsidP="00BE12F3">
      <w:pPr>
        <w:spacing w:before="120" w:after="120"/>
        <w:rPr>
          <w:rFonts w:eastAsia="Georgia" w:cs="Georgia"/>
        </w:rPr>
      </w:pPr>
      <w:r w:rsidRPr="005A47B9">
        <w:rPr>
          <w:rFonts w:eastAsia="Georgia" w:cs="Georgia"/>
        </w:rPr>
        <w:t>There are nine sanctions detailed within the Code Compliance Framework. These range from initiating an investigation, announcing a breach on the New Zealand Telecommunications Forum website, public announcements and escalation to the Commerce Commission for action</w:t>
      </w:r>
      <w:r w:rsidR="00BE12F3">
        <w:rPr>
          <w:rFonts w:eastAsia="Georgia" w:cs="Georgia"/>
        </w:rPr>
        <w:t>.</w:t>
      </w:r>
      <w:r w:rsidR="00BE12F3" w:rsidRPr="00225950">
        <w:rPr>
          <w:rStyle w:val="FootnoteReference"/>
          <w:rFonts w:eastAsia="Georgia"/>
        </w:rPr>
        <w:footnoteReference w:id="83"/>
      </w:r>
    </w:p>
    <w:p w14:paraId="322ABDC9" w14:textId="1C7E4097" w:rsidR="00BE12F3" w:rsidRDefault="00BE12F3" w:rsidP="00BE12F3">
      <w:pPr>
        <w:spacing w:before="120" w:after="120"/>
        <w:rPr>
          <w:rFonts w:eastAsia="Georgia"/>
        </w:rPr>
      </w:pPr>
      <w:r w:rsidRPr="00225950">
        <w:rPr>
          <w:rFonts w:eastAsia="Georgia" w:cs="Georgia"/>
        </w:rPr>
        <w:t>In addition to these sanctions</w:t>
      </w:r>
      <w:r>
        <w:rPr>
          <w:rFonts w:eastAsia="Georgia" w:cs="Georgia"/>
        </w:rPr>
        <w:t>,</w:t>
      </w:r>
      <w:r w:rsidRPr="00225950">
        <w:rPr>
          <w:rFonts w:eastAsia="Georgia" w:cs="Georgia"/>
        </w:rPr>
        <w:t xml:space="preserve"> consumers are covered under the </w:t>
      </w:r>
      <w:r w:rsidRPr="00FA4EF8">
        <w:rPr>
          <w:rFonts w:eastAsia="Georgia" w:cs="Georgia"/>
          <w:i/>
        </w:rPr>
        <w:t xml:space="preserve">Consumer Guarantees Act </w:t>
      </w:r>
      <w:r w:rsidR="00FA4EF8" w:rsidRPr="00FA4EF8">
        <w:rPr>
          <w:rFonts w:eastAsia="Georgia" w:cs="Georgia"/>
          <w:i/>
        </w:rPr>
        <w:t>1993</w:t>
      </w:r>
      <w:r w:rsidR="00FA4EF8">
        <w:rPr>
          <w:rFonts w:eastAsia="Georgia" w:cs="Georgia"/>
        </w:rPr>
        <w:t xml:space="preserve"> </w:t>
      </w:r>
      <w:r w:rsidRPr="00225950">
        <w:rPr>
          <w:rFonts w:eastAsia="Georgia" w:cs="Georgia"/>
        </w:rPr>
        <w:t>for phone, mobile and internet services. This Act gives consumers the right to claim for compensation for any losses arising from breaches of services guarantees</w:t>
      </w:r>
      <w:r>
        <w:rPr>
          <w:rFonts w:eastAsia="Georgia" w:cs="Georgia"/>
        </w:rPr>
        <w:t>.</w:t>
      </w:r>
      <w:r w:rsidRPr="00225950">
        <w:rPr>
          <w:rStyle w:val="FootnoteReference"/>
          <w:rFonts w:eastAsia="Georgia"/>
        </w:rPr>
        <w:footnoteReference w:id="84"/>
      </w:r>
    </w:p>
    <w:p w14:paraId="02F6C318" w14:textId="79BBE695" w:rsidR="00421714" w:rsidRPr="00225950" w:rsidRDefault="00421714" w:rsidP="007D7270">
      <w:pPr>
        <w:spacing w:before="120" w:after="120"/>
      </w:pPr>
      <w:r w:rsidRPr="00225950">
        <w:rPr>
          <w:rFonts w:eastAsia="Georgia"/>
        </w:rPr>
        <w:br w:type="page"/>
      </w:r>
    </w:p>
    <w:p w14:paraId="06687F9A" w14:textId="2DE210D3" w:rsidR="007C5CDF" w:rsidRPr="00225950" w:rsidRDefault="009D1655" w:rsidP="009D1655">
      <w:pPr>
        <w:pStyle w:val="Heading3"/>
        <w:numPr>
          <w:ilvl w:val="0"/>
          <w:numId w:val="0"/>
        </w:numPr>
        <w:ind w:left="851" w:hanging="851"/>
      </w:pPr>
      <w:bookmarkStart w:id="45" w:name="_Toc518337351"/>
      <w:bookmarkStart w:id="46" w:name="_Toc525650418"/>
      <w:r>
        <w:lastRenderedPageBreak/>
        <w:t>3.6</w:t>
      </w:r>
      <w:r>
        <w:tab/>
      </w:r>
      <w:r w:rsidR="00D7404C" w:rsidRPr="00225950">
        <w:t>Singapore</w:t>
      </w:r>
      <w:bookmarkEnd w:id="45"/>
      <w:bookmarkEnd w:id="46"/>
    </w:p>
    <w:p w14:paraId="10225869" w14:textId="05239E05" w:rsidR="00BE12F3" w:rsidRDefault="007B50FC" w:rsidP="00BE12F3">
      <w:pPr>
        <w:spacing w:before="120" w:after="120"/>
        <w:rPr>
          <w:rFonts w:eastAsia="Georgia"/>
        </w:rPr>
      </w:pPr>
      <w:r>
        <w:rPr>
          <w:rFonts w:eastAsia="Georgia"/>
        </w:rPr>
        <w:t>I</w:t>
      </w:r>
      <w:r w:rsidR="00BE12F3" w:rsidRPr="00225950">
        <w:rPr>
          <w:rFonts w:eastAsia="Georgia"/>
        </w:rPr>
        <w:t>n Singapore</w:t>
      </w:r>
      <w:r>
        <w:rPr>
          <w:rFonts w:eastAsia="Georgia"/>
        </w:rPr>
        <w:t>,</w:t>
      </w:r>
      <w:r w:rsidR="00BE12F3" w:rsidRPr="00225950">
        <w:rPr>
          <w:rFonts w:eastAsia="Georgia"/>
        </w:rPr>
        <w:t xml:space="preserve"> the Infocomm Media Development Authority (IMDA)</w:t>
      </w:r>
      <w:r>
        <w:rPr>
          <w:rFonts w:eastAsia="Georgia"/>
        </w:rPr>
        <w:t xml:space="preserve"> is responsible for regulating ‘the conv</w:t>
      </w:r>
      <w:r w:rsidR="00773C53">
        <w:rPr>
          <w:rFonts w:eastAsia="Georgia"/>
        </w:rPr>
        <w:t>erging I</w:t>
      </w:r>
      <w:r>
        <w:rPr>
          <w:rFonts w:eastAsia="Georgia"/>
        </w:rPr>
        <w:t>nfocomm and media sectors</w:t>
      </w:r>
      <w:r w:rsidR="00BA7FEF">
        <w:rPr>
          <w:rFonts w:eastAsia="Georgia"/>
        </w:rPr>
        <w:t xml:space="preserve">, </w:t>
      </w:r>
      <w:r w:rsidR="00BA7FEF" w:rsidRPr="00225950">
        <w:rPr>
          <w:rFonts w:eastAsia="Georgia"/>
        </w:rPr>
        <w:t>alongside safeguarding consumer interests</w:t>
      </w:r>
      <w:r w:rsidR="00BA7FEF">
        <w:rPr>
          <w:rFonts w:eastAsia="Georgia"/>
        </w:rPr>
        <w:t>.</w:t>
      </w:r>
      <w:r w:rsidR="006F32AA">
        <w:rPr>
          <w:rFonts w:eastAsia="Georgia"/>
        </w:rPr>
        <w:t>’</w:t>
      </w:r>
      <w:r w:rsidR="00BE12F3" w:rsidRPr="00225950">
        <w:rPr>
          <w:rFonts w:eastAsia="Georgia"/>
        </w:rPr>
        <w:t xml:space="preserve"> </w:t>
      </w:r>
      <w:r w:rsidR="00BA7FEF">
        <w:t xml:space="preserve">The IMDA is a statutory board within the Singapore government, established under the </w:t>
      </w:r>
      <w:r w:rsidR="00BA7FEF" w:rsidRPr="003F5610">
        <w:rPr>
          <w:i/>
        </w:rPr>
        <w:t>Info-communications M</w:t>
      </w:r>
      <w:r w:rsidR="002F0392">
        <w:rPr>
          <w:i/>
        </w:rPr>
        <w:t xml:space="preserve">edia Development Authority Act </w:t>
      </w:r>
      <w:r w:rsidR="00BA7FEF" w:rsidRPr="003F5610">
        <w:rPr>
          <w:i/>
        </w:rPr>
        <w:t>2016</w:t>
      </w:r>
      <w:r w:rsidR="00BA7FEF">
        <w:rPr>
          <w:rStyle w:val="FootnoteReference"/>
          <w:i/>
        </w:rPr>
        <w:footnoteReference w:id="85"/>
      </w:r>
      <w:r w:rsidR="00FF4FCE">
        <w:rPr>
          <w:i/>
        </w:rPr>
        <w:t>. I</w:t>
      </w:r>
      <w:r w:rsidR="00BA7FEF">
        <w:t xml:space="preserve">t was formed in </w:t>
      </w:r>
      <w:r w:rsidR="00BE12F3" w:rsidRPr="00225950">
        <w:rPr>
          <w:rFonts w:eastAsia="Georgia"/>
        </w:rPr>
        <w:t>2016</w:t>
      </w:r>
      <w:r w:rsidR="00BA7FEF">
        <w:rPr>
          <w:rFonts w:eastAsia="Georgia"/>
        </w:rPr>
        <w:t xml:space="preserve">, replacing </w:t>
      </w:r>
      <w:r w:rsidR="00BE12F3" w:rsidRPr="00225950">
        <w:rPr>
          <w:rFonts w:eastAsia="Georgia"/>
        </w:rPr>
        <w:t>two legacy bodies in response to the growing convergence of information technology and telephony.</w:t>
      </w:r>
      <w:r w:rsidR="00A61674" w:rsidRPr="00225950">
        <w:rPr>
          <w:rFonts w:eastAsia="Georgia"/>
          <w:vertAlign w:val="superscript"/>
        </w:rPr>
        <w:footnoteReference w:id="86"/>
      </w:r>
    </w:p>
    <w:p w14:paraId="0CE85E0B" w14:textId="4D57D834" w:rsidR="007D33E0" w:rsidRPr="00BE12F3" w:rsidRDefault="007D33E0" w:rsidP="007D33E0">
      <w:pPr>
        <w:pStyle w:val="PwCNormal"/>
      </w:pPr>
      <w:r>
        <w:t xml:space="preserve">The IMDA has regulatory authority over a variety of industries. In the telecommunications industry, its core responsibilities relate to licensing of industry participants and regulatory tools to safeguard service reliability within the </w:t>
      </w:r>
      <w:r w:rsidRPr="004C487C">
        <w:rPr>
          <w:i/>
        </w:rPr>
        <w:t>Telecommunications Act 1999</w:t>
      </w:r>
      <w:r>
        <w:t>.</w:t>
      </w:r>
      <w:r w:rsidR="00E36D61">
        <w:rPr>
          <w:rStyle w:val="FootnoteReference"/>
        </w:rPr>
        <w:footnoteReference w:id="87"/>
      </w:r>
    </w:p>
    <w:p w14:paraId="58EA4267" w14:textId="78B2AC9A" w:rsidR="00BE12F3" w:rsidRPr="00225950" w:rsidRDefault="00BE12F3" w:rsidP="00BE12F3">
      <w:pPr>
        <w:spacing w:before="120" w:after="120"/>
        <w:rPr>
          <w:rFonts w:eastAsia="Georgia"/>
        </w:rPr>
      </w:pPr>
      <w:r w:rsidRPr="00225950">
        <w:rPr>
          <w:rFonts w:eastAsia="Georgia"/>
        </w:rPr>
        <w:t>IMDA’s stated ambition is to facilitate the deepening of r</w:t>
      </w:r>
      <w:r w:rsidR="00773C53">
        <w:rPr>
          <w:rFonts w:eastAsia="Georgia"/>
        </w:rPr>
        <w:t>egulatory capabilities for the I</w:t>
      </w:r>
      <w:r w:rsidRPr="00225950">
        <w:rPr>
          <w:rFonts w:eastAsia="Georgia"/>
        </w:rPr>
        <w:t>nfocomm media sector, safeguarding consumer interests and fostering pro-enterprise regulations. IMDA is compl</w:t>
      </w:r>
      <w:r w:rsidR="00D12E28">
        <w:rPr>
          <w:rFonts w:eastAsia="Georgia"/>
        </w:rPr>
        <w:t>e</w:t>
      </w:r>
      <w:r w:rsidRPr="00225950">
        <w:rPr>
          <w:rFonts w:eastAsia="Georgia"/>
        </w:rPr>
        <w:t>mented by the Personal Data Protection Commission, which has the mandate of safeguarding personal data</w:t>
      </w:r>
      <w:r>
        <w:rPr>
          <w:rFonts w:eastAsia="Georgia"/>
        </w:rPr>
        <w:t>.</w:t>
      </w:r>
      <w:r w:rsidRPr="00225950">
        <w:rPr>
          <w:rStyle w:val="FootnoteReference"/>
          <w:rFonts w:eastAsia="Georgia"/>
        </w:rPr>
        <w:footnoteReference w:id="88"/>
      </w:r>
    </w:p>
    <w:p w14:paraId="2E023C24" w14:textId="25A45299" w:rsidR="00BE12F3" w:rsidRPr="00225950" w:rsidRDefault="007B50FC" w:rsidP="00BE12F3">
      <w:pPr>
        <w:spacing w:before="120" w:after="120"/>
        <w:rPr>
          <w:rFonts w:eastAsia="Georgia"/>
        </w:rPr>
      </w:pPr>
      <w:r>
        <w:rPr>
          <w:rFonts w:eastAsia="Georgia"/>
        </w:rPr>
        <w:t>IMDA</w:t>
      </w:r>
      <w:r w:rsidR="00BE12F3" w:rsidRPr="00225950">
        <w:rPr>
          <w:rFonts w:eastAsia="Georgia"/>
        </w:rPr>
        <w:t xml:space="preserve"> sets and monitors </w:t>
      </w:r>
      <w:r w:rsidR="00BE12F3" w:rsidRPr="009924D4">
        <w:rPr>
          <w:rFonts w:eastAsia="Georgia" w:cs="Georgia"/>
        </w:rPr>
        <w:t>quality of service</w:t>
      </w:r>
      <w:r>
        <w:rPr>
          <w:rFonts w:eastAsia="Georgia" w:cs="Georgia"/>
        </w:rPr>
        <w:t xml:space="preserve"> measures</w:t>
      </w:r>
      <w:r w:rsidR="00BE12F3" w:rsidRPr="009924D4">
        <w:rPr>
          <w:rFonts w:eastAsia="Georgia" w:cs="Georgia"/>
        </w:rPr>
        <w:t xml:space="preserve"> </w:t>
      </w:r>
      <w:r w:rsidR="00BE12F3" w:rsidRPr="00225950">
        <w:rPr>
          <w:rFonts w:eastAsia="Georgia"/>
        </w:rPr>
        <w:t xml:space="preserve">to </w:t>
      </w:r>
      <w:r w:rsidR="004C487C">
        <w:rPr>
          <w:rFonts w:eastAsia="Georgia"/>
        </w:rPr>
        <w:t>ensure</w:t>
      </w:r>
      <w:r w:rsidR="00BE12F3" w:rsidRPr="00225950">
        <w:rPr>
          <w:rFonts w:eastAsia="Georgia"/>
        </w:rPr>
        <w:t xml:space="preserve"> the performance of key service providers</w:t>
      </w:r>
      <w:r>
        <w:rPr>
          <w:rFonts w:eastAsia="Georgia"/>
        </w:rPr>
        <w:t xml:space="preserve"> against</w:t>
      </w:r>
      <w:r w:rsidR="00BE12F3" w:rsidRPr="00225950">
        <w:rPr>
          <w:rFonts w:eastAsia="Georgia"/>
        </w:rPr>
        <w:t xml:space="preserve"> basic </w:t>
      </w:r>
      <w:r w:rsidR="004C487C">
        <w:rPr>
          <w:rFonts w:eastAsia="Georgia"/>
        </w:rPr>
        <w:t>telecommunications</w:t>
      </w:r>
      <w:r w:rsidR="00BE12F3" w:rsidRPr="00225950">
        <w:rPr>
          <w:rFonts w:eastAsia="Georgia"/>
        </w:rPr>
        <w:t xml:space="preserve">, mobile, </w:t>
      </w:r>
      <w:r w:rsidR="004C487C">
        <w:rPr>
          <w:rFonts w:eastAsia="Georgia"/>
        </w:rPr>
        <w:t>i</w:t>
      </w:r>
      <w:r w:rsidR="00BE12F3" w:rsidRPr="00225950">
        <w:rPr>
          <w:rFonts w:eastAsia="Georgia"/>
        </w:rPr>
        <w:t xml:space="preserve">nternet access and fibre connection services. Operators are required to submit periodic reports of their service quality to the regulator, based on the quoted </w:t>
      </w:r>
      <w:r w:rsidR="00BE12F3" w:rsidRPr="009924D4">
        <w:rPr>
          <w:rFonts w:eastAsia="Georgia" w:cs="Georgia"/>
        </w:rPr>
        <w:t>quality of service</w:t>
      </w:r>
      <w:r w:rsidR="00BE12F3" w:rsidRPr="00225950">
        <w:rPr>
          <w:rFonts w:eastAsia="Georgia"/>
        </w:rPr>
        <w:t xml:space="preserve"> standards. These </w:t>
      </w:r>
      <w:r w:rsidR="00BE12F3" w:rsidRPr="009924D4">
        <w:rPr>
          <w:rFonts w:eastAsia="Georgia" w:cs="Georgia"/>
        </w:rPr>
        <w:t>quality of service</w:t>
      </w:r>
      <w:r w:rsidR="00BE12F3" w:rsidRPr="00225950">
        <w:rPr>
          <w:rFonts w:eastAsia="Georgia"/>
        </w:rPr>
        <w:t xml:space="preserve"> reports are split by service type:</w:t>
      </w:r>
    </w:p>
    <w:p w14:paraId="2D5FCA15" w14:textId="0CD2D942" w:rsidR="00BE12F3" w:rsidRPr="00FF4FCE" w:rsidRDefault="00FF4FCE" w:rsidP="006B7CA5">
      <w:pPr>
        <w:pStyle w:val="ListBullet"/>
        <w:rPr>
          <w:rFonts w:eastAsia="Georgia"/>
        </w:rPr>
      </w:pPr>
      <w:r w:rsidRPr="00FF4FCE">
        <w:rPr>
          <w:rFonts w:eastAsia="Georgia"/>
        </w:rPr>
        <w:t xml:space="preserve">Mobile </w:t>
      </w:r>
      <w:r>
        <w:rPr>
          <w:rFonts w:eastAsia="Georgia"/>
        </w:rPr>
        <w:t>(</w:t>
      </w:r>
      <w:r w:rsidR="00BE12F3" w:rsidRPr="00FF4FCE">
        <w:rPr>
          <w:rFonts w:eastAsia="Georgia"/>
        </w:rPr>
        <w:t xml:space="preserve">2G </w:t>
      </w:r>
      <w:r w:rsidR="008A504A">
        <w:rPr>
          <w:rFonts w:eastAsia="Georgia"/>
        </w:rPr>
        <w:t xml:space="preserve">and </w:t>
      </w:r>
      <w:r>
        <w:rPr>
          <w:rFonts w:eastAsia="Georgia"/>
        </w:rPr>
        <w:t>3G s</w:t>
      </w:r>
      <w:r w:rsidR="00BE12F3" w:rsidRPr="00FF4FCE">
        <w:rPr>
          <w:rFonts w:eastAsia="Georgia"/>
        </w:rPr>
        <w:t>ervices</w:t>
      </w:r>
      <w:r>
        <w:rPr>
          <w:rFonts w:eastAsia="Georgia"/>
        </w:rPr>
        <w:t>)</w:t>
      </w:r>
    </w:p>
    <w:p w14:paraId="4ED858A0" w14:textId="77777777" w:rsidR="00BE12F3" w:rsidRPr="00225950" w:rsidRDefault="00BE12F3" w:rsidP="00BE12F3">
      <w:pPr>
        <w:pStyle w:val="ListBullet"/>
        <w:rPr>
          <w:rFonts w:eastAsia="Georgia"/>
        </w:rPr>
      </w:pPr>
      <w:r w:rsidRPr="00225950">
        <w:rPr>
          <w:rFonts w:eastAsia="Georgia"/>
        </w:rPr>
        <w:t>Broadband Access Services</w:t>
      </w:r>
    </w:p>
    <w:p w14:paraId="5CCCD986" w14:textId="685AAB83" w:rsidR="00BE12F3" w:rsidRPr="00225950" w:rsidRDefault="00BE12F3" w:rsidP="00BE12F3">
      <w:pPr>
        <w:pStyle w:val="ListBullet"/>
        <w:rPr>
          <w:rFonts w:eastAsia="Georgia"/>
        </w:rPr>
      </w:pPr>
      <w:r w:rsidRPr="00225950">
        <w:rPr>
          <w:rFonts w:eastAsia="Georgia"/>
        </w:rPr>
        <w:t>Basic Telecommunication</w:t>
      </w:r>
      <w:r w:rsidR="007B50FC">
        <w:rPr>
          <w:rFonts w:eastAsia="Georgia"/>
        </w:rPr>
        <w:t>s</w:t>
      </w:r>
      <w:r w:rsidRPr="00225950">
        <w:rPr>
          <w:rFonts w:eastAsia="Georgia"/>
        </w:rPr>
        <w:t xml:space="preserve"> Services</w:t>
      </w:r>
    </w:p>
    <w:p w14:paraId="39C1DCFF" w14:textId="77777777" w:rsidR="00BE12F3" w:rsidRPr="00225950" w:rsidRDefault="00BE12F3" w:rsidP="00BE12F3">
      <w:pPr>
        <w:pStyle w:val="ListBullet"/>
        <w:rPr>
          <w:rFonts w:eastAsia="Georgia"/>
        </w:rPr>
      </w:pPr>
      <w:r w:rsidRPr="00225950">
        <w:rPr>
          <w:rFonts w:eastAsia="Georgia"/>
        </w:rPr>
        <w:t>Fibre Connection Services</w:t>
      </w:r>
      <w:r>
        <w:rPr>
          <w:rFonts w:eastAsia="Georgia"/>
        </w:rPr>
        <w:t xml:space="preserve"> (</w:t>
      </w:r>
      <w:r w:rsidRPr="00F30C6E">
        <w:rPr>
          <w:rFonts w:eastAsia="Georgia"/>
        </w:rPr>
        <w:t>Netli</w:t>
      </w:r>
      <w:r w:rsidRPr="00195ACB">
        <w:rPr>
          <w:rFonts w:eastAsia="Georgia"/>
        </w:rPr>
        <w:t xml:space="preserve">nk Trust is the sole appointed </w:t>
      </w:r>
      <w:r>
        <w:rPr>
          <w:rFonts w:eastAsia="Georgia"/>
        </w:rPr>
        <w:t>‘</w:t>
      </w:r>
      <w:r w:rsidRPr="00F30C6E">
        <w:rPr>
          <w:rFonts w:eastAsia="Georgia"/>
        </w:rPr>
        <w:t>Network Company</w:t>
      </w:r>
      <w:r>
        <w:rPr>
          <w:rFonts w:eastAsia="Georgia"/>
        </w:rPr>
        <w:t>’</w:t>
      </w:r>
      <w:r w:rsidRPr="00F30C6E">
        <w:rPr>
          <w:rFonts w:eastAsia="Georgia"/>
        </w:rPr>
        <w:t xml:space="preserve"> for Singapore's Next Gen</w:t>
      </w:r>
      <w:r>
        <w:rPr>
          <w:rFonts w:eastAsia="Georgia"/>
        </w:rPr>
        <w:t xml:space="preserve">eration </w:t>
      </w:r>
      <w:r w:rsidRPr="00F30C6E">
        <w:rPr>
          <w:rFonts w:eastAsia="Georgia"/>
        </w:rPr>
        <w:t>NBN)</w:t>
      </w:r>
      <w:r w:rsidRPr="00225950">
        <w:rPr>
          <w:rFonts w:eastAsia="Georgia"/>
        </w:rPr>
        <w:t>.</w:t>
      </w:r>
    </w:p>
    <w:p w14:paraId="5D47EB04" w14:textId="039F9AED" w:rsidR="00BE12F3" w:rsidRDefault="00BE12F3" w:rsidP="00BE12F3">
      <w:pPr>
        <w:widowControl w:val="0"/>
        <w:spacing w:before="120" w:after="120"/>
        <w:rPr>
          <w:rFonts w:eastAsia="Georgia" w:cs="Georgia"/>
        </w:rPr>
      </w:pPr>
      <w:r w:rsidRPr="00225950">
        <w:rPr>
          <w:rFonts w:eastAsia="Georgia" w:cs="Georgia"/>
        </w:rPr>
        <w:t xml:space="preserve">The sections below outline </w:t>
      </w:r>
      <w:r w:rsidR="004C487C">
        <w:rPr>
          <w:rFonts w:eastAsia="Georgia" w:cs="Georgia"/>
        </w:rPr>
        <w:t xml:space="preserve">reliability </w:t>
      </w:r>
      <w:r w:rsidRPr="00225950">
        <w:rPr>
          <w:rFonts w:eastAsia="Georgia" w:cs="Georgia"/>
        </w:rPr>
        <w:t xml:space="preserve">standards which operators are measured against, by service type. The regulator regularly reviews the requirements to take into account industry and technology changes, as well as changes in consumer demand, to ensure that the requirements remain relevant. Where standards are not explicitly monitored against a quantitative standard, they are publicly reported to </w:t>
      </w:r>
      <w:r w:rsidR="00606F43">
        <w:rPr>
          <w:rFonts w:eastAsia="Georgia" w:cs="Georgia"/>
        </w:rPr>
        <w:t>promote</w:t>
      </w:r>
      <w:r w:rsidR="00606F43" w:rsidRPr="00225950">
        <w:rPr>
          <w:rFonts w:eastAsia="Georgia" w:cs="Georgia"/>
        </w:rPr>
        <w:t xml:space="preserve"> </w:t>
      </w:r>
      <w:r w:rsidRPr="00225950">
        <w:rPr>
          <w:rFonts w:eastAsia="Georgia" w:cs="Georgia"/>
        </w:rPr>
        <w:t>self-regulation</w:t>
      </w:r>
      <w:r>
        <w:rPr>
          <w:rFonts w:eastAsia="Georgia" w:cs="Georgia"/>
        </w:rPr>
        <w:t>.</w:t>
      </w:r>
    </w:p>
    <w:p w14:paraId="2B0FE420" w14:textId="2AC96538" w:rsidR="00BE12F3" w:rsidRDefault="009D1655" w:rsidP="009D1655">
      <w:pPr>
        <w:pStyle w:val="Heading4"/>
        <w:numPr>
          <w:ilvl w:val="0"/>
          <w:numId w:val="0"/>
        </w:numPr>
        <w:ind w:left="851" w:hanging="851"/>
        <w:rPr>
          <w:snapToGrid/>
        </w:rPr>
      </w:pPr>
      <w:r>
        <w:rPr>
          <w:snapToGrid/>
        </w:rPr>
        <w:lastRenderedPageBreak/>
        <w:t>3.6.1</w:t>
      </w:r>
      <w:r>
        <w:rPr>
          <w:snapToGrid/>
        </w:rPr>
        <w:tab/>
      </w:r>
      <w:r w:rsidR="00BE12F3" w:rsidRPr="00B339AC">
        <w:rPr>
          <w:snapToGrid/>
        </w:rPr>
        <w:t>Connection</w:t>
      </w:r>
    </w:p>
    <w:p w14:paraId="15767EA1" w14:textId="3F1330F2" w:rsidR="00775091" w:rsidRDefault="00775091" w:rsidP="00325598">
      <w:pPr>
        <w:pStyle w:val="styeheading5"/>
        <w:rPr>
          <w:rFonts w:eastAsia="Georgia"/>
          <w:snapToGrid/>
        </w:rPr>
      </w:pPr>
      <w:r>
        <w:rPr>
          <w:rFonts w:eastAsia="Georgia"/>
          <w:snapToGrid/>
        </w:rPr>
        <w:t>Telephone</w:t>
      </w:r>
      <w:r w:rsidRPr="00B339AC">
        <w:rPr>
          <w:rFonts w:eastAsia="Georgia"/>
          <w:snapToGrid/>
        </w:rPr>
        <w:t xml:space="preserve"> connections</w:t>
      </w:r>
    </w:p>
    <w:p w14:paraId="28272CC6" w14:textId="43C70005" w:rsidR="00F4491D" w:rsidRPr="00C83D50" w:rsidRDefault="00F4491D" w:rsidP="00F4491D">
      <w:pPr>
        <w:pStyle w:val="PwCNormal"/>
        <w:rPr>
          <w:rFonts w:eastAsia="Georgia"/>
          <w:highlight w:val="white"/>
        </w:rPr>
      </w:pPr>
      <w:r w:rsidRPr="00C83D50">
        <w:rPr>
          <w:rFonts w:eastAsia="Georgia"/>
        </w:rPr>
        <w:t xml:space="preserve">The IMDA has set standards which telecommunications service providers </w:t>
      </w:r>
      <w:r>
        <w:rPr>
          <w:rFonts w:eastAsia="Georgia"/>
        </w:rPr>
        <w:t xml:space="preserve">either </w:t>
      </w:r>
      <w:r w:rsidRPr="00C83D50">
        <w:rPr>
          <w:rFonts w:eastAsia="Georgia"/>
        </w:rPr>
        <w:t>must abide by</w:t>
      </w:r>
      <w:r>
        <w:rPr>
          <w:rFonts w:eastAsia="Georgia"/>
        </w:rPr>
        <w:t xml:space="preserve"> or </w:t>
      </w:r>
      <w:r w:rsidR="00606F43">
        <w:rPr>
          <w:rFonts w:eastAsia="Georgia"/>
        </w:rPr>
        <w:t xml:space="preserve">which </w:t>
      </w:r>
      <w:r>
        <w:rPr>
          <w:rFonts w:eastAsia="Georgia"/>
        </w:rPr>
        <w:t>are used for monitoring purposes.</w:t>
      </w:r>
    </w:p>
    <w:p w14:paraId="635DD238" w14:textId="382BAE8E" w:rsidR="007D33E0" w:rsidRPr="00F4491D" w:rsidRDefault="007D33E0" w:rsidP="007D33E0">
      <w:pPr>
        <w:pStyle w:val="PwCNormal"/>
        <w:rPr>
          <w:rFonts w:eastAsia="Georgia"/>
          <w:highlight w:val="white"/>
        </w:rPr>
      </w:pPr>
      <w:r w:rsidRPr="00F4491D">
        <w:rPr>
          <w:rFonts w:eastAsia="Georgia"/>
        </w:rPr>
        <w:t xml:space="preserve">The primary measure for fixed telephone services in Singapore relates to new service connection time, </w:t>
      </w:r>
      <w:r w:rsidR="00606F43">
        <w:rPr>
          <w:rFonts w:eastAsia="Georgia"/>
        </w:rPr>
        <w:t xml:space="preserve">with </w:t>
      </w:r>
      <w:r w:rsidRPr="00F4491D">
        <w:rPr>
          <w:rFonts w:eastAsia="Georgia"/>
        </w:rPr>
        <w:t>call success rate, call setup time and call drop-out rate used in relation to mobile telephone services.</w:t>
      </w:r>
    </w:p>
    <w:p w14:paraId="0E720153" w14:textId="798DE144" w:rsidR="00775091" w:rsidRDefault="00775091" w:rsidP="009D1655">
      <w:pPr>
        <w:pStyle w:val="Caption"/>
      </w:pPr>
      <w:r>
        <w:t xml:space="preserve">Table </w:t>
      </w:r>
      <w:r w:rsidR="000B0990">
        <w:rPr>
          <w:noProof/>
        </w:rPr>
        <w:fldChar w:fldCharType="begin"/>
      </w:r>
      <w:r w:rsidR="000B0990">
        <w:rPr>
          <w:noProof/>
        </w:rPr>
        <w:instrText xml:space="preserve"> SEQ Table \* ARABIC </w:instrText>
      </w:r>
      <w:r w:rsidR="000B0990">
        <w:rPr>
          <w:noProof/>
        </w:rPr>
        <w:fldChar w:fldCharType="separate"/>
      </w:r>
      <w:r w:rsidR="00AE12E7">
        <w:rPr>
          <w:noProof/>
        </w:rPr>
        <w:t>13</w:t>
      </w:r>
      <w:r w:rsidR="000B0990">
        <w:rPr>
          <w:noProof/>
        </w:rPr>
        <w:fldChar w:fldCharType="end"/>
      </w:r>
      <w:r>
        <w:t xml:space="preserve">: </w:t>
      </w:r>
      <w:r w:rsidR="004C487C">
        <w:t xml:space="preserve">Telephone quality of </w:t>
      </w:r>
      <w:r w:rsidRPr="009924D4">
        <w:t>service</w:t>
      </w:r>
      <w:r w:rsidR="004C487C">
        <w:t xml:space="preserve"> </w:t>
      </w:r>
      <w:r w:rsidR="00F61956">
        <w:t>indicators – Singapore</w:t>
      </w:r>
      <w:r w:rsidR="000B4EBC">
        <w:rPr>
          <w:rStyle w:val="FootnoteReference"/>
        </w:rPr>
        <w:footnoteReference w:id="89"/>
      </w:r>
    </w:p>
    <w:tbl>
      <w:tblPr>
        <w:tblStyle w:val="Tables-APBase"/>
        <w:tblW w:w="8370" w:type="dxa"/>
        <w:tblLook w:val="06A0" w:firstRow="1" w:lastRow="0" w:firstColumn="1" w:lastColumn="0" w:noHBand="1" w:noVBand="1"/>
        <w:tblCaption w:val="Telephone quality of service indicators – Singapore"/>
        <w:tblDescription w:val="This table summaries the telephone quality of service indicators for Singapore. New service connection times: for fixed telephone services 95% within 3 working days and 100% within 7 working days (for fibre connections), and 95% within 5 working days or 100% within 9 working days (for copper or co-axial connections).&#10;Call success rate: for mobile services 99% across all localities, &gt;95% in the busiest call localities, &gt;70% for each cell locality&#10;Average call set up time: for mobile services for monitoring only&#10;Call drop-out rate: for mobile services &lt;1% on average, &lt;2% during busy hour and hour with worst performance&#10;"/>
      </w:tblPr>
      <w:tblGrid>
        <w:gridCol w:w="1704"/>
        <w:gridCol w:w="3969"/>
        <w:gridCol w:w="2697"/>
      </w:tblGrid>
      <w:tr w:rsidR="004C487C" w:rsidRPr="00E774BF" w14:paraId="75EA921B" w14:textId="4D652512" w:rsidTr="007404FC">
        <w:trPr>
          <w:cnfStyle w:val="100000000000" w:firstRow="1" w:lastRow="0" w:firstColumn="0" w:lastColumn="0" w:oddVBand="0" w:evenVBand="0" w:oddHBand="0" w:evenHBand="0" w:firstRowFirstColumn="0" w:firstRowLastColumn="0" w:lastRowFirstColumn="0" w:lastRowLastColumn="0"/>
          <w:trHeight w:val="20"/>
        </w:trPr>
        <w:tc>
          <w:tcPr>
            <w:cnfStyle w:val="000000000100" w:firstRow="0" w:lastRow="0" w:firstColumn="0" w:lastColumn="0" w:oddVBand="0" w:evenVBand="0" w:oddHBand="0" w:evenHBand="0" w:firstRowFirstColumn="1" w:firstRowLastColumn="0" w:lastRowFirstColumn="0" w:lastRowLastColumn="0"/>
            <w:tcW w:w="1704" w:type="dxa"/>
          </w:tcPr>
          <w:p w14:paraId="46A9954F" w14:textId="77777777" w:rsidR="004C487C" w:rsidRPr="00E774BF" w:rsidRDefault="004C487C" w:rsidP="007404FC">
            <w:pPr>
              <w:pStyle w:val="TableColumnHeadingNormal"/>
              <w:rPr>
                <w:rFonts w:eastAsia="Georgia"/>
              </w:rPr>
            </w:pPr>
            <w:r w:rsidRPr="00E774BF">
              <w:rPr>
                <w:rFonts w:eastAsia="Georgia"/>
              </w:rPr>
              <w:t>Standard</w:t>
            </w:r>
          </w:p>
        </w:tc>
        <w:tc>
          <w:tcPr>
            <w:tcW w:w="3969" w:type="dxa"/>
          </w:tcPr>
          <w:p w14:paraId="72D1CE77" w14:textId="2EA46F99" w:rsidR="004C487C" w:rsidRPr="00E774BF" w:rsidRDefault="004C487C" w:rsidP="007404FC">
            <w:pPr>
              <w:pStyle w:val="TableColumnHeadingNormal"/>
              <w:cnfStyle w:val="100000000000" w:firstRow="1" w:lastRow="0" w:firstColumn="0" w:lastColumn="0" w:oddVBand="0" w:evenVBand="0" w:oddHBand="0" w:evenHBand="0" w:firstRowFirstColumn="0" w:firstRowLastColumn="0" w:lastRowFirstColumn="0" w:lastRowLastColumn="0"/>
              <w:rPr>
                <w:rFonts w:eastAsia="Georgia"/>
              </w:rPr>
            </w:pPr>
            <w:r>
              <w:rPr>
                <w:rFonts w:eastAsia="Georgia"/>
              </w:rPr>
              <w:t>Fixed telephone service</w:t>
            </w:r>
          </w:p>
        </w:tc>
        <w:tc>
          <w:tcPr>
            <w:tcW w:w="2697" w:type="dxa"/>
          </w:tcPr>
          <w:p w14:paraId="3C4C095E" w14:textId="616008BB" w:rsidR="004C487C" w:rsidRPr="00E774BF" w:rsidRDefault="004C487C" w:rsidP="007404FC">
            <w:pPr>
              <w:pStyle w:val="TableColumnHeadingNormal"/>
              <w:cnfStyle w:val="100000000000" w:firstRow="1" w:lastRow="0" w:firstColumn="0" w:lastColumn="0" w:oddVBand="0" w:evenVBand="0" w:oddHBand="0" w:evenHBand="0" w:firstRowFirstColumn="0" w:firstRowLastColumn="0" w:lastRowFirstColumn="0" w:lastRowLastColumn="0"/>
              <w:rPr>
                <w:rFonts w:eastAsia="Georgia"/>
              </w:rPr>
            </w:pPr>
            <w:r>
              <w:rPr>
                <w:rFonts w:eastAsia="Georgia"/>
              </w:rPr>
              <w:t>Mobile service</w:t>
            </w:r>
          </w:p>
        </w:tc>
      </w:tr>
      <w:tr w:rsidR="004C487C" w:rsidRPr="00E774BF" w14:paraId="2635972F" w14:textId="4C102F38" w:rsidTr="007404FC">
        <w:trPr>
          <w:trHeight w:val="20"/>
        </w:trPr>
        <w:tc>
          <w:tcPr>
            <w:tcW w:w="1704" w:type="dxa"/>
          </w:tcPr>
          <w:p w14:paraId="0BBA7F4B" w14:textId="2B3ECA11" w:rsidR="004C487C" w:rsidRPr="00E774BF" w:rsidRDefault="004C487C" w:rsidP="007404FC">
            <w:pPr>
              <w:pStyle w:val="TableTextNormal"/>
              <w:rPr>
                <w:rFonts w:eastAsia="Georgia"/>
              </w:rPr>
            </w:pPr>
            <w:r>
              <w:rPr>
                <w:rFonts w:eastAsia="Georgia"/>
              </w:rPr>
              <w:t>New service connection times</w:t>
            </w:r>
          </w:p>
        </w:tc>
        <w:tc>
          <w:tcPr>
            <w:tcW w:w="3969" w:type="dxa"/>
          </w:tcPr>
          <w:p w14:paraId="1420CE89" w14:textId="7E5ACFA0" w:rsidR="004C487C" w:rsidRDefault="00D54457" w:rsidP="007404FC">
            <w:pPr>
              <w:pStyle w:val="TableTextNormal"/>
              <w:rPr>
                <w:rFonts w:eastAsia="Georgia"/>
              </w:rPr>
            </w:pPr>
            <w:r>
              <w:rPr>
                <w:rFonts w:eastAsia="Georgia"/>
              </w:rPr>
              <w:t xml:space="preserve">95% within </w:t>
            </w:r>
            <w:r w:rsidR="004C487C">
              <w:rPr>
                <w:rFonts w:eastAsia="Georgia"/>
              </w:rPr>
              <w:t xml:space="preserve">3 working days </w:t>
            </w:r>
            <w:r>
              <w:rPr>
                <w:rFonts w:eastAsia="Georgia"/>
              </w:rPr>
              <w:t xml:space="preserve">and 100% within 7 working days </w:t>
            </w:r>
            <w:r w:rsidR="004C487C">
              <w:rPr>
                <w:rFonts w:eastAsia="Georgia"/>
              </w:rPr>
              <w:t xml:space="preserve">(for fibre </w:t>
            </w:r>
            <w:r>
              <w:rPr>
                <w:rFonts w:eastAsia="Georgia"/>
              </w:rPr>
              <w:t>connections</w:t>
            </w:r>
            <w:r w:rsidR="004C487C">
              <w:rPr>
                <w:rFonts w:eastAsia="Georgia"/>
              </w:rPr>
              <w:t>)</w:t>
            </w:r>
          </w:p>
          <w:p w14:paraId="0CB210A7" w14:textId="33BA7BCE" w:rsidR="004C487C" w:rsidRPr="00D54457" w:rsidRDefault="00D54457" w:rsidP="007404FC">
            <w:pPr>
              <w:pStyle w:val="TableTextNormal"/>
              <w:rPr>
                <w:rFonts w:eastAsia="Georgia"/>
              </w:rPr>
            </w:pPr>
            <w:r w:rsidRPr="00D54457">
              <w:rPr>
                <w:rFonts w:eastAsia="Georgia"/>
              </w:rPr>
              <w:t xml:space="preserve">95% within </w:t>
            </w:r>
            <w:r w:rsidR="004C487C" w:rsidRPr="00D54457">
              <w:rPr>
                <w:rFonts w:eastAsia="Georgia"/>
              </w:rPr>
              <w:t xml:space="preserve">5 working days </w:t>
            </w:r>
            <w:r w:rsidRPr="00D54457">
              <w:rPr>
                <w:rFonts w:eastAsia="Georgia"/>
              </w:rPr>
              <w:t xml:space="preserve">or 100% within 9 working days </w:t>
            </w:r>
            <w:r w:rsidR="004C487C" w:rsidRPr="00D54457">
              <w:rPr>
                <w:rFonts w:eastAsia="Georgia"/>
              </w:rPr>
              <w:t>(for copper or co-axial connections)</w:t>
            </w:r>
          </w:p>
        </w:tc>
        <w:tc>
          <w:tcPr>
            <w:tcW w:w="2697" w:type="dxa"/>
          </w:tcPr>
          <w:p w14:paraId="23F0498B" w14:textId="2C20AF5E" w:rsidR="004C487C" w:rsidRPr="00E774BF" w:rsidRDefault="00F4491D" w:rsidP="007404FC">
            <w:pPr>
              <w:pStyle w:val="TableTextNormal"/>
              <w:rPr>
                <w:rFonts w:eastAsia="Georgia"/>
              </w:rPr>
            </w:pPr>
            <w:r>
              <w:rPr>
                <w:rFonts w:eastAsia="Georgia"/>
              </w:rPr>
              <w:t>n/a</w:t>
            </w:r>
          </w:p>
        </w:tc>
      </w:tr>
      <w:tr w:rsidR="004C487C" w:rsidRPr="00E774BF" w14:paraId="0DB5B1FF" w14:textId="544216F0" w:rsidTr="007404FC">
        <w:trPr>
          <w:trHeight w:val="20"/>
        </w:trPr>
        <w:tc>
          <w:tcPr>
            <w:tcW w:w="1704" w:type="dxa"/>
          </w:tcPr>
          <w:p w14:paraId="42F3FEC9" w14:textId="49F7A7B2" w:rsidR="004C487C" w:rsidRPr="00E774BF" w:rsidRDefault="000B4EBC" w:rsidP="007404FC">
            <w:pPr>
              <w:pStyle w:val="TableTextNormal"/>
              <w:rPr>
                <w:rFonts w:eastAsia="Georgia"/>
                <w:b/>
              </w:rPr>
            </w:pPr>
            <w:r>
              <w:rPr>
                <w:rFonts w:eastAsia="Georgia"/>
              </w:rPr>
              <w:t>Call success rate</w:t>
            </w:r>
          </w:p>
        </w:tc>
        <w:tc>
          <w:tcPr>
            <w:tcW w:w="3969" w:type="dxa"/>
          </w:tcPr>
          <w:p w14:paraId="25822AEE" w14:textId="7B4D49D3" w:rsidR="004C487C" w:rsidRPr="00E774BF" w:rsidRDefault="00F4491D" w:rsidP="007404FC">
            <w:pPr>
              <w:pStyle w:val="TableTextNormal"/>
              <w:rPr>
                <w:rFonts w:eastAsia="Georgia"/>
                <w:b/>
              </w:rPr>
            </w:pPr>
            <w:r>
              <w:rPr>
                <w:rFonts w:eastAsia="Georgia"/>
              </w:rPr>
              <w:t>n/a</w:t>
            </w:r>
          </w:p>
        </w:tc>
        <w:tc>
          <w:tcPr>
            <w:tcW w:w="2697" w:type="dxa"/>
          </w:tcPr>
          <w:p w14:paraId="5D2FBCA1" w14:textId="77777777" w:rsidR="004C487C" w:rsidRPr="000B4EBC" w:rsidRDefault="000B4EBC" w:rsidP="007404FC">
            <w:pPr>
              <w:pStyle w:val="TableTextNormal"/>
              <w:rPr>
                <w:rFonts w:eastAsia="Georgia"/>
              </w:rPr>
            </w:pPr>
            <w:r w:rsidRPr="000B4EBC">
              <w:rPr>
                <w:rFonts w:eastAsia="Georgia"/>
              </w:rPr>
              <w:t>&gt;99% across all localities</w:t>
            </w:r>
            <w:r w:rsidRPr="000B4EBC">
              <w:rPr>
                <w:rFonts w:eastAsia="Georgia"/>
              </w:rPr>
              <w:br/>
              <w:t>&gt;95% in the busiest call localities</w:t>
            </w:r>
          </w:p>
          <w:p w14:paraId="0676CCEF" w14:textId="7C418EA6" w:rsidR="000B4EBC" w:rsidRPr="000B4EBC" w:rsidRDefault="000B4EBC" w:rsidP="007404FC">
            <w:pPr>
              <w:pStyle w:val="TableTextNormal"/>
              <w:rPr>
                <w:rFonts w:eastAsia="Georgia"/>
              </w:rPr>
            </w:pPr>
            <w:r w:rsidRPr="000B4EBC">
              <w:rPr>
                <w:rFonts w:eastAsia="Georgia"/>
              </w:rPr>
              <w:t>&gt;70% for each cell locality</w:t>
            </w:r>
          </w:p>
        </w:tc>
      </w:tr>
      <w:tr w:rsidR="000B4EBC" w:rsidRPr="00E774BF" w14:paraId="2D0D2309" w14:textId="77777777" w:rsidTr="007404FC">
        <w:trPr>
          <w:trHeight w:val="20"/>
        </w:trPr>
        <w:tc>
          <w:tcPr>
            <w:tcW w:w="1704" w:type="dxa"/>
          </w:tcPr>
          <w:p w14:paraId="27161CAB" w14:textId="1E0731B2" w:rsidR="000B4EBC" w:rsidRDefault="000B4EBC" w:rsidP="007404FC">
            <w:pPr>
              <w:pStyle w:val="TableTextNormal"/>
              <w:rPr>
                <w:rFonts w:eastAsia="Georgia"/>
              </w:rPr>
            </w:pPr>
            <w:r>
              <w:rPr>
                <w:rFonts w:eastAsia="Georgia"/>
              </w:rPr>
              <w:t>Average call set up time</w:t>
            </w:r>
          </w:p>
        </w:tc>
        <w:tc>
          <w:tcPr>
            <w:tcW w:w="3969" w:type="dxa"/>
          </w:tcPr>
          <w:p w14:paraId="165680F3" w14:textId="677386E9" w:rsidR="000B4EBC" w:rsidRDefault="00F4491D" w:rsidP="007404FC">
            <w:pPr>
              <w:pStyle w:val="TableTextNormal"/>
              <w:rPr>
                <w:rFonts w:eastAsia="Georgia"/>
              </w:rPr>
            </w:pPr>
            <w:r>
              <w:rPr>
                <w:rFonts w:eastAsia="Georgia"/>
              </w:rPr>
              <w:t>n/a</w:t>
            </w:r>
          </w:p>
        </w:tc>
        <w:tc>
          <w:tcPr>
            <w:tcW w:w="2697" w:type="dxa"/>
          </w:tcPr>
          <w:p w14:paraId="0F9D9FEE" w14:textId="5A345D26" w:rsidR="000B4EBC" w:rsidRPr="000B4EBC" w:rsidRDefault="000B4EBC" w:rsidP="007404FC">
            <w:pPr>
              <w:pStyle w:val="TableTextNormal"/>
              <w:rPr>
                <w:rFonts w:eastAsia="Georgia"/>
              </w:rPr>
            </w:pPr>
            <w:r>
              <w:rPr>
                <w:rFonts w:eastAsia="Georgia"/>
              </w:rPr>
              <w:t>For monitoring only</w:t>
            </w:r>
          </w:p>
        </w:tc>
      </w:tr>
      <w:tr w:rsidR="004C487C" w:rsidRPr="00225950" w14:paraId="4ABB8BE8" w14:textId="62A8F90F" w:rsidTr="007404FC">
        <w:trPr>
          <w:trHeight w:val="20"/>
        </w:trPr>
        <w:tc>
          <w:tcPr>
            <w:tcW w:w="1704" w:type="dxa"/>
          </w:tcPr>
          <w:p w14:paraId="18603191" w14:textId="68F35D1D" w:rsidR="004C487C" w:rsidRPr="00225950" w:rsidRDefault="000B4EBC" w:rsidP="007404FC">
            <w:pPr>
              <w:pStyle w:val="TableTextNormal"/>
              <w:rPr>
                <w:rFonts w:eastAsia="Georgia"/>
              </w:rPr>
            </w:pPr>
            <w:r>
              <w:rPr>
                <w:rFonts w:eastAsia="Georgia"/>
              </w:rPr>
              <w:t>Call drop-out rate</w:t>
            </w:r>
          </w:p>
        </w:tc>
        <w:tc>
          <w:tcPr>
            <w:tcW w:w="3969" w:type="dxa"/>
          </w:tcPr>
          <w:p w14:paraId="3D5A42A5" w14:textId="71570DAE" w:rsidR="004C487C" w:rsidRPr="000B4EBC" w:rsidRDefault="00F4491D" w:rsidP="007404FC">
            <w:pPr>
              <w:pStyle w:val="TableTextNormal"/>
              <w:rPr>
                <w:rFonts w:eastAsia="Georgia"/>
                <w:highlight w:val="yellow"/>
              </w:rPr>
            </w:pPr>
            <w:r>
              <w:rPr>
                <w:rFonts w:eastAsia="Georgia"/>
              </w:rPr>
              <w:t>n/a</w:t>
            </w:r>
          </w:p>
        </w:tc>
        <w:tc>
          <w:tcPr>
            <w:tcW w:w="2697" w:type="dxa"/>
          </w:tcPr>
          <w:p w14:paraId="52195300" w14:textId="77777777" w:rsidR="004C487C" w:rsidRPr="000B4EBC" w:rsidRDefault="000B4EBC" w:rsidP="007404FC">
            <w:pPr>
              <w:pStyle w:val="TableTextNormal"/>
              <w:rPr>
                <w:rFonts w:eastAsia="Georgia"/>
              </w:rPr>
            </w:pPr>
            <w:r w:rsidRPr="000B4EBC">
              <w:rPr>
                <w:rFonts w:eastAsia="Georgia"/>
              </w:rPr>
              <w:t>&lt;1% on average</w:t>
            </w:r>
          </w:p>
          <w:p w14:paraId="07679616" w14:textId="38D044BB" w:rsidR="000B4EBC" w:rsidRPr="000B4EBC" w:rsidRDefault="000B4EBC" w:rsidP="007404FC">
            <w:pPr>
              <w:pStyle w:val="TableTextNormal"/>
              <w:rPr>
                <w:rFonts w:eastAsia="Georgia"/>
                <w:highlight w:val="yellow"/>
              </w:rPr>
            </w:pPr>
            <w:r w:rsidRPr="000B4EBC">
              <w:rPr>
                <w:rFonts w:eastAsia="Georgia"/>
              </w:rPr>
              <w:t>&lt;2% during busy hour and hour with worst performance</w:t>
            </w:r>
          </w:p>
        </w:tc>
      </w:tr>
    </w:tbl>
    <w:p w14:paraId="2D462DD6" w14:textId="7EBF607C" w:rsidR="00775091" w:rsidRPr="00775091" w:rsidRDefault="00775091" w:rsidP="00325598">
      <w:pPr>
        <w:pStyle w:val="styeheading5"/>
        <w:rPr>
          <w:rFonts w:eastAsia="Georgia"/>
          <w:snapToGrid/>
        </w:rPr>
      </w:pPr>
      <w:r>
        <w:rPr>
          <w:rFonts w:eastAsia="Georgia"/>
          <w:snapToGrid/>
        </w:rPr>
        <w:t>Data</w:t>
      </w:r>
      <w:r w:rsidRPr="00B339AC">
        <w:rPr>
          <w:rFonts w:eastAsia="Georgia"/>
          <w:snapToGrid/>
        </w:rPr>
        <w:t xml:space="preserve"> connections</w:t>
      </w:r>
    </w:p>
    <w:p w14:paraId="561102BC" w14:textId="207D7AB7" w:rsidR="007D33E0" w:rsidRPr="00396FC2" w:rsidRDefault="007D33E0" w:rsidP="007D33E0">
      <w:pPr>
        <w:pStyle w:val="PwCNormal"/>
        <w:rPr>
          <w:rFonts w:eastAsia="Georgia"/>
        </w:rPr>
      </w:pPr>
      <w:r>
        <w:rPr>
          <w:rFonts w:eastAsia="Georgia"/>
        </w:rPr>
        <w:t>Broadband services have measures that include network latency, utilisation and packet loss, though packet loss is only used for monitoring purposes.</w:t>
      </w:r>
    </w:p>
    <w:p w14:paraId="3BFF6B70" w14:textId="0D48FA79" w:rsidR="00775091" w:rsidRDefault="00775091" w:rsidP="00775091">
      <w:pPr>
        <w:pStyle w:val="Caption"/>
      </w:pPr>
      <w:r>
        <w:t xml:space="preserve">Table </w:t>
      </w:r>
      <w:r w:rsidR="000B0990">
        <w:rPr>
          <w:noProof/>
        </w:rPr>
        <w:fldChar w:fldCharType="begin"/>
      </w:r>
      <w:r w:rsidR="000B0990">
        <w:rPr>
          <w:noProof/>
        </w:rPr>
        <w:instrText xml:space="preserve"> SEQ Table \* ARABIC </w:instrText>
      </w:r>
      <w:r w:rsidR="000B0990">
        <w:rPr>
          <w:noProof/>
        </w:rPr>
        <w:fldChar w:fldCharType="separate"/>
      </w:r>
      <w:r w:rsidR="00AE12E7">
        <w:rPr>
          <w:noProof/>
        </w:rPr>
        <w:t>14</w:t>
      </w:r>
      <w:r w:rsidR="000B0990">
        <w:rPr>
          <w:noProof/>
        </w:rPr>
        <w:fldChar w:fldCharType="end"/>
      </w:r>
      <w:r>
        <w:rPr>
          <w:noProof/>
        </w:rPr>
        <w:t xml:space="preserve">: </w:t>
      </w:r>
      <w:r w:rsidR="004C487C">
        <w:rPr>
          <w:noProof/>
        </w:rPr>
        <w:t xml:space="preserve">Data quality of service </w:t>
      </w:r>
      <w:r w:rsidR="00F61956">
        <w:rPr>
          <w:noProof/>
        </w:rPr>
        <w:t>indicators – Singapore</w:t>
      </w:r>
      <w:r w:rsidR="000B4EBC">
        <w:rPr>
          <w:rStyle w:val="FootnoteReference"/>
          <w:noProof/>
        </w:rPr>
        <w:footnoteReference w:id="90"/>
      </w:r>
    </w:p>
    <w:tbl>
      <w:tblPr>
        <w:tblStyle w:val="Tables-APBase"/>
        <w:tblW w:w="8346" w:type="dxa"/>
        <w:tblLook w:val="06A0" w:firstRow="1" w:lastRow="0" w:firstColumn="1" w:lastColumn="0" w:noHBand="1" w:noVBand="1"/>
        <w:tblCaption w:val="Data quality of service indicators – Singapore"/>
        <w:tblDescription w:val="This table summarises the data quality of service indicators for Singapore.&#10;New service connection times: NetLink Trust (a large provider): ≤ 98% within 3 business days of the service order or request for activation, 100% within 7 business days, all other services are for monitoring only.&#10;Network latency (local/international): ≤ 50 milliseconds (ADSL or cable - local) or ≤30 milliseconds (local fibre - local), ≤ 300 milliseconds (international)&#10;Bandwidth utilisation: ≤ 90% (not to exceed 90% for three or more consecutive months)&#10;Packet loss (local/international): Relates to fibre services (for monitoring only)&#10;"/>
      </w:tblPr>
      <w:tblGrid>
        <w:gridCol w:w="3405"/>
        <w:gridCol w:w="4941"/>
      </w:tblGrid>
      <w:tr w:rsidR="00775091" w:rsidRPr="00E774BF" w14:paraId="5F379CEA" w14:textId="77777777" w:rsidTr="007404FC">
        <w:trPr>
          <w:cnfStyle w:val="100000000000" w:firstRow="1" w:lastRow="0" w:firstColumn="0" w:lastColumn="0" w:oddVBand="0" w:evenVBand="0" w:oddHBand="0" w:evenHBand="0" w:firstRowFirstColumn="0" w:firstRowLastColumn="0" w:lastRowFirstColumn="0" w:lastRowLastColumn="0"/>
          <w:trHeight w:val="20"/>
        </w:trPr>
        <w:tc>
          <w:tcPr>
            <w:cnfStyle w:val="000000000100" w:firstRow="0" w:lastRow="0" w:firstColumn="0" w:lastColumn="0" w:oddVBand="0" w:evenVBand="0" w:oddHBand="0" w:evenHBand="0" w:firstRowFirstColumn="1" w:firstRowLastColumn="0" w:lastRowFirstColumn="0" w:lastRowLastColumn="0"/>
            <w:tcW w:w="3405" w:type="dxa"/>
          </w:tcPr>
          <w:p w14:paraId="50C97EC1" w14:textId="77777777" w:rsidR="00775091" w:rsidRPr="00E774BF" w:rsidRDefault="00775091" w:rsidP="007404FC">
            <w:pPr>
              <w:pStyle w:val="TableColumnHeadingNormal"/>
              <w:rPr>
                <w:rFonts w:eastAsia="Georgia"/>
              </w:rPr>
            </w:pPr>
            <w:r w:rsidRPr="00E774BF">
              <w:rPr>
                <w:rFonts w:eastAsia="Georgia"/>
              </w:rPr>
              <w:t>Standard</w:t>
            </w:r>
          </w:p>
        </w:tc>
        <w:tc>
          <w:tcPr>
            <w:tcW w:w="4941" w:type="dxa"/>
          </w:tcPr>
          <w:p w14:paraId="5D108E80" w14:textId="5EEDA786" w:rsidR="00775091" w:rsidRPr="00E774BF" w:rsidRDefault="008B6D2B" w:rsidP="007404FC">
            <w:pPr>
              <w:pStyle w:val="TableColumnHeadingNormal"/>
              <w:cnfStyle w:val="100000000000" w:firstRow="1" w:lastRow="0" w:firstColumn="0" w:lastColumn="0" w:oddVBand="0" w:evenVBand="0" w:oddHBand="0" w:evenHBand="0" w:firstRowFirstColumn="0" w:firstRowLastColumn="0" w:lastRowFirstColumn="0" w:lastRowLastColumn="0"/>
              <w:rPr>
                <w:rFonts w:eastAsia="Georgia"/>
              </w:rPr>
            </w:pPr>
            <w:r>
              <w:rPr>
                <w:rFonts w:eastAsia="Georgia"/>
              </w:rPr>
              <w:t>Broadband</w:t>
            </w:r>
          </w:p>
        </w:tc>
      </w:tr>
      <w:tr w:rsidR="00FF4FCE" w:rsidRPr="00E774BF" w14:paraId="6AB94AAD" w14:textId="77777777" w:rsidTr="007404FC">
        <w:trPr>
          <w:trHeight w:val="20"/>
        </w:trPr>
        <w:tc>
          <w:tcPr>
            <w:tcW w:w="3405" w:type="dxa"/>
          </w:tcPr>
          <w:p w14:paraId="6BF64FDF" w14:textId="29B4F87F" w:rsidR="00FF4FCE" w:rsidRDefault="00FF4FCE" w:rsidP="00FF4FCE">
            <w:pPr>
              <w:pStyle w:val="TableTextNormal"/>
              <w:rPr>
                <w:rFonts w:eastAsia="Georgia"/>
              </w:rPr>
            </w:pPr>
            <w:r w:rsidRPr="00AA0DB7">
              <w:t>New service connection times</w:t>
            </w:r>
          </w:p>
        </w:tc>
        <w:tc>
          <w:tcPr>
            <w:tcW w:w="4941" w:type="dxa"/>
          </w:tcPr>
          <w:p w14:paraId="41DF92D6" w14:textId="6CC9F651" w:rsidR="00FF4FCE" w:rsidRDefault="00754EBA" w:rsidP="00FF4FCE">
            <w:pPr>
              <w:pStyle w:val="TableTextNormal"/>
            </w:pPr>
            <w:r w:rsidRPr="00754EBA">
              <w:t>NetLink Trust (a large provider):</w:t>
            </w:r>
          </w:p>
          <w:p w14:paraId="1B9EDBE9" w14:textId="78592315" w:rsidR="00FA59CE" w:rsidRDefault="00FF4FCE" w:rsidP="00FF4FCE">
            <w:pPr>
              <w:pStyle w:val="TableTextNormal"/>
            </w:pPr>
            <w:r>
              <w:t>≤ 98% within 3 business days of the service order or request for activation.</w:t>
            </w:r>
          </w:p>
          <w:p w14:paraId="2AC40E63" w14:textId="77777777" w:rsidR="00FF4FCE" w:rsidRDefault="00FF4FCE" w:rsidP="00FF4FCE">
            <w:pPr>
              <w:pStyle w:val="TableTextNormal"/>
            </w:pPr>
            <w:r>
              <w:lastRenderedPageBreak/>
              <w:t>100% within 7 business days.</w:t>
            </w:r>
          </w:p>
          <w:p w14:paraId="63631213" w14:textId="3E68B1E0" w:rsidR="00FF4FCE" w:rsidRDefault="00FF4FCE" w:rsidP="00FF4FCE">
            <w:pPr>
              <w:pStyle w:val="TableTextNormal"/>
              <w:rPr>
                <w:rFonts w:eastAsia="Georgia"/>
              </w:rPr>
            </w:pPr>
            <w:r>
              <w:t>All other services are for monitoring only</w:t>
            </w:r>
          </w:p>
        </w:tc>
      </w:tr>
      <w:tr w:rsidR="00775091" w:rsidRPr="00E774BF" w14:paraId="7D025798" w14:textId="77777777" w:rsidTr="007404FC">
        <w:trPr>
          <w:trHeight w:val="20"/>
        </w:trPr>
        <w:tc>
          <w:tcPr>
            <w:tcW w:w="3405" w:type="dxa"/>
          </w:tcPr>
          <w:p w14:paraId="738BA3BB" w14:textId="5B5326B1" w:rsidR="00775091" w:rsidRPr="00E774BF" w:rsidRDefault="002F0392" w:rsidP="007404FC">
            <w:pPr>
              <w:pStyle w:val="TableTextNormal"/>
              <w:rPr>
                <w:rFonts w:eastAsia="Georgia"/>
                <w:b/>
              </w:rPr>
            </w:pPr>
            <w:r>
              <w:rPr>
                <w:rFonts w:eastAsia="Georgia"/>
              </w:rPr>
              <w:lastRenderedPageBreak/>
              <w:t>Network latency (local/</w:t>
            </w:r>
            <w:r w:rsidR="00775091" w:rsidRPr="00E774BF">
              <w:rPr>
                <w:rFonts w:eastAsia="Georgia"/>
              </w:rPr>
              <w:t>international)</w:t>
            </w:r>
          </w:p>
        </w:tc>
        <w:tc>
          <w:tcPr>
            <w:tcW w:w="4941" w:type="dxa"/>
          </w:tcPr>
          <w:p w14:paraId="23926A8B" w14:textId="7489A5C9" w:rsidR="00775091" w:rsidRPr="008B6D2B" w:rsidRDefault="008B6D2B" w:rsidP="007404FC">
            <w:pPr>
              <w:pStyle w:val="TableTextNormal"/>
              <w:rPr>
                <w:rFonts w:eastAsia="Georgia"/>
                <w:b/>
              </w:rPr>
            </w:pPr>
            <w:r>
              <w:rPr>
                <w:rFonts w:eastAsia="Georgia"/>
              </w:rPr>
              <w:t>≤ 50 m</w:t>
            </w:r>
            <w:r w:rsidR="007B4E70">
              <w:rPr>
                <w:rFonts w:eastAsia="Georgia"/>
              </w:rPr>
              <w:t>illi</w:t>
            </w:r>
            <w:r>
              <w:rPr>
                <w:rFonts w:eastAsia="Georgia"/>
              </w:rPr>
              <w:t>sec</w:t>
            </w:r>
            <w:r w:rsidR="007B4E70">
              <w:rPr>
                <w:rFonts w:eastAsia="Georgia"/>
              </w:rPr>
              <w:t>onds</w:t>
            </w:r>
            <w:r>
              <w:rPr>
                <w:rFonts w:eastAsia="Georgia"/>
              </w:rPr>
              <w:t xml:space="preserve"> (</w:t>
            </w:r>
            <w:r w:rsidR="00773C53">
              <w:rPr>
                <w:rFonts w:eastAsia="Georgia"/>
              </w:rPr>
              <w:t>ADSL</w:t>
            </w:r>
            <w:r w:rsidR="000B4EBC">
              <w:rPr>
                <w:rFonts w:eastAsia="Georgia"/>
              </w:rPr>
              <w:t xml:space="preserve"> or cable - l</w:t>
            </w:r>
            <w:r>
              <w:rPr>
                <w:rFonts w:eastAsia="Georgia"/>
              </w:rPr>
              <w:t>ocal)</w:t>
            </w:r>
            <w:r w:rsidR="000B4EBC">
              <w:rPr>
                <w:rFonts w:eastAsia="Georgia"/>
              </w:rPr>
              <w:t xml:space="preserve"> or ≤30 m</w:t>
            </w:r>
            <w:r w:rsidR="007B4E70">
              <w:rPr>
                <w:rFonts w:eastAsia="Georgia"/>
              </w:rPr>
              <w:t>illi</w:t>
            </w:r>
            <w:r w:rsidR="000B4EBC">
              <w:rPr>
                <w:rFonts w:eastAsia="Georgia"/>
              </w:rPr>
              <w:t>sec</w:t>
            </w:r>
            <w:r w:rsidR="007B4E70">
              <w:rPr>
                <w:rFonts w:eastAsia="Georgia"/>
              </w:rPr>
              <w:t>onds</w:t>
            </w:r>
            <w:r w:rsidR="000B4EBC">
              <w:rPr>
                <w:rFonts w:eastAsia="Georgia"/>
              </w:rPr>
              <w:t xml:space="preserve"> (local fibre - local)</w:t>
            </w:r>
          </w:p>
          <w:p w14:paraId="4F153E42" w14:textId="485B7E21" w:rsidR="008B6D2B" w:rsidRPr="00E774BF" w:rsidRDefault="008B6D2B" w:rsidP="007404FC">
            <w:pPr>
              <w:pStyle w:val="TableTextNormal"/>
              <w:rPr>
                <w:rFonts w:eastAsia="Georgia"/>
                <w:b/>
              </w:rPr>
            </w:pPr>
            <w:r>
              <w:rPr>
                <w:rFonts w:eastAsia="Georgia"/>
              </w:rPr>
              <w:t>≤ 300 m</w:t>
            </w:r>
            <w:r w:rsidR="007B4E70">
              <w:rPr>
                <w:rFonts w:eastAsia="Georgia"/>
              </w:rPr>
              <w:t>illi</w:t>
            </w:r>
            <w:r>
              <w:rPr>
                <w:rFonts w:eastAsia="Georgia"/>
              </w:rPr>
              <w:t>sec</w:t>
            </w:r>
            <w:r w:rsidR="007B4E70">
              <w:rPr>
                <w:rFonts w:eastAsia="Georgia"/>
              </w:rPr>
              <w:t>onds</w:t>
            </w:r>
            <w:r w:rsidR="00FF4FCE">
              <w:rPr>
                <w:rFonts w:eastAsia="Georgia"/>
              </w:rPr>
              <w:t xml:space="preserve"> (i</w:t>
            </w:r>
            <w:r>
              <w:rPr>
                <w:rFonts w:eastAsia="Georgia"/>
              </w:rPr>
              <w:t>nternational)</w:t>
            </w:r>
          </w:p>
        </w:tc>
      </w:tr>
      <w:tr w:rsidR="00775091" w:rsidRPr="00E774BF" w14:paraId="4581B086" w14:textId="77777777" w:rsidTr="007404FC">
        <w:trPr>
          <w:trHeight w:val="20"/>
        </w:trPr>
        <w:tc>
          <w:tcPr>
            <w:tcW w:w="3405" w:type="dxa"/>
          </w:tcPr>
          <w:p w14:paraId="0F394C42" w14:textId="3414E5BD" w:rsidR="00775091" w:rsidRPr="00E774BF" w:rsidRDefault="00775091" w:rsidP="007404FC">
            <w:pPr>
              <w:pStyle w:val="TableTextNormal"/>
              <w:rPr>
                <w:rFonts w:eastAsia="Georgia"/>
                <w:b/>
              </w:rPr>
            </w:pPr>
            <w:r w:rsidRPr="00E774BF">
              <w:rPr>
                <w:rFonts w:eastAsia="Georgia"/>
              </w:rPr>
              <w:t>Bandwidth utilisation</w:t>
            </w:r>
          </w:p>
        </w:tc>
        <w:tc>
          <w:tcPr>
            <w:tcW w:w="4941" w:type="dxa"/>
          </w:tcPr>
          <w:p w14:paraId="242F4BF5" w14:textId="63500E5F" w:rsidR="00775091" w:rsidRPr="00E774BF" w:rsidRDefault="00FF4FCE" w:rsidP="007404FC">
            <w:pPr>
              <w:pStyle w:val="TableTextNormal"/>
              <w:rPr>
                <w:rFonts w:eastAsia="Georgia"/>
                <w:b/>
              </w:rPr>
            </w:pPr>
            <w:r>
              <w:rPr>
                <w:rFonts w:eastAsia="Georgia"/>
              </w:rPr>
              <w:t>≤ 90% (not to exceed 90% for three</w:t>
            </w:r>
            <w:r w:rsidR="008B6D2B">
              <w:rPr>
                <w:rFonts w:eastAsia="Georgia"/>
              </w:rPr>
              <w:t xml:space="preserve"> or more consecutive months)</w:t>
            </w:r>
          </w:p>
        </w:tc>
      </w:tr>
      <w:tr w:rsidR="00775091" w:rsidRPr="00E774BF" w14:paraId="6E42E7B4" w14:textId="77777777" w:rsidTr="007404FC">
        <w:trPr>
          <w:trHeight w:val="20"/>
        </w:trPr>
        <w:tc>
          <w:tcPr>
            <w:tcW w:w="3405" w:type="dxa"/>
          </w:tcPr>
          <w:p w14:paraId="6E4F3DF3" w14:textId="2EBC8163" w:rsidR="00775091" w:rsidRPr="00E774BF" w:rsidRDefault="002F0392" w:rsidP="007404FC">
            <w:pPr>
              <w:pStyle w:val="TableTextNormal"/>
              <w:rPr>
                <w:rFonts w:eastAsia="Georgia"/>
                <w:b/>
              </w:rPr>
            </w:pPr>
            <w:r>
              <w:rPr>
                <w:rFonts w:eastAsia="Georgia"/>
              </w:rPr>
              <w:t>Packet loss (local/</w:t>
            </w:r>
            <w:r w:rsidR="00775091" w:rsidRPr="00E774BF">
              <w:rPr>
                <w:rFonts w:eastAsia="Georgia"/>
              </w:rPr>
              <w:t>international)</w:t>
            </w:r>
          </w:p>
        </w:tc>
        <w:tc>
          <w:tcPr>
            <w:tcW w:w="4941" w:type="dxa"/>
          </w:tcPr>
          <w:p w14:paraId="710880D2" w14:textId="0D2500FA" w:rsidR="00775091" w:rsidRPr="000B4EBC" w:rsidRDefault="000B4EBC" w:rsidP="007404FC">
            <w:pPr>
              <w:pStyle w:val="TableTextNormal"/>
              <w:rPr>
                <w:rFonts w:eastAsia="Georgia"/>
              </w:rPr>
            </w:pPr>
            <w:r w:rsidRPr="000B4EBC">
              <w:rPr>
                <w:rFonts w:eastAsia="Georgia"/>
              </w:rPr>
              <w:t>Relates to fibre services (for monitoring only)</w:t>
            </w:r>
          </w:p>
        </w:tc>
      </w:tr>
    </w:tbl>
    <w:p w14:paraId="63B67B0C" w14:textId="07F4FC89" w:rsidR="00BE12F3" w:rsidRDefault="00BE12F3" w:rsidP="009D1655">
      <w:pPr>
        <w:pStyle w:val="Heading4"/>
        <w:numPr>
          <w:ilvl w:val="2"/>
          <w:numId w:val="43"/>
        </w:numPr>
        <w:rPr>
          <w:snapToGrid/>
        </w:rPr>
      </w:pPr>
      <w:r w:rsidRPr="00B339AC">
        <w:rPr>
          <w:snapToGrid/>
        </w:rPr>
        <w:t>Outages and faults</w:t>
      </w:r>
    </w:p>
    <w:p w14:paraId="1FE66186" w14:textId="1C3E6754" w:rsidR="00F4491D" w:rsidRDefault="00F4491D" w:rsidP="00F4491D">
      <w:pPr>
        <w:pStyle w:val="PwCNormal"/>
        <w:rPr>
          <w:rFonts w:eastAsia="Georgia"/>
        </w:rPr>
      </w:pPr>
      <w:r>
        <w:rPr>
          <w:rFonts w:eastAsia="Georgia"/>
        </w:rPr>
        <w:t>The number of faults and associated repair times in Singapore are only measured in relation to fixed telephones services</w:t>
      </w:r>
      <w:r w:rsidR="000379C5">
        <w:rPr>
          <w:rFonts w:eastAsia="Georgia"/>
        </w:rPr>
        <w:t>.</w:t>
      </w:r>
      <w:r>
        <w:rPr>
          <w:rFonts w:eastAsia="Georgia"/>
        </w:rPr>
        <w:t xml:space="preserve"> </w:t>
      </w:r>
      <w:r w:rsidR="000379C5">
        <w:rPr>
          <w:rFonts w:eastAsia="Georgia"/>
        </w:rPr>
        <w:t>M</w:t>
      </w:r>
      <w:r>
        <w:rPr>
          <w:rFonts w:eastAsia="Georgia"/>
        </w:rPr>
        <w:t>etrics for mobile and internet services are mea</w:t>
      </w:r>
      <w:r w:rsidR="00DB0DD9">
        <w:rPr>
          <w:rFonts w:eastAsia="Georgia"/>
        </w:rPr>
        <w:t>sured in terms of outage times.</w:t>
      </w:r>
    </w:p>
    <w:p w14:paraId="7582A391" w14:textId="7C165AD2" w:rsidR="00F4491D" w:rsidRPr="00F4491D" w:rsidRDefault="00F4491D" w:rsidP="00F4491D">
      <w:pPr>
        <w:pStyle w:val="PwCNormal"/>
        <w:rPr>
          <w:rFonts w:eastAsia="Georgia"/>
        </w:rPr>
      </w:pPr>
      <w:r>
        <w:rPr>
          <w:rFonts w:eastAsia="Georgia"/>
        </w:rPr>
        <w:t xml:space="preserve">Other metrics used </w:t>
      </w:r>
      <w:r w:rsidR="00DB0DD9">
        <w:rPr>
          <w:rFonts w:eastAsia="Georgia"/>
        </w:rPr>
        <w:t>are network availability,</w:t>
      </w:r>
      <w:r>
        <w:rPr>
          <w:rFonts w:eastAsia="Georgia"/>
        </w:rPr>
        <w:t xml:space="preserve"> congestion (used for mobile services but only used for monitoring) and customer service (measured for fixed telephone connections by average waiting time and internet services by number of complaints). </w:t>
      </w:r>
      <w:r w:rsidR="00DB0DD9">
        <w:rPr>
          <w:rFonts w:eastAsia="Georgia"/>
        </w:rPr>
        <w:t>B</w:t>
      </w:r>
      <w:r>
        <w:rPr>
          <w:rFonts w:eastAsia="Georgia"/>
        </w:rPr>
        <w:t xml:space="preserve">oth of these metrics </w:t>
      </w:r>
      <w:r w:rsidR="00DB0DD9">
        <w:rPr>
          <w:rFonts w:eastAsia="Georgia"/>
        </w:rPr>
        <w:t xml:space="preserve">however, </w:t>
      </w:r>
      <w:r>
        <w:rPr>
          <w:rFonts w:eastAsia="Georgia"/>
        </w:rPr>
        <w:t>are only used for monitoring purposes rather than strict compliance.</w:t>
      </w:r>
    </w:p>
    <w:p w14:paraId="725F6AA4" w14:textId="42C268BA" w:rsidR="00D54457" w:rsidRDefault="00D54457" w:rsidP="009D1655">
      <w:pPr>
        <w:pStyle w:val="Caption"/>
      </w:pPr>
      <w:r>
        <w:t xml:space="preserve">Table </w:t>
      </w:r>
      <w:r w:rsidR="000B0990">
        <w:rPr>
          <w:noProof/>
        </w:rPr>
        <w:fldChar w:fldCharType="begin"/>
      </w:r>
      <w:r w:rsidR="000B0990">
        <w:rPr>
          <w:noProof/>
        </w:rPr>
        <w:instrText xml:space="preserve"> SEQ Table \* ARABIC </w:instrText>
      </w:r>
      <w:r w:rsidR="000B0990">
        <w:rPr>
          <w:noProof/>
        </w:rPr>
        <w:fldChar w:fldCharType="separate"/>
      </w:r>
      <w:r w:rsidR="00AE12E7">
        <w:rPr>
          <w:noProof/>
        </w:rPr>
        <w:t>15</w:t>
      </w:r>
      <w:r w:rsidR="000B0990">
        <w:rPr>
          <w:noProof/>
        </w:rPr>
        <w:fldChar w:fldCharType="end"/>
      </w:r>
      <w:r>
        <w:t xml:space="preserve">: Telephone quality of </w:t>
      </w:r>
      <w:r w:rsidRPr="009924D4">
        <w:t>service</w:t>
      </w:r>
      <w:r>
        <w:t xml:space="preserve"> </w:t>
      </w:r>
      <w:r w:rsidR="00FE3B4F">
        <w:t>indicators</w:t>
      </w:r>
      <w:r w:rsidR="00F61956">
        <w:t xml:space="preserve"> – Singapore</w:t>
      </w:r>
      <w:r>
        <w:rPr>
          <w:rStyle w:val="FootnoteReference"/>
        </w:rPr>
        <w:footnoteReference w:id="91"/>
      </w:r>
    </w:p>
    <w:tbl>
      <w:tblPr>
        <w:tblStyle w:val="Tables-APBase"/>
        <w:tblW w:w="8370" w:type="dxa"/>
        <w:tblLook w:val="06A0" w:firstRow="1" w:lastRow="0" w:firstColumn="1" w:lastColumn="0" w:noHBand="1" w:noVBand="1"/>
        <w:tblCaption w:val="Telephone quality of service indicators – Singapore"/>
        <w:tblDescription w:val="This table summarises the telephonse quality of service indicators for Singapore.&#10;Fault repair time: at least 90% within 24 hours and at least 99.9% within 72 hours for fixed telephone services.&#10;Number of faults reported: Less than 0.5% for fixed telephone services.&#10;Outages time: for monitoring purposes only (3G services only) for mobile services, and &lt;0.01% for internet services.&#10;Customer service: average waiting time (for monitoring purposes only) for fixed telephone services, and number of customer complaints received per 1,000 subscribers (for monitoring purposes only) for internet services.&#10;Network availability and congestion: for monitoring purposes only (3G services only) for mobile services.&#10;"/>
      </w:tblPr>
      <w:tblGrid>
        <w:gridCol w:w="1865"/>
        <w:gridCol w:w="2354"/>
        <w:gridCol w:w="1843"/>
        <w:gridCol w:w="2308"/>
      </w:tblGrid>
      <w:tr w:rsidR="00D54457" w:rsidRPr="00E774BF" w14:paraId="690FE42A" w14:textId="7EA710AF" w:rsidTr="00466191">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865" w:type="dxa"/>
            <w:vAlign w:val="top"/>
          </w:tcPr>
          <w:p w14:paraId="518B04B2" w14:textId="77777777" w:rsidR="00D54457" w:rsidRPr="00E774BF" w:rsidRDefault="00D54457" w:rsidP="00466191">
            <w:pPr>
              <w:pStyle w:val="TableColumnHeadingNormal"/>
              <w:spacing w:before="0"/>
              <w:rPr>
                <w:rFonts w:eastAsia="Georgia"/>
              </w:rPr>
            </w:pPr>
            <w:r w:rsidRPr="00E774BF">
              <w:rPr>
                <w:rFonts w:eastAsia="Georgia"/>
              </w:rPr>
              <w:t>Standard</w:t>
            </w:r>
          </w:p>
        </w:tc>
        <w:tc>
          <w:tcPr>
            <w:tcW w:w="2354" w:type="dxa"/>
          </w:tcPr>
          <w:p w14:paraId="5D4008E3" w14:textId="77777777" w:rsidR="00D54457" w:rsidRPr="00E774BF" w:rsidRDefault="00D54457" w:rsidP="00466191">
            <w:pPr>
              <w:pStyle w:val="TableColumnHeadingNormal"/>
              <w:spacing w:before="0"/>
              <w:cnfStyle w:val="100000000000" w:firstRow="1" w:lastRow="0" w:firstColumn="0" w:lastColumn="0" w:oddVBand="0" w:evenVBand="0" w:oddHBand="0" w:evenHBand="0" w:firstRowFirstColumn="0" w:firstRowLastColumn="0" w:lastRowFirstColumn="0" w:lastRowLastColumn="0"/>
              <w:rPr>
                <w:rFonts w:eastAsia="Georgia"/>
              </w:rPr>
            </w:pPr>
            <w:r>
              <w:rPr>
                <w:rFonts w:eastAsia="Georgia"/>
              </w:rPr>
              <w:t>Fixed telephones service</w:t>
            </w:r>
          </w:p>
        </w:tc>
        <w:tc>
          <w:tcPr>
            <w:tcW w:w="1843" w:type="dxa"/>
          </w:tcPr>
          <w:p w14:paraId="7CA1DFB4" w14:textId="77777777" w:rsidR="00D54457" w:rsidRPr="00E774BF" w:rsidRDefault="00D54457" w:rsidP="00466191">
            <w:pPr>
              <w:pStyle w:val="TableColumnHeadingNormal"/>
              <w:spacing w:before="0"/>
              <w:cnfStyle w:val="100000000000" w:firstRow="1" w:lastRow="0" w:firstColumn="0" w:lastColumn="0" w:oddVBand="0" w:evenVBand="0" w:oddHBand="0" w:evenHBand="0" w:firstRowFirstColumn="0" w:firstRowLastColumn="0" w:lastRowFirstColumn="0" w:lastRowLastColumn="0"/>
              <w:rPr>
                <w:rFonts w:eastAsia="Georgia"/>
              </w:rPr>
            </w:pPr>
            <w:r>
              <w:rPr>
                <w:rFonts w:eastAsia="Georgia"/>
              </w:rPr>
              <w:t>Mobile service</w:t>
            </w:r>
          </w:p>
        </w:tc>
        <w:tc>
          <w:tcPr>
            <w:tcW w:w="2308" w:type="dxa"/>
          </w:tcPr>
          <w:p w14:paraId="6A3809B3" w14:textId="1C8E1AA6" w:rsidR="00D54457" w:rsidRDefault="00D54457" w:rsidP="00466191">
            <w:pPr>
              <w:pStyle w:val="TableColumnHeadingNormal"/>
              <w:spacing w:before="0"/>
              <w:cnfStyle w:val="100000000000" w:firstRow="1" w:lastRow="0" w:firstColumn="0" w:lastColumn="0" w:oddVBand="0" w:evenVBand="0" w:oddHBand="0" w:evenHBand="0" w:firstRowFirstColumn="0" w:firstRowLastColumn="0" w:lastRowFirstColumn="0" w:lastRowLastColumn="0"/>
              <w:rPr>
                <w:rFonts w:eastAsia="Georgia"/>
              </w:rPr>
            </w:pPr>
            <w:r>
              <w:rPr>
                <w:rFonts w:eastAsia="Georgia"/>
              </w:rPr>
              <w:t>Internet services</w:t>
            </w:r>
          </w:p>
        </w:tc>
      </w:tr>
      <w:tr w:rsidR="00D54457" w:rsidRPr="00E774BF" w14:paraId="7A6011BD" w14:textId="02D90940" w:rsidTr="00466191">
        <w:trPr>
          <w:cantSplit/>
          <w:trHeight w:val="454"/>
        </w:trPr>
        <w:tc>
          <w:tcPr>
            <w:tcW w:w="1865" w:type="dxa"/>
          </w:tcPr>
          <w:p w14:paraId="21B10F21" w14:textId="022456A4" w:rsidR="00D54457" w:rsidRPr="007404FC" w:rsidRDefault="00D54457" w:rsidP="00466191">
            <w:pPr>
              <w:pStyle w:val="TableTextNormal"/>
              <w:spacing w:before="0"/>
              <w:rPr>
                <w:rFonts w:eastAsia="Georgia"/>
                <w:b/>
              </w:rPr>
            </w:pPr>
            <w:r w:rsidRPr="007404FC">
              <w:rPr>
                <w:rFonts w:eastAsia="Georgia"/>
                <w:b/>
              </w:rPr>
              <w:t>Fault repair time</w:t>
            </w:r>
          </w:p>
        </w:tc>
        <w:tc>
          <w:tcPr>
            <w:tcW w:w="2354" w:type="dxa"/>
          </w:tcPr>
          <w:p w14:paraId="765AC05B" w14:textId="2139BC7D" w:rsidR="00D54457" w:rsidRDefault="00D54457" w:rsidP="00466191">
            <w:pPr>
              <w:pStyle w:val="TableTextNormal"/>
              <w:spacing w:before="0"/>
              <w:rPr>
                <w:rFonts w:eastAsia="Georgia"/>
              </w:rPr>
            </w:pPr>
            <w:r>
              <w:rPr>
                <w:rFonts w:eastAsia="Georgia"/>
              </w:rPr>
              <w:t>At least 90% within 24 hours</w:t>
            </w:r>
          </w:p>
          <w:p w14:paraId="6D34325B" w14:textId="23FACDBB" w:rsidR="00D54457" w:rsidRPr="00D54457" w:rsidRDefault="00D54457" w:rsidP="00466191">
            <w:pPr>
              <w:pStyle w:val="TableTextNormal"/>
              <w:spacing w:before="0"/>
              <w:rPr>
                <w:rFonts w:eastAsia="Georgia"/>
              </w:rPr>
            </w:pPr>
            <w:r>
              <w:rPr>
                <w:rFonts w:eastAsia="Georgia"/>
              </w:rPr>
              <w:t>At least 99.9% within 72 hours</w:t>
            </w:r>
          </w:p>
        </w:tc>
        <w:tc>
          <w:tcPr>
            <w:tcW w:w="1843" w:type="dxa"/>
          </w:tcPr>
          <w:p w14:paraId="067CBCB5" w14:textId="07ACCAB0" w:rsidR="00D54457" w:rsidRPr="00E774BF" w:rsidRDefault="00D54457" w:rsidP="00466191">
            <w:pPr>
              <w:pStyle w:val="TableTextNormal"/>
              <w:spacing w:before="0"/>
              <w:rPr>
                <w:rFonts w:eastAsia="Georgia"/>
              </w:rPr>
            </w:pPr>
            <w:r>
              <w:rPr>
                <w:rFonts w:eastAsia="Georgia"/>
              </w:rPr>
              <w:t>n/a</w:t>
            </w:r>
          </w:p>
        </w:tc>
        <w:tc>
          <w:tcPr>
            <w:tcW w:w="2308" w:type="dxa"/>
          </w:tcPr>
          <w:p w14:paraId="5B447AF8" w14:textId="3DAE8DCF" w:rsidR="00D54457" w:rsidRDefault="007D29C4" w:rsidP="00466191">
            <w:pPr>
              <w:pStyle w:val="TableTextNormal"/>
              <w:spacing w:before="0"/>
              <w:rPr>
                <w:rFonts w:eastAsia="Georgia"/>
              </w:rPr>
            </w:pPr>
            <w:r>
              <w:rPr>
                <w:rFonts w:eastAsia="Georgia"/>
              </w:rPr>
              <w:t>n/a</w:t>
            </w:r>
          </w:p>
        </w:tc>
      </w:tr>
      <w:tr w:rsidR="00D54457" w:rsidRPr="00E774BF" w14:paraId="75B3F03A" w14:textId="6D2E6811" w:rsidTr="00466191">
        <w:trPr>
          <w:cantSplit/>
          <w:trHeight w:val="454"/>
        </w:trPr>
        <w:tc>
          <w:tcPr>
            <w:tcW w:w="1865" w:type="dxa"/>
          </w:tcPr>
          <w:p w14:paraId="52958362" w14:textId="70FB45EF" w:rsidR="00D54457" w:rsidRPr="007404FC" w:rsidRDefault="00D54457" w:rsidP="00466191">
            <w:pPr>
              <w:pStyle w:val="TableTextNormal"/>
              <w:spacing w:before="0"/>
              <w:rPr>
                <w:rFonts w:eastAsia="Georgia"/>
                <w:b/>
              </w:rPr>
            </w:pPr>
            <w:r w:rsidRPr="007404FC">
              <w:rPr>
                <w:rFonts w:eastAsia="Georgia"/>
                <w:b/>
              </w:rPr>
              <w:t>Number of faults reported</w:t>
            </w:r>
          </w:p>
        </w:tc>
        <w:tc>
          <w:tcPr>
            <w:tcW w:w="2354" w:type="dxa"/>
          </w:tcPr>
          <w:p w14:paraId="4CDE2D07" w14:textId="1273B49D" w:rsidR="00D54457" w:rsidRPr="00D54457" w:rsidRDefault="00D54457" w:rsidP="00466191">
            <w:pPr>
              <w:pStyle w:val="TableTextNormal"/>
              <w:spacing w:before="0"/>
              <w:rPr>
                <w:rFonts w:eastAsia="Georgia"/>
              </w:rPr>
            </w:pPr>
            <w:r w:rsidRPr="00D54457">
              <w:rPr>
                <w:rFonts w:eastAsia="Georgia"/>
              </w:rPr>
              <w:t>Less than 0.5%</w:t>
            </w:r>
          </w:p>
        </w:tc>
        <w:tc>
          <w:tcPr>
            <w:tcW w:w="1843" w:type="dxa"/>
          </w:tcPr>
          <w:p w14:paraId="02724B00" w14:textId="74B7C302" w:rsidR="00D54457" w:rsidRPr="00E774BF" w:rsidRDefault="00D54457" w:rsidP="00466191">
            <w:pPr>
              <w:pStyle w:val="TableTextNormal"/>
              <w:spacing w:before="0"/>
              <w:rPr>
                <w:rFonts w:eastAsia="Georgia"/>
              </w:rPr>
            </w:pPr>
            <w:r>
              <w:rPr>
                <w:rFonts w:eastAsia="Georgia"/>
              </w:rPr>
              <w:t>n/a</w:t>
            </w:r>
          </w:p>
        </w:tc>
        <w:tc>
          <w:tcPr>
            <w:tcW w:w="2308" w:type="dxa"/>
          </w:tcPr>
          <w:p w14:paraId="285B3B34" w14:textId="25FE9E67" w:rsidR="00D54457" w:rsidRDefault="007D29C4" w:rsidP="00466191">
            <w:pPr>
              <w:pStyle w:val="TableTextNormal"/>
              <w:spacing w:before="0"/>
              <w:rPr>
                <w:rFonts w:eastAsia="Georgia"/>
              </w:rPr>
            </w:pPr>
            <w:r>
              <w:rPr>
                <w:rFonts w:eastAsia="Georgia"/>
              </w:rPr>
              <w:t>n/a</w:t>
            </w:r>
          </w:p>
        </w:tc>
      </w:tr>
      <w:tr w:rsidR="007D29C4" w:rsidRPr="00E774BF" w14:paraId="60063085" w14:textId="77777777" w:rsidTr="00466191">
        <w:trPr>
          <w:cantSplit/>
          <w:trHeight w:val="454"/>
        </w:trPr>
        <w:tc>
          <w:tcPr>
            <w:tcW w:w="1865" w:type="dxa"/>
          </w:tcPr>
          <w:p w14:paraId="4ED05414" w14:textId="4FA6902A" w:rsidR="007D29C4" w:rsidRPr="007404FC" w:rsidRDefault="007D29C4" w:rsidP="00466191">
            <w:pPr>
              <w:pStyle w:val="TableTextNormal"/>
              <w:spacing w:before="0"/>
              <w:rPr>
                <w:rFonts w:eastAsia="Georgia"/>
                <w:b/>
              </w:rPr>
            </w:pPr>
            <w:r w:rsidRPr="007404FC">
              <w:rPr>
                <w:rFonts w:eastAsia="Georgia"/>
                <w:b/>
              </w:rPr>
              <w:t>Outages time</w:t>
            </w:r>
          </w:p>
        </w:tc>
        <w:tc>
          <w:tcPr>
            <w:tcW w:w="2354" w:type="dxa"/>
          </w:tcPr>
          <w:p w14:paraId="29366D24" w14:textId="6DD5DEAC" w:rsidR="007D29C4" w:rsidRPr="00D54457" w:rsidRDefault="007D29C4" w:rsidP="00466191">
            <w:pPr>
              <w:pStyle w:val="TableTextNormal"/>
              <w:spacing w:before="0"/>
              <w:rPr>
                <w:rFonts w:eastAsia="Georgia"/>
              </w:rPr>
            </w:pPr>
            <w:r>
              <w:rPr>
                <w:rFonts w:eastAsia="Georgia"/>
              </w:rPr>
              <w:t>n/a</w:t>
            </w:r>
          </w:p>
        </w:tc>
        <w:tc>
          <w:tcPr>
            <w:tcW w:w="1843" w:type="dxa"/>
          </w:tcPr>
          <w:p w14:paraId="2805CACE" w14:textId="7C702278" w:rsidR="007D29C4" w:rsidRDefault="007D29C4" w:rsidP="00466191">
            <w:pPr>
              <w:pStyle w:val="TableTextNormal"/>
              <w:spacing w:before="0"/>
              <w:rPr>
                <w:rFonts w:eastAsia="Georgia"/>
              </w:rPr>
            </w:pPr>
            <w:r>
              <w:rPr>
                <w:rFonts w:eastAsia="Georgia"/>
              </w:rPr>
              <w:t>For monitoring purposes only (3G services only)</w:t>
            </w:r>
          </w:p>
        </w:tc>
        <w:tc>
          <w:tcPr>
            <w:tcW w:w="2308" w:type="dxa"/>
          </w:tcPr>
          <w:p w14:paraId="01421AAE" w14:textId="28AD8996" w:rsidR="007D29C4" w:rsidRDefault="007D29C4" w:rsidP="00466191">
            <w:pPr>
              <w:pStyle w:val="TableTextNormal"/>
              <w:spacing w:before="0"/>
              <w:rPr>
                <w:rFonts w:eastAsia="Georgia"/>
              </w:rPr>
            </w:pPr>
            <w:r>
              <w:rPr>
                <w:rFonts w:eastAsia="Georgia"/>
              </w:rPr>
              <w:t>&lt;0.01%</w:t>
            </w:r>
          </w:p>
        </w:tc>
      </w:tr>
      <w:tr w:rsidR="00D54457" w:rsidRPr="00225950" w14:paraId="00EA83B5" w14:textId="4EFB0A70" w:rsidTr="00466191">
        <w:trPr>
          <w:cantSplit/>
          <w:trHeight w:val="454"/>
        </w:trPr>
        <w:tc>
          <w:tcPr>
            <w:tcW w:w="1865" w:type="dxa"/>
          </w:tcPr>
          <w:p w14:paraId="1313C7E1" w14:textId="0A6D36CE" w:rsidR="00D54457" w:rsidRPr="007404FC" w:rsidRDefault="00D54457" w:rsidP="00466191">
            <w:pPr>
              <w:pStyle w:val="TableTextNormal"/>
              <w:spacing w:before="0"/>
              <w:rPr>
                <w:rFonts w:eastAsia="Georgia"/>
                <w:b/>
              </w:rPr>
            </w:pPr>
            <w:r w:rsidRPr="007404FC">
              <w:rPr>
                <w:rFonts w:eastAsia="Georgia"/>
                <w:b/>
              </w:rPr>
              <w:t>Customer service</w:t>
            </w:r>
          </w:p>
        </w:tc>
        <w:tc>
          <w:tcPr>
            <w:tcW w:w="2354" w:type="dxa"/>
          </w:tcPr>
          <w:p w14:paraId="78E7AF05" w14:textId="2D4CDB8E" w:rsidR="00D54457" w:rsidRPr="00225950" w:rsidRDefault="00D54457" w:rsidP="00466191">
            <w:pPr>
              <w:pStyle w:val="TableTextNormal"/>
              <w:spacing w:before="0"/>
              <w:rPr>
                <w:rFonts w:eastAsia="Georgia"/>
              </w:rPr>
            </w:pPr>
            <w:r>
              <w:rPr>
                <w:rFonts w:eastAsia="Georgia"/>
              </w:rPr>
              <w:t>Average waiting time (for monitoring purposes only)</w:t>
            </w:r>
          </w:p>
        </w:tc>
        <w:tc>
          <w:tcPr>
            <w:tcW w:w="1843" w:type="dxa"/>
          </w:tcPr>
          <w:p w14:paraId="6B323A11" w14:textId="02111520" w:rsidR="00D54457" w:rsidRPr="00225950" w:rsidRDefault="00D54457" w:rsidP="00466191">
            <w:pPr>
              <w:pStyle w:val="TableTextNormal"/>
              <w:spacing w:before="0"/>
              <w:rPr>
                <w:rFonts w:eastAsia="Georgia"/>
              </w:rPr>
            </w:pPr>
            <w:r>
              <w:rPr>
                <w:rFonts w:eastAsia="Georgia"/>
              </w:rPr>
              <w:t>n/a</w:t>
            </w:r>
          </w:p>
        </w:tc>
        <w:tc>
          <w:tcPr>
            <w:tcW w:w="2308" w:type="dxa"/>
          </w:tcPr>
          <w:p w14:paraId="0FCC4EA5" w14:textId="2542B50B" w:rsidR="00D54457" w:rsidRDefault="008B6D2B" w:rsidP="00466191">
            <w:pPr>
              <w:pStyle w:val="TableTextNormal"/>
              <w:spacing w:before="0"/>
              <w:rPr>
                <w:rFonts w:eastAsia="Georgia"/>
              </w:rPr>
            </w:pPr>
            <w:r>
              <w:rPr>
                <w:rFonts w:eastAsia="Georgia"/>
              </w:rPr>
              <w:t>Number of customer complaints received per 1,000 subscribers (for monitoring purposes only)</w:t>
            </w:r>
          </w:p>
        </w:tc>
      </w:tr>
      <w:tr w:rsidR="00D54457" w:rsidRPr="00225950" w14:paraId="27914018" w14:textId="2BF1CF42" w:rsidTr="00466191">
        <w:trPr>
          <w:cantSplit/>
          <w:trHeight w:val="454"/>
        </w:trPr>
        <w:tc>
          <w:tcPr>
            <w:tcW w:w="1865" w:type="dxa"/>
          </w:tcPr>
          <w:p w14:paraId="3FCB6F07" w14:textId="0BB00AC9" w:rsidR="00D54457" w:rsidRPr="007404FC" w:rsidRDefault="000B4EBC" w:rsidP="00466191">
            <w:pPr>
              <w:pStyle w:val="TableTextNormal"/>
              <w:spacing w:before="0"/>
              <w:rPr>
                <w:rFonts w:eastAsia="Georgia"/>
                <w:b/>
              </w:rPr>
            </w:pPr>
            <w:r w:rsidRPr="007404FC">
              <w:rPr>
                <w:rFonts w:eastAsia="Georgia"/>
                <w:b/>
              </w:rPr>
              <w:t>Network availability and congestion</w:t>
            </w:r>
          </w:p>
        </w:tc>
        <w:tc>
          <w:tcPr>
            <w:tcW w:w="2354" w:type="dxa"/>
          </w:tcPr>
          <w:p w14:paraId="7A6F22D4" w14:textId="52B9D829" w:rsidR="00D54457" w:rsidRPr="00225950" w:rsidRDefault="007D29C4" w:rsidP="00466191">
            <w:pPr>
              <w:pStyle w:val="TableTextNormal"/>
              <w:spacing w:before="40" w:after="40"/>
              <w:rPr>
                <w:rFonts w:eastAsia="Georgia"/>
              </w:rPr>
            </w:pPr>
            <w:r>
              <w:rPr>
                <w:rFonts w:eastAsia="Georgia"/>
              </w:rPr>
              <w:t>n/a</w:t>
            </w:r>
          </w:p>
        </w:tc>
        <w:tc>
          <w:tcPr>
            <w:tcW w:w="1843" w:type="dxa"/>
          </w:tcPr>
          <w:p w14:paraId="149808AB" w14:textId="38D7824E" w:rsidR="00D54457" w:rsidRPr="00D54457" w:rsidRDefault="000B4EBC" w:rsidP="00466191">
            <w:pPr>
              <w:pStyle w:val="TableTextNormal"/>
              <w:spacing w:before="0"/>
              <w:rPr>
                <w:rFonts w:eastAsia="Georgia"/>
              </w:rPr>
            </w:pPr>
            <w:r>
              <w:rPr>
                <w:rFonts w:eastAsia="Georgia"/>
              </w:rPr>
              <w:t>For monitoring purposes only (3G services only)</w:t>
            </w:r>
          </w:p>
        </w:tc>
        <w:tc>
          <w:tcPr>
            <w:tcW w:w="2308" w:type="dxa"/>
          </w:tcPr>
          <w:p w14:paraId="76A8DD1B" w14:textId="34C258D9" w:rsidR="00D54457" w:rsidRDefault="007D29C4" w:rsidP="00466191">
            <w:pPr>
              <w:pStyle w:val="TableTextNormal"/>
              <w:spacing w:before="0"/>
              <w:rPr>
                <w:rFonts w:eastAsia="Georgia"/>
              </w:rPr>
            </w:pPr>
            <w:r>
              <w:rPr>
                <w:rFonts w:eastAsia="Georgia"/>
              </w:rPr>
              <w:t>n/a</w:t>
            </w:r>
          </w:p>
        </w:tc>
      </w:tr>
    </w:tbl>
    <w:p w14:paraId="6F7A4FDE" w14:textId="44AD86FB" w:rsidR="00BE12F3" w:rsidRDefault="009D1655" w:rsidP="009D1655">
      <w:pPr>
        <w:pStyle w:val="Heading4"/>
        <w:numPr>
          <w:ilvl w:val="0"/>
          <w:numId w:val="0"/>
        </w:numPr>
        <w:ind w:left="851" w:hanging="851"/>
        <w:rPr>
          <w:snapToGrid/>
        </w:rPr>
      </w:pPr>
      <w:r>
        <w:rPr>
          <w:snapToGrid/>
        </w:rPr>
        <w:lastRenderedPageBreak/>
        <w:t>3.6.4</w:t>
      </w:r>
      <w:r>
        <w:rPr>
          <w:snapToGrid/>
        </w:rPr>
        <w:tab/>
      </w:r>
      <w:r w:rsidR="00BE12F3" w:rsidRPr="00B339AC">
        <w:rPr>
          <w:snapToGrid/>
        </w:rPr>
        <w:t>Penalties for non-compliance</w:t>
      </w:r>
    </w:p>
    <w:p w14:paraId="4256E7F7" w14:textId="317D5331" w:rsidR="00BE12F3" w:rsidRPr="00225950" w:rsidRDefault="00BE12F3" w:rsidP="00B14B8B">
      <w:pPr>
        <w:keepNext/>
        <w:shd w:val="clear" w:color="auto" w:fill="FFFFFF"/>
        <w:spacing w:before="120" w:after="120"/>
        <w:rPr>
          <w:rFonts w:eastAsia="Georgia" w:cs="Georgia"/>
        </w:rPr>
      </w:pPr>
      <w:r w:rsidRPr="00225950">
        <w:rPr>
          <w:rFonts w:eastAsia="Georgia" w:cs="Georgia"/>
        </w:rPr>
        <w:t xml:space="preserve">The </w:t>
      </w:r>
      <w:r w:rsidR="008B6D2B">
        <w:rPr>
          <w:rFonts w:eastAsia="Georgia" w:cs="Georgia"/>
        </w:rPr>
        <w:t xml:space="preserve">Singaporean </w:t>
      </w:r>
      <w:r w:rsidRPr="00225950">
        <w:rPr>
          <w:rFonts w:eastAsia="Georgia" w:cs="Georgia"/>
        </w:rPr>
        <w:t xml:space="preserve">regulator has the power to impose financial penalties </w:t>
      </w:r>
      <w:r w:rsidR="000379C5">
        <w:rPr>
          <w:rFonts w:eastAsia="Georgia" w:cs="Georgia"/>
        </w:rPr>
        <w:t>on</w:t>
      </w:r>
      <w:r w:rsidR="000379C5" w:rsidRPr="00225950">
        <w:rPr>
          <w:rFonts w:eastAsia="Georgia" w:cs="Georgia"/>
        </w:rPr>
        <w:t xml:space="preserve"> </w:t>
      </w:r>
      <w:r w:rsidRPr="00225950">
        <w:rPr>
          <w:rFonts w:eastAsia="Georgia" w:cs="Georgia"/>
        </w:rPr>
        <w:t xml:space="preserve">service operators who fail to comply with the telecommunications </w:t>
      </w:r>
      <w:r w:rsidRPr="009924D4">
        <w:rPr>
          <w:rFonts w:eastAsia="Georgia" w:cs="Georgia"/>
        </w:rPr>
        <w:t>quality of service</w:t>
      </w:r>
      <w:r w:rsidRPr="00225950">
        <w:rPr>
          <w:rFonts w:eastAsia="Georgia" w:cs="Georgia"/>
        </w:rPr>
        <w:t xml:space="preserve"> standards. These judgements are based on the periodic </w:t>
      </w:r>
      <w:r w:rsidRPr="009924D4">
        <w:rPr>
          <w:rFonts w:eastAsia="Georgia" w:cs="Georgia"/>
        </w:rPr>
        <w:t>quality of service</w:t>
      </w:r>
      <w:r w:rsidRPr="00225950">
        <w:rPr>
          <w:rFonts w:eastAsia="Georgia" w:cs="Georgia"/>
        </w:rPr>
        <w:t xml:space="preserve"> reports submitted. Financial penalties range from S$5,000</w:t>
      </w:r>
      <w:r>
        <w:rPr>
          <w:rFonts w:eastAsia="Georgia" w:cs="Georgia"/>
        </w:rPr>
        <w:t xml:space="preserve"> (~AUD$</w:t>
      </w:r>
      <w:r w:rsidR="00DD7896" w:rsidRPr="00DD7896">
        <w:t xml:space="preserve"> </w:t>
      </w:r>
      <w:r w:rsidR="00DD7896" w:rsidRPr="00DD7896">
        <w:rPr>
          <w:rFonts w:eastAsia="Georgia" w:cs="Georgia"/>
        </w:rPr>
        <w:t>4,955</w:t>
      </w:r>
      <w:r>
        <w:rPr>
          <w:rFonts w:eastAsia="Georgia" w:cs="Georgia"/>
        </w:rPr>
        <w:t>)</w:t>
      </w:r>
      <w:r w:rsidRPr="00225950">
        <w:rPr>
          <w:rFonts w:eastAsia="Georgia" w:cs="Georgia"/>
        </w:rPr>
        <w:t xml:space="preserve"> to a maximum of S$50,000</w:t>
      </w:r>
      <w:r>
        <w:rPr>
          <w:rFonts w:eastAsia="Georgia" w:cs="Georgia"/>
        </w:rPr>
        <w:t xml:space="preserve"> (~AUD$</w:t>
      </w:r>
      <w:r w:rsidR="00DD7896" w:rsidRPr="00DD7896">
        <w:rPr>
          <w:rFonts w:eastAsia="Georgia" w:cs="Georgia"/>
        </w:rPr>
        <w:t>49,550</w:t>
      </w:r>
      <w:r>
        <w:rPr>
          <w:rFonts w:eastAsia="Georgia" w:cs="Georgia"/>
        </w:rPr>
        <w:t>)</w:t>
      </w:r>
      <w:r w:rsidRPr="00225950">
        <w:rPr>
          <w:rFonts w:eastAsia="Georgia" w:cs="Georgia"/>
        </w:rPr>
        <w:t xml:space="preserve"> for each individual instance of non-compliance on a monthly basis. Both the magnitude of </w:t>
      </w:r>
      <w:r w:rsidR="00FF4FCE">
        <w:rPr>
          <w:rFonts w:eastAsia="Georgia" w:cs="Georgia"/>
        </w:rPr>
        <w:t xml:space="preserve">the </w:t>
      </w:r>
      <w:r w:rsidRPr="00225950">
        <w:rPr>
          <w:rFonts w:eastAsia="Georgia" w:cs="Georgia"/>
        </w:rPr>
        <w:t>fault and mitigating factors are considered when determining the level of penalty. This includes:</w:t>
      </w:r>
    </w:p>
    <w:p w14:paraId="1B0DD35D" w14:textId="77777777" w:rsidR="00BE12F3" w:rsidRPr="00225950" w:rsidRDefault="00BE12F3" w:rsidP="00B14B8B">
      <w:pPr>
        <w:pStyle w:val="ListBullet"/>
        <w:keepNext/>
        <w:rPr>
          <w:rFonts w:eastAsia="Georgia"/>
        </w:rPr>
      </w:pPr>
      <w:r w:rsidRPr="00225950">
        <w:rPr>
          <w:rFonts w:eastAsia="Georgia"/>
        </w:rPr>
        <w:t>the extent of impact of the non-compliance</w:t>
      </w:r>
    </w:p>
    <w:p w14:paraId="7C724816" w14:textId="77777777" w:rsidR="00BE12F3" w:rsidRPr="00225950" w:rsidRDefault="00BE12F3" w:rsidP="00B14B8B">
      <w:pPr>
        <w:pStyle w:val="ListBullet"/>
        <w:keepNext/>
        <w:rPr>
          <w:rFonts w:eastAsia="Georgia"/>
        </w:rPr>
      </w:pPr>
      <w:r w:rsidRPr="00225950">
        <w:rPr>
          <w:rFonts w:eastAsia="Georgia"/>
        </w:rPr>
        <w:t>the cause of the non-compliance</w:t>
      </w:r>
    </w:p>
    <w:p w14:paraId="474461C3" w14:textId="77777777" w:rsidR="00BE12F3" w:rsidRPr="00225950" w:rsidRDefault="00BE12F3" w:rsidP="00B14B8B">
      <w:pPr>
        <w:pStyle w:val="ListBullet"/>
        <w:keepNext/>
        <w:rPr>
          <w:rFonts w:eastAsia="Georgia"/>
        </w:rPr>
      </w:pPr>
      <w:r w:rsidRPr="00225950">
        <w:rPr>
          <w:rFonts w:eastAsia="Georgia"/>
        </w:rPr>
        <w:t xml:space="preserve">the efforts taken by the service providers to meet the </w:t>
      </w:r>
      <w:r w:rsidRPr="009924D4">
        <w:rPr>
          <w:rFonts w:eastAsia="Georgia" w:cs="Georgia"/>
        </w:rPr>
        <w:t>quality of service</w:t>
      </w:r>
      <w:r w:rsidRPr="00225950">
        <w:rPr>
          <w:rFonts w:eastAsia="Georgia"/>
        </w:rPr>
        <w:t xml:space="preserve"> standards</w:t>
      </w:r>
    </w:p>
    <w:p w14:paraId="256753BA" w14:textId="77777777" w:rsidR="00BE12F3" w:rsidRPr="00225950" w:rsidRDefault="00BE12F3" w:rsidP="00BE12F3">
      <w:pPr>
        <w:pStyle w:val="ListBullet"/>
        <w:rPr>
          <w:rFonts w:eastAsia="Georgia"/>
        </w:rPr>
      </w:pPr>
      <w:r w:rsidRPr="00225950">
        <w:rPr>
          <w:rFonts w:eastAsia="Georgia"/>
        </w:rPr>
        <w:t xml:space="preserve">any challenges faced by the service providers in meeting the </w:t>
      </w:r>
      <w:r w:rsidRPr="009924D4">
        <w:rPr>
          <w:rFonts w:eastAsia="Georgia" w:cs="Georgia"/>
        </w:rPr>
        <w:t>quality of service</w:t>
      </w:r>
      <w:r w:rsidRPr="00225950">
        <w:rPr>
          <w:rFonts w:eastAsia="Georgia"/>
        </w:rPr>
        <w:t xml:space="preserve"> standards.</w:t>
      </w:r>
    </w:p>
    <w:p w14:paraId="7BAB8183" w14:textId="7DFE57E1" w:rsidR="000530B1" w:rsidRPr="00466191" w:rsidRDefault="00BE12F3" w:rsidP="00E66FE1">
      <w:pPr>
        <w:pStyle w:val="PwCNormal"/>
        <w:rPr>
          <w:rFonts w:eastAsia="Georgia"/>
        </w:rPr>
      </w:pPr>
      <w:r w:rsidRPr="00466191">
        <w:rPr>
          <w:rFonts w:eastAsia="Georgia"/>
        </w:rPr>
        <w:t>In situations of serious failure and/or repeated compliance breaches, the regulator has the authority to impose financial penalties greater than S$50,000</w:t>
      </w:r>
      <w:r w:rsidRPr="00225950">
        <w:rPr>
          <w:rStyle w:val="FootnoteReference"/>
          <w:rFonts w:eastAsia="Georgia"/>
        </w:rPr>
        <w:footnoteReference w:id="92"/>
      </w:r>
      <w:r w:rsidR="00DD7896" w:rsidRPr="00466191">
        <w:rPr>
          <w:rFonts w:eastAsia="Georgia"/>
        </w:rPr>
        <w:t xml:space="preserve"> </w:t>
      </w:r>
      <w:r w:rsidR="00DD7896" w:rsidRPr="00466191">
        <w:rPr>
          <w:rFonts w:eastAsia="Georgia" w:cs="Georgia"/>
        </w:rPr>
        <w:t>(~AUD$49,550).</w:t>
      </w:r>
    </w:p>
    <w:p w14:paraId="6203291E" w14:textId="5E788D83" w:rsidR="00E80473" w:rsidRDefault="009D1655" w:rsidP="009D1655">
      <w:pPr>
        <w:pStyle w:val="Heading3"/>
        <w:numPr>
          <w:ilvl w:val="0"/>
          <w:numId w:val="0"/>
        </w:numPr>
        <w:ind w:left="851" w:hanging="851"/>
      </w:pPr>
      <w:bookmarkStart w:id="47" w:name="_Toc518337352"/>
      <w:bookmarkStart w:id="48" w:name="_Toc525650419"/>
      <w:r>
        <w:t>3.7</w:t>
      </w:r>
      <w:r>
        <w:tab/>
      </w:r>
      <w:r w:rsidR="000530B1" w:rsidRPr="00225950">
        <w:t>United Kingdom</w:t>
      </w:r>
      <w:r w:rsidR="00587615">
        <w:t xml:space="preserve"> (UK)</w:t>
      </w:r>
      <w:bookmarkEnd w:id="47"/>
      <w:bookmarkEnd w:id="48"/>
    </w:p>
    <w:p w14:paraId="1C0EAE86" w14:textId="7DA9C24B" w:rsidR="00E80473" w:rsidRPr="00225950" w:rsidRDefault="00E80473" w:rsidP="002D56B1">
      <w:pPr>
        <w:keepNext/>
        <w:spacing w:before="120" w:after="120"/>
        <w:rPr>
          <w:rFonts w:eastAsia="Georgia" w:cs="Georgia"/>
        </w:rPr>
      </w:pPr>
      <w:r w:rsidRPr="00225950">
        <w:rPr>
          <w:rFonts w:eastAsia="Georgia" w:cs="Georgia"/>
        </w:rPr>
        <w:t>Ofcom is the communications regu</w:t>
      </w:r>
      <w:r w:rsidR="00DB4D00">
        <w:rPr>
          <w:rFonts w:eastAsia="Georgia" w:cs="Georgia"/>
        </w:rPr>
        <w:t>lator in the UK</w:t>
      </w:r>
      <w:r w:rsidRPr="00225950">
        <w:rPr>
          <w:rFonts w:eastAsia="Georgia" w:cs="Georgia"/>
        </w:rPr>
        <w:t xml:space="preserve">. </w:t>
      </w:r>
      <w:r>
        <w:rPr>
          <w:rFonts w:eastAsia="Georgia" w:cs="Georgia"/>
        </w:rPr>
        <w:t>It is</w:t>
      </w:r>
      <w:r w:rsidRPr="00225950">
        <w:rPr>
          <w:rFonts w:eastAsia="Georgia" w:cs="Georgia"/>
        </w:rPr>
        <w:t xml:space="preserve"> responsible for the regulation of a number of communication streams; TV, radio and video-on demand sectors, fixed</w:t>
      </w:r>
      <w:r w:rsidR="00AF56C1">
        <w:rPr>
          <w:rFonts w:eastAsia="Georgia" w:cs="Georgia"/>
        </w:rPr>
        <w:t xml:space="preserve"> </w:t>
      </w:r>
      <w:r w:rsidRPr="00225950">
        <w:rPr>
          <w:rFonts w:eastAsia="Georgia" w:cs="Georgia"/>
        </w:rPr>
        <w:t>line telecom</w:t>
      </w:r>
      <w:r w:rsidR="00AF56C1">
        <w:rPr>
          <w:rFonts w:eastAsia="Georgia" w:cs="Georgia"/>
        </w:rPr>
        <w:t>munications</w:t>
      </w:r>
      <w:r w:rsidRPr="00225950">
        <w:rPr>
          <w:rFonts w:eastAsia="Georgia" w:cs="Georgia"/>
        </w:rPr>
        <w:t>, mobiles, postal services and the airwaves over which wireless devices operate</w:t>
      </w:r>
      <w:r>
        <w:rPr>
          <w:rFonts w:eastAsia="Georgia" w:cs="Georgia"/>
        </w:rPr>
        <w:t>.</w:t>
      </w:r>
      <w:r w:rsidRPr="00225950">
        <w:rPr>
          <w:rStyle w:val="FootnoteReference"/>
          <w:rFonts w:eastAsia="Georgia"/>
        </w:rPr>
        <w:footnoteReference w:id="93"/>
      </w:r>
    </w:p>
    <w:p w14:paraId="7A4A1ED2" w14:textId="3BE8AC4A" w:rsidR="00E80473" w:rsidRDefault="00E80473" w:rsidP="002D56B1">
      <w:pPr>
        <w:keepNext/>
        <w:spacing w:before="120" w:after="120"/>
        <w:rPr>
          <w:rFonts w:eastAsia="Georgia" w:cs="Georgia"/>
        </w:rPr>
      </w:pPr>
      <w:r w:rsidRPr="00225950">
        <w:rPr>
          <w:rFonts w:eastAsia="Georgia" w:cs="Georgia"/>
        </w:rPr>
        <w:t xml:space="preserve">Ofcom </w:t>
      </w:r>
      <w:r>
        <w:rPr>
          <w:rFonts w:eastAsia="Georgia" w:cs="Georgia"/>
        </w:rPr>
        <w:t>is</w:t>
      </w:r>
      <w:r w:rsidRPr="00225950">
        <w:rPr>
          <w:rFonts w:eastAsia="Georgia" w:cs="Georgia"/>
        </w:rPr>
        <w:t xml:space="preserve"> responsible for determining a set of voluntary codes of practice to enable a high standard of telecommunication</w:t>
      </w:r>
      <w:r w:rsidR="007B50FC">
        <w:rPr>
          <w:rFonts w:eastAsia="Georgia" w:cs="Georgia"/>
        </w:rPr>
        <w:t xml:space="preserve"> services, to which </w:t>
      </w:r>
      <w:r w:rsidRPr="00225950">
        <w:rPr>
          <w:rFonts w:eastAsia="Georgia" w:cs="Georgia"/>
        </w:rPr>
        <w:t>service providers can become signatories.</w:t>
      </w:r>
      <w:r>
        <w:rPr>
          <w:rFonts w:eastAsia="Georgia" w:cs="Georgia"/>
        </w:rPr>
        <w:t xml:space="preserve"> </w:t>
      </w:r>
      <w:r w:rsidR="00B01D18">
        <w:rPr>
          <w:rFonts w:eastAsia="Georgia" w:cs="Georgia"/>
        </w:rPr>
        <w:t>As of March 2019 t</w:t>
      </w:r>
      <w:r>
        <w:rPr>
          <w:rFonts w:eastAsia="Georgia" w:cs="Georgia"/>
        </w:rPr>
        <w:t xml:space="preserve">here </w:t>
      </w:r>
      <w:r w:rsidR="00B01D18">
        <w:rPr>
          <w:rFonts w:eastAsia="Georgia" w:cs="Georgia"/>
        </w:rPr>
        <w:t>will be</w:t>
      </w:r>
      <w:r>
        <w:rPr>
          <w:rFonts w:eastAsia="Georgia" w:cs="Georgia"/>
        </w:rPr>
        <w:t xml:space="preserve"> five voluntary codes:</w:t>
      </w:r>
    </w:p>
    <w:p w14:paraId="088D5DD2" w14:textId="77777777" w:rsidR="00E80473" w:rsidRDefault="00E80473" w:rsidP="00E80473">
      <w:pPr>
        <w:pStyle w:val="ListBullet"/>
        <w:rPr>
          <w:rFonts w:eastAsia="Georgia"/>
        </w:rPr>
      </w:pPr>
      <w:r w:rsidRPr="000E55A6">
        <w:rPr>
          <w:rFonts w:eastAsia="Georgia"/>
        </w:rPr>
        <w:t>New Voluntary Codes of Practice on Broadband Speed (from 1 March 2019)</w:t>
      </w:r>
    </w:p>
    <w:p w14:paraId="3254FAC3" w14:textId="77777777" w:rsidR="00E80473" w:rsidRDefault="00E80473" w:rsidP="00E80473">
      <w:pPr>
        <w:pStyle w:val="ListBullet"/>
        <w:rPr>
          <w:rFonts w:eastAsia="Georgia"/>
        </w:rPr>
      </w:pPr>
      <w:r w:rsidRPr="000E55A6">
        <w:rPr>
          <w:rFonts w:eastAsia="Georgia"/>
        </w:rPr>
        <w:t>Voluntary Code of Practice: Business Broadband Speeds 2016</w:t>
      </w:r>
    </w:p>
    <w:p w14:paraId="0124CA88" w14:textId="77777777" w:rsidR="00E80473" w:rsidRDefault="00E80473" w:rsidP="00E80473">
      <w:pPr>
        <w:pStyle w:val="ListBullet"/>
        <w:rPr>
          <w:rFonts w:eastAsia="Georgia"/>
        </w:rPr>
      </w:pPr>
      <w:r w:rsidRPr="000E55A6">
        <w:rPr>
          <w:rFonts w:eastAsia="Georgia"/>
        </w:rPr>
        <w:t>Voluntary Code of Practice: Residential Broadband Speeds (updated) 2015</w:t>
      </w:r>
    </w:p>
    <w:p w14:paraId="7B7A8604" w14:textId="77777777" w:rsidR="00E80473" w:rsidRDefault="00E80473" w:rsidP="00E80473">
      <w:pPr>
        <w:pStyle w:val="ListBullet"/>
        <w:rPr>
          <w:rFonts w:eastAsia="Georgia"/>
        </w:rPr>
      </w:pPr>
      <w:r w:rsidRPr="000E55A6">
        <w:rPr>
          <w:rFonts w:eastAsia="Georgia"/>
        </w:rPr>
        <w:t>Voluntary Industry Code of Practice for the sales and marketing of subscriptions to mobile networks</w:t>
      </w:r>
    </w:p>
    <w:p w14:paraId="267433A7" w14:textId="77777777" w:rsidR="00E80473" w:rsidRPr="00225950" w:rsidRDefault="00E80473" w:rsidP="00E80473">
      <w:pPr>
        <w:pStyle w:val="ListBullet"/>
        <w:rPr>
          <w:rFonts w:eastAsia="Georgia"/>
        </w:rPr>
      </w:pPr>
      <w:r w:rsidRPr="000E55A6">
        <w:rPr>
          <w:rFonts w:eastAsia="Georgia"/>
        </w:rPr>
        <w:t>Customer Codes of Practice for handling complaints and resolving disputes</w:t>
      </w:r>
      <w:r>
        <w:rPr>
          <w:rFonts w:eastAsia="Georgia"/>
        </w:rPr>
        <w:t>.</w:t>
      </w:r>
    </w:p>
    <w:p w14:paraId="7B33D9DD" w14:textId="36BDD6CA" w:rsidR="007D33E0" w:rsidRDefault="007D33E0" w:rsidP="007D33E0">
      <w:pPr>
        <w:spacing w:before="120" w:after="120"/>
        <w:rPr>
          <w:rFonts w:eastAsia="Georgia" w:cs="Georgia"/>
        </w:rPr>
      </w:pPr>
      <w:r w:rsidRPr="00225950">
        <w:rPr>
          <w:rFonts w:eastAsia="Georgia" w:cs="Georgia"/>
        </w:rPr>
        <w:t xml:space="preserve">To </w:t>
      </w:r>
      <w:r>
        <w:rPr>
          <w:rFonts w:eastAsia="Georgia" w:cs="Georgia"/>
        </w:rPr>
        <w:t>support the functioning of</w:t>
      </w:r>
      <w:r w:rsidRPr="00225950">
        <w:rPr>
          <w:rFonts w:eastAsia="Georgia" w:cs="Georgia"/>
        </w:rPr>
        <w:t xml:space="preserve"> a competitive telecommunications market in the UK, Ofcom complete</w:t>
      </w:r>
      <w:r>
        <w:rPr>
          <w:rFonts w:eastAsia="Georgia" w:cs="Georgia"/>
        </w:rPr>
        <w:t>s</w:t>
      </w:r>
      <w:r w:rsidRPr="00225950">
        <w:rPr>
          <w:rFonts w:eastAsia="Georgia" w:cs="Georgia"/>
        </w:rPr>
        <w:t xml:space="preserve"> a review of competition in the provision of leased lines in the UK every three years</w:t>
      </w:r>
      <w:r>
        <w:rPr>
          <w:rFonts w:eastAsia="Georgia" w:cs="Georgia"/>
        </w:rPr>
        <w:t>,</w:t>
      </w:r>
      <w:r w:rsidRPr="00225950">
        <w:rPr>
          <w:rFonts w:eastAsia="Georgia" w:cs="Georgia"/>
        </w:rPr>
        <w:t xml:space="preserve"> called the ‘Business Connectivity Market </w:t>
      </w:r>
      <w:r w:rsidRPr="00225950">
        <w:rPr>
          <w:rFonts w:eastAsia="Georgia" w:cs="Georgia"/>
        </w:rPr>
        <w:lastRenderedPageBreak/>
        <w:t>Review’. This Review serves to identify operators that display significant market power. Following this Review</w:t>
      </w:r>
      <w:r>
        <w:rPr>
          <w:rFonts w:eastAsia="Georgia" w:cs="Georgia"/>
        </w:rPr>
        <w:t>,</w:t>
      </w:r>
      <w:r w:rsidRPr="00225950">
        <w:rPr>
          <w:rFonts w:eastAsia="Georgia" w:cs="Georgia"/>
        </w:rPr>
        <w:t xml:space="preserve"> Ofcom ha</w:t>
      </w:r>
      <w:r>
        <w:rPr>
          <w:rFonts w:eastAsia="Georgia" w:cs="Georgia"/>
        </w:rPr>
        <w:t>s</w:t>
      </w:r>
      <w:r w:rsidRPr="00225950">
        <w:rPr>
          <w:rFonts w:eastAsia="Georgia" w:cs="Georgia"/>
        </w:rPr>
        <w:t xml:space="preserve"> the option to provide regulations designed to address concerns of significant market power. The latest review was conducted in 2016 with Ofcom finding that strategic market power was held by both KCOM and BT in different geographical regions and across different technologies. As a r</w:t>
      </w:r>
      <w:r>
        <w:rPr>
          <w:rFonts w:eastAsia="Georgia" w:cs="Georgia"/>
        </w:rPr>
        <w:t>esult of this finding Ofcom has</w:t>
      </w:r>
      <w:r w:rsidRPr="00225950">
        <w:rPr>
          <w:rFonts w:eastAsia="Georgia" w:cs="Georgia"/>
        </w:rPr>
        <w:t xml:space="preserve"> include</w:t>
      </w:r>
      <w:r>
        <w:rPr>
          <w:rFonts w:eastAsia="Georgia" w:cs="Georgia"/>
        </w:rPr>
        <w:t>d</w:t>
      </w:r>
      <w:r w:rsidRPr="00225950">
        <w:rPr>
          <w:rFonts w:eastAsia="Georgia" w:cs="Georgia"/>
        </w:rPr>
        <w:t xml:space="preserve"> </w:t>
      </w:r>
      <w:r>
        <w:rPr>
          <w:rFonts w:eastAsia="Georgia" w:cs="Georgia"/>
        </w:rPr>
        <w:t>limits</w:t>
      </w:r>
      <w:r w:rsidRPr="00225950">
        <w:rPr>
          <w:rFonts w:eastAsia="Georgia" w:cs="Georgia"/>
        </w:rPr>
        <w:t xml:space="preserve"> on the prices that BT can charge for services</w:t>
      </w:r>
      <w:r>
        <w:rPr>
          <w:rFonts w:eastAsia="Georgia" w:cs="Georgia"/>
        </w:rPr>
        <w:t xml:space="preserve"> and targets set for certain elements relating to reliability</w:t>
      </w:r>
      <w:r w:rsidRPr="00225950">
        <w:rPr>
          <w:rFonts w:eastAsia="Georgia" w:cs="Georgia"/>
        </w:rPr>
        <w:t>.</w:t>
      </w:r>
      <w:r>
        <w:rPr>
          <w:rFonts w:eastAsia="Georgia" w:cs="Georgia"/>
        </w:rPr>
        <w:t xml:space="preserve"> Some of the elements include the speed of completing orders (ie connection times) and proportion of faults fixed within a certain timeframe.</w:t>
      </w:r>
      <w:r w:rsidRPr="00225950">
        <w:rPr>
          <w:rStyle w:val="FootnoteReference"/>
          <w:rFonts w:eastAsia="Georgia"/>
        </w:rPr>
        <w:footnoteReference w:id="94"/>
      </w:r>
      <w:r w:rsidRPr="00202BBA">
        <w:rPr>
          <w:rFonts w:eastAsia="Georgia" w:cs="Georgia"/>
        </w:rPr>
        <w:t xml:space="preserve"> </w:t>
      </w:r>
      <w:r>
        <w:rPr>
          <w:rFonts w:eastAsia="Georgia" w:cs="Georgia"/>
        </w:rPr>
        <w:t>This follows the 2014 decision where the regulator identified there was sufficient competition in some geographic areas and thus regulations would be rolled</w:t>
      </w:r>
      <w:r w:rsidR="00401D5D">
        <w:rPr>
          <w:rFonts w:eastAsia="Georgia" w:cs="Georgia"/>
        </w:rPr>
        <w:t xml:space="preserve"> back</w:t>
      </w:r>
      <w:r>
        <w:rPr>
          <w:rFonts w:eastAsia="Georgia" w:cs="Georgia"/>
        </w:rPr>
        <w:t xml:space="preserve"> in those areas.</w:t>
      </w:r>
      <w:r>
        <w:rPr>
          <w:rStyle w:val="FootnoteReference"/>
          <w:rFonts w:eastAsia="Georgia"/>
        </w:rPr>
        <w:footnoteReference w:id="95"/>
      </w:r>
    </w:p>
    <w:p w14:paraId="0F39DC1D" w14:textId="1CE5C294" w:rsidR="007D33E0" w:rsidRPr="002C67F8" w:rsidRDefault="007D33E0" w:rsidP="007D33E0">
      <w:pPr>
        <w:pStyle w:val="PwCNormal"/>
        <w:rPr>
          <w:rFonts w:eastAsia="Georgia"/>
        </w:rPr>
      </w:pPr>
      <w:r>
        <w:rPr>
          <w:rFonts w:eastAsia="Georgia"/>
        </w:rPr>
        <w:t>In 2017, Ofcom consulted on a proposal to introduce an automatic compensation scheme to protect landline and broadband consumers. As part of the consultation process, service providers put forward suggestions for an industry-led scheme which has now been accepted by Ofcom as meeting the needs for a fair and effective automatic compensation scheme. The scheme is expected to come into effect from early 2019.</w:t>
      </w:r>
      <w:r>
        <w:rPr>
          <w:rStyle w:val="FootnoteReference"/>
          <w:rFonts w:eastAsia="Georgia"/>
        </w:rPr>
        <w:footnoteReference w:id="96"/>
      </w:r>
    </w:p>
    <w:p w14:paraId="43A9EEE8" w14:textId="25D6BD72" w:rsidR="00E80473" w:rsidRDefault="00E80473" w:rsidP="00E80473">
      <w:pPr>
        <w:spacing w:before="120" w:after="120"/>
        <w:rPr>
          <w:rFonts w:eastAsia="Georgia" w:cs="Georgia"/>
        </w:rPr>
      </w:pPr>
      <w:r>
        <w:rPr>
          <w:rFonts w:eastAsia="Georgia" w:cs="Georgia"/>
        </w:rPr>
        <w:t xml:space="preserve">In addition to the protections outlined above, </w:t>
      </w:r>
      <w:r w:rsidRPr="00225950">
        <w:rPr>
          <w:rFonts w:eastAsia="Georgia" w:cs="Georgia"/>
        </w:rPr>
        <w:t>Ofcom publish</w:t>
      </w:r>
      <w:r>
        <w:rPr>
          <w:rFonts w:eastAsia="Georgia" w:cs="Georgia"/>
        </w:rPr>
        <w:t>es</w:t>
      </w:r>
      <w:r w:rsidRPr="00225950">
        <w:rPr>
          <w:rFonts w:eastAsia="Georgia" w:cs="Georgia"/>
        </w:rPr>
        <w:t xml:space="preserve"> an annual service quality report comparing service quality across a number of channels</w:t>
      </w:r>
      <w:r w:rsidR="001F6CDF">
        <w:rPr>
          <w:rFonts w:eastAsia="Georgia" w:cs="Georgia"/>
        </w:rPr>
        <w:t>,</w:t>
      </w:r>
      <w:r w:rsidRPr="00225950">
        <w:rPr>
          <w:rFonts w:eastAsia="Georgia" w:cs="Georgia"/>
        </w:rPr>
        <w:t xml:space="preserve"> enabling customers to make informed decisions and giv</w:t>
      </w:r>
      <w:r w:rsidR="001F6CDF">
        <w:rPr>
          <w:rFonts w:eastAsia="Georgia" w:cs="Georgia"/>
        </w:rPr>
        <w:t>ing</w:t>
      </w:r>
      <w:r w:rsidRPr="00225950">
        <w:rPr>
          <w:rFonts w:eastAsia="Georgia" w:cs="Georgia"/>
        </w:rPr>
        <w:t xml:space="preserve"> providers</w:t>
      </w:r>
      <w:r w:rsidR="001F6CDF">
        <w:rPr>
          <w:rFonts w:eastAsia="Georgia" w:cs="Georgia"/>
        </w:rPr>
        <w:t xml:space="preserve"> an</w:t>
      </w:r>
      <w:r w:rsidRPr="00225950">
        <w:rPr>
          <w:rFonts w:eastAsia="Georgia" w:cs="Georgia"/>
        </w:rPr>
        <w:t xml:space="preserve"> incentive to improve the quality of service they provide.</w:t>
      </w:r>
    </w:p>
    <w:p w14:paraId="693F068E" w14:textId="76908D66" w:rsidR="00E80473" w:rsidRPr="00B339AC" w:rsidRDefault="009D1655" w:rsidP="009D1655">
      <w:pPr>
        <w:pStyle w:val="Heading4"/>
        <w:numPr>
          <w:ilvl w:val="0"/>
          <w:numId w:val="0"/>
        </w:numPr>
        <w:ind w:left="851" w:hanging="851"/>
        <w:rPr>
          <w:snapToGrid/>
        </w:rPr>
      </w:pPr>
      <w:r>
        <w:rPr>
          <w:snapToGrid/>
        </w:rPr>
        <w:t>3.7.1</w:t>
      </w:r>
      <w:r>
        <w:rPr>
          <w:snapToGrid/>
        </w:rPr>
        <w:tab/>
      </w:r>
      <w:r w:rsidR="00E80473" w:rsidRPr="00B339AC">
        <w:rPr>
          <w:snapToGrid/>
        </w:rPr>
        <w:t>Connection</w:t>
      </w:r>
    </w:p>
    <w:p w14:paraId="31EB7258" w14:textId="77777777" w:rsidR="00E80473" w:rsidRPr="00B339AC" w:rsidRDefault="00E80473" w:rsidP="00325598">
      <w:pPr>
        <w:pStyle w:val="styeheading5"/>
        <w:rPr>
          <w:rFonts w:eastAsia="Georgia"/>
          <w:snapToGrid/>
        </w:rPr>
      </w:pPr>
      <w:r w:rsidRPr="00B339AC">
        <w:rPr>
          <w:rFonts w:eastAsia="Georgia"/>
          <w:snapToGrid/>
        </w:rPr>
        <w:t>Telephone connections</w:t>
      </w:r>
    </w:p>
    <w:p w14:paraId="308E5E01" w14:textId="4D5B9FEB" w:rsidR="00E80473" w:rsidRDefault="00C649E1" w:rsidP="009D1655">
      <w:pPr>
        <w:pStyle w:val="styleheading6"/>
      </w:pPr>
      <w:r w:rsidRPr="00C649E1">
        <w:t>New installation appointments met</w:t>
      </w:r>
    </w:p>
    <w:p w14:paraId="60B92381" w14:textId="2D7DB9DA" w:rsidR="00E80473" w:rsidRDefault="00E80473" w:rsidP="00E80473">
      <w:pPr>
        <w:spacing w:before="120" w:after="120"/>
        <w:rPr>
          <w:rFonts w:eastAsia="Georgia" w:cs="Georgia"/>
        </w:rPr>
      </w:pPr>
      <w:r w:rsidRPr="00225950">
        <w:rPr>
          <w:rFonts w:eastAsia="Georgia" w:cs="Georgia"/>
        </w:rPr>
        <w:t>There do not appear to b</w:t>
      </w:r>
      <w:r w:rsidR="00FF4FCE">
        <w:rPr>
          <w:rFonts w:eastAsia="Georgia" w:cs="Georgia"/>
        </w:rPr>
        <w:t>e any minimum standards providing</w:t>
      </w:r>
      <w:r w:rsidRPr="00225950">
        <w:rPr>
          <w:rFonts w:eastAsia="Georgia" w:cs="Georgia"/>
        </w:rPr>
        <w:t xml:space="preserve"> for the installation of a new service in the UK. </w:t>
      </w:r>
      <w:r>
        <w:rPr>
          <w:rFonts w:eastAsia="Georgia" w:cs="Georgia"/>
        </w:rPr>
        <w:t>However, in its annual service quality report</w:t>
      </w:r>
      <w:r w:rsidRPr="00225950">
        <w:rPr>
          <w:rFonts w:eastAsia="Georgia" w:cs="Georgia"/>
        </w:rPr>
        <w:t xml:space="preserve">, Ofcom </w:t>
      </w:r>
      <w:r>
        <w:rPr>
          <w:rFonts w:eastAsia="Georgia" w:cs="Georgia"/>
        </w:rPr>
        <w:t xml:space="preserve">publishes the average </w:t>
      </w:r>
      <w:r w:rsidRPr="00225950">
        <w:rPr>
          <w:rFonts w:eastAsia="Georgia" w:cs="Georgia"/>
        </w:rPr>
        <w:t>number of days taken for landline and broadband services to be provided within their annual service quality report. In their 2017 report</w:t>
      </w:r>
      <w:r>
        <w:rPr>
          <w:rFonts w:eastAsia="Georgia" w:cs="Georgia"/>
        </w:rPr>
        <w:t>,</w:t>
      </w:r>
      <w:r w:rsidRPr="00225950">
        <w:rPr>
          <w:rFonts w:eastAsia="Georgia" w:cs="Georgia"/>
        </w:rPr>
        <w:t xml:space="preserve"> it </w:t>
      </w:r>
      <w:r w:rsidR="00FF4FCE">
        <w:rPr>
          <w:rFonts w:eastAsia="Georgia" w:cs="Georgia"/>
        </w:rPr>
        <w:t xml:space="preserve">reported an </w:t>
      </w:r>
      <w:r w:rsidRPr="00225950">
        <w:rPr>
          <w:rFonts w:eastAsia="Georgia" w:cs="Georgia"/>
        </w:rPr>
        <w:t xml:space="preserve">average of 13 calendar days for a landline or broadband order to be delivered. </w:t>
      </w:r>
      <w:r>
        <w:rPr>
          <w:rFonts w:eastAsia="Georgia" w:cs="Georgia"/>
        </w:rPr>
        <w:t>T</w:t>
      </w:r>
      <w:r w:rsidRPr="00225950">
        <w:rPr>
          <w:rFonts w:eastAsia="Georgia" w:cs="Georgia"/>
        </w:rPr>
        <w:t>he report details the proportion of appointments missed relating to installation of landline or broadband services for Openreach and Virgin Media</w:t>
      </w:r>
      <w:r>
        <w:rPr>
          <w:rFonts w:eastAsia="Georgia" w:cs="Georgia"/>
        </w:rPr>
        <w:t>.</w:t>
      </w:r>
      <w:r w:rsidRPr="00225950">
        <w:rPr>
          <w:rStyle w:val="FootnoteReference"/>
          <w:rFonts w:eastAsia="Georgia"/>
        </w:rPr>
        <w:footnoteReference w:id="97"/>
      </w:r>
    </w:p>
    <w:p w14:paraId="3993EF38" w14:textId="356679BD" w:rsidR="00E80473" w:rsidRPr="0006012B" w:rsidRDefault="00E80473" w:rsidP="00E80473">
      <w:pPr>
        <w:pStyle w:val="PwCNormal"/>
        <w:rPr>
          <w:rFonts w:eastAsia="Georgia"/>
        </w:rPr>
      </w:pPr>
      <w:r>
        <w:rPr>
          <w:rFonts w:eastAsia="Georgia"/>
        </w:rPr>
        <w:lastRenderedPageBreak/>
        <w:t>Under the new automatic compensation scheme</w:t>
      </w:r>
      <w:r w:rsidR="00884855">
        <w:rPr>
          <w:rFonts w:eastAsia="Georgia"/>
        </w:rPr>
        <w:t>,</w:t>
      </w:r>
      <w:r>
        <w:rPr>
          <w:rFonts w:eastAsia="Georgia"/>
        </w:rPr>
        <w:t xml:space="preserve"> </w:t>
      </w:r>
      <w:r w:rsidR="00210E12">
        <w:rPr>
          <w:rFonts w:eastAsia="Georgia"/>
        </w:rPr>
        <w:t>there will be greater focus on the</w:t>
      </w:r>
      <w:r>
        <w:rPr>
          <w:rFonts w:eastAsia="Georgia"/>
        </w:rPr>
        <w:t xml:space="preserve"> time taken to connect services. For example, compensation will be available to the consumer where there is a delay in the commencement of a landline and/or broadband service beyond the date commit</w:t>
      </w:r>
      <w:r w:rsidR="00840A75">
        <w:rPr>
          <w:rFonts w:eastAsia="Georgia"/>
        </w:rPr>
        <w:t>ted to by the service provider.</w:t>
      </w:r>
    </w:p>
    <w:p w14:paraId="55C45351" w14:textId="4930A624" w:rsidR="00E80473" w:rsidRDefault="00C649E1" w:rsidP="00325598">
      <w:pPr>
        <w:pStyle w:val="styeheading5"/>
        <w:rPr>
          <w:rFonts w:eastAsia="Georgia"/>
          <w:snapToGrid/>
        </w:rPr>
      </w:pPr>
      <w:r>
        <w:rPr>
          <w:rFonts w:eastAsia="Georgia"/>
          <w:snapToGrid/>
        </w:rPr>
        <w:t>Data connections</w:t>
      </w:r>
    </w:p>
    <w:p w14:paraId="01D16632" w14:textId="77777777" w:rsidR="00FF4FCE" w:rsidRPr="00FF4FCE" w:rsidRDefault="00FF4FCE" w:rsidP="00FF4FCE">
      <w:pPr>
        <w:pStyle w:val="PwCNormal"/>
        <w:rPr>
          <w:rFonts w:eastAsia="Georgia"/>
        </w:rPr>
      </w:pPr>
      <w:r w:rsidRPr="00FF4FCE">
        <w:rPr>
          <w:rFonts w:eastAsia="Georgia"/>
        </w:rPr>
        <w:t>The voluntary Codes of Practice on Better Broadband Speeds do not explicitly set out the minimum speed or quality of service, instead focusing on a number of key principles including providing consumers with more realistic speed estimates at the point of sale (including estimates for peak times).</w:t>
      </w:r>
    </w:p>
    <w:p w14:paraId="72F4C83A" w14:textId="4AC7683A" w:rsidR="007D33E0" w:rsidRPr="00225950" w:rsidRDefault="007D33E0" w:rsidP="007D33E0">
      <w:pPr>
        <w:pStyle w:val="PwCNormal"/>
        <w:rPr>
          <w:rFonts w:eastAsia="Georgia"/>
        </w:rPr>
      </w:pPr>
      <w:r w:rsidRPr="00225950">
        <w:rPr>
          <w:rFonts w:eastAsia="Georgia"/>
        </w:rPr>
        <w:t>Whil</w:t>
      </w:r>
      <w:r w:rsidR="00204437">
        <w:rPr>
          <w:rFonts w:eastAsia="Georgia"/>
        </w:rPr>
        <w:t>e</w:t>
      </w:r>
      <w:r w:rsidRPr="00225950">
        <w:rPr>
          <w:rFonts w:eastAsia="Georgia"/>
        </w:rPr>
        <w:t xml:space="preserve"> there are no clearly defined standards set out for quality within </w:t>
      </w:r>
      <w:r>
        <w:rPr>
          <w:rFonts w:eastAsia="Georgia"/>
        </w:rPr>
        <w:t xml:space="preserve">these </w:t>
      </w:r>
      <w:r w:rsidRPr="00225950">
        <w:rPr>
          <w:rFonts w:eastAsia="Georgia"/>
        </w:rPr>
        <w:t>code</w:t>
      </w:r>
      <w:r>
        <w:rPr>
          <w:rFonts w:eastAsia="Georgia"/>
        </w:rPr>
        <w:t>s</w:t>
      </w:r>
      <w:r w:rsidRPr="00225950">
        <w:rPr>
          <w:rFonts w:eastAsia="Georgia"/>
        </w:rPr>
        <w:t>, consumers have the r</w:t>
      </w:r>
      <w:r w:rsidR="00FF4FCE">
        <w:rPr>
          <w:rFonts w:eastAsia="Georgia"/>
        </w:rPr>
        <w:t>ight to exit their contract</w:t>
      </w:r>
      <w:r w:rsidRPr="00225950">
        <w:rPr>
          <w:rFonts w:eastAsia="Georgia"/>
        </w:rPr>
        <w:t xml:space="preserve"> if the delivered speed falls below the contracted </w:t>
      </w:r>
      <w:r w:rsidR="00210E12">
        <w:rPr>
          <w:rFonts w:eastAsia="Georgia"/>
        </w:rPr>
        <w:t xml:space="preserve">speed over </w:t>
      </w:r>
      <w:r w:rsidRPr="00225950">
        <w:rPr>
          <w:rFonts w:eastAsia="Georgia"/>
        </w:rPr>
        <w:t xml:space="preserve">a sustained period. This consumer protection within the code applies </w:t>
      </w:r>
      <w:r>
        <w:rPr>
          <w:rFonts w:eastAsia="Georgia"/>
        </w:rPr>
        <w:t>to</w:t>
      </w:r>
      <w:r w:rsidRPr="00225950">
        <w:rPr>
          <w:rFonts w:eastAsia="Georgia"/>
        </w:rPr>
        <w:t xml:space="preserve"> all customers regardless of their broadband technology</w:t>
      </w:r>
      <w:r>
        <w:rPr>
          <w:rFonts w:eastAsia="Georgia"/>
        </w:rPr>
        <w:t>.</w:t>
      </w:r>
      <w:r w:rsidRPr="00225950">
        <w:rPr>
          <w:rStyle w:val="FootnoteReference"/>
          <w:rFonts w:eastAsia="Georgia"/>
        </w:rPr>
        <w:footnoteReference w:id="98"/>
      </w:r>
    </w:p>
    <w:p w14:paraId="33B252FB" w14:textId="2171B700" w:rsidR="007D33E0" w:rsidRPr="00225950" w:rsidRDefault="007D33E0" w:rsidP="007D33E0">
      <w:pPr>
        <w:pStyle w:val="PwCNormal"/>
        <w:rPr>
          <w:rFonts w:eastAsia="Georgia"/>
        </w:rPr>
      </w:pPr>
      <w:r w:rsidRPr="00225950">
        <w:rPr>
          <w:rFonts w:eastAsia="Georgia"/>
        </w:rPr>
        <w:t>In addition to these codes</w:t>
      </w:r>
      <w:r w:rsidR="00884855">
        <w:rPr>
          <w:rFonts w:eastAsia="Georgia"/>
        </w:rPr>
        <w:t>,</w:t>
      </w:r>
      <w:r w:rsidRPr="00225950">
        <w:rPr>
          <w:rFonts w:eastAsia="Georgia"/>
        </w:rPr>
        <w:t xml:space="preserve"> Ofcom </w:t>
      </w:r>
      <w:r w:rsidR="007B4E70">
        <w:rPr>
          <w:rFonts w:eastAsia="Georgia"/>
        </w:rPr>
        <w:t xml:space="preserve">requires </w:t>
      </w:r>
      <w:r w:rsidR="00E36D61">
        <w:rPr>
          <w:rFonts w:eastAsia="Georgia"/>
        </w:rPr>
        <w:t xml:space="preserve">annual reporting by </w:t>
      </w:r>
      <w:r w:rsidR="007B4E70">
        <w:rPr>
          <w:rFonts w:eastAsia="Georgia"/>
        </w:rPr>
        <w:t>service prov</w:t>
      </w:r>
      <w:r w:rsidR="00E36D61">
        <w:rPr>
          <w:rFonts w:eastAsia="Georgia"/>
        </w:rPr>
        <w:t xml:space="preserve">iders </w:t>
      </w:r>
      <w:r w:rsidR="007B4E70">
        <w:rPr>
          <w:rFonts w:eastAsia="Georgia"/>
        </w:rPr>
        <w:t xml:space="preserve">against </w:t>
      </w:r>
      <w:r w:rsidRPr="00225950">
        <w:rPr>
          <w:rFonts w:eastAsia="Georgia"/>
        </w:rPr>
        <w:t>quality and performance</w:t>
      </w:r>
      <w:r w:rsidR="00E36D61">
        <w:rPr>
          <w:rFonts w:eastAsia="Georgia"/>
        </w:rPr>
        <w:t>, which Ofcom publicly releases</w:t>
      </w:r>
      <w:r w:rsidR="00D7555E">
        <w:rPr>
          <w:rFonts w:eastAsia="Georgia"/>
        </w:rPr>
        <w:t>.</w:t>
      </w:r>
      <w:r w:rsidRPr="00225950">
        <w:rPr>
          <w:rStyle w:val="FootnoteReference"/>
          <w:rFonts w:eastAsia="Georgia"/>
        </w:rPr>
        <w:footnoteReference w:id="99"/>
      </w:r>
    </w:p>
    <w:p w14:paraId="5B262F0A" w14:textId="664A793B" w:rsidR="007D33E0" w:rsidRPr="00225950" w:rsidRDefault="007D33E0" w:rsidP="007D33E0">
      <w:pPr>
        <w:pStyle w:val="PwCNormal"/>
        <w:rPr>
          <w:rFonts w:eastAsia="Georgia"/>
        </w:rPr>
      </w:pPr>
      <w:r w:rsidRPr="00225950">
        <w:rPr>
          <w:rFonts w:eastAsia="Georgia"/>
        </w:rPr>
        <w:t>Ofcom also provide</w:t>
      </w:r>
      <w:r>
        <w:rPr>
          <w:rFonts w:eastAsia="Georgia"/>
        </w:rPr>
        <w:t>s</w:t>
      </w:r>
      <w:r w:rsidRPr="00225950">
        <w:rPr>
          <w:rFonts w:eastAsia="Georgia"/>
        </w:rPr>
        <w:t xml:space="preserve"> an interactive tool that enables consumers to identify their speed of broadband and mobile availability from </w:t>
      </w:r>
      <w:r>
        <w:rPr>
          <w:rFonts w:eastAsia="Georgia"/>
        </w:rPr>
        <w:t>four</w:t>
      </w:r>
      <w:r w:rsidRPr="00225950">
        <w:rPr>
          <w:rFonts w:eastAsia="Georgia"/>
        </w:rPr>
        <w:t xml:space="preserve"> main service providers at different geographical locations, filtering for voice or data services, inside or outside use and with or without 4G coverage</w:t>
      </w:r>
      <w:r>
        <w:rPr>
          <w:rFonts w:eastAsia="Georgia"/>
        </w:rPr>
        <w:t>.</w:t>
      </w:r>
      <w:r w:rsidRPr="00225950">
        <w:rPr>
          <w:rStyle w:val="FootnoteReference"/>
          <w:rFonts w:eastAsia="Georgia"/>
        </w:rPr>
        <w:footnoteReference w:id="100"/>
      </w:r>
    </w:p>
    <w:p w14:paraId="2B881AF4" w14:textId="368AFD41" w:rsidR="00E80473" w:rsidRDefault="00C649E1" w:rsidP="009D1655">
      <w:pPr>
        <w:pStyle w:val="styleheading6"/>
      </w:pPr>
      <w:r w:rsidRPr="00C649E1">
        <w:t>New installation appointments met</w:t>
      </w:r>
    </w:p>
    <w:p w14:paraId="1F7ECDF2" w14:textId="7C3A37AF" w:rsidR="00E80473" w:rsidRPr="00E8340B" w:rsidRDefault="00C649E1" w:rsidP="00C649E1">
      <w:pPr>
        <w:pStyle w:val="PwCNormal"/>
        <w:rPr>
          <w:rFonts w:eastAsia="Georgia"/>
          <w:snapToGrid/>
        </w:rPr>
      </w:pPr>
      <w:r w:rsidRPr="00C649E1">
        <w:rPr>
          <w:rFonts w:eastAsia="Georgia"/>
          <w:snapToGrid/>
        </w:rPr>
        <w:t xml:space="preserve">New installation appointment </w:t>
      </w:r>
      <w:r w:rsidR="00AC4E79">
        <w:rPr>
          <w:rFonts w:eastAsia="Georgia"/>
          <w:snapToGrid/>
        </w:rPr>
        <w:t>keeping requirements</w:t>
      </w:r>
      <w:r w:rsidRPr="00C649E1">
        <w:rPr>
          <w:rFonts w:eastAsia="Georgia"/>
          <w:snapToGrid/>
        </w:rPr>
        <w:t xml:space="preserve"> </w:t>
      </w:r>
      <w:r w:rsidR="00E80473">
        <w:rPr>
          <w:rFonts w:eastAsia="Georgia"/>
          <w:snapToGrid/>
        </w:rPr>
        <w:t>for broadband services will be covered under the automatic compensation scheme</w:t>
      </w:r>
      <w:r w:rsidR="000748D8">
        <w:rPr>
          <w:rFonts w:eastAsia="Georgia"/>
          <w:snapToGrid/>
        </w:rPr>
        <w:t xml:space="preserve"> from 2019</w:t>
      </w:r>
      <w:r w:rsidR="00E80473">
        <w:rPr>
          <w:rFonts w:eastAsia="Georgia"/>
          <w:snapToGrid/>
        </w:rPr>
        <w:t xml:space="preserve">. As outlined above, </w:t>
      </w:r>
      <w:r w:rsidR="00E80473">
        <w:rPr>
          <w:rFonts w:eastAsia="Georgia"/>
        </w:rPr>
        <w:t>compensation will be available to the consumer where there is a delay in the commencement of a broadband service beyond the date committed to by the service provider.</w:t>
      </w:r>
    </w:p>
    <w:p w14:paraId="0D73DAAB" w14:textId="52A6CA94" w:rsidR="00E80473" w:rsidRPr="00B339AC" w:rsidRDefault="009D1655" w:rsidP="009D1655">
      <w:pPr>
        <w:pStyle w:val="Heading4"/>
        <w:numPr>
          <w:ilvl w:val="0"/>
          <w:numId w:val="0"/>
        </w:numPr>
        <w:ind w:left="851" w:hanging="851"/>
        <w:rPr>
          <w:snapToGrid/>
        </w:rPr>
      </w:pPr>
      <w:r>
        <w:rPr>
          <w:snapToGrid/>
        </w:rPr>
        <w:t>3.7.2</w:t>
      </w:r>
      <w:r>
        <w:rPr>
          <w:snapToGrid/>
        </w:rPr>
        <w:tab/>
      </w:r>
      <w:r w:rsidR="00E80473" w:rsidRPr="00B339AC">
        <w:rPr>
          <w:snapToGrid/>
        </w:rPr>
        <w:t>Outages and faults</w:t>
      </w:r>
    </w:p>
    <w:p w14:paraId="3519B08A" w14:textId="651CCF5E" w:rsidR="007D33E0" w:rsidRDefault="007D33E0" w:rsidP="007D33E0">
      <w:pPr>
        <w:pStyle w:val="PwCNormal"/>
        <w:rPr>
          <w:rFonts w:eastAsia="Georgia"/>
        </w:rPr>
      </w:pPr>
      <w:r w:rsidRPr="00225950">
        <w:rPr>
          <w:rFonts w:eastAsia="Georgia"/>
        </w:rPr>
        <w:t>There do not currently appear to be any minimum standards set out for telecommunication</w:t>
      </w:r>
      <w:r>
        <w:rPr>
          <w:rFonts w:eastAsia="Georgia"/>
        </w:rPr>
        <w:t>s</w:t>
      </w:r>
      <w:r w:rsidRPr="00225950">
        <w:rPr>
          <w:rFonts w:eastAsia="Georgia"/>
        </w:rPr>
        <w:t xml:space="preserve"> service providers in repairing outages and faults. However, Ofcom details the importance of quick resolutions should any service faults occur and acknowledge that often these issues can originate at home, therefore requiring effective customer service to resolve these problems. In </w:t>
      </w:r>
      <w:r>
        <w:rPr>
          <w:rFonts w:eastAsia="Georgia"/>
        </w:rPr>
        <w:t xml:space="preserve">its </w:t>
      </w:r>
      <w:r w:rsidRPr="00225950">
        <w:rPr>
          <w:rFonts w:eastAsia="Georgia"/>
        </w:rPr>
        <w:t>most recent annual report</w:t>
      </w:r>
      <w:r>
        <w:rPr>
          <w:rFonts w:eastAsia="Georgia"/>
        </w:rPr>
        <w:t>,</w:t>
      </w:r>
      <w:r w:rsidRPr="00225950">
        <w:rPr>
          <w:rFonts w:eastAsia="Georgia"/>
        </w:rPr>
        <w:t xml:space="preserve"> Ofcom </w:t>
      </w:r>
      <w:r>
        <w:rPr>
          <w:rFonts w:eastAsia="Georgia"/>
        </w:rPr>
        <w:t xml:space="preserve">did not </w:t>
      </w:r>
      <w:r w:rsidRPr="00225950">
        <w:rPr>
          <w:rFonts w:eastAsia="Georgia"/>
        </w:rPr>
        <w:t xml:space="preserve">provide information on the </w:t>
      </w:r>
      <w:r w:rsidRPr="00225950">
        <w:rPr>
          <w:rFonts w:eastAsia="Georgia"/>
        </w:rPr>
        <w:lastRenderedPageBreak/>
        <w:t>time taken for landline and broadband providers to repair faults</w:t>
      </w:r>
      <w:r>
        <w:rPr>
          <w:rFonts w:eastAsia="Georgia"/>
        </w:rPr>
        <w:t>,</w:t>
      </w:r>
      <w:r w:rsidRPr="00225950">
        <w:rPr>
          <w:rFonts w:eastAsia="Georgia"/>
        </w:rPr>
        <w:t xml:space="preserve"> however</w:t>
      </w:r>
      <w:r w:rsidR="00F9567D">
        <w:rPr>
          <w:rFonts w:eastAsia="Georgia"/>
        </w:rPr>
        <w:t xml:space="preserve"> it </w:t>
      </w:r>
      <w:r w:rsidRPr="00225950">
        <w:rPr>
          <w:rFonts w:eastAsia="Georgia"/>
        </w:rPr>
        <w:t>will start reporting on this in 2019.</w:t>
      </w:r>
      <w:r>
        <w:rPr>
          <w:rStyle w:val="FootnoteReference"/>
          <w:rFonts w:eastAsia="Georgia"/>
        </w:rPr>
        <w:footnoteReference w:id="101"/>
      </w:r>
    </w:p>
    <w:p w14:paraId="35967906" w14:textId="0EC413C5" w:rsidR="007D33E0" w:rsidRPr="00225950" w:rsidRDefault="007D33E0" w:rsidP="007D33E0">
      <w:pPr>
        <w:pStyle w:val="PwCNormal"/>
        <w:rPr>
          <w:rFonts w:eastAsia="Georgia"/>
        </w:rPr>
      </w:pPr>
      <w:r w:rsidRPr="00225950">
        <w:rPr>
          <w:rFonts w:eastAsia="Georgia"/>
        </w:rPr>
        <w:t>Whilst not provid</w:t>
      </w:r>
      <w:r w:rsidR="00F9567D">
        <w:rPr>
          <w:rFonts w:eastAsia="Georgia"/>
        </w:rPr>
        <w:t>ing</w:t>
      </w:r>
      <w:r w:rsidRPr="00225950">
        <w:rPr>
          <w:rFonts w:eastAsia="Georgia"/>
        </w:rPr>
        <w:t xml:space="preserve"> the actual time taken to repair faults, the report detailed the proportion of appointments missed by major service providers, Openreach and Virgin Media. Across landline, broadband and mobile providers</w:t>
      </w:r>
      <w:r>
        <w:rPr>
          <w:rFonts w:eastAsia="Georgia"/>
        </w:rPr>
        <w:t>,</w:t>
      </w:r>
      <w:r w:rsidRPr="00225950">
        <w:rPr>
          <w:rFonts w:eastAsia="Georgia"/>
        </w:rPr>
        <w:t xml:space="preserve"> Ofcom provide customer service metrics including the average call waiting time and customer satisfaction with service provider complaint</w:t>
      </w:r>
      <w:r w:rsidR="00FF4FCE">
        <w:rPr>
          <w:rFonts w:eastAsia="Georgia"/>
        </w:rPr>
        <w:t>s</w:t>
      </w:r>
      <w:r w:rsidRPr="00225950">
        <w:rPr>
          <w:rFonts w:eastAsia="Georgia"/>
        </w:rPr>
        <w:t xml:space="preserve"> handling</w:t>
      </w:r>
      <w:r>
        <w:rPr>
          <w:rFonts w:eastAsia="Georgia"/>
        </w:rPr>
        <w:t>.</w:t>
      </w:r>
      <w:r w:rsidRPr="00225950">
        <w:rPr>
          <w:rStyle w:val="FootnoteReference"/>
          <w:rFonts w:eastAsia="Georgia"/>
        </w:rPr>
        <w:footnoteReference w:id="102"/>
      </w:r>
    </w:p>
    <w:p w14:paraId="07BC1BDA" w14:textId="6B1EAB66" w:rsidR="007D33E0" w:rsidRDefault="007D33E0" w:rsidP="007D33E0">
      <w:pPr>
        <w:pStyle w:val="PwCNormal"/>
        <w:rPr>
          <w:rFonts w:eastAsia="Georgia"/>
        </w:rPr>
      </w:pPr>
      <w:r>
        <w:rPr>
          <w:rFonts w:eastAsia="Georgia"/>
        </w:rPr>
        <w:t xml:space="preserve">In the statement released by Ofcom relating to </w:t>
      </w:r>
      <w:r w:rsidR="00210E12">
        <w:rPr>
          <w:rFonts w:eastAsia="Georgia"/>
        </w:rPr>
        <w:t>the 2019</w:t>
      </w:r>
      <w:r>
        <w:rPr>
          <w:rFonts w:eastAsia="Georgia"/>
        </w:rPr>
        <w:t xml:space="preserve"> automatic compensation scheme, </w:t>
      </w:r>
      <w:r w:rsidR="00AC4E79">
        <w:rPr>
          <w:rFonts w:eastAsia="Georgia"/>
        </w:rPr>
        <w:t xml:space="preserve">Ofcom announced that </w:t>
      </w:r>
      <w:r>
        <w:rPr>
          <w:rFonts w:eastAsia="Georgia"/>
        </w:rPr>
        <w:t>any repair that is not fully fixed within two full working days will incur automatic compensation. It also sets out compensation in relation to missed appointments.</w:t>
      </w:r>
      <w:r>
        <w:rPr>
          <w:rStyle w:val="FootnoteReference"/>
          <w:rFonts w:eastAsia="Georgia"/>
        </w:rPr>
        <w:footnoteReference w:id="103"/>
      </w:r>
    </w:p>
    <w:p w14:paraId="5C381100" w14:textId="048DB495" w:rsidR="00E80473" w:rsidRDefault="009D1655" w:rsidP="009D1655">
      <w:pPr>
        <w:pStyle w:val="Heading4"/>
        <w:numPr>
          <w:ilvl w:val="0"/>
          <w:numId w:val="0"/>
        </w:numPr>
        <w:ind w:left="851" w:hanging="851"/>
        <w:rPr>
          <w:snapToGrid/>
        </w:rPr>
      </w:pPr>
      <w:r>
        <w:rPr>
          <w:snapToGrid/>
        </w:rPr>
        <w:t>3.7.3</w:t>
      </w:r>
      <w:r>
        <w:rPr>
          <w:snapToGrid/>
        </w:rPr>
        <w:tab/>
      </w:r>
      <w:r w:rsidR="00E80473" w:rsidRPr="00B339AC">
        <w:rPr>
          <w:snapToGrid/>
        </w:rPr>
        <w:t>Penalties for non-compliance</w:t>
      </w:r>
    </w:p>
    <w:p w14:paraId="6DF11081" w14:textId="2B3402E2" w:rsidR="00E80473" w:rsidRDefault="00E80473" w:rsidP="00E80473">
      <w:pPr>
        <w:spacing w:before="120" w:after="120"/>
        <w:rPr>
          <w:rFonts w:eastAsia="Georgia" w:cs="Georgia"/>
        </w:rPr>
      </w:pPr>
      <w:r>
        <w:rPr>
          <w:rFonts w:eastAsia="Georgia" w:cs="Georgia"/>
        </w:rPr>
        <w:t xml:space="preserve">The </w:t>
      </w:r>
      <w:r w:rsidR="00210E12">
        <w:rPr>
          <w:rFonts w:eastAsia="Georgia" w:cs="Georgia"/>
        </w:rPr>
        <w:t xml:space="preserve">2019 </w:t>
      </w:r>
      <w:r>
        <w:rPr>
          <w:rFonts w:eastAsia="Georgia" w:cs="Georgia"/>
        </w:rPr>
        <w:t>automatic compensation scheme will provide compensation to consumers</w:t>
      </w:r>
      <w:r w:rsidRPr="00225950">
        <w:rPr>
          <w:rFonts w:eastAsia="Georgia" w:cs="Georgia"/>
        </w:rPr>
        <w:t xml:space="preserve"> in cases where there are delayed repairs, installations and missed appointments</w:t>
      </w:r>
      <w:r>
        <w:rPr>
          <w:rFonts w:eastAsia="Georgia" w:cs="Georgia"/>
        </w:rPr>
        <w:t xml:space="preserve">. The indicative levels of compensation will be in line with </w:t>
      </w:r>
      <w:r w:rsidR="00D75B15">
        <w:rPr>
          <w:rFonts w:eastAsia="Georgia" w:cs="Georgia"/>
        </w:rPr>
        <w:t>Table 16</w:t>
      </w:r>
      <w:r>
        <w:rPr>
          <w:rFonts w:eastAsia="Georgia" w:cs="Georgia"/>
        </w:rPr>
        <w:t>.</w:t>
      </w:r>
      <w:r w:rsidRPr="00225950">
        <w:rPr>
          <w:rStyle w:val="FootnoteReference"/>
          <w:rFonts w:eastAsia="Georgia"/>
        </w:rPr>
        <w:footnoteReference w:id="104"/>
      </w:r>
    </w:p>
    <w:p w14:paraId="575C3897" w14:textId="3AA68E60" w:rsidR="00AE12E7" w:rsidRDefault="00AE12E7" w:rsidP="00FF4FCE">
      <w:pPr>
        <w:pStyle w:val="Caption"/>
      </w:pPr>
      <w:r>
        <w:t xml:space="preserve">Table </w:t>
      </w:r>
      <w:r w:rsidR="000B0990">
        <w:rPr>
          <w:noProof/>
        </w:rPr>
        <w:fldChar w:fldCharType="begin"/>
      </w:r>
      <w:r w:rsidR="000B0990">
        <w:rPr>
          <w:noProof/>
        </w:rPr>
        <w:instrText xml:space="preserve"> SEQ Table \* ARABIC </w:instrText>
      </w:r>
      <w:r w:rsidR="000B0990">
        <w:rPr>
          <w:noProof/>
        </w:rPr>
        <w:fldChar w:fldCharType="separate"/>
      </w:r>
      <w:r>
        <w:rPr>
          <w:noProof/>
        </w:rPr>
        <w:t>16</w:t>
      </w:r>
      <w:r w:rsidR="000B0990">
        <w:rPr>
          <w:noProof/>
        </w:rPr>
        <w:fldChar w:fldCharType="end"/>
      </w:r>
      <w:r>
        <w:t xml:space="preserve">: </w:t>
      </w:r>
      <w:r w:rsidR="00FF4FCE">
        <w:t>P</w:t>
      </w:r>
      <w:r w:rsidRPr="00FA32BA">
        <w:t>roposed levels of consumer compens</w:t>
      </w:r>
      <w:r w:rsidR="00FF4FCE">
        <w:t xml:space="preserve">ation (to come into effect </w:t>
      </w:r>
      <w:r w:rsidRPr="00FA32BA">
        <w:t>from 2019</w:t>
      </w:r>
      <w:r w:rsidR="00FF4FCE">
        <w:t>)</w:t>
      </w:r>
      <w:r w:rsidR="00C8386C">
        <w:rPr>
          <w:rStyle w:val="FootnoteReference"/>
        </w:rPr>
        <w:footnoteReference w:id="105"/>
      </w:r>
    </w:p>
    <w:tbl>
      <w:tblPr>
        <w:tblStyle w:val="Tables-APBase"/>
        <w:tblW w:w="5000" w:type="pct"/>
        <w:tblLook w:val="06A0" w:firstRow="1" w:lastRow="0" w:firstColumn="1" w:lastColumn="0" w:noHBand="1" w:noVBand="1"/>
        <w:tblCaption w:val="Proposed levels of consumer compensation (to come into effect from 2019)"/>
        <w:tblDescription w:val="This table summaries the proposed levels of consumer compensation (to come into effect from 2019) for the UK.&#10;Delayed repair following loss of service: if their service has stopped working and it is not fully fixed after two full working days: £8 (~$AUD14) for each calendar day that the service is not repaired&#10;Missed appointments: if an engineer does not turn up for a scheduled appointment, or it is cancelled with less than 24 hours’ notice: £25 (~$AUD45) per missed appointment&#10;Delays with the start of a new service: if their provider promises to start a new service on a particular date, but fails to do so: £5 (~$AUD9) for each calendar day of delay, including the missed start date&#10;"/>
      </w:tblPr>
      <w:tblGrid>
        <w:gridCol w:w="2628"/>
        <w:gridCol w:w="3367"/>
        <w:gridCol w:w="2226"/>
      </w:tblGrid>
      <w:tr w:rsidR="00385998" w14:paraId="61C0BF57" w14:textId="77777777" w:rsidTr="00EE088E">
        <w:trPr>
          <w:cnfStyle w:val="100000000000" w:firstRow="1" w:lastRow="0" w:firstColumn="0" w:lastColumn="0" w:oddVBand="0" w:evenVBand="0" w:oddHBand="0" w:evenHBand="0" w:firstRowFirstColumn="0" w:firstRowLastColumn="0" w:lastRowFirstColumn="0" w:lastRowLastColumn="0"/>
          <w:cantSplit/>
          <w:trHeight w:val="454"/>
        </w:trPr>
        <w:tc>
          <w:tcPr>
            <w:cnfStyle w:val="000000000100" w:firstRow="0" w:lastRow="0" w:firstColumn="0" w:lastColumn="0" w:oddVBand="0" w:evenVBand="0" w:oddHBand="0" w:evenHBand="0" w:firstRowFirstColumn="1" w:firstRowLastColumn="0" w:lastRowFirstColumn="0" w:lastRowLastColumn="0"/>
            <w:tcW w:w="1598" w:type="pct"/>
          </w:tcPr>
          <w:p w14:paraId="5504BE86" w14:textId="7E77AEC6" w:rsidR="00385998" w:rsidRPr="00E774BF" w:rsidRDefault="00385998" w:rsidP="00FF4FCE">
            <w:pPr>
              <w:pStyle w:val="TableColumnHeadingNormal"/>
              <w:rPr>
                <w:rFonts w:eastAsia="Georgia"/>
              </w:rPr>
            </w:pPr>
            <w:r>
              <w:rPr>
                <w:rFonts w:eastAsia="Georgia"/>
              </w:rPr>
              <w:t>Problem</w:t>
            </w:r>
          </w:p>
        </w:tc>
        <w:tc>
          <w:tcPr>
            <w:tcW w:w="2048" w:type="pct"/>
          </w:tcPr>
          <w:p w14:paraId="320E0E12" w14:textId="31180E1E" w:rsidR="00385998" w:rsidRPr="00E774BF" w:rsidRDefault="00385998" w:rsidP="00FF4FCE">
            <w:pPr>
              <w:pStyle w:val="TableColumnHeadingNormal"/>
              <w:cnfStyle w:val="100000000000" w:firstRow="1" w:lastRow="0" w:firstColumn="0" w:lastColumn="0" w:oddVBand="0" w:evenVBand="0" w:oddHBand="0" w:evenHBand="0" w:firstRowFirstColumn="0" w:firstRowLastColumn="0" w:lastRowFirstColumn="0" w:lastRowLastColumn="0"/>
              <w:rPr>
                <w:rFonts w:eastAsia="Georgia"/>
              </w:rPr>
            </w:pPr>
            <w:r>
              <w:rPr>
                <w:rFonts w:eastAsia="Georgia"/>
              </w:rPr>
              <w:t>A landline or broadband customer would be entitled to compensation if…</w:t>
            </w:r>
          </w:p>
        </w:tc>
        <w:tc>
          <w:tcPr>
            <w:tcW w:w="1354" w:type="pct"/>
          </w:tcPr>
          <w:p w14:paraId="603E97E3" w14:textId="78F2FAF4" w:rsidR="00385998" w:rsidRPr="00E774BF" w:rsidRDefault="00385998" w:rsidP="00FF4FCE">
            <w:pPr>
              <w:pStyle w:val="TableColumnHeadingNormal"/>
              <w:cnfStyle w:val="100000000000" w:firstRow="1" w:lastRow="0" w:firstColumn="0" w:lastColumn="0" w:oddVBand="0" w:evenVBand="0" w:oddHBand="0" w:evenHBand="0" w:firstRowFirstColumn="0" w:firstRowLastColumn="0" w:lastRowFirstColumn="0" w:lastRowLastColumn="0"/>
              <w:rPr>
                <w:rFonts w:eastAsia="Georgia"/>
              </w:rPr>
            </w:pPr>
            <w:r>
              <w:rPr>
                <w:rFonts w:eastAsia="Georgia"/>
              </w:rPr>
              <w:t>Amount of compensation</w:t>
            </w:r>
          </w:p>
        </w:tc>
      </w:tr>
      <w:tr w:rsidR="00385998" w14:paraId="2E5C0FBC" w14:textId="77777777" w:rsidTr="00EE088E">
        <w:trPr>
          <w:cantSplit/>
          <w:trHeight w:val="454"/>
        </w:trPr>
        <w:tc>
          <w:tcPr>
            <w:tcW w:w="1598" w:type="pct"/>
          </w:tcPr>
          <w:p w14:paraId="3A79531C" w14:textId="1CFB6A61" w:rsidR="00385998" w:rsidRPr="007404FC" w:rsidRDefault="00385998" w:rsidP="00FF4FCE">
            <w:pPr>
              <w:pStyle w:val="TableTextNormal"/>
              <w:keepNext/>
              <w:keepLines/>
              <w:rPr>
                <w:rFonts w:eastAsia="Georgia"/>
                <w:b/>
              </w:rPr>
            </w:pPr>
            <w:r w:rsidRPr="007404FC">
              <w:rPr>
                <w:rFonts w:eastAsia="Georgia"/>
                <w:b/>
              </w:rPr>
              <w:t>Delayed repair following loss of service</w:t>
            </w:r>
          </w:p>
        </w:tc>
        <w:tc>
          <w:tcPr>
            <w:tcW w:w="2048" w:type="pct"/>
          </w:tcPr>
          <w:p w14:paraId="5D98EDE7" w14:textId="1C0C95DF" w:rsidR="00385998" w:rsidRPr="00D54457" w:rsidRDefault="00385998" w:rsidP="00FF4FCE">
            <w:pPr>
              <w:pStyle w:val="TableTextNormal"/>
              <w:keepNext/>
              <w:keepLines/>
              <w:rPr>
                <w:rFonts w:eastAsia="Georgia"/>
              </w:rPr>
            </w:pPr>
            <w:r>
              <w:rPr>
                <w:rFonts w:eastAsia="Georgia"/>
              </w:rPr>
              <w:t>Their service has stopped working and it is not fully fixed after two full working days</w:t>
            </w:r>
          </w:p>
        </w:tc>
        <w:tc>
          <w:tcPr>
            <w:tcW w:w="1354" w:type="pct"/>
          </w:tcPr>
          <w:p w14:paraId="4EEB9E18" w14:textId="6D36CA53" w:rsidR="00385998" w:rsidRPr="00E774BF" w:rsidRDefault="001C3E6F" w:rsidP="00FF4FCE">
            <w:pPr>
              <w:pStyle w:val="TableTextNormal"/>
              <w:keepNext/>
              <w:keepLines/>
              <w:rPr>
                <w:rFonts w:eastAsia="Georgia"/>
              </w:rPr>
            </w:pPr>
            <w:r>
              <w:rPr>
                <w:rFonts w:eastAsia="Georgia"/>
              </w:rPr>
              <w:t>£</w:t>
            </w:r>
            <w:r w:rsidR="00DB0DD9">
              <w:rPr>
                <w:rFonts w:eastAsia="Georgia"/>
              </w:rPr>
              <w:t>8</w:t>
            </w:r>
            <w:r w:rsidR="00680CB0">
              <w:rPr>
                <w:rFonts w:eastAsia="Georgia"/>
              </w:rPr>
              <w:t xml:space="preserve"> (~$AUD14)</w:t>
            </w:r>
            <w:r w:rsidR="00DD7896">
              <w:rPr>
                <w:rFonts w:eastAsia="Georgia"/>
              </w:rPr>
              <w:t xml:space="preserve"> </w:t>
            </w:r>
            <w:r w:rsidR="00385998">
              <w:rPr>
                <w:rFonts w:eastAsia="Georgia"/>
              </w:rPr>
              <w:t>for each calendar day that the service is not repaired</w:t>
            </w:r>
          </w:p>
        </w:tc>
      </w:tr>
      <w:tr w:rsidR="00385998" w14:paraId="3895197D" w14:textId="77777777" w:rsidTr="00EE088E">
        <w:trPr>
          <w:cantSplit/>
          <w:trHeight w:val="454"/>
        </w:trPr>
        <w:tc>
          <w:tcPr>
            <w:tcW w:w="1598" w:type="pct"/>
          </w:tcPr>
          <w:p w14:paraId="590910E8" w14:textId="2FB9C33D" w:rsidR="00385998" w:rsidRPr="007404FC" w:rsidRDefault="00385998" w:rsidP="00FF4FCE">
            <w:pPr>
              <w:pStyle w:val="TableTextNormal"/>
              <w:keepNext/>
              <w:keepLines/>
              <w:rPr>
                <w:rFonts w:eastAsia="Georgia"/>
                <w:b/>
              </w:rPr>
            </w:pPr>
            <w:r w:rsidRPr="007404FC">
              <w:rPr>
                <w:rFonts w:eastAsia="Georgia"/>
                <w:b/>
              </w:rPr>
              <w:t>Missed appointments</w:t>
            </w:r>
          </w:p>
        </w:tc>
        <w:tc>
          <w:tcPr>
            <w:tcW w:w="2048" w:type="pct"/>
          </w:tcPr>
          <w:p w14:paraId="4BDA8B6B" w14:textId="4D6DD49D" w:rsidR="00385998" w:rsidRPr="00D54457" w:rsidRDefault="00385998" w:rsidP="00FF4FCE">
            <w:pPr>
              <w:pStyle w:val="TableTextNormal"/>
              <w:keepNext/>
              <w:keepLines/>
              <w:rPr>
                <w:rFonts w:eastAsia="Georgia"/>
              </w:rPr>
            </w:pPr>
            <w:r>
              <w:rPr>
                <w:rFonts w:eastAsia="Georgia"/>
              </w:rPr>
              <w:t>An engineer does not turn up for a scheduled appointment, or it is cancelled with less than 24 hours’ notice.</w:t>
            </w:r>
          </w:p>
        </w:tc>
        <w:tc>
          <w:tcPr>
            <w:tcW w:w="1354" w:type="pct"/>
          </w:tcPr>
          <w:p w14:paraId="1A235A5F" w14:textId="56B462D5" w:rsidR="00385998" w:rsidRPr="00E774BF" w:rsidRDefault="001C3E6F" w:rsidP="00FF4FCE">
            <w:pPr>
              <w:pStyle w:val="TableTextNormal"/>
              <w:keepNext/>
              <w:keepLines/>
              <w:rPr>
                <w:rFonts w:eastAsia="Georgia"/>
              </w:rPr>
            </w:pPr>
            <w:r>
              <w:rPr>
                <w:rFonts w:eastAsia="Georgia"/>
              </w:rPr>
              <w:t>£</w:t>
            </w:r>
            <w:r w:rsidR="00385998">
              <w:rPr>
                <w:rFonts w:eastAsia="Georgia"/>
              </w:rPr>
              <w:t xml:space="preserve">25 </w:t>
            </w:r>
            <w:r w:rsidR="00633B9B">
              <w:rPr>
                <w:rFonts w:eastAsia="Georgia"/>
              </w:rPr>
              <w:t>(~$AUD45)</w:t>
            </w:r>
            <w:r w:rsidR="00DD7896">
              <w:rPr>
                <w:rFonts w:eastAsia="Georgia"/>
              </w:rPr>
              <w:t xml:space="preserve"> </w:t>
            </w:r>
            <w:r w:rsidR="00385998">
              <w:rPr>
                <w:rFonts w:eastAsia="Georgia"/>
              </w:rPr>
              <w:t>per missed appointment</w:t>
            </w:r>
          </w:p>
        </w:tc>
      </w:tr>
      <w:tr w:rsidR="00385998" w14:paraId="28D527A2" w14:textId="77777777" w:rsidTr="00EE088E">
        <w:trPr>
          <w:cantSplit/>
          <w:trHeight w:val="454"/>
        </w:trPr>
        <w:tc>
          <w:tcPr>
            <w:tcW w:w="1598" w:type="pct"/>
          </w:tcPr>
          <w:p w14:paraId="1CD4637C" w14:textId="5A177243" w:rsidR="00385998" w:rsidRPr="007404FC" w:rsidRDefault="00385998" w:rsidP="00FF4FCE">
            <w:pPr>
              <w:pStyle w:val="TableTextNormal"/>
              <w:keepNext/>
              <w:keepLines/>
              <w:rPr>
                <w:rFonts w:eastAsia="Georgia"/>
                <w:b/>
              </w:rPr>
            </w:pPr>
            <w:r w:rsidRPr="007404FC">
              <w:rPr>
                <w:rFonts w:eastAsia="Georgia"/>
                <w:b/>
              </w:rPr>
              <w:lastRenderedPageBreak/>
              <w:t>Delays with the start of a new service</w:t>
            </w:r>
          </w:p>
        </w:tc>
        <w:tc>
          <w:tcPr>
            <w:tcW w:w="2048" w:type="pct"/>
          </w:tcPr>
          <w:p w14:paraId="1AF94AC4" w14:textId="368F57B4" w:rsidR="00385998" w:rsidRPr="00D54457" w:rsidRDefault="00385998" w:rsidP="00FF4FCE">
            <w:pPr>
              <w:pStyle w:val="TableTextNormal"/>
              <w:keepNext/>
              <w:keepLines/>
              <w:rPr>
                <w:rFonts w:eastAsia="Georgia"/>
              </w:rPr>
            </w:pPr>
            <w:r>
              <w:rPr>
                <w:rFonts w:eastAsia="Georgia"/>
              </w:rPr>
              <w:t>Their provider promises to start a new service on a particular date, but fails to do so.</w:t>
            </w:r>
          </w:p>
        </w:tc>
        <w:tc>
          <w:tcPr>
            <w:tcW w:w="1354" w:type="pct"/>
          </w:tcPr>
          <w:p w14:paraId="68B5F5F3" w14:textId="679376E3" w:rsidR="00385998" w:rsidRPr="00E774BF" w:rsidRDefault="001C3E6F" w:rsidP="00FF4FCE">
            <w:pPr>
              <w:pStyle w:val="TableTextNormal"/>
              <w:keepNext/>
              <w:keepLines/>
              <w:rPr>
                <w:rFonts w:eastAsia="Georgia"/>
              </w:rPr>
            </w:pPr>
            <w:r>
              <w:rPr>
                <w:rFonts w:eastAsia="Georgia"/>
              </w:rPr>
              <w:t>£</w:t>
            </w:r>
            <w:r w:rsidR="00385998">
              <w:rPr>
                <w:rFonts w:eastAsia="Georgia"/>
              </w:rPr>
              <w:t>5</w:t>
            </w:r>
            <w:r w:rsidR="00633B9B">
              <w:rPr>
                <w:rFonts w:eastAsia="Georgia"/>
              </w:rPr>
              <w:t xml:space="preserve"> (~$AUD9)</w:t>
            </w:r>
            <w:r w:rsidR="00385998">
              <w:rPr>
                <w:rFonts w:eastAsia="Georgia"/>
              </w:rPr>
              <w:t xml:space="preserve"> for each calendar day of delay, including the missed start date</w:t>
            </w:r>
          </w:p>
        </w:tc>
      </w:tr>
    </w:tbl>
    <w:p w14:paraId="4D1AB39A" w14:textId="77777777" w:rsidR="00EE088E" w:rsidRDefault="00E80473" w:rsidP="00867F7B">
      <w:pPr>
        <w:spacing w:before="240" w:after="120"/>
        <w:rPr>
          <w:rFonts w:eastAsia="Georgia" w:cs="Georgia"/>
        </w:rPr>
      </w:pPr>
      <w:r w:rsidRPr="00225950">
        <w:rPr>
          <w:rFonts w:eastAsia="Georgia" w:cs="Georgia"/>
        </w:rPr>
        <w:t xml:space="preserve">Ofcom </w:t>
      </w:r>
      <w:r>
        <w:rPr>
          <w:rFonts w:eastAsia="Georgia" w:cs="Georgia"/>
        </w:rPr>
        <w:t>publicly releases data on</w:t>
      </w:r>
      <w:r w:rsidRPr="00225950">
        <w:rPr>
          <w:rFonts w:eastAsia="Georgia" w:cs="Georgia"/>
        </w:rPr>
        <w:t xml:space="preserve"> the performance of providers in </w:t>
      </w:r>
      <w:r>
        <w:rPr>
          <w:rFonts w:eastAsia="Georgia" w:cs="Georgia"/>
        </w:rPr>
        <w:t>its</w:t>
      </w:r>
      <w:r w:rsidRPr="00225950">
        <w:rPr>
          <w:rFonts w:eastAsia="Georgia" w:cs="Georgia"/>
        </w:rPr>
        <w:t xml:space="preserve"> annual service quality report. This serves as a means to ‘name and shame’ poor performance</w:t>
      </w:r>
      <w:r w:rsidR="00F61956">
        <w:rPr>
          <w:rFonts w:eastAsia="Georgia" w:cs="Georgia"/>
        </w:rPr>
        <w:t xml:space="preserve">, complementing the ability of consumers </w:t>
      </w:r>
      <w:r w:rsidRPr="00225950">
        <w:rPr>
          <w:rFonts w:eastAsia="Georgia" w:cs="Georgia"/>
        </w:rPr>
        <w:t>to exit contracts w</w:t>
      </w:r>
      <w:r w:rsidR="00EE088E">
        <w:rPr>
          <w:rFonts w:eastAsia="Georgia" w:cs="Georgia"/>
        </w:rPr>
        <w:t xml:space="preserve">ithout penalty if downloads </w:t>
      </w:r>
      <w:r w:rsidR="00AE12E7" w:rsidRPr="00225950">
        <w:rPr>
          <w:rFonts w:eastAsia="Georgia" w:cs="Georgia"/>
        </w:rPr>
        <w:t>re</w:t>
      </w:r>
      <w:r w:rsidR="00EE088E">
        <w:rPr>
          <w:rFonts w:eastAsia="Georgia" w:cs="Georgia"/>
        </w:rPr>
        <w:t>main</w:t>
      </w:r>
      <w:r w:rsidR="00AE12E7" w:rsidRPr="00225950">
        <w:rPr>
          <w:rFonts w:eastAsia="Georgia" w:cs="Georgia"/>
        </w:rPr>
        <w:t xml:space="preserve"> below a minimum guaranteed speed</w:t>
      </w:r>
      <w:r w:rsidR="00AE12E7">
        <w:rPr>
          <w:rFonts w:eastAsia="Georgia" w:cs="Georgia"/>
        </w:rPr>
        <w:t xml:space="preserve">. </w:t>
      </w:r>
      <w:r>
        <w:rPr>
          <w:rFonts w:eastAsia="Georgia" w:cs="Georgia"/>
        </w:rPr>
        <w:t>Th</w:t>
      </w:r>
      <w:r w:rsidR="000748D8">
        <w:rPr>
          <w:rFonts w:eastAsia="Georgia" w:cs="Georgia"/>
        </w:rPr>
        <w:t>is</w:t>
      </w:r>
      <w:r>
        <w:rPr>
          <w:rFonts w:eastAsia="Georgia" w:cs="Georgia"/>
        </w:rPr>
        <w:t xml:space="preserve"> </w:t>
      </w:r>
      <w:r w:rsidR="000748D8">
        <w:rPr>
          <w:rFonts w:eastAsia="Georgia" w:cs="Georgia"/>
        </w:rPr>
        <w:t xml:space="preserve">serves to </w:t>
      </w:r>
      <w:r>
        <w:rPr>
          <w:rFonts w:eastAsia="Georgia" w:cs="Georgia"/>
        </w:rPr>
        <w:t xml:space="preserve">reward those </w:t>
      </w:r>
      <w:r w:rsidR="001C3E6F">
        <w:rPr>
          <w:rFonts w:eastAsia="Georgia" w:cs="Georgia"/>
        </w:rPr>
        <w:t xml:space="preserve">providers </w:t>
      </w:r>
      <w:r>
        <w:rPr>
          <w:rFonts w:eastAsia="Georgia" w:cs="Georgia"/>
        </w:rPr>
        <w:t>who are reliable and perform well</w:t>
      </w:r>
      <w:r w:rsidRPr="00225950">
        <w:rPr>
          <w:rFonts w:eastAsia="Georgia" w:cs="Georgia"/>
        </w:rPr>
        <w:t>.</w:t>
      </w:r>
    </w:p>
    <w:p w14:paraId="66D70E34" w14:textId="38B9DB31" w:rsidR="00E80473" w:rsidRDefault="00E80473" w:rsidP="00563649">
      <w:pPr>
        <w:spacing w:before="120" w:after="120"/>
        <w:rPr>
          <w:rFonts w:eastAsia="Georgia"/>
        </w:rPr>
      </w:pPr>
      <w:r>
        <w:rPr>
          <w:rFonts w:eastAsia="Georgia"/>
        </w:rPr>
        <w:br w:type="page"/>
      </w:r>
    </w:p>
    <w:p w14:paraId="5F5527F6" w14:textId="4DDE788C" w:rsidR="00612D4D" w:rsidRPr="00225950" w:rsidRDefault="009D1655" w:rsidP="009D1655">
      <w:pPr>
        <w:pStyle w:val="Heading3"/>
        <w:numPr>
          <w:ilvl w:val="0"/>
          <w:numId w:val="0"/>
        </w:numPr>
        <w:ind w:left="851" w:hanging="851"/>
      </w:pPr>
      <w:bookmarkStart w:id="49" w:name="_Toc518337353"/>
      <w:bookmarkStart w:id="50" w:name="_Toc525650420"/>
      <w:r>
        <w:lastRenderedPageBreak/>
        <w:t>3.8</w:t>
      </w:r>
      <w:r>
        <w:tab/>
      </w:r>
      <w:r w:rsidR="00612D4D" w:rsidRPr="00225950">
        <w:t>United States of America</w:t>
      </w:r>
      <w:r w:rsidR="00884855">
        <w:t xml:space="preserve"> (USA)</w:t>
      </w:r>
      <w:bookmarkEnd w:id="49"/>
      <w:bookmarkEnd w:id="50"/>
    </w:p>
    <w:p w14:paraId="641C10B6" w14:textId="49A8FD63" w:rsidR="004E21CD" w:rsidRDefault="004E21CD" w:rsidP="00D233C0">
      <w:pPr>
        <w:spacing w:before="120" w:after="120"/>
        <w:rPr>
          <w:rFonts w:eastAsia="Georgia"/>
        </w:rPr>
      </w:pPr>
      <w:r>
        <w:rPr>
          <w:rFonts w:eastAsia="Georgia"/>
        </w:rPr>
        <w:t>In the USA, service reliability, as a component of service quality, is a combined responsibility of the federal government and ea</w:t>
      </w:r>
      <w:r w:rsidR="00DB0DD9">
        <w:rPr>
          <w:rFonts w:eastAsia="Georgia"/>
        </w:rPr>
        <w:t>ch individual state government.</w:t>
      </w:r>
    </w:p>
    <w:p w14:paraId="048F6DF6" w14:textId="65E5BDE9" w:rsidR="00D233C0" w:rsidRDefault="00E80473" w:rsidP="00D233C0">
      <w:pPr>
        <w:spacing w:before="120" w:after="120"/>
        <w:rPr>
          <w:rFonts w:eastAsia="Georgia"/>
        </w:rPr>
      </w:pPr>
      <w:r w:rsidRPr="00225950">
        <w:rPr>
          <w:rFonts w:eastAsia="Georgia"/>
        </w:rPr>
        <w:t xml:space="preserve">The Federal Communications Commission </w:t>
      </w:r>
      <w:r w:rsidR="00233CF7">
        <w:rPr>
          <w:rFonts w:eastAsia="Georgia"/>
        </w:rPr>
        <w:t xml:space="preserve">(FCC) </w:t>
      </w:r>
      <w:r w:rsidRPr="00225950">
        <w:rPr>
          <w:rFonts w:eastAsia="Georgia"/>
        </w:rPr>
        <w:t xml:space="preserve">is responsible for </w:t>
      </w:r>
      <w:r w:rsidR="004E21CD">
        <w:rPr>
          <w:rFonts w:eastAsia="Georgia"/>
        </w:rPr>
        <w:t>overall regulation</w:t>
      </w:r>
      <w:r w:rsidRPr="00225950">
        <w:rPr>
          <w:rFonts w:eastAsia="Georgia"/>
        </w:rPr>
        <w:t xml:space="preserve"> </w:t>
      </w:r>
      <w:r w:rsidR="004E21CD">
        <w:rPr>
          <w:rFonts w:eastAsia="Georgia"/>
        </w:rPr>
        <w:t xml:space="preserve">of </w:t>
      </w:r>
      <w:r w:rsidRPr="00225950">
        <w:rPr>
          <w:rFonts w:eastAsia="Georgia"/>
        </w:rPr>
        <w:t>interstate and inte</w:t>
      </w:r>
      <w:r w:rsidR="004E21CD">
        <w:rPr>
          <w:rFonts w:eastAsia="Georgia"/>
        </w:rPr>
        <w:t xml:space="preserve">rnational telecommunications across the </w:t>
      </w:r>
      <w:r w:rsidRPr="00225950">
        <w:rPr>
          <w:rFonts w:eastAsia="Georgia"/>
        </w:rPr>
        <w:t>50 states,</w:t>
      </w:r>
      <w:r w:rsidR="00BD153D">
        <w:rPr>
          <w:rFonts w:eastAsia="Georgia"/>
        </w:rPr>
        <w:t xml:space="preserve"> the District of Columbia and U</w:t>
      </w:r>
      <w:r w:rsidRPr="00225950">
        <w:rPr>
          <w:rFonts w:eastAsia="Georgia"/>
        </w:rPr>
        <w:t>S</w:t>
      </w:r>
      <w:r w:rsidR="00E36D61">
        <w:rPr>
          <w:rFonts w:eastAsia="Georgia"/>
        </w:rPr>
        <w:t>A</w:t>
      </w:r>
      <w:r w:rsidRPr="00225950">
        <w:rPr>
          <w:rFonts w:eastAsia="Georgia"/>
        </w:rPr>
        <w:t xml:space="preserve"> territories. </w:t>
      </w:r>
      <w:r w:rsidR="00D233C0">
        <w:rPr>
          <w:rFonts w:eastAsia="Georgia"/>
        </w:rPr>
        <w:t xml:space="preserve">The FCC </w:t>
      </w:r>
      <w:r w:rsidR="00D233C0" w:rsidRPr="00225950">
        <w:rPr>
          <w:rFonts w:eastAsia="Georgia"/>
        </w:rPr>
        <w:t>provid</w:t>
      </w:r>
      <w:r w:rsidR="00D233C0">
        <w:rPr>
          <w:rFonts w:eastAsia="Georgia"/>
        </w:rPr>
        <w:t>es</w:t>
      </w:r>
      <w:r w:rsidR="004E21CD">
        <w:rPr>
          <w:rFonts w:eastAsia="Georgia"/>
        </w:rPr>
        <w:t xml:space="preserve"> a set of best practices that providers are </w:t>
      </w:r>
      <w:r w:rsidR="00D233C0" w:rsidRPr="00225950">
        <w:rPr>
          <w:rFonts w:eastAsia="Georgia"/>
        </w:rPr>
        <w:t>encourage</w:t>
      </w:r>
      <w:r w:rsidR="004E21CD">
        <w:rPr>
          <w:rFonts w:eastAsia="Georgia"/>
        </w:rPr>
        <w:t xml:space="preserve">d </w:t>
      </w:r>
      <w:r w:rsidR="00D233C0" w:rsidRPr="00225950">
        <w:rPr>
          <w:rFonts w:eastAsia="Georgia"/>
        </w:rPr>
        <w:t>to follow</w:t>
      </w:r>
      <w:r w:rsidR="000748D8">
        <w:rPr>
          <w:rFonts w:eastAsia="Georgia"/>
        </w:rPr>
        <w:t xml:space="preserve">, with </w:t>
      </w:r>
      <w:r w:rsidR="00D233C0" w:rsidRPr="00225950">
        <w:rPr>
          <w:rFonts w:eastAsia="Georgia"/>
        </w:rPr>
        <w:t>over 1,000 listed</w:t>
      </w:r>
      <w:r w:rsidR="00D233C0">
        <w:rPr>
          <w:rFonts w:eastAsia="Georgia"/>
        </w:rPr>
        <w:t xml:space="preserve">, </w:t>
      </w:r>
      <w:r w:rsidR="00D233C0" w:rsidRPr="00225950">
        <w:rPr>
          <w:rFonts w:eastAsia="Georgia"/>
        </w:rPr>
        <w:t>relevant to a number of services</w:t>
      </w:r>
      <w:r w:rsidR="00D233C0">
        <w:rPr>
          <w:rFonts w:eastAsia="Georgia"/>
        </w:rPr>
        <w:t>.</w:t>
      </w:r>
      <w:r w:rsidR="00D233C0" w:rsidRPr="00225950">
        <w:rPr>
          <w:rStyle w:val="FootnoteReference"/>
          <w:rFonts w:eastAsia="Georgia"/>
        </w:rPr>
        <w:footnoteReference w:id="106"/>
      </w:r>
      <w:r w:rsidR="00D233C0">
        <w:rPr>
          <w:rFonts w:eastAsia="Georgia"/>
        </w:rPr>
        <w:t xml:space="preserve"> </w:t>
      </w:r>
      <w:r w:rsidRPr="00225950">
        <w:rPr>
          <w:rFonts w:eastAsia="Georgia"/>
        </w:rPr>
        <w:t xml:space="preserve">The Commission is advised by a </w:t>
      </w:r>
      <w:r w:rsidR="004E21CD">
        <w:rPr>
          <w:rFonts w:eastAsia="Georgia"/>
        </w:rPr>
        <w:t>series of</w:t>
      </w:r>
      <w:r w:rsidRPr="00225950">
        <w:rPr>
          <w:rFonts w:eastAsia="Georgia"/>
        </w:rPr>
        <w:t xml:space="preserve"> advisory committees</w:t>
      </w:r>
      <w:r w:rsidR="004E21CD">
        <w:rPr>
          <w:rFonts w:eastAsia="Georgia"/>
        </w:rPr>
        <w:t>,</w:t>
      </w:r>
      <w:r w:rsidRPr="00225950">
        <w:rPr>
          <w:rFonts w:eastAsia="Georgia"/>
        </w:rPr>
        <w:t xml:space="preserve"> with the primary committee relating to the reliability of telecommunication</w:t>
      </w:r>
      <w:r w:rsidR="007B50FC">
        <w:rPr>
          <w:rFonts w:eastAsia="Georgia"/>
        </w:rPr>
        <w:t>s</w:t>
      </w:r>
      <w:r w:rsidRPr="00225950">
        <w:rPr>
          <w:rFonts w:eastAsia="Georgia"/>
        </w:rPr>
        <w:t xml:space="preserve"> services being the Communications, Security, Reliabilit</w:t>
      </w:r>
      <w:r w:rsidR="00DB0DD9">
        <w:rPr>
          <w:rFonts w:eastAsia="Georgia"/>
        </w:rPr>
        <w:t>y and Interoperability Council.</w:t>
      </w:r>
    </w:p>
    <w:p w14:paraId="533D1CFE" w14:textId="4F902576" w:rsidR="00D233C0" w:rsidRPr="00F405F6" w:rsidRDefault="00E80473" w:rsidP="00F405F6">
      <w:pPr>
        <w:spacing w:before="120" w:after="120"/>
        <w:rPr>
          <w:rFonts w:eastAsia="Georgia"/>
        </w:rPr>
      </w:pPr>
      <w:r w:rsidRPr="00225950">
        <w:rPr>
          <w:rFonts w:eastAsia="Georgia"/>
        </w:rPr>
        <w:t>Intrastate telecommunications</w:t>
      </w:r>
      <w:r w:rsidR="004E21CD">
        <w:rPr>
          <w:rFonts w:eastAsia="Georgia"/>
        </w:rPr>
        <w:t>, on the other hand,</w:t>
      </w:r>
      <w:r w:rsidRPr="00225950">
        <w:rPr>
          <w:rFonts w:eastAsia="Georgia"/>
        </w:rPr>
        <w:t xml:space="preserve"> </w:t>
      </w:r>
      <w:r w:rsidR="00D233C0">
        <w:rPr>
          <w:rFonts w:eastAsia="Georgia"/>
        </w:rPr>
        <w:t>are</w:t>
      </w:r>
      <w:r w:rsidRPr="00225950">
        <w:rPr>
          <w:rFonts w:eastAsia="Georgia"/>
        </w:rPr>
        <w:t xml:space="preserve"> regulated b</w:t>
      </w:r>
      <w:r w:rsidR="004E21CD">
        <w:rPr>
          <w:rFonts w:eastAsia="Georgia"/>
        </w:rPr>
        <w:t>y different bodies within each s</w:t>
      </w:r>
      <w:r w:rsidRPr="00225950">
        <w:rPr>
          <w:rFonts w:eastAsia="Georgia"/>
        </w:rPr>
        <w:t>tate</w:t>
      </w:r>
      <w:r w:rsidR="00D233C0">
        <w:rPr>
          <w:rFonts w:eastAsia="Georgia"/>
        </w:rPr>
        <w:t>, such as the Public Utility Commission in Texas</w:t>
      </w:r>
      <w:r>
        <w:rPr>
          <w:rFonts w:eastAsia="Georgia"/>
        </w:rPr>
        <w:t>.</w:t>
      </w:r>
      <w:r w:rsidRPr="00225950">
        <w:rPr>
          <w:rStyle w:val="FootnoteReference"/>
          <w:rFonts w:eastAsia="Georgia"/>
        </w:rPr>
        <w:footnoteReference w:id="107"/>
      </w:r>
      <w:r w:rsidR="00D233C0">
        <w:rPr>
          <w:rFonts w:eastAsia="Georgia"/>
        </w:rPr>
        <w:t xml:space="preserve"> Under the </w:t>
      </w:r>
      <w:r w:rsidR="00D233C0" w:rsidRPr="004F39BB">
        <w:rPr>
          <w:rFonts w:eastAsia="Georgia"/>
          <w:i/>
        </w:rPr>
        <w:t>Tele</w:t>
      </w:r>
      <w:r w:rsidR="002F0392">
        <w:rPr>
          <w:rFonts w:eastAsia="Georgia"/>
          <w:i/>
        </w:rPr>
        <w:t>communications </w:t>
      </w:r>
      <w:r w:rsidR="00D233C0" w:rsidRPr="004F39BB">
        <w:rPr>
          <w:rFonts w:eastAsia="Georgia"/>
          <w:i/>
        </w:rPr>
        <w:t>Act</w:t>
      </w:r>
      <w:r w:rsidR="002F0392">
        <w:rPr>
          <w:rFonts w:eastAsia="Georgia"/>
        </w:rPr>
        <w:t> </w:t>
      </w:r>
      <w:r w:rsidR="002F0392" w:rsidRPr="002F0392">
        <w:rPr>
          <w:rFonts w:eastAsia="Georgia"/>
          <w:i/>
        </w:rPr>
        <w:t>1996</w:t>
      </w:r>
      <w:r w:rsidR="00D233C0">
        <w:rPr>
          <w:rFonts w:eastAsia="Georgia"/>
        </w:rPr>
        <w:t>, service quality standards fall under intrastate regulation, and are therefore the purv</w:t>
      </w:r>
      <w:r w:rsidR="004E21CD">
        <w:rPr>
          <w:rFonts w:eastAsia="Georgia"/>
        </w:rPr>
        <w:t>iew of individual states. Each s</w:t>
      </w:r>
      <w:r w:rsidR="00D233C0">
        <w:rPr>
          <w:rFonts w:eastAsia="Georgia"/>
        </w:rPr>
        <w:t>tate appears to implemen</w:t>
      </w:r>
      <w:r w:rsidR="004E21CD">
        <w:rPr>
          <w:rFonts w:eastAsia="Georgia"/>
        </w:rPr>
        <w:t>t mechanisms differently. Some s</w:t>
      </w:r>
      <w:r w:rsidR="00FF4FCE">
        <w:rPr>
          <w:rFonts w:eastAsia="Georgia"/>
        </w:rPr>
        <w:t>tates</w:t>
      </w:r>
      <w:r w:rsidR="00D233C0">
        <w:rPr>
          <w:rFonts w:eastAsia="Georgia"/>
        </w:rPr>
        <w:t xml:space="preserve"> apply particular instruments to individual service providers, often in response to issues with the quality of th</w:t>
      </w:r>
      <w:r w:rsidR="004E21CD">
        <w:rPr>
          <w:rFonts w:eastAsia="Georgia"/>
        </w:rPr>
        <w:t>eir service; for instance, the s</w:t>
      </w:r>
      <w:r w:rsidR="00D233C0">
        <w:rPr>
          <w:rFonts w:eastAsia="Georgia"/>
        </w:rPr>
        <w:t>tate of New York established a service quality incentive plan with Verizon, one of the main service providers, due to low levels of service quality.</w:t>
      </w:r>
      <w:r w:rsidR="00BD153D">
        <w:rPr>
          <w:rStyle w:val="FootnoteReference"/>
          <w:rFonts w:eastAsia="Georgia"/>
        </w:rPr>
        <w:footnoteReference w:id="108"/>
      </w:r>
      <w:r w:rsidR="004E21CD">
        <w:rPr>
          <w:rFonts w:eastAsia="Georgia"/>
        </w:rPr>
        <w:t xml:space="preserve"> Other s</w:t>
      </w:r>
      <w:r w:rsidR="00D233C0">
        <w:rPr>
          <w:rFonts w:eastAsia="Georgia"/>
        </w:rPr>
        <w:t xml:space="preserve">tates, like California, </w:t>
      </w:r>
      <w:r w:rsidR="004853A7">
        <w:rPr>
          <w:rFonts w:eastAsia="Georgia"/>
        </w:rPr>
        <w:t xml:space="preserve">require </w:t>
      </w:r>
      <w:r w:rsidR="00D233C0">
        <w:rPr>
          <w:rFonts w:eastAsia="Georgia"/>
        </w:rPr>
        <w:t>all service providers to</w:t>
      </w:r>
      <w:r w:rsidR="004853A7">
        <w:rPr>
          <w:rFonts w:eastAsia="Georgia"/>
        </w:rPr>
        <w:t xml:space="preserve"> be part of</w:t>
      </w:r>
      <w:r w:rsidR="00D233C0">
        <w:rPr>
          <w:rFonts w:eastAsia="Georgia"/>
        </w:rPr>
        <w:t xml:space="preserve"> public reporting aga</w:t>
      </w:r>
      <w:r w:rsidR="00DB0DD9">
        <w:rPr>
          <w:rFonts w:eastAsia="Georgia"/>
        </w:rPr>
        <w:t>inst service quality standards.</w:t>
      </w:r>
    </w:p>
    <w:p w14:paraId="10ED710B" w14:textId="0E2B8EB9" w:rsidR="00E80473" w:rsidRDefault="009D1655" w:rsidP="009D1655">
      <w:pPr>
        <w:pStyle w:val="Heading4"/>
        <w:numPr>
          <w:ilvl w:val="0"/>
          <w:numId w:val="0"/>
        </w:numPr>
        <w:ind w:left="851" w:hanging="851"/>
        <w:rPr>
          <w:snapToGrid/>
        </w:rPr>
      </w:pPr>
      <w:r>
        <w:rPr>
          <w:snapToGrid/>
        </w:rPr>
        <w:t>3.8.1</w:t>
      </w:r>
      <w:r>
        <w:rPr>
          <w:snapToGrid/>
        </w:rPr>
        <w:tab/>
      </w:r>
      <w:r w:rsidR="00E80473" w:rsidRPr="00B339AC">
        <w:rPr>
          <w:snapToGrid/>
        </w:rPr>
        <w:t>Connection</w:t>
      </w:r>
    </w:p>
    <w:p w14:paraId="229B3176" w14:textId="1BBCBAC2" w:rsidR="00E80473" w:rsidRPr="00225950" w:rsidRDefault="00E80473" w:rsidP="00F405F6">
      <w:pPr>
        <w:pStyle w:val="ListBullet"/>
        <w:numPr>
          <w:ilvl w:val="0"/>
          <w:numId w:val="0"/>
        </w:numPr>
        <w:rPr>
          <w:rFonts w:eastAsia="Georgia"/>
        </w:rPr>
      </w:pPr>
      <w:r w:rsidRPr="00225950">
        <w:rPr>
          <w:rFonts w:eastAsia="Georgia"/>
        </w:rPr>
        <w:t>The F</w:t>
      </w:r>
      <w:r w:rsidR="00233CF7">
        <w:rPr>
          <w:rFonts w:eastAsia="Georgia"/>
        </w:rPr>
        <w:t>CC</w:t>
      </w:r>
      <w:r w:rsidR="00E50B8B">
        <w:rPr>
          <w:rFonts w:eastAsia="Georgia"/>
        </w:rPr>
        <w:t xml:space="preserve"> </w:t>
      </w:r>
      <w:r w:rsidRPr="00225950">
        <w:rPr>
          <w:rFonts w:eastAsia="Georgia"/>
        </w:rPr>
        <w:t>provide</w:t>
      </w:r>
      <w:r>
        <w:rPr>
          <w:rFonts w:eastAsia="Georgia"/>
        </w:rPr>
        <w:t>s</w:t>
      </w:r>
      <w:r w:rsidRPr="00225950">
        <w:rPr>
          <w:rFonts w:eastAsia="Georgia"/>
        </w:rPr>
        <w:t xml:space="preserve"> a number of best practices relating to the quality and performance of telecommunication</w:t>
      </w:r>
      <w:r w:rsidR="007B50FC">
        <w:rPr>
          <w:rFonts w:eastAsia="Georgia"/>
        </w:rPr>
        <w:t>s service provide</w:t>
      </w:r>
      <w:r w:rsidR="00F3573A">
        <w:rPr>
          <w:rFonts w:eastAsia="Georgia"/>
        </w:rPr>
        <w:t>r</w:t>
      </w:r>
      <w:r w:rsidR="007B50FC">
        <w:rPr>
          <w:rFonts w:eastAsia="Georgia"/>
        </w:rPr>
        <w:t>s</w:t>
      </w:r>
      <w:r w:rsidR="00D233C0">
        <w:rPr>
          <w:rFonts w:eastAsia="Georgia"/>
        </w:rPr>
        <w:t>. But c</w:t>
      </w:r>
      <w:r w:rsidR="004E0C83">
        <w:rPr>
          <w:rFonts w:eastAsia="Georgia"/>
        </w:rPr>
        <w:t xml:space="preserve">onsistent with </w:t>
      </w:r>
      <w:r w:rsidR="00D233C0">
        <w:rPr>
          <w:rFonts w:eastAsia="Georgia"/>
        </w:rPr>
        <w:t>legislation</w:t>
      </w:r>
      <w:r w:rsidR="004E21CD">
        <w:rPr>
          <w:rFonts w:eastAsia="Georgia"/>
        </w:rPr>
        <w:t>, s</w:t>
      </w:r>
      <w:r w:rsidR="004E0C83">
        <w:rPr>
          <w:rFonts w:eastAsia="Georgia"/>
        </w:rPr>
        <w:t xml:space="preserve">tates are responsible for establishing specific </w:t>
      </w:r>
      <w:r w:rsidR="00D233C0">
        <w:rPr>
          <w:rFonts w:eastAsia="Georgia"/>
        </w:rPr>
        <w:t>standards or requirements; these could</w:t>
      </w:r>
      <w:r w:rsidR="004E21CD">
        <w:rPr>
          <w:rFonts w:eastAsia="Georgia"/>
        </w:rPr>
        <w:t xml:space="preserve"> not</w:t>
      </w:r>
      <w:r w:rsidR="004E0C83">
        <w:rPr>
          <w:rFonts w:eastAsia="Georgia"/>
        </w:rPr>
        <w:t xml:space="preserve"> </w:t>
      </w:r>
      <w:r w:rsidR="00D601B4">
        <w:rPr>
          <w:rFonts w:eastAsia="Georgia"/>
        </w:rPr>
        <w:t>reasonably</w:t>
      </w:r>
      <w:r w:rsidR="00D233C0">
        <w:rPr>
          <w:rFonts w:eastAsia="Georgia"/>
        </w:rPr>
        <w:t xml:space="preserve"> be</w:t>
      </w:r>
      <w:r w:rsidR="004E0C83">
        <w:rPr>
          <w:rFonts w:eastAsia="Georgia"/>
        </w:rPr>
        <w:t xml:space="preserve"> identified </w:t>
      </w:r>
      <w:r w:rsidR="004E21CD">
        <w:rPr>
          <w:rFonts w:eastAsia="Georgia"/>
        </w:rPr>
        <w:t>for all s</w:t>
      </w:r>
      <w:r w:rsidR="00D233C0">
        <w:rPr>
          <w:rFonts w:eastAsia="Georgia"/>
        </w:rPr>
        <w:t xml:space="preserve">tates </w:t>
      </w:r>
      <w:r w:rsidR="004E0C83">
        <w:rPr>
          <w:rFonts w:eastAsia="Georgia"/>
        </w:rPr>
        <w:t>through a desktop review of publicly available information</w:t>
      </w:r>
      <w:r w:rsidR="00BD153D">
        <w:rPr>
          <w:rFonts w:eastAsia="Georgia"/>
        </w:rPr>
        <w:t>.</w:t>
      </w:r>
      <w:r w:rsidR="004E0C83">
        <w:rPr>
          <w:rStyle w:val="FootnoteReference"/>
          <w:rFonts w:eastAsia="Georgia"/>
        </w:rPr>
        <w:footnoteReference w:id="109"/>
      </w:r>
    </w:p>
    <w:p w14:paraId="1FB99A5C" w14:textId="1A482F9B" w:rsidR="007D33E0" w:rsidRPr="000E1A16" w:rsidRDefault="007D33E0" w:rsidP="007D33E0">
      <w:pPr>
        <w:spacing w:before="120" w:after="120"/>
        <w:rPr>
          <w:rFonts w:eastAsia="Georgia"/>
        </w:rPr>
      </w:pPr>
      <w:r w:rsidRPr="00225950">
        <w:rPr>
          <w:rFonts w:eastAsia="Georgia"/>
        </w:rPr>
        <w:t>Within the F</w:t>
      </w:r>
      <w:r w:rsidR="00233CF7">
        <w:rPr>
          <w:rFonts w:eastAsia="Georgia"/>
        </w:rPr>
        <w:t>CC</w:t>
      </w:r>
      <w:r w:rsidRPr="00225950">
        <w:rPr>
          <w:rFonts w:eastAsia="Georgia"/>
        </w:rPr>
        <w:t>’s customer service standards</w:t>
      </w:r>
      <w:r>
        <w:rPr>
          <w:rFonts w:eastAsia="Georgia"/>
        </w:rPr>
        <w:t>,</w:t>
      </w:r>
      <w:r w:rsidRPr="00225950">
        <w:rPr>
          <w:rFonts w:eastAsia="Georgia"/>
        </w:rPr>
        <w:t xml:space="preserve"> there are </w:t>
      </w:r>
      <w:r>
        <w:rPr>
          <w:rFonts w:eastAsia="Georgia"/>
        </w:rPr>
        <w:t xml:space="preserve">also </w:t>
      </w:r>
      <w:r w:rsidRPr="00225950">
        <w:rPr>
          <w:rFonts w:eastAsia="Georgia"/>
        </w:rPr>
        <w:t xml:space="preserve">minimum standards relating to the installation of cable systems. The standards state that installations which are located up to 125 feet (~38m) from existing distribution systems must be performed within seven days </w:t>
      </w:r>
      <w:r w:rsidR="004853A7">
        <w:rPr>
          <w:rFonts w:eastAsia="Georgia"/>
        </w:rPr>
        <w:t>of</w:t>
      </w:r>
      <w:r w:rsidRPr="00225950">
        <w:rPr>
          <w:rFonts w:eastAsia="Georgia"/>
        </w:rPr>
        <w:t xml:space="preserve"> the order be</w:t>
      </w:r>
      <w:r w:rsidR="004853A7">
        <w:rPr>
          <w:rFonts w:eastAsia="Georgia"/>
        </w:rPr>
        <w:t>ing</w:t>
      </w:r>
      <w:r w:rsidRPr="00225950">
        <w:rPr>
          <w:rFonts w:eastAsia="Georgia"/>
        </w:rPr>
        <w:t xml:space="preserve"> </w:t>
      </w:r>
      <w:r w:rsidRPr="00225950">
        <w:rPr>
          <w:rFonts w:eastAsia="Georgia"/>
        </w:rPr>
        <w:lastRenderedPageBreak/>
        <w:t>placed. These standards must be met at least 95 per cent of the time under normal operating conditions</w:t>
      </w:r>
      <w:r>
        <w:rPr>
          <w:rFonts w:eastAsia="Georgia"/>
        </w:rPr>
        <w:t>.</w:t>
      </w:r>
      <w:r w:rsidRPr="00225950">
        <w:rPr>
          <w:rStyle w:val="FootnoteReference"/>
          <w:rFonts w:eastAsia="Georgia"/>
        </w:rPr>
        <w:footnoteReference w:id="110"/>
      </w:r>
    </w:p>
    <w:p w14:paraId="731D92B0" w14:textId="5A5EA3CF" w:rsidR="00E80473" w:rsidRDefault="00C649E1" w:rsidP="00325598">
      <w:pPr>
        <w:pStyle w:val="styeheading5"/>
        <w:rPr>
          <w:rFonts w:eastAsia="Georgia"/>
          <w:snapToGrid/>
        </w:rPr>
      </w:pPr>
      <w:r>
        <w:rPr>
          <w:rFonts w:eastAsia="Georgia"/>
          <w:snapToGrid/>
        </w:rPr>
        <w:t>Data connections</w:t>
      </w:r>
    </w:p>
    <w:p w14:paraId="50915B61" w14:textId="47B2269D" w:rsidR="00E80473" w:rsidRPr="00225950" w:rsidRDefault="004E0C83" w:rsidP="00193BF6">
      <w:pPr>
        <w:keepLines/>
        <w:spacing w:before="120" w:after="120"/>
        <w:rPr>
          <w:rFonts w:eastAsia="Georgia"/>
        </w:rPr>
      </w:pPr>
      <w:r>
        <w:rPr>
          <w:rFonts w:eastAsia="Georgia"/>
        </w:rPr>
        <w:t>The FCC also</w:t>
      </w:r>
      <w:r w:rsidR="00E80473" w:rsidRPr="00225950">
        <w:rPr>
          <w:rFonts w:eastAsia="Georgia"/>
        </w:rPr>
        <w:t xml:space="preserve"> provide</w:t>
      </w:r>
      <w:r>
        <w:rPr>
          <w:rFonts w:eastAsia="Georgia"/>
        </w:rPr>
        <w:t>s</w:t>
      </w:r>
      <w:r w:rsidR="00E80473" w:rsidRPr="00225950">
        <w:rPr>
          <w:rFonts w:eastAsia="Georgia"/>
        </w:rPr>
        <w:t xml:space="preserve"> an annual report into the performance of fixed broadband providers across a number of different technologies. The report provides both the maximum advertised speed and median speed</w:t>
      </w:r>
      <w:r w:rsidR="001C3E6F">
        <w:rPr>
          <w:rFonts w:eastAsia="Georgia"/>
        </w:rPr>
        <w:t xml:space="preserve"> delivered</w:t>
      </w:r>
      <w:r w:rsidR="00E80473" w:rsidRPr="00225950">
        <w:rPr>
          <w:rFonts w:eastAsia="Georgia"/>
        </w:rPr>
        <w:t>, the time taken for one data pack</w:t>
      </w:r>
      <w:r w:rsidR="00E80473">
        <w:rPr>
          <w:rFonts w:eastAsia="Georgia"/>
        </w:rPr>
        <w:t>et</w:t>
      </w:r>
      <w:r w:rsidR="00E80473" w:rsidRPr="00225950">
        <w:rPr>
          <w:rFonts w:eastAsia="Georgia"/>
        </w:rPr>
        <w:t xml:space="preserve"> to travel from one point to another in a network (known as latency), and a range of other technical </w:t>
      </w:r>
      <w:r w:rsidR="00E80473" w:rsidRPr="004E21CD">
        <w:rPr>
          <w:rFonts w:eastAsia="Georgia"/>
        </w:rPr>
        <w:t>safeguards</w:t>
      </w:r>
      <w:r w:rsidR="00E80473" w:rsidRPr="00225950">
        <w:rPr>
          <w:rFonts w:eastAsia="Georgia"/>
        </w:rPr>
        <w:t xml:space="preserve"> of performance</w:t>
      </w:r>
      <w:r w:rsidR="00E80473">
        <w:rPr>
          <w:rFonts w:eastAsia="Georgia"/>
        </w:rPr>
        <w:t>.</w:t>
      </w:r>
      <w:r w:rsidR="00E80473" w:rsidRPr="00563649">
        <w:rPr>
          <w:rFonts w:eastAsia="Georgia"/>
          <w:vertAlign w:val="superscript"/>
        </w:rPr>
        <w:footnoteReference w:id="111"/>
      </w:r>
      <w:r w:rsidR="00E80473" w:rsidRPr="00225950">
        <w:rPr>
          <w:rFonts w:eastAsia="Georgia"/>
        </w:rPr>
        <w:t xml:space="preserve"> A public report of this nature </w:t>
      </w:r>
      <w:r w:rsidR="001C3E6F">
        <w:rPr>
          <w:rFonts w:eastAsia="Georgia"/>
        </w:rPr>
        <w:t>supports</w:t>
      </w:r>
      <w:r w:rsidR="001C3E6F" w:rsidRPr="00225950">
        <w:rPr>
          <w:rFonts w:eastAsia="Georgia"/>
        </w:rPr>
        <w:t xml:space="preserve"> </w:t>
      </w:r>
      <w:r w:rsidR="00E80473" w:rsidRPr="00225950">
        <w:rPr>
          <w:rFonts w:eastAsia="Georgia"/>
        </w:rPr>
        <w:t xml:space="preserve">consumer choice </w:t>
      </w:r>
      <w:r w:rsidR="00D601B4">
        <w:rPr>
          <w:rFonts w:eastAsia="Georgia"/>
        </w:rPr>
        <w:t xml:space="preserve">by making transparent </w:t>
      </w:r>
      <w:r w:rsidR="00E80473" w:rsidRPr="00225950">
        <w:rPr>
          <w:rFonts w:eastAsia="Georgia"/>
        </w:rPr>
        <w:t>the performance of different service providers and therefore brings about accountability.</w:t>
      </w:r>
    </w:p>
    <w:p w14:paraId="39858E28" w14:textId="1B384FA5" w:rsidR="00E80473" w:rsidRDefault="009D1655" w:rsidP="009D1655">
      <w:pPr>
        <w:pStyle w:val="Heading4"/>
        <w:numPr>
          <w:ilvl w:val="0"/>
          <w:numId w:val="0"/>
        </w:numPr>
        <w:ind w:left="851" w:hanging="851"/>
        <w:rPr>
          <w:snapToGrid/>
        </w:rPr>
      </w:pPr>
      <w:r>
        <w:rPr>
          <w:snapToGrid/>
        </w:rPr>
        <w:t>3.8.2</w:t>
      </w:r>
      <w:r>
        <w:rPr>
          <w:snapToGrid/>
        </w:rPr>
        <w:tab/>
      </w:r>
      <w:r w:rsidR="00E80473" w:rsidRPr="00B339AC">
        <w:rPr>
          <w:snapToGrid/>
        </w:rPr>
        <w:t>Outages and faults</w:t>
      </w:r>
    </w:p>
    <w:p w14:paraId="53AB6E6F" w14:textId="5E857329" w:rsidR="00E80473" w:rsidRPr="00225950" w:rsidRDefault="00E80473" w:rsidP="00E80473">
      <w:pPr>
        <w:spacing w:before="120" w:after="120"/>
        <w:rPr>
          <w:rFonts w:eastAsia="Georgia"/>
        </w:rPr>
      </w:pPr>
      <w:r w:rsidRPr="00225950">
        <w:rPr>
          <w:rFonts w:eastAsia="Georgia"/>
        </w:rPr>
        <w:t>The F</w:t>
      </w:r>
      <w:r w:rsidR="00233CF7">
        <w:rPr>
          <w:rFonts w:eastAsia="Georgia"/>
        </w:rPr>
        <w:t>CC</w:t>
      </w:r>
      <w:r w:rsidRPr="00225950">
        <w:rPr>
          <w:rFonts w:eastAsia="Georgia"/>
        </w:rPr>
        <w:t xml:space="preserve"> provides a set of customer service standards to </w:t>
      </w:r>
      <w:r w:rsidR="004853A7">
        <w:rPr>
          <w:rFonts w:eastAsia="Georgia"/>
        </w:rPr>
        <w:t>ensure</w:t>
      </w:r>
      <w:r w:rsidRPr="00225950">
        <w:rPr>
          <w:rFonts w:eastAsia="Georgia"/>
        </w:rPr>
        <w:t xml:space="preserve"> the quality of customer service </w:t>
      </w:r>
      <w:r w:rsidR="004E0C83">
        <w:rPr>
          <w:rFonts w:eastAsia="Georgia"/>
        </w:rPr>
        <w:t>by</w:t>
      </w:r>
      <w:r w:rsidRPr="00225950">
        <w:rPr>
          <w:rFonts w:eastAsia="Georgia"/>
        </w:rPr>
        <w:t xml:space="preserve"> cable operators. This standard states that the cable operator must be</w:t>
      </w:r>
      <w:r>
        <w:rPr>
          <w:rFonts w:eastAsia="Georgia"/>
        </w:rPr>
        <w:t>gin</w:t>
      </w:r>
      <w:r w:rsidRPr="00225950">
        <w:rPr>
          <w:rFonts w:eastAsia="Georgia"/>
        </w:rPr>
        <w:t xml:space="preserve"> working on a service interruption no later than 24 hours after being notified of the problem. The standards state that metrics relating to outages must be met at least 95 per cent of the time</w:t>
      </w:r>
      <w:r>
        <w:rPr>
          <w:rFonts w:eastAsia="Georgia"/>
        </w:rPr>
        <w:t>.</w:t>
      </w:r>
      <w:r w:rsidRPr="00225950">
        <w:rPr>
          <w:rStyle w:val="FootnoteReference"/>
          <w:rFonts w:eastAsia="Georgia"/>
        </w:rPr>
        <w:footnoteReference w:id="112"/>
      </w:r>
      <w:r w:rsidRPr="00225950">
        <w:rPr>
          <w:rFonts w:eastAsia="Georgia"/>
        </w:rPr>
        <w:t xml:space="preserve"> There do not appear to be any </w:t>
      </w:r>
      <w:r w:rsidR="00D601B4">
        <w:rPr>
          <w:rFonts w:eastAsia="Georgia"/>
        </w:rPr>
        <w:t xml:space="preserve">FCC </w:t>
      </w:r>
      <w:r w:rsidRPr="00225950">
        <w:rPr>
          <w:rFonts w:eastAsia="Georgia"/>
        </w:rPr>
        <w:t xml:space="preserve">standards associated with </w:t>
      </w:r>
      <w:r w:rsidR="00D601B4">
        <w:rPr>
          <w:rFonts w:eastAsia="Georgia"/>
        </w:rPr>
        <w:t xml:space="preserve">outages involving </w:t>
      </w:r>
      <w:r w:rsidRPr="00225950">
        <w:rPr>
          <w:rFonts w:eastAsia="Georgia"/>
        </w:rPr>
        <w:t>other forms of telecommunication</w:t>
      </w:r>
      <w:r w:rsidR="007B50FC">
        <w:rPr>
          <w:rFonts w:eastAsia="Georgia"/>
        </w:rPr>
        <w:t>s</w:t>
      </w:r>
      <w:r w:rsidRPr="00225950">
        <w:rPr>
          <w:rFonts w:eastAsia="Georgia"/>
        </w:rPr>
        <w:t>.</w:t>
      </w:r>
    </w:p>
    <w:p w14:paraId="1836FF8F" w14:textId="1A955E03" w:rsidR="00843A95" w:rsidRDefault="00E80473" w:rsidP="004E21CD">
      <w:pPr>
        <w:spacing w:before="120" w:after="120"/>
        <w:rPr>
          <w:rFonts w:eastAsia="Georgia"/>
        </w:rPr>
      </w:pPr>
      <w:r w:rsidRPr="00225950">
        <w:rPr>
          <w:rFonts w:eastAsia="Georgia"/>
        </w:rPr>
        <w:t>In addition</w:t>
      </w:r>
      <w:r>
        <w:rPr>
          <w:rFonts w:eastAsia="Georgia"/>
        </w:rPr>
        <w:t>,</w:t>
      </w:r>
      <w:r w:rsidRPr="00225950">
        <w:rPr>
          <w:rFonts w:eastAsia="Georgia"/>
        </w:rPr>
        <w:t xml:space="preserve"> the </w:t>
      </w:r>
      <w:r w:rsidR="00233CF7">
        <w:rPr>
          <w:rFonts w:eastAsia="Georgia"/>
        </w:rPr>
        <w:t>FCC</w:t>
      </w:r>
      <w:r w:rsidRPr="00225950">
        <w:rPr>
          <w:rFonts w:eastAsia="Georgia"/>
        </w:rPr>
        <w:t xml:space="preserve"> provides a </w:t>
      </w:r>
      <w:r w:rsidR="00843A95">
        <w:rPr>
          <w:rFonts w:eastAsia="Georgia"/>
        </w:rPr>
        <w:t>set of</w:t>
      </w:r>
      <w:r w:rsidRPr="00225950">
        <w:rPr>
          <w:rFonts w:eastAsia="Georgia"/>
        </w:rPr>
        <w:t xml:space="preserve"> best practices that they encourage providers to abide by. The majority of best practices relating to outages and faults </w:t>
      </w:r>
      <w:r w:rsidR="001C3E6F">
        <w:rPr>
          <w:rFonts w:eastAsia="Georgia"/>
        </w:rPr>
        <w:t>are intended to support continuity of</w:t>
      </w:r>
      <w:r w:rsidR="00FB13F7">
        <w:rPr>
          <w:rFonts w:eastAsia="Georgia"/>
        </w:rPr>
        <w:t xml:space="preserve"> critical services</w:t>
      </w:r>
      <w:r w:rsidRPr="00225950">
        <w:rPr>
          <w:rFonts w:eastAsia="Georgia"/>
        </w:rPr>
        <w:t>.</w:t>
      </w:r>
    </w:p>
    <w:p w14:paraId="07ECFD01" w14:textId="46A222CD" w:rsidR="00E50B8B" w:rsidRDefault="00843A95" w:rsidP="004E21CD">
      <w:pPr>
        <w:spacing w:before="120" w:after="120"/>
        <w:rPr>
          <w:rFonts w:eastAsia="Georgia"/>
        </w:rPr>
      </w:pPr>
      <w:r>
        <w:rPr>
          <w:rFonts w:eastAsia="Georgia"/>
        </w:rPr>
        <w:t>Again, any specific quality standards or requirements are es</w:t>
      </w:r>
      <w:r w:rsidR="00DB0DD9">
        <w:rPr>
          <w:rFonts w:eastAsia="Georgia"/>
        </w:rPr>
        <w:t>tablished by individual States.</w:t>
      </w:r>
    </w:p>
    <w:p w14:paraId="00A78160" w14:textId="19EB3A08" w:rsidR="00E80473" w:rsidRDefault="009D1655" w:rsidP="009D1655">
      <w:pPr>
        <w:pStyle w:val="Heading4"/>
        <w:numPr>
          <w:ilvl w:val="0"/>
          <w:numId w:val="0"/>
        </w:numPr>
        <w:ind w:left="851" w:hanging="851"/>
        <w:rPr>
          <w:snapToGrid/>
        </w:rPr>
      </w:pPr>
      <w:r>
        <w:rPr>
          <w:snapToGrid/>
        </w:rPr>
        <w:t>3.8.3</w:t>
      </w:r>
      <w:r>
        <w:rPr>
          <w:snapToGrid/>
        </w:rPr>
        <w:tab/>
      </w:r>
      <w:r w:rsidR="00E80473" w:rsidRPr="00B339AC">
        <w:rPr>
          <w:snapToGrid/>
        </w:rPr>
        <w:t>Penalties for non-compliance</w:t>
      </w:r>
    </w:p>
    <w:p w14:paraId="41E819F4" w14:textId="5A5F31F3" w:rsidR="00EE0839" w:rsidRPr="00225950" w:rsidRDefault="00E80473" w:rsidP="004E21CD">
      <w:pPr>
        <w:spacing w:before="120" w:after="120"/>
        <w:rPr>
          <w:rFonts w:eastAsia="Georgia"/>
        </w:rPr>
      </w:pPr>
      <w:r>
        <w:rPr>
          <w:rFonts w:eastAsia="Georgia"/>
        </w:rPr>
        <w:t>The F</w:t>
      </w:r>
      <w:r w:rsidR="00233CF7">
        <w:rPr>
          <w:rFonts w:eastAsia="Georgia"/>
        </w:rPr>
        <w:t>CC</w:t>
      </w:r>
      <w:r w:rsidR="00EE0839">
        <w:rPr>
          <w:rFonts w:eastAsia="Georgia"/>
        </w:rPr>
        <w:t xml:space="preserve"> </w:t>
      </w:r>
      <w:r w:rsidR="00884855">
        <w:rPr>
          <w:rFonts w:eastAsia="Georgia"/>
        </w:rPr>
        <w:t>has seven</w:t>
      </w:r>
      <w:r>
        <w:rPr>
          <w:rFonts w:eastAsia="Georgia"/>
        </w:rPr>
        <w:t xml:space="preserve"> bureaus that assist in delivering </w:t>
      </w:r>
      <w:r w:rsidR="00EE0839">
        <w:rPr>
          <w:rFonts w:eastAsia="Georgia"/>
        </w:rPr>
        <w:t>its</w:t>
      </w:r>
      <w:r>
        <w:rPr>
          <w:rFonts w:eastAsia="Georgia"/>
        </w:rPr>
        <w:t xml:space="preserve"> required </w:t>
      </w:r>
      <w:r w:rsidR="00EE0839">
        <w:rPr>
          <w:rFonts w:eastAsia="Georgia"/>
        </w:rPr>
        <w:t>functions</w:t>
      </w:r>
      <w:r>
        <w:rPr>
          <w:rFonts w:eastAsia="Georgia"/>
        </w:rPr>
        <w:t xml:space="preserve">. </w:t>
      </w:r>
      <w:r w:rsidR="00C93E58">
        <w:rPr>
          <w:rFonts w:eastAsia="Georgia"/>
        </w:rPr>
        <w:t xml:space="preserve">Under the </w:t>
      </w:r>
      <w:r w:rsidR="002F0392" w:rsidRPr="002F0392">
        <w:rPr>
          <w:rFonts w:eastAsia="Georgia"/>
          <w:i/>
        </w:rPr>
        <w:t>Telecommunications Act of 1996</w:t>
      </w:r>
      <w:r w:rsidR="002F0392" w:rsidRPr="002F0392">
        <w:rPr>
          <w:rFonts w:eastAsia="Georgia"/>
        </w:rPr>
        <w:t xml:space="preserve"> </w:t>
      </w:r>
      <w:r>
        <w:rPr>
          <w:rFonts w:eastAsia="Georgia"/>
        </w:rPr>
        <w:t>and F</w:t>
      </w:r>
      <w:r w:rsidR="00233CF7">
        <w:rPr>
          <w:rFonts w:eastAsia="Georgia"/>
        </w:rPr>
        <w:t>CC</w:t>
      </w:r>
      <w:r>
        <w:rPr>
          <w:rFonts w:eastAsia="Georgia"/>
        </w:rPr>
        <w:t xml:space="preserve"> rules, </w:t>
      </w:r>
      <w:r w:rsidR="00C93E58">
        <w:rPr>
          <w:rFonts w:eastAsia="Georgia"/>
        </w:rPr>
        <w:t xml:space="preserve">the Enforcement Bureau </w:t>
      </w:r>
      <w:r w:rsidR="00EE0839">
        <w:rPr>
          <w:rFonts w:eastAsia="Georgia"/>
        </w:rPr>
        <w:t>has broad responsibility for</w:t>
      </w:r>
      <w:r w:rsidR="00C93E58">
        <w:rPr>
          <w:rFonts w:eastAsia="Georgia"/>
        </w:rPr>
        <w:t xml:space="preserve"> enforcing sanctions and penalties</w:t>
      </w:r>
      <w:r w:rsidR="00EE0839">
        <w:rPr>
          <w:rFonts w:eastAsia="Georgia"/>
        </w:rPr>
        <w:t xml:space="preserve"> in the telecommunications industry</w:t>
      </w:r>
      <w:r w:rsidR="00BD153D">
        <w:rPr>
          <w:rFonts w:eastAsia="Georgia"/>
        </w:rPr>
        <w:t>.</w:t>
      </w:r>
      <w:r w:rsidR="00EE0839">
        <w:rPr>
          <w:rFonts w:eastAsia="Georgia"/>
        </w:rPr>
        <w:t xml:space="preserve"> </w:t>
      </w:r>
      <w:r w:rsidR="00EE0839" w:rsidRPr="00225950">
        <w:rPr>
          <w:rFonts w:eastAsia="Georgia"/>
        </w:rPr>
        <w:t>The F</w:t>
      </w:r>
      <w:r w:rsidR="00EE0839">
        <w:rPr>
          <w:rFonts w:eastAsia="Georgia"/>
        </w:rPr>
        <w:t xml:space="preserve">CC </w:t>
      </w:r>
      <w:r w:rsidR="00EE0839" w:rsidRPr="00225950">
        <w:rPr>
          <w:rFonts w:eastAsia="Georgia"/>
        </w:rPr>
        <w:t>provide</w:t>
      </w:r>
      <w:r w:rsidR="00EE0839">
        <w:rPr>
          <w:rFonts w:eastAsia="Georgia"/>
        </w:rPr>
        <w:t>s</w:t>
      </w:r>
      <w:r w:rsidR="00EE0839" w:rsidRPr="00225950">
        <w:rPr>
          <w:rFonts w:eastAsia="Georgia"/>
        </w:rPr>
        <w:t xml:space="preserve"> an annual report on the performance of fixed line provider</w:t>
      </w:r>
      <w:r w:rsidR="00EE0839">
        <w:rPr>
          <w:rFonts w:eastAsia="Georgia"/>
        </w:rPr>
        <w:t xml:space="preserve">s, which in effect identifies those providers not </w:t>
      </w:r>
      <w:r w:rsidR="00EE0839" w:rsidRPr="00225950">
        <w:rPr>
          <w:rFonts w:eastAsia="Georgia"/>
        </w:rPr>
        <w:t>operating at a high level.</w:t>
      </w:r>
    </w:p>
    <w:p w14:paraId="6F170384" w14:textId="63C9B818" w:rsidR="00EE0839" w:rsidRPr="00F405F6" w:rsidRDefault="00EE0839" w:rsidP="004E21CD">
      <w:pPr>
        <w:spacing w:before="120" w:after="120"/>
        <w:rPr>
          <w:rFonts w:eastAsia="Georgia"/>
        </w:rPr>
      </w:pPr>
      <w:r>
        <w:rPr>
          <w:rFonts w:eastAsia="Georgia"/>
        </w:rPr>
        <w:t>Under the Act,</w:t>
      </w:r>
      <w:r w:rsidRPr="00EE0839">
        <w:rPr>
          <w:rFonts w:eastAsia="Georgia"/>
        </w:rPr>
        <w:t xml:space="preserve"> individual States </w:t>
      </w:r>
      <w:r>
        <w:rPr>
          <w:rFonts w:eastAsia="Georgia"/>
        </w:rPr>
        <w:t xml:space="preserve">across the USA </w:t>
      </w:r>
      <w:r w:rsidRPr="00EE0839">
        <w:rPr>
          <w:rFonts w:eastAsia="Georgia"/>
        </w:rPr>
        <w:t xml:space="preserve">are responsible for </w:t>
      </w:r>
      <w:r w:rsidRPr="004E21CD">
        <w:rPr>
          <w:rFonts w:eastAsia="Georgia"/>
        </w:rPr>
        <w:t xml:space="preserve">enforcing telecommunications service quality standards or requirements. It may be the case that enforcement can be escalated to the FCC at a certain point, but this was not clear from publicly available </w:t>
      </w:r>
      <w:r w:rsidR="00DB0DD9">
        <w:rPr>
          <w:rFonts w:eastAsia="Georgia"/>
        </w:rPr>
        <w:t>information.</w:t>
      </w:r>
      <w:r w:rsidRPr="004E21CD">
        <w:rPr>
          <w:rFonts w:eastAsia="Georgia"/>
          <w:vertAlign w:val="superscript"/>
        </w:rPr>
        <w:footnoteReference w:id="113"/>
      </w:r>
    </w:p>
    <w:p w14:paraId="7AE3B9BB" w14:textId="2F2677D5" w:rsidR="00EE0839" w:rsidRPr="001A69B0" w:rsidRDefault="00EE0839">
      <w:pPr>
        <w:kinsoku/>
        <w:overflowPunct/>
        <w:autoSpaceDE/>
        <w:autoSpaceDN/>
        <w:adjustRightInd/>
        <w:snapToGrid/>
        <w:rPr>
          <w:rFonts w:eastAsia="Georgia"/>
        </w:rPr>
      </w:pPr>
    </w:p>
    <w:p w14:paraId="30003F0C" w14:textId="77777777" w:rsidR="00090659" w:rsidRPr="001A69B0" w:rsidRDefault="00090659" w:rsidP="00F405F6">
      <w:pPr>
        <w:pStyle w:val="PwCNormal"/>
        <w:ind w:left="851" w:hanging="851"/>
        <w:sectPr w:rsidR="00090659" w:rsidRPr="001A69B0" w:rsidSect="00B14B8B">
          <w:headerReference w:type="even" r:id="rId19"/>
          <w:headerReference w:type="default" r:id="rId20"/>
          <w:footerReference w:type="even" r:id="rId21"/>
          <w:footerReference w:type="default" r:id="rId22"/>
          <w:headerReference w:type="first" r:id="rId23"/>
          <w:footerReference w:type="first" r:id="rId24"/>
          <w:pgSz w:w="11907" w:h="16840" w:code="9"/>
          <w:pgMar w:top="1418" w:right="1843" w:bottom="1276" w:left="1843" w:header="567" w:footer="567" w:gutter="0"/>
          <w:cols w:space="227"/>
          <w:titlePg/>
          <w:docGrid w:linePitch="360"/>
        </w:sectPr>
      </w:pPr>
      <w:bookmarkStart w:id="51" w:name="_qb5n1cnnwid9" w:colFirst="0" w:colLast="0"/>
      <w:bookmarkEnd w:id="51"/>
    </w:p>
    <w:p w14:paraId="36FB29CA" w14:textId="596630D0" w:rsidR="004F0878" w:rsidRPr="00164318" w:rsidRDefault="00441F99" w:rsidP="009D1655">
      <w:pPr>
        <w:pStyle w:val="Heading2Nospacing"/>
        <w:ind w:right="283"/>
      </w:pPr>
      <w:bookmarkStart w:id="52" w:name="_Toc518337354"/>
      <w:bookmarkStart w:id="53" w:name="_Toc525650421"/>
      <w:r>
        <w:lastRenderedPageBreak/>
        <w:t>4.</w:t>
      </w:r>
      <w:r>
        <w:tab/>
      </w:r>
      <w:r w:rsidR="004D430E" w:rsidRPr="00164318">
        <w:t xml:space="preserve">Reliability in </w:t>
      </w:r>
      <w:r w:rsidR="001C3E6F" w:rsidRPr="00164318">
        <w:t xml:space="preserve">the </w:t>
      </w:r>
      <w:r w:rsidR="004D430E" w:rsidRPr="00164318">
        <w:t xml:space="preserve">Australian </w:t>
      </w:r>
      <w:r w:rsidR="001C3E6F" w:rsidRPr="00164318">
        <w:t>energy market</w:t>
      </w:r>
      <w:bookmarkEnd w:id="52"/>
      <w:bookmarkEnd w:id="53"/>
    </w:p>
    <w:p w14:paraId="078202A3" w14:textId="1BA3EBF6" w:rsidR="00BE12F3" w:rsidRDefault="00BE12F3" w:rsidP="00BE12F3">
      <w:pPr>
        <w:spacing w:before="120" w:after="120"/>
        <w:rPr>
          <w:rFonts w:eastAsia="Georgia" w:cs="Georgia"/>
        </w:rPr>
      </w:pPr>
      <w:r>
        <w:rPr>
          <w:rFonts w:eastAsia="Georgia" w:cs="Georgia"/>
        </w:rPr>
        <w:t>The section below outlines the reliability safeguards and frameworks in place within the Australian energy market. For the purposes of this report, the energy market consists of the electricity and gas markets in Australia.</w:t>
      </w:r>
    </w:p>
    <w:p w14:paraId="21ABE854" w14:textId="141F25DB" w:rsidR="00BE12F3" w:rsidRPr="00973277" w:rsidRDefault="00441F99" w:rsidP="00441F99">
      <w:pPr>
        <w:pStyle w:val="Heading3"/>
        <w:numPr>
          <w:ilvl w:val="0"/>
          <w:numId w:val="0"/>
        </w:numPr>
        <w:ind w:left="851" w:hanging="851"/>
      </w:pPr>
      <w:bookmarkStart w:id="54" w:name="_Toc518337355"/>
      <w:bookmarkStart w:id="55" w:name="_Toc525650422"/>
      <w:r>
        <w:t>4.1</w:t>
      </w:r>
      <w:r>
        <w:tab/>
      </w:r>
      <w:r w:rsidR="00BE12F3" w:rsidRPr="00973277">
        <w:t xml:space="preserve">Energy </w:t>
      </w:r>
      <w:r w:rsidR="00BE12F3">
        <w:t>s</w:t>
      </w:r>
      <w:r w:rsidR="00BE12F3" w:rsidRPr="00973277">
        <w:t>ector</w:t>
      </w:r>
      <w:bookmarkEnd w:id="54"/>
      <w:bookmarkEnd w:id="55"/>
    </w:p>
    <w:p w14:paraId="5AFCB26F" w14:textId="6189B0B9" w:rsidR="00BE12F3" w:rsidRDefault="00994AC8" w:rsidP="00BE12F3">
      <w:pPr>
        <w:spacing w:before="120" w:after="120"/>
      </w:pPr>
      <w:r w:rsidRPr="00994AC8">
        <w:t xml:space="preserve">Australia’s energy industry is regulated by the Australian Energy Regulator (AER). The AER is established under the </w:t>
      </w:r>
      <w:r w:rsidRPr="002F0392">
        <w:rPr>
          <w:i/>
        </w:rPr>
        <w:t>National Electricity (South Austra</w:t>
      </w:r>
      <w:r w:rsidR="002F0392" w:rsidRPr="002F0392">
        <w:rPr>
          <w:i/>
        </w:rPr>
        <w:t>lia) Act 1996</w:t>
      </w:r>
      <w:r>
        <w:t xml:space="preserve">, which applies </w:t>
      </w:r>
      <w:r w:rsidR="004853A7">
        <w:t xml:space="preserve">in </w:t>
      </w:r>
      <w:r w:rsidR="001D1463">
        <w:t>all states and territories</w:t>
      </w:r>
      <w:r w:rsidR="001D1463" w:rsidRPr="00994AC8">
        <w:t xml:space="preserve"> </w:t>
      </w:r>
      <w:r w:rsidRPr="00994AC8">
        <w:t>(despite being established under South Australian law) to the wholesale and retail electricity network and covered gas pipelines, with the exception of Western Australia. The AER’s role is complemented by the Australian Energy Market Commission (the AEMC), which is also established under the Act, and is responsible for policy advice and rule making. The AEMC has responsibility for overseeing reliability in the energy sector, governed by a Reliability Panel as part of its institutional arrangements</w:t>
      </w:r>
      <w:r w:rsidR="00E36D61">
        <w:rPr>
          <w:rStyle w:val="FootnoteReference"/>
        </w:rPr>
        <w:footnoteReference w:id="114"/>
      </w:r>
      <w:r w:rsidRPr="00994AC8">
        <w:t>.</w:t>
      </w:r>
    </w:p>
    <w:p w14:paraId="0F95D555" w14:textId="36ACEDF3" w:rsidR="007D33E0" w:rsidRDefault="00884855" w:rsidP="003F5610">
      <w:pPr>
        <w:pStyle w:val="PwCNormal"/>
        <w:numPr>
          <w:ilvl w:val="0"/>
          <w:numId w:val="0"/>
        </w:numPr>
      </w:pPr>
      <w:r>
        <w:t>The e</w:t>
      </w:r>
      <w:r w:rsidR="007D33E0">
        <w:t>nergy market in Australia is regulated at the stat</w:t>
      </w:r>
      <w:r>
        <w:t>e level. However, the Council of</w:t>
      </w:r>
      <w:r w:rsidR="007D33E0">
        <w:t xml:space="preserve"> Australian Governments established the </w:t>
      </w:r>
      <w:r w:rsidR="00994AC8">
        <w:t>AEMC</w:t>
      </w:r>
      <w:r w:rsidR="00D601B4">
        <w:t xml:space="preserve"> to make</w:t>
      </w:r>
      <w:r w:rsidR="007D33E0">
        <w:t xml:space="preserve"> decisions which are implemented by the </w:t>
      </w:r>
      <w:r w:rsidR="00994AC8">
        <w:t>AER</w:t>
      </w:r>
      <w:r w:rsidR="007D33E0">
        <w:t>. These are binding on states that have passed the National Energy Retail Law.</w:t>
      </w:r>
    </w:p>
    <w:p w14:paraId="132A48AD" w14:textId="385C386A" w:rsidR="002E1D55" w:rsidRPr="002E1D55" w:rsidRDefault="002E1D55" w:rsidP="002E1D55">
      <w:pPr>
        <w:pStyle w:val="PwCNormal"/>
        <w:rPr>
          <w:rFonts w:eastAsia="Georgia"/>
          <w:snapToGrid/>
        </w:rPr>
      </w:pPr>
      <w:r>
        <w:rPr>
          <w:rFonts w:eastAsia="Georgia"/>
          <w:snapToGrid/>
        </w:rPr>
        <w:t xml:space="preserve">The </w:t>
      </w:r>
      <w:r w:rsidR="00994AC8">
        <w:rPr>
          <w:rFonts w:eastAsia="Georgia"/>
          <w:snapToGrid/>
        </w:rPr>
        <w:t>AER</w:t>
      </w:r>
      <w:r>
        <w:rPr>
          <w:rFonts w:eastAsia="Georgia"/>
          <w:snapToGrid/>
        </w:rPr>
        <w:t xml:space="preserve"> also has a ‘</w:t>
      </w:r>
      <w:r w:rsidRPr="002E1D55">
        <w:rPr>
          <w:rFonts w:eastAsia="Georgia"/>
          <w:snapToGrid/>
        </w:rPr>
        <w:t>Reliability Panel</w:t>
      </w:r>
      <w:r>
        <w:rPr>
          <w:rFonts w:eastAsia="Georgia"/>
          <w:snapToGrid/>
        </w:rPr>
        <w:t>’</w:t>
      </w:r>
      <w:r w:rsidRPr="002E1D55">
        <w:rPr>
          <w:rFonts w:eastAsia="Georgia"/>
          <w:snapToGrid/>
        </w:rPr>
        <w:t>, which forms part of the AEMC’s institutional arrangements, reviews and reports on the safety, security and reliability of the national electricity system.</w:t>
      </w:r>
    </w:p>
    <w:p w14:paraId="216EA4F1" w14:textId="01E78BF9" w:rsidR="002E1D55" w:rsidRDefault="002E1D55" w:rsidP="002E1D55">
      <w:pPr>
        <w:pStyle w:val="PwCNormal"/>
        <w:numPr>
          <w:ilvl w:val="0"/>
          <w:numId w:val="0"/>
        </w:numPr>
        <w:rPr>
          <w:rFonts w:eastAsia="Georgia"/>
          <w:snapToGrid/>
        </w:rPr>
      </w:pPr>
      <w:r w:rsidRPr="002E1D55">
        <w:rPr>
          <w:rFonts w:eastAsia="Georgia"/>
          <w:snapToGrid/>
        </w:rPr>
        <w:t>The Panel is comprised of members who represent a range of participants in the national electricity market, including consumer groups, generators, network businesses, retailers and the Australi</w:t>
      </w:r>
      <w:r>
        <w:rPr>
          <w:rFonts w:eastAsia="Georgia"/>
          <w:snapToGrid/>
        </w:rPr>
        <w:t>an Energy Market Operator</w:t>
      </w:r>
      <w:r w:rsidRPr="002E1D55">
        <w:rPr>
          <w:rFonts w:eastAsia="Georgia"/>
          <w:snapToGrid/>
        </w:rPr>
        <w:t>.</w:t>
      </w:r>
      <w:r w:rsidRPr="002E1D55">
        <w:t xml:space="preserve"> </w:t>
      </w:r>
      <w:r w:rsidRPr="002E1D55">
        <w:rPr>
          <w:rFonts w:eastAsia="Georgia"/>
          <w:snapToGrid/>
        </w:rPr>
        <w:t>The Panel determines standards and some of the guidelines used by AEMO and participants which help to maintain a secure and reliable power system for consumers.</w:t>
      </w:r>
    </w:p>
    <w:p w14:paraId="38672E78" w14:textId="57A39489" w:rsidR="00FA59CE" w:rsidRDefault="00994AC8" w:rsidP="009D1655">
      <w:pPr>
        <w:pStyle w:val="Heading4"/>
        <w:numPr>
          <w:ilvl w:val="0"/>
          <w:numId w:val="0"/>
        </w:numPr>
        <w:ind w:left="851" w:hanging="851"/>
        <w:rPr>
          <w:snapToGrid/>
        </w:rPr>
      </w:pPr>
      <w:r w:rsidRPr="00994AC8">
        <w:rPr>
          <w:snapToGrid/>
        </w:rPr>
        <w:t>The national Service Target Performance Incentive</w:t>
      </w:r>
    </w:p>
    <w:p w14:paraId="2829DF86" w14:textId="7360D0DA" w:rsidR="00994AC8" w:rsidRPr="00994AC8" w:rsidRDefault="00994AC8" w:rsidP="00994AC8">
      <w:pPr>
        <w:pStyle w:val="PwCNormal"/>
        <w:rPr>
          <w:rFonts w:eastAsia="Georgia"/>
          <w:snapToGrid/>
        </w:rPr>
      </w:pPr>
      <w:r w:rsidRPr="00994AC8">
        <w:rPr>
          <w:rFonts w:eastAsia="Georgia"/>
          <w:snapToGrid/>
        </w:rPr>
        <w:t>The national Service Target Performance Incentive Scheme (STPIS) is intended to balance the incentives to reduce expenditure with the need to maintain or improve service quality. It achieves this by providing financial incentives to distributors to maintain and improve service performance where customers are willing to pay for these improveme</w:t>
      </w:r>
      <w:r>
        <w:rPr>
          <w:rFonts w:eastAsia="Georgia"/>
          <w:snapToGrid/>
        </w:rPr>
        <w:t>nts.</w:t>
      </w:r>
      <w:r>
        <w:rPr>
          <w:rStyle w:val="FootnoteReference"/>
          <w:rFonts w:eastAsia="Georgia"/>
          <w:snapToGrid/>
        </w:rPr>
        <w:footnoteReference w:id="115"/>
      </w:r>
    </w:p>
    <w:p w14:paraId="6970CFF3" w14:textId="59833A0A" w:rsidR="00994AC8" w:rsidRPr="00994AC8" w:rsidRDefault="00994AC8" w:rsidP="00994AC8">
      <w:pPr>
        <w:pStyle w:val="PwCNormal"/>
        <w:rPr>
          <w:rFonts w:eastAsia="Georgia"/>
          <w:snapToGrid/>
        </w:rPr>
      </w:pPr>
      <w:r w:rsidRPr="00994AC8">
        <w:rPr>
          <w:rFonts w:eastAsia="Georgia"/>
          <w:snapToGrid/>
        </w:rPr>
        <w:lastRenderedPageBreak/>
        <w:t>The STPIS establishes targets based on historical performance, and provides financial rewards for distributors exceeding performance targets and financial penalties for distributors failing to meet targets. These rewards and penalties are calculated by taking into account the val</w:t>
      </w:r>
      <w:r>
        <w:rPr>
          <w:rFonts w:eastAsia="Georgia"/>
          <w:snapToGrid/>
        </w:rPr>
        <w:t>ue of customer reliability</w:t>
      </w:r>
      <w:r w:rsidRPr="00994AC8">
        <w:rPr>
          <w:rFonts w:eastAsia="Georgia"/>
          <w:snapToGrid/>
        </w:rPr>
        <w:t>. This aligns the distributors' incentives with the long term interests of consumer</w:t>
      </w:r>
      <w:r w:rsidR="00D601B4">
        <w:rPr>
          <w:rFonts w:eastAsia="Georgia"/>
          <w:snapToGrid/>
        </w:rPr>
        <w:t>s</w:t>
      </w:r>
      <w:r w:rsidRPr="00994AC8">
        <w:rPr>
          <w:rFonts w:eastAsia="Georgia"/>
          <w:snapToGrid/>
        </w:rPr>
        <w:t>, which is consistent with the Nati</w:t>
      </w:r>
      <w:r>
        <w:rPr>
          <w:rFonts w:eastAsia="Georgia"/>
          <w:snapToGrid/>
        </w:rPr>
        <w:t>onal Electricity Objective</w:t>
      </w:r>
      <w:r w:rsidR="00DB0DD9">
        <w:rPr>
          <w:rFonts w:eastAsia="Georgia"/>
          <w:snapToGrid/>
        </w:rPr>
        <w:t>.</w:t>
      </w:r>
    </w:p>
    <w:p w14:paraId="27E686EE" w14:textId="77777777" w:rsidR="00994AC8" w:rsidRPr="00994AC8" w:rsidRDefault="00994AC8" w:rsidP="00994AC8">
      <w:pPr>
        <w:pStyle w:val="PwCNormal"/>
        <w:rPr>
          <w:rFonts w:eastAsia="Georgia"/>
          <w:snapToGrid/>
        </w:rPr>
      </w:pPr>
      <w:r w:rsidRPr="00994AC8">
        <w:rPr>
          <w:rFonts w:eastAsia="Georgia"/>
          <w:snapToGrid/>
        </w:rPr>
        <w:t>The STPIS has two components, the s-factor component and the guaranteed service levels (GSL) scheme. The s-factor component adjusts the revenue that a distributor earns depending on reliability of supply and customer service performance. The GSL scheme sets threshold levels of service for distributors to achieve and requires direct payment to customers who experience service levels below those at the predetermined level.</w:t>
      </w:r>
    </w:p>
    <w:p w14:paraId="2586CDF6" w14:textId="1C54444F" w:rsidR="00BE12F3" w:rsidRDefault="009D1655" w:rsidP="009D1655">
      <w:pPr>
        <w:pStyle w:val="Heading4"/>
        <w:numPr>
          <w:ilvl w:val="0"/>
          <w:numId w:val="0"/>
        </w:numPr>
        <w:ind w:left="851" w:hanging="851"/>
        <w:rPr>
          <w:snapToGrid/>
        </w:rPr>
      </w:pPr>
      <w:r>
        <w:rPr>
          <w:snapToGrid/>
        </w:rPr>
        <w:t>4.2</w:t>
      </w:r>
      <w:r>
        <w:rPr>
          <w:snapToGrid/>
        </w:rPr>
        <w:tab/>
      </w:r>
      <w:r w:rsidR="00BE12F3" w:rsidRPr="00B339AC">
        <w:rPr>
          <w:snapToGrid/>
        </w:rPr>
        <w:t>Connection</w:t>
      </w:r>
    </w:p>
    <w:p w14:paraId="7EECE277" w14:textId="5D04A298" w:rsidR="00CB5B9C" w:rsidRPr="002E1D55" w:rsidRDefault="00BE12F3" w:rsidP="00DB0DD9">
      <w:pPr>
        <w:pStyle w:val="PwCNormal"/>
        <w:keepNext/>
        <w:keepLines/>
        <w:rPr>
          <w:rFonts w:eastAsia="Georgia"/>
        </w:rPr>
      </w:pPr>
      <w:r w:rsidRPr="002E1D55">
        <w:rPr>
          <w:rFonts w:eastAsia="Georgia"/>
        </w:rPr>
        <w:t xml:space="preserve">As of July 2005, the </w:t>
      </w:r>
      <w:r w:rsidR="00994AC8">
        <w:rPr>
          <w:rFonts w:eastAsia="Georgia"/>
        </w:rPr>
        <w:t>AER</w:t>
      </w:r>
      <w:r w:rsidRPr="002E1D55">
        <w:rPr>
          <w:rFonts w:eastAsia="Georgia"/>
        </w:rPr>
        <w:t xml:space="preserve"> assumed the ACCC</w:t>
      </w:r>
      <w:r w:rsidR="004853A7">
        <w:rPr>
          <w:rFonts w:eastAsia="Georgia"/>
        </w:rPr>
        <w:t xml:space="preserve">’s </w:t>
      </w:r>
      <w:r w:rsidRPr="002E1D55">
        <w:rPr>
          <w:rFonts w:eastAsia="Georgia"/>
        </w:rPr>
        <w:t xml:space="preserve">responsibilities for the regulation of transmission revenues in the National Electricity Market. Clause 6.2.4 of the National Electricity Rules </w:t>
      </w:r>
      <w:r w:rsidR="004853A7">
        <w:rPr>
          <w:rFonts w:eastAsia="Georgia"/>
        </w:rPr>
        <w:t>states that</w:t>
      </w:r>
      <w:r w:rsidRPr="002E1D55">
        <w:rPr>
          <w:rFonts w:eastAsia="Georgia"/>
        </w:rPr>
        <w:t xml:space="preserve"> the regulator may establish service standards f</w:t>
      </w:r>
      <w:r w:rsidRPr="009F4786">
        <w:t>or electricity transmission network service providers</w:t>
      </w:r>
      <w:r>
        <w:t>.</w:t>
      </w:r>
      <w:r>
        <w:rPr>
          <w:rStyle w:val="FootnoteReference"/>
        </w:rPr>
        <w:footnoteReference w:id="116"/>
      </w:r>
    </w:p>
    <w:p w14:paraId="6513914F" w14:textId="64361C7A" w:rsidR="00BE12F3" w:rsidRDefault="00884855" w:rsidP="00325598">
      <w:pPr>
        <w:pStyle w:val="styeheading5"/>
        <w:rPr>
          <w:rFonts w:eastAsia="Georgia"/>
          <w:snapToGrid/>
        </w:rPr>
      </w:pPr>
      <w:r>
        <w:rPr>
          <w:rFonts w:eastAsia="Georgia"/>
          <w:snapToGrid/>
        </w:rPr>
        <w:t>New service connection times</w:t>
      </w:r>
    </w:p>
    <w:p w14:paraId="2CA54859" w14:textId="3999D4E3" w:rsidR="00826AAF" w:rsidRDefault="004853A7" w:rsidP="00BE12F3">
      <w:pPr>
        <w:pStyle w:val="PwCNormal"/>
        <w:rPr>
          <w:rFonts w:eastAsia="Georgia"/>
        </w:rPr>
      </w:pPr>
      <w:r>
        <w:rPr>
          <w:rFonts w:eastAsia="Georgia"/>
        </w:rPr>
        <w:t>N</w:t>
      </w:r>
      <w:r w:rsidR="00BE12F3">
        <w:rPr>
          <w:rFonts w:eastAsia="Georgia"/>
        </w:rPr>
        <w:t>ew connections or changes to existing connections in the energy market can sometimes take several months.</w:t>
      </w:r>
      <w:r w:rsidR="00BE12F3">
        <w:rPr>
          <w:rStyle w:val="FootnoteReference"/>
          <w:rFonts w:eastAsia="Georgia"/>
        </w:rPr>
        <w:footnoteReference w:id="117"/>
      </w:r>
      <w:r w:rsidR="00BE12F3">
        <w:rPr>
          <w:rFonts w:eastAsia="Georgia"/>
        </w:rPr>
        <w:t xml:space="preserve"> States</w:t>
      </w:r>
      <w:r w:rsidR="000F40E2">
        <w:rPr>
          <w:rFonts w:eastAsia="Georgia"/>
        </w:rPr>
        <w:t xml:space="preserve"> and territories</w:t>
      </w:r>
      <w:r w:rsidR="00BE12F3">
        <w:rPr>
          <w:rFonts w:eastAsia="Georgia"/>
        </w:rPr>
        <w:t xml:space="preserve"> in Australia have set </w:t>
      </w:r>
      <w:r w:rsidR="000B154E">
        <w:rPr>
          <w:rFonts w:eastAsia="Georgia"/>
        </w:rPr>
        <w:t>GSL</w:t>
      </w:r>
      <w:r w:rsidR="000748D8">
        <w:rPr>
          <w:rFonts w:eastAsia="Georgia"/>
        </w:rPr>
        <w:t>s</w:t>
      </w:r>
      <w:r w:rsidR="00BE12F3">
        <w:rPr>
          <w:rFonts w:eastAsia="Georgia"/>
        </w:rPr>
        <w:t xml:space="preserve"> which relate to targets around the timeliness of connections, reconnections and no</w:t>
      </w:r>
      <w:r w:rsidR="00826AAF">
        <w:rPr>
          <w:rFonts w:eastAsia="Georgia"/>
        </w:rPr>
        <w:t>tices of planned interruptions. For instance</w:t>
      </w:r>
      <w:r w:rsidR="001C3E6F">
        <w:rPr>
          <w:rFonts w:eastAsia="Georgia"/>
        </w:rPr>
        <w:t>, Victoria requires that</w:t>
      </w:r>
      <w:r w:rsidR="00826AAF">
        <w:rPr>
          <w:rFonts w:eastAsia="Georgia"/>
        </w:rPr>
        <w:t>:</w:t>
      </w:r>
    </w:p>
    <w:p w14:paraId="4A9C1EA8" w14:textId="3BE7B750" w:rsidR="00826AAF" w:rsidRDefault="00DB0DD9" w:rsidP="00826AAF">
      <w:pPr>
        <w:pStyle w:val="ListBullet"/>
        <w:rPr>
          <w:rFonts w:eastAsia="Georgia"/>
        </w:rPr>
      </w:pPr>
      <w:r>
        <w:rPr>
          <w:rFonts w:eastAsia="Georgia"/>
        </w:rPr>
        <w:t>N</w:t>
      </w:r>
      <w:r w:rsidR="002E1D55">
        <w:rPr>
          <w:rFonts w:eastAsia="Georgia"/>
        </w:rPr>
        <w:t>ew connections are made at least 10 business days after request (where no date is agreed with the customer)</w:t>
      </w:r>
      <w:r>
        <w:rPr>
          <w:rFonts w:eastAsia="Georgia"/>
        </w:rPr>
        <w:t>.</w:t>
      </w:r>
      <w:r w:rsidR="002E1D55">
        <w:rPr>
          <w:rStyle w:val="FootnoteReference"/>
          <w:rFonts w:eastAsia="Georgia"/>
        </w:rPr>
        <w:footnoteReference w:id="118"/>
      </w:r>
    </w:p>
    <w:p w14:paraId="79108203" w14:textId="01810CEF" w:rsidR="00826AAF" w:rsidRPr="00E36D61" w:rsidRDefault="00DB0DD9" w:rsidP="00D7555E">
      <w:pPr>
        <w:pStyle w:val="ListBullet"/>
        <w:rPr>
          <w:rFonts w:eastAsia="Georgia"/>
        </w:rPr>
      </w:pPr>
      <w:r>
        <w:rPr>
          <w:rFonts w:eastAsia="Georgia"/>
        </w:rPr>
        <w:t>W</w:t>
      </w:r>
      <w:r w:rsidR="002E1D55">
        <w:rPr>
          <w:rFonts w:eastAsia="Georgia"/>
        </w:rPr>
        <w:t xml:space="preserve">here the </w:t>
      </w:r>
      <w:r w:rsidR="00D279F9">
        <w:rPr>
          <w:rFonts w:eastAsia="Georgia"/>
        </w:rPr>
        <w:t>distribution</w:t>
      </w:r>
      <w:r w:rsidR="002E1D55">
        <w:rPr>
          <w:rFonts w:eastAsia="Georgia"/>
        </w:rPr>
        <w:t xml:space="preserve"> </w:t>
      </w:r>
      <w:r w:rsidR="00D279F9">
        <w:rPr>
          <w:rFonts w:eastAsia="Georgia"/>
        </w:rPr>
        <w:t>entity</w:t>
      </w:r>
      <w:r w:rsidR="002E1D55">
        <w:rPr>
          <w:rFonts w:eastAsia="Georgia"/>
        </w:rPr>
        <w:t xml:space="preserve"> does not attend an appointment, the customer is eligible for a payment</w:t>
      </w:r>
      <w:r>
        <w:rPr>
          <w:rFonts w:eastAsia="Georgia"/>
        </w:rPr>
        <w:t>.</w:t>
      </w:r>
      <w:r w:rsidR="00D279F9">
        <w:rPr>
          <w:rStyle w:val="FootnoteReference"/>
          <w:rFonts w:eastAsia="Georgia"/>
        </w:rPr>
        <w:footnoteReference w:id="119"/>
      </w:r>
      <w:r w:rsidR="00D7555E">
        <w:rPr>
          <w:rFonts w:eastAsia="Georgia"/>
        </w:rPr>
        <w:t xml:space="preserve"> </w:t>
      </w:r>
      <w:r w:rsidR="00BE12F3" w:rsidRPr="00E36D61">
        <w:rPr>
          <w:rFonts w:eastAsia="Georgia"/>
        </w:rPr>
        <w:t>Consumers may be eligible for payments should the criteria not be met. Different states have different criteria and payments for breaches.</w:t>
      </w:r>
      <w:r w:rsidR="00826AAF" w:rsidRPr="003316DD">
        <w:rPr>
          <w:rFonts w:eastAsia="Georgia"/>
        </w:rPr>
        <w:t xml:space="preserve"> For instance</w:t>
      </w:r>
      <w:r w:rsidR="001C3E6F" w:rsidRPr="003316DD">
        <w:rPr>
          <w:rFonts w:eastAsia="Georgia"/>
        </w:rPr>
        <w:t xml:space="preserve">, </w:t>
      </w:r>
      <w:r w:rsidR="002E1D55" w:rsidRPr="003316DD">
        <w:rPr>
          <w:rFonts w:eastAsia="Georgia"/>
        </w:rPr>
        <w:t xml:space="preserve">Victoria specifies that if a </w:t>
      </w:r>
      <w:r w:rsidR="001C3E6F" w:rsidRPr="003316DD">
        <w:rPr>
          <w:rFonts w:eastAsia="Georgia"/>
        </w:rPr>
        <w:lastRenderedPageBreak/>
        <w:t xml:space="preserve">distributor </w:t>
      </w:r>
      <w:r w:rsidR="002E1D55" w:rsidRPr="003316DD">
        <w:rPr>
          <w:rFonts w:eastAsia="Georgia"/>
        </w:rPr>
        <w:t xml:space="preserve">is more than 15 minutes late for an appointment, </w:t>
      </w:r>
      <w:r w:rsidR="001C3E6F" w:rsidRPr="003316DD">
        <w:rPr>
          <w:rFonts w:eastAsia="Georgia"/>
        </w:rPr>
        <w:t>it</w:t>
      </w:r>
      <w:r w:rsidR="002E1D55" w:rsidRPr="003316DD">
        <w:rPr>
          <w:rFonts w:eastAsia="Georgia"/>
        </w:rPr>
        <w:t xml:space="preserve"> must pay the customer $30.</w:t>
      </w:r>
      <w:r w:rsidR="002E1D55">
        <w:rPr>
          <w:rStyle w:val="FootnoteReference"/>
          <w:rFonts w:eastAsia="Georgia"/>
        </w:rPr>
        <w:footnoteReference w:id="120"/>
      </w:r>
    </w:p>
    <w:p w14:paraId="362E831B" w14:textId="0F4F7FF0" w:rsidR="00BE12F3" w:rsidRPr="00B339AC" w:rsidRDefault="009D1655" w:rsidP="009D1655">
      <w:pPr>
        <w:pStyle w:val="Heading4"/>
        <w:numPr>
          <w:ilvl w:val="0"/>
          <w:numId w:val="0"/>
        </w:numPr>
        <w:ind w:left="851" w:hanging="851"/>
        <w:rPr>
          <w:snapToGrid/>
        </w:rPr>
      </w:pPr>
      <w:r>
        <w:rPr>
          <w:snapToGrid/>
        </w:rPr>
        <w:t>4.3</w:t>
      </w:r>
      <w:r>
        <w:rPr>
          <w:snapToGrid/>
        </w:rPr>
        <w:tab/>
      </w:r>
      <w:r w:rsidR="00BE12F3" w:rsidRPr="00B339AC">
        <w:rPr>
          <w:snapToGrid/>
        </w:rPr>
        <w:t>Outages and faults</w:t>
      </w:r>
    </w:p>
    <w:p w14:paraId="316877A1" w14:textId="6193430B" w:rsidR="00BE12F3" w:rsidRDefault="00BE12F3" w:rsidP="00BE12F3">
      <w:pPr>
        <w:spacing w:before="120" w:after="120"/>
      </w:pPr>
      <w:r>
        <w:t xml:space="preserve">The </w:t>
      </w:r>
      <w:r w:rsidR="00994AC8">
        <w:t>AER</w:t>
      </w:r>
      <w:r>
        <w:t xml:space="preserve"> (Retail Law) Performance Reporting Procedures and Guidelines set out the manner in which regulated entities must report information to the </w:t>
      </w:r>
      <w:r w:rsidR="00994AC8">
        <w:t>AER</w:t>
      </w:r>
      <w:r>
        <w:t>. This information feeds into t</w:t>
      </w:r>
      <w:r w:rsidR="00826AAF">
        <w:t>he annual performance report</w:t>
      </w:r>
      <w:r w:rsidR="00AF25CC">
        <w:t>;</w:t>
      </w:r>
      <w:r w:rsidR="00826AAF">
        <w:t xml:space="preserve"> however</w:t>
      </w:r>
      <w:r w:rsidR="00AF25CC">
        <w:t>,</w:t>
      </w:r>
      <w:r>
        <w:t xml:space="preserve"> within this guideline there does not appear to be reporting of outages relating to faults.</w:t>
      </w:r>
      <w:r>
        <w:rPr>
          <w:rStyle w:val="FootnoteReference"/>
        </w:rPr>
        <w:footnoteReference w:id="121"/>
      </w:r>
    </w:p>
    <w:p w14:paraId="0FC226A5" w14:textId="5030D8BE" w:rsidR="00BE12F3" w:rsidRPr="00BE12F3" w:rsidRDefault="00BE12F3" w:rsidP="00BE12F3">
      <w:pPr>
        <w:spacing w:before="120" w:after="120"/>
        <w:rPr>
          <w:rFonts w:eastAsia="Georgia" w:cs="Georgia"/>
          <w:highlight w:val="yellow"/>
        </w:rPr>
      </w:pPr>
      <w:r>
        <w:t xml:space="preserve">The report </w:t>
      </w:r>
      <w:r w:rsidR="00826AAF">
        <w:t>does</w:t>
      </w:r>
      <w:r w:rsidR="00D601B4">
        <w:t>,</w:t>
      </w:r>
      <w:r w:rsidR="00826AAF">
        <w:t xml:space="preserve"> however</w:t>
      </w:r>
      <w:r w:rsidR="00D601B4">
        <w:t>,</w:t>
      </w:r>
      <w:r w:rsidR="00826AAF">
        <w:t xml:space="preserve"> provide </w:t>
      </w:r>
      <w:r>
        <w:t>customer service metrics for each individual retailer. These include</w:t>
      </w:r>
      <w:r w:rsidR="00814B23">
        <w:t xml:space="preserve"> the</w:t>
      </w:r>
      <w:r>
        <w:t xml:space="preserve"> percentage of calls answered in 30 seconds, average time before a call is answered and percentage of calls abandoned before being answered.</w:t>
      </w:r>
      <w:r>
        <w:rPr>
          <w:rStyle w:val="FootnoteReference"/>
        </w:rPr>
        <w:footnoteReference w:id="122"/>
      </w:r>
    </w:p>
    <w:p w14:paraId="2651428A" w14:textId="74E214F2" w:rsidR="00BE12F3" w:rsidRDefault="009D1655" w:rsidP="009D1655">
      <w:pPr>
        <w:pStyle w:val="Heading4"/>
        <w:numPr>
          <w:ilvl w:val="0"/>
          <w:numId w:val="0"/>
        </w:numPr>
        <w:ind w:left="851" w:hanging="851"/>
        <w:rPr>
          <w:snapToGrid/>
        </w:rPr>
      </w:pPr>
      <w:r>
        <w:rPr>
          <w:snapToGrid/>
        </w:rPr>
        <w:t>4.4</w:t>
      </w:r>
      <w:r>
        <w:rPr>
          <w:snapToGrid/>
        </w:rPr>
        <w:tab/>
      </w:r>
      <w:r w:rsidR="00BE12F3" w:rsidRPr="00B339AC">
        <w:rPr>
          <w:snapToGrid/>
        </w:rPr>
        <w:t>Penalties for non-compliance</w:t>
      </w:r>
    </w:p>
    <w:p w14:paraId="16725D43" w14:textId="563D0217" w:rsidR="00BE12F3" w:rsidRDefault="00BE12F3" w:rsidP="008576BD">
      <w:pPr>
        <w:pStyle w:val="PwCNormal"/>
        <w:keepLines/>
        <w:numPr>
          <w:ilvl w:val="0"/>
          <w:numId w:val="0"/>
        </w:numPr>
        <w:rPr>
          <w:rFonts w:eastAsia="Georgia" w:cs="Georgia"/>
        </w:rPr>
      </w:pPr>
      <w:r>
        <w:rPr>
          <w:rFonts w:eastAsia="Georgia" w:cs="Georgia"/>
        </w:rPr>
        <w:t xml:space="preserve">The </w:t>
      </w:r>
      <w:r w:rsidR="00994AC8">
        <w:t>AER</w:t>
      </w:r>
      <w:r>
        <w:rPr>
          <w:rFonts w:eastAsia="Georgia" w:cs="Georgia"/>
        </w:rPr>
        <w:t xml:space="preserve"> is responsible for monitoring, investigat</w:t>
      </w:r>
      <w:r w:rsidR="00826AAF">
        <w:rPr>
          <w:rFonts w:eastAsia="Georgia" w:cs="Georgia"/>
        </w:rPr>
        <w:t>ing and enforcing compliance in line</w:t>
      </w:r>
      <w:r>
        <w:rPr>
          <w:rFonts w:eastAsia="Georgia" w:cs="Georgia"/>
        </w:rPr>
        <w:t xml:space="preserve"> with relevant legislation and laws across both the wholesale and retail sectors. Section 15 of the </w:t>
      </w:r>
      <w:r w:rsidRPr="00E36B99">
        <w:rPr>
          <w:rFonts w:eastAsia="Georgia" w:cs="Georgia"/>
          <w:i/>
        </w:rPr>
        <w:t>Electricity Law</w:t>
      </w:r>
      <w:r>
        <w:rPr>
          <w:rFonts w:eastAsia="Georgia" w:cs="Georgia"/>
        </w:rPr>
        <w:t xml:space="preserve"> and Section 27 of the </w:t>
      </w:r>
      <w:r w:rsidRPr="00E36B99">
        <w:rPr>
          <w:rFonts w:eastAsia="Georgia" w:cs="Georgia"/>
          <w:i/>
        </w:rPr>
        <w:t>Gas Law</w:t>
      </w:r>
      <w:r>
        <w:rPr>
          <w:rFonts w:eastAsia="Georgia" w:cs="Georgia"/>
        </w:rPr>
        <w:t xml:space="preserve"> outline the Regulator</w:t>
      </w:r>
      <w:r w:rsidR="00814B23">
        <w:rPr>
          <w:rFonts w:eastAsia="Georgia" w:cs="Georgia"/>
        </w:rPr>
        <w:t>’</w:t>
      </w:r>
      <w:r>
        <w:rPr>
          <w:rFonts w:eastAsia="Georgia" w:cs="Georgia"/>
        </w:rPr>
        <w:t>s functions and powers in the wholesale market</w:t>
      </w:r>
      <w:r w:rsidR="00D7555E">
        <w:rPr>
          <w:rFonts w:eastAsia="Georgia" w:cs="Georgia"/>
        </w:rPr>
        <w:t xml:space="preserve"> </w:t>
      </w:r>
      <w:r>
        <w:rPr>
          <w:rFonts w:eastAsia="Georgia" w:cs="Georgia"/>
        </w:rPr>
        <w:t xml:space="preserve">and the </w:t>
      </w:r>
      <w:r w:rsidRPr="00E36B99">
        <w:rPr>
          <w:rFonts w:eastAsia="Georgia" w:cs="Georgia"/>
          <w:i/>
        </w:rPr>
        <w:t>Retail Law</w:t>
      </w:r>
      <w:r>
        <w:rPr>
          <w:rFonts w:eastAsia="Georgia" w:cs="Georgia"/>
        </w:rPr>
        <w:t xml:space="preserve"> includes the regulators responsibility in ensuring regulated entities meet their obligations in the retail market.</w:t>
      </w:r>
      <w:r w:rsidR="00E36D61">
        <w:rPr>
          <w:rStyle w:val="FootnoteReference"/>
          <w:rFonts w:eastAsia="Georgia"/>
        </w:rPr>
        <w:footnoteReference w:id="123"/>
      </w:r>
      <w:r w:rsidR="00D7555E" w:rsidRPr="00D7555E">
        <w:rPr>
          <w:rFonts w:eastAsia="Georgia" w:cs="Georgia"/>
          <w:vertAlign w:val="superscript"/>
        </w:rPr>
        <w:t>,</w:t>
      </w:r>
      <w:r w:rsidR="00D7555E">
        <w:rPr>
          <w:rFonts w:eastAsia="Georgia" w:cs="Georgia"/>
          <w:vertAlign w:val="superscript"/>
        </w:rPr>
        <w:t xml:space="preserve"> </w:t>
      </w:r>
      <w:r>
        <w:rPr>
          <w:rStyle w:val="FootnoteReference"/>
          <w:rFonts w:eastAsia="Georgia"/>
        </w:rPr>
        <w:footnoteReference w:id="124"/>
      </w:r>
    </w:p>
    <w:p w14:paraId="3C707E80" w14:textId="398639C4" w:rsidR="00BE12F3" w:rsidRDefault="00BE12F3" w:rsidP="00BE12F3">
      <w:pPr>
        <w:pStyle w:val="PwCNormal"/>
        <w:numPr>
          <w:ilvl w:val="0"/>
          <w:numId w:val="0"/>
        </w:numPr>
        <w:rPr>
          <w:rFonts w:eastAsia="Georgia" w:cs="Georgia"/>
        </w:rPr>
      </w:pPr>
      <w:r>
        <w:rPr>
          <w:rFonts w:eastAsia="Georgia" w:cs="Georgia"/>
        </w:rPr>
        <w:t xml:space="preserve">The annual performance report published by the Regulator details the number of infringements relating to breaches of Retail Law and Retail Rules. In </w:t>
      </w:r>
      <w:r w:rsidR="00331849">
        <w:rPr>
          <w:rFonts w:eastAsia="Georgia" w:cs="Georgia"/>
        </w:rPr>
        <w:t>2016–17</w:t>
      </w:r>
      <w:r>
        <w:rPr>
          <w:rFonts w:eastAsia="Georgia" w:cs="Georgia"/>
        </w:rPr>
        <w:t xml:space="preserve"> there were 21 infringement notices that totalled $420,000 paid by businesses.</w:t>
      </w:r>
      <w:r>
        <w:rPr>
          <w:rStyle w:val="FootnoteReference"/>
          <w:rFonts w:eastAsia="Georgia"/>
        </w:rPr>
        <w:footnoteReference w:id="125"/>
      </w:r>
    </w:p>
    <w:p w14:paraId="19434DDC" w14:textId="4BC4B520" w:rsidR="002E6586" w:rsidRDefault="00A2407E" w:rsidP="00360EAA">
      <w:pPr>
        <w:pStyle w:val="PwCNormal"/>
        <w:numPr>
          <w:ilvl w:val="0"/>
          <w:numId w:val="0"/>
        </w:numPr>
        <w:rPr>
          <w:rFonts w:eastAsia="Georgia" w:cs="Georgia"/>
        </w:rPr>
      </w:pPr>
      <w:r w:rsidRPr="00A2407E">
        <w:rPr>
          <w:rFonts w:eastAsia="Georgia" w:cs="Georgia"/>
        </w:rPr>
        <w:t>The Electricity Distribution Network Code sets out GSL.</w:t>
      </w:r>
      <w:r>
        <w:rPr>
          <w:rStyle w:val="FootnoteReference"/>
          <w:rFonts w:eastAsia="Georgia"/>
        </w:rPr>
        <w:footnoteReference w:id="126"/>
      </w:r>
      <w:r w:rsidRPr="00A2407E">
        <w:rPr>
          <w:rFonts w:eastAsia="Georgia" w:cs="Georgia"/>
        </w:rPr>
        <w:t xml:space="preserve"> In each jurisdiction, penalties are payable to consumers should certain criteria outlined in </w:t>
      </w:r>
      <w:r w:rsidRPr="00A2407E">
        <w:rPr>
          <w:rFonts w:eastAsia="Georgia" w:cs="Georgia"/>
        </w:rPr>
        <w:lastRenderedPageBreak/>
        <w:t>the GSL not be met.</w:t>
      </w:r>
      <w:r>
        <w:rPr>
          <w:rStyle w:val="FootnoteReference"/>
          <w:rFonts w:eastAsia="Georgia"/>
        </w:rPr>
        <w:footnoteReference w:id="127"/>
      </w:r>
      <w:r w:rsidRPr="00A2407E">
        <w:rPr>
          <w:rFonts w:eastAsia="Georgia" w:cs="Georgia"/>
        </w:rPr>
        <w:t xml:space="preserve"> These are usually small payments for each breach payable directly to the consumer</w:t>
      </w:r>
      <w:r w:rsidR="00AB2C3B">
        <w:rPr>
          <w:rFonts w:eastAsia="Georgia" w:cs="Georgia"/>
        </w:rPr>
        <w:t xml:space="preserve">, ranging </w:t>
      </w:r>
      <w:r w:rsidR="00814B23">
        <w:rPr>
          <w:rFonts w:eastAsia="Georgia" w:cs="Georgia"/>
        </w:rPr>
        <w:t>from</w:t>
      </w:r>
      <w:r w:rsidR="00AB2C3B">
        <w:rPr>
          <w:rFonts w:eastAsia="Georgia" w:cs="Georgia"/>
        </w:rPr>
        <w:t xml:space="preserve"> $28 </w:t>
      </w:r>
      <w:r w:rsidR="00814B23">
        <w:rPr>
          <w:rFonts w:eastAsia="Georgia" w:cs="Georgia"/>
        </w:rPr>
        <w:t>to</w:t>
      </w:r>
      <w:r w:rsidR="00AB2C3B">
        <w:rPr>
          <w:rFonts w:eastAsia="Georgia" w:cs="Georgia"/>
        </w:rPr>
        <w:t xml:space="preserve"> $605 depending on the type and duration of the infringement</w:t>
      </w:r>
      <w:r w:rsidRPr="00A2407E">
        <w:rPr>
          <w:rFonts w:eastAsia="Georgia" w:cs="Georgia"/>
        </w:rPr>
        <w:t>.</w:t>
      </w:r>
      <w:r w:rsidR="00AB2C3B">
        <w:rPr>
          <w:rStyle w:val="FootnoteReference"/>
          <w:rFonts w:eastAsia="Georgia"/>
        </w:rPr>
        <w:footnoteReference w:id="128"/>
      </w:r>
      <w:r w:rsidRPr="00A2407E">
        <w:rPr>
          <w:rFonts w:eastAsia="Georgia" w:cs="Georgia"/>
        </w:rPr>
        <w:t xml:space="preserve"> Jurisdictions may also apply caps to the amounts payable to each consumer in a given year under the scheme.</w:t>
      </w:r>
    </w:p>
    <w:p w14:paraId="7D6711A2" w14:textId="77777777" w:rsidR="00A2407E" w:rsidRDefault="00A2407E" w:rsidP="00360EAA">
      <w:pPr>
        <w:pStyle w:val="PwCNormal"/>
        <w:numPr>
          <w:ilvl w:val="0"/>
          <w:numId w:val="0"/>
        </w:numPr>
        <w:rPr>
          <w:highlight w:val="yellow"/>
        </w:rPr>
      </w:pPr>
    </w:p>
    <w:p w14:paraId="3C977864" w14:textId="77777777" w:rsidR="00A2407E" w:rsidRPr="00225950" w:rsidRDefault="00A2407E" w:rsidP="00360EAA">
      <w:pPr>
        <w:pStyle w:val="PwCNormal"/>
        <w:numPr>
          <w:ilvl w:val="0"/>
          <w:numId w:val="0"/>
        </w:numPr>
        <w:rPr>
          <w:highlight w:val="yellow"/>
        </w:rPr>
        <w:sectPr w:rsidR="00A2407E" w:rsidRPr="00225950" w:rsidSect="00F82F50">
          <w:footerReference w:type="default" r:id="rId25"/>
          <w:pgSz w:w="11907" w:h="16840" w:code="9"/>
          <w:pgMar w:top="1560" w:right="1843" w:bottom="1418" w:left="1843" w:header="567" w:footer="567" w:gutter="0"/>
          <w:cols w:space="227"/>
          <w:titlePg/>
          <w:docGrid w:linePitch="360"/>
        </w:sectPr>
      </w:pPr>
    </w:p>
    <w:p w14:paraId="73E5453A" w14:textId="2075C4A9" w:rsidR="001A69B0" w:rsidRDefault="00D27372" w:rsidP="001A69B0">
      <w:pPr>
        <w:pStyle w:val="PwCNormal"/>
        <w:rPr>
          <w:b/>
          <w:i/>
          <w:noProof/>
          <w:snapToGrid/>
          <w:color w:val="A32020" w:themeColor="text2"/>
          <w:sz w:val="56"/>
          <w:szCs w:val="56"/>
          <w:lang w:val="en-US"/>
        </w:rPr>
      </w:pPr>
      <w:hyperlink r:id="rId26" w:history="1">
        <w:r w:rsidR="00CB07FA" w:rsidRPr="00C55BBE">
          <w:rPr>
            <w:rStyle w:val="Hyperlink"/>
            <w:b/>
            <w:i/>
            <w:noProof/>
            <w:snapToGrid/>
            <w:color w:val="A32020" w:themeColor="text2"/>
            <w:sz w:val="56"/>
            <w:szCs w:val="56"/>
            <w:lang w:val="en-US"/>
          </w:rPr>
          <w:t>www.pwc.com.au</w:t>
        </w:r>
      </w:hyperlink>
    </w:p>
    <w:p w14:paraId="2E3C4E31" w14:textId="77777777" w:rsidR="005236F7" w:rsidRPr="00973277" w:rsidRDefault="005236F7">
      <w:pPr>
        <w:kinsoku/>
        <w:overflowPunct/>
        <w:autoSpaceDE/>
        <w:autoSpaceDN/>
        <w:adjustRightInd/>
        <w:snapToGrid/>
      </w:pPr>
    </w:p>
    <w:sectPr w:rsidR="005236F7" w:rsidRPr="00973277" w:rsidSect="00582FBF">
      <w:headerReference w:type="even" r:id="rId27"/>
      <w:headerReference w:type="default" r:id="rId28"/>
      <w:footerReference w:type="even" r:id="rId29"/>
      <w:footerReference w:type="default" r:id="rId30"/>
      <w:headerReference w:type="first" r:id="rId31"/>
      <w:footerReference w:type="first" r:id="rId32"/>
      <w:type w:val="evenPage"/>
      <w:pgSz w:w="11907" w:h="16840" w:code="9"/>
      <w:pgMar w:top="0" w:right="1021" w:bottom="426" w:left="102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EF1A3" w14:textId="77777777" w:rsidR="00E66FE1" w:rsidRDefault="00E66FE1" w:rsidP="004343B3">
      <w:pPr>
        <w:pStyle w:val="Separator"/>
      </w:pPr>
      <w:r>
        <w:separator/>
      </w:r>
    </w:p>
    <w:p w14:paraId="7898C537" w14:textId="77777777" w:rsidR="00E66FE1" w:rsidRDefault="00E66FE1"/>
  </w:endnote>
  <w:endnote w:type="continuationSeparator" w:id="0">
    <w:p w14:paraId="0C5D7B85" w14:textId="77777777" w:rsidR="00E66FE1" w:rsidRDefault="00E66FE1" w:rsidP="004343B3">
      <w:pPr>
        <w:pStyle w:val="Separator"/>
      </w:pPr>
      <w:r>
        <w:continuationSeparator/>
      </w:r>
    </w:p>
    <w:p w14:paraId="795847B9" w14:textId="77777777" w:rsidR="00E66FE1" w:rsidRDefault="00E66FE1"/>
  </w:endnote>
  <w:endnote w:type="continuationNotice" w:id="1">
    <w:p w14:paraId="6EFECE90" w14:textId="77777777" w:rsidR="00E66FE1" w:rsidRDefault="00E66FE1" w:rsidP="004343B3">
      <w:pPr>
        <w:pStyle w:val="Separator"/>
      </w:pPr>
    </w:p>
    <w:p w14:paraId="40475EE7" w14:textId="77777777" w:rsidR="00E66FE1" w:rsidRDefault="00E66F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n-ea">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A69F8" w14:textId="77777777" w:rsidR="00E66FE1" w:rsidRDefault="00E66FE1" w:rsidP="00902462">
    <w:pPr>
      <w:pStyle w:val="Footer"/>
      <w:ind w:left="-2552"/>
    </w:pPr>
    <w:r>
      <w:rPr>
        <w:noProof/>
        <w:snapToGrid/>
        <w:lang w:eastAsia="en-AU"/>
      </w:rPr>
      <w:drawing>
        <wp:inline distT="0" distB="0" distL="0" distR="0" wp14:anchorId="22004E79" wp14:editId="00CF49B5">
          <wp:extent cx="1250191" cy="941695"/>
          <wp:effectExtent l="0" t="0" r="7620" b="0"/>
          <wp:docPr id="52" name="PwCLogoFL" descr="PwC Logo" title="Pw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wC new Visual Identity\Logos\Fixed\Print\EPS\PwC_fl_4cp 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0191" cy="941695"/>
                  </a:xfrm>
                  <a:prstGeom prst="rect">
                    <a:avLst/>
                  </a:prstGeom>
                  <a:noFill/>
                  <a:ln w="9525">
                    <a:noFill/>
                    <a:miter lim="800000"/>
                    <a:headEnd/>
                    <a:tailEnd/>
                  </a:ln>
                </pic:spPr>
              </pic:pic>
            </a:graphicData>
          </a:graphic>
        </wp:inline>
      </w:drawing>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1B003" w14:textId="77777777" w:rsidR="00E66FE1" w:rsidRPr="00D722C8" w:rsidRDefault="00E66FE1" w:rsidP="00582FBF">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21688" w14:textId="77777777" w:rsidR="00E66FE1" w:rsidRDefault="00E66FE1" w:rsidP="006650EF">
    <w:pPr>
      <w:pStyle w:val="Footer"/>
    </w:pPr>
    <w:r w:rsidRPr="006650EF">
      <w:rPr>
        <w:sz w:val="18"/>
      </w:rPr>
      <w:fldChar w:fldCharType="begin"/>
    </w:r>
    <w:r>
      <w:instrText xml:space="preserve"> IF </w:instrText>
    </w:r>
    <w:r w:rsidR="00D27372">
      <w:fldChar w:fldCharType="begin"/>
    </w:r>
    <w:r w:rsidR="00D27372">
      <w:instrText xml:space="preserve"> DOCPROPERTY "M</w:instrText>
    </w:r>
    <w:r w:rsidR="00D27372">
      <w:instrText xml:space="preserve">irror Margins" </w:instrText>
    </w:r>
    <w:r w:rsidR="00D27372">
      <w:fldChar w:fldCharType="separate"/>
    </w:r>
    <w:r>
      <w:instrText>N</w:instrText>
    </w:r>
    <w:r w:rsidR="00D27372">
      <w:fldChar w:fldCharType="end"/>
    </w:r>
    <w:r>
      <w:instrText xml:space="preserve"> = "N" "</w:instrText>
    </w:r>
    <w:r>
      <w:rPr>
        <w:noProof/>
      </w:rPr>
      <w:fldChar w:fldCharType="begin"/>
    </w:r>
    <w:r>
      <w:rPr>
        <w:noProof/>
      </w:rPr>
      <w:instrText xml:space="preserve"> STYLEREF "Cover title" </w:instrText>
    </w:r>
    <w:r>
      <w:rPr>
        <w:noProof/>
      </w:rPr>
      <w:fldChar w:fldCharType="separate"/>
    </w:r>
    <w:r>
      <w:rPr>
        <w:noProof/>
      </w:rPr>
      <w:instrText>Department of Communications and the Arts</w:instrText>
    </w:r>
    <w:r>
      <w:rPr>
        <w:noProof/>
      </w:rPr>
      <w:fldChar w:fldCharType="end"/>
    </w:r>
  </w:p>
  <w:p w14:paraId="34A75485" w14:textId="77777777" w:rsidR="00E66FE1" w:rsidRDefault="00E66FE1" w:rsidP="006650EF">
    <w:pPr>
      <w:pStyle w:val="Footer"/>
    </w:pPr>
    <w:r>
      <w:instrText>PwC</w:instrText>
    </w:r>
    <w:r>
      <w:ptab w:relativeTo="margin" w:alignment="right" w:leader="none"/>
    </w:r>
    <w:r>
      <w:fldChar w:fldCharType="begin"/>
    </w:r>
    <w:r>
      <w:instrText xml:space="preserve"> PAGE </w:instrText>
    </w:r>
    <w:r>
      <w:fldChar w:fldCharType="separate"/>
    </w:r>
    <w:r>
      <w:rPr>
        <w:noProof/>
      </w:rPr>
      <w:instrText>30</w:instrText>
    </w:r>
    <w:r>
      <w:rPr>
        <w:noProof/>
      </w:rPr>
      <w:fldChar w:fldCharType="end"/>
    </w:r>
    <w:r>
      <w:instrText xml:space="preserve">" </w:instrText>
    </w:r>
    <w:r w:rsidRPr="006650EF">
      <w:rPr>
        <w:sz w:val="18"/>
      </w:rPr>
      <w:fldChar w:fldCharType="begin"/>
    </w:r>
    <w:r>
      <w:instrText xml:space="preserve"> IF </w:instrText>
    </w:r>
    <w:r>
      <w:fldChar w:fldCharType="begin"/>
    </w:r>
    <w:r>
      <w:instrText xml:space="preserve"> =mod( </w:instrText>
    </w:r>
    <w:r>
      <w:fldChar w:fldCharType="begin"/>
    </w:r>
    <w:r>
      <w:instrText xml:space="preserve"> PAGE \* Arabic </w:instrText>
    </w:r>
    <w:r>
      <w:fldChar w:fldCharType="separate"/>
    </w:r>
    <w:r>
      <w:rPr>
        <w:noProof/>
      </w:rPr>
      <w:instrText>5</w:instrText>
    </w:r>
    <w:r>
      <w:rPr>
        <w:noProof/>
      </w:rPr>
      <w:fldChar w:fldCharType="end"/>
    </w:r>
    <w:r>
      <w:instrText xml:space="preserve"> ,2) </w:instrText>
    </w:r>
    <w:r>
      <w:fldChar w:fldCharType="separate"/>
    </w:r>
    <w:r>
      <w:rPr>
        <w:noProof/>
      </w:rPr>
      <w:instrText>1</w:instrText>
    </w:r>
    <w:r>
      <w:fldChar w:fldCharType="end"/>
    </w:r>
    <w:r>
      <w:instrText xml:space="preserve"> = "1" "</w:instrText>
    </w:r>
    <w:r>
      <w:rPr>
        <w:noProof/>
      </w:rPr>
      <w:fldChar w:fldCharType="begin"/>
    </w:r>
    <w:r>
      <w:rPr>
        <w:noProof/>
      </w:rPr>
      <w:instrText xml:space="preserve"> STYLEREF "Cover title" </w:instrText>
    </w:r>
    <w:r>
      <w:rPr>
        <w:noProof/>
      </w:rPr>
      <w:fldChar w:fldCharType="separate"/>
    </w:r>
    <w:r>
      <w:rPr>
        <w:noProof/>
      </w:rPr>
      <w:instrText>Prospect name</w:instrText>
    </w:r>
    <w:r>
      <w:rPr>
        <w:noProof/>
      </w:rPr>
      <w:fldChar w:fldCharType="end"/>
    </w:r>
  </w:p>
  <w:p w14:paraId="1262487D" w14:textId="77777777" w:rsidR="00E66FE1" w:rsidRDefault="00E66FE1" w:rsidP="006650EF">
    <w:pPr>
      <w:pStyle w:val="Footer"/>
    </w:pPr>
    <w:r>
      <w:instrText>PwC</w:instrText>
    </w:r>
    <w:r>
      <w:ptab w:relativeTo="margin" w:alignment="right" w:leader="none"/>
    </w:r>
    <w:r>
      <w:fldChar w:fldCharType="begin"/>
    </w:r>
    <w:r>
      <w:instrText xml:space="preserve"> PAGE </w:instrText>
    </w:r>
    <w:r>
      <w:fldChar w:fldCharType="separate"/>
    </w:r>
    <w:r>
      <w:rPr>
        <w:noProof/>
      </w:rPr>
      <w:instrText>5</w:instrText>
    </w:r>
    <w:r>
      <w:rPr>
        <w:noProof/>
      </w:rPr>
      <w:fldChar w:fldCharType="end"/>
    </w:r>
  </w:p>
  <w:p w14:paraId="5F83928A" w14:textId="77777777" w:rsidR="00E66FE1" w:rsidRDefault="00E66FE1" w:rsidP="006650EF">
    <w:pPr>
      <w:pStyle w:val="Footer-Even"/>
    </w:pPr>
    <w:r>
      <w:instrText>" "</w:instrText>
    </w:r>
    <w:r>
      <w:ptab w:relativeTo="margin" w:alignment="right" w:leader="none"/>
    </w:r>
    <w:r>
      <w:rPr>
        <w:noProof/>
      </w:rPr>
      <w:fldChar w:fldCharType="begin"/>
    </w:r>
    <w:r>
      <w:rPr>
        <w:noProof/>
      </w:rPr>
      <w:instrText xml:space="preserve"> STYLEREF "Cover title" </w:instrText>
    </w:r>
    <w:r>
      <w:rPr>
        <w:noProof/>
      </w:rPr>
      <w:fldChar w:fldCharType="separate"/>
    </w:r>
    <w:r>
      <w:rPr>
        <w:noProof/>
      </w:rPr>
      <w:instrText>Prospect name</w:instrText>
    </w:r>
    <w:r>
      <w:rPr>
        <w:noProof/>
      </w:rPr>
      <w:fldChar w:fldCharType="end"/>
    </w:r>
  </w:p>
  <w:p w14:paraId="55999BA3" w14:textId="77777777" w:rsidR="00E66FE1" w:rsidRDefault="00E66FE1" w:rsidP="006650EF">
    <w:pPr>
      <w:pStyle w:val="Footer-Even"/>
    </w:pPr>
    <w:r>
      <w:fldChar w:fldCharType="begin"/>
    </w:r>
    <w:r>
      <w:instrText xml:space="preserve"> PAGE </w:instrText>
    </w:r>
    <w:r>
      <w:fldChar w:fldCharType="separate"/>
    </w:r>
    <w:r>
      <w:rPr>
        <w:noProof/>
      </w:rPr>
      <w:instrText>4</w:instrText>
    </w:r>
    <w:r>
      <w:rPr>
        <w:noProof/>
      </w:rPr>
      <w:fldChar w:fldCharType="end"/>
    </w:r>
    <w:r>
      <w:ptab w:relativeTo="margin" w:alignment="right" w:leader="none"/>
    </w:r>
    <w:r>
      <w:instrText>PwC</w:instrText>
    </w:r>
  </w:p>
  <w:p w14:paraId="00F49E73" w14:textId="77777777" w:rsidR="00E66FE1" w:rsidRPr="006650EF" w:rsidRDefault="00E66FE1" w:rsidP="006650EF">
    <w:pPr>
      <w:pStyle w:val="Footer"/>
      <w:rPr>
        <w:noProof/>
        <w:sz w:val="2"/>
      </w:rPr>
    </w:pPr>
    <w:r w:rsidRPr="006650EF">
      <w:rPr>
        <w:sz w:val="2"/>
      </w:rPr>
      <w:instrText xml:space="preserve">" </w:instrText>
    </w:r>
    <w:r w:rsidRPr="006650EF">
      <w:rPr>
        <w:sz w:val="2"/>
      </w:rPr>
      <w:fldChar w:fldCharType="separate"/>
    </w:r>
    <w:r w:rsidRPr="006650EF">
      <w:rPr>
        <w:noProof/>
        <w:sz w:val="2"/>
      </w:rPr>
      <w:instrText>Prospect name</w:instrText>
    </w:r>
  </w:p>
  <w:p w14:paraId="436F5A46" w14:textId="77777777" w:rsidR="00E66FE1" w:rsidRPr="006650EF" w:rsidRDefault="00E66FE1" w:rsidP="006650EF">
    <w:pPr>
      <w:pStyle w:val="Footer"/>
      <w:rPr>
        <w:noProof/>
        <w:sz w:val="2"/>
      </w:rPr>
    </w:pPr>
    <w:r w:rsidRPr="006650EF">
      <w:rPr>
        <w:noProof/>
        <w:sz w:val="2"/>
      </w:rPr>
      <w:instrText>PwC</w:instrText>
    </w:r>
    <w:r w:rsidRPr="006650EF">
      <w:rPr>
        <w:noProof/>
        <w:sz w:val="2"/>
      </w:rPr>
      <w:tab/>
      <w:instrText>5</w:instrText>
    </w:r>
    <w:r w:rsidRPr="006650EF">
      <w:rPr>
        <w:noProof/>
        <w:sz w:val="2"/>
      </w:rPr>
      <w:tab/>
      <w:instrText>WWYLTG?</w:instrText>
    </w:r>
  </w:p>
  <w:p w14:paraId="21E707A0" w14:textId="77777777" w:rsidR="00E66FE1" w:rsidRDefault="00E66FE1" w:rsidP="006650EF">
    <w:pPr>
      <w:pStyle w:val="Footer"/>
      <w:rPr>
        <w:noProof/>
      </w:rPr>
    </w:pPr>
    <w:r w:rsidRPr="006650EF">
      <w:rPr>
        <w:sz w:val="2"/>
      </w:rPr>
      <w:fldChar w:fldCharType="end"/>
    </w:r>
    <w:r w:rsidRPr="006650EF">
      <w:rPr>
        <w:sz w:val="2"/>
      </w:rPr>
      <w:instrText xml:space="preserve"> </w:instrText>
    </w:r>
    <w:r w:rsidRPr="006650EF">
      <w:rPr>
        <w:sz w:val="2"/>
      </w:rPr>
      <w:fldChar w:fldCharType="separate"/>
    </w:r>
    <w:r>
      <w:rPr>
        <w:noProof/>
      </w:rPr>
      <w:t>Department of Communications and the Arts</w:t>
    </w:r>
  </w:p>
  <w:p w14:paraId="371C3C0C" w14:textId="77777777" w:rsidR="00E66FE1" w:rsidRPr="006650EF" w:rsidRDefault="00E66FE1" w:rsidP="006650EF">
    <w:pPr>
      <w:pStyle w:val="Footer"/>
      <w:rPr>
        <w:sz w:val="2"/>
      </w:rPr>
    </w:pPr>
    <w:r>
      <w:rPr>
        <w:noProof/>
      </w:rPr>
      <w:t>PwC</w:t>
    </w:r>
    <w:r>
      <w:rPr>
        <w:noProof/>
      </w:rPr>
      <w:ptab w:relativeTo="margin" w:alignment="right" w:leader="none"/>
    </w:r>
    <w:r>
      <w:rPr>
        <w:noProof/>
      </w:rPr>
      <w:t>30</w:t>
    </w:r>
    <w:r w:rsidRPr="006650EF">
      <w:rPr>
        <w:sz w:val="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735E4" w14:textId="5C9362C1" w:rsidR="00E66FE1" w:rsidRDefault="00E66FE1" w:rsidP="00B41847">
    <w:pPr>
      <w:pStyle w:val="Footer-ToCEven"/>
    </w:pPr>
    <w:r>
      <w:rPr>
        <w:noProof/>
      </w:rPr>
      <w:fldChar w:fldCharType="begin"/>
    </w:r>
    <w:r>
      <w:rPr>
        <w:noProof/>
      </w:rPr>
      <w:instrText xml:space="preserve"> STYLEREF "Cover Title" </w:instrText>
    </w:r>
    <w:r>
      <w:rPr>
        <w:noProof/>
      </w:rPr>
      <w:fldChar w:fldCharType="separate"/>
    </w:r>
    <w:r>
      <w:rPr>
        <w:noProof/>
      </w:rPr>
      <w:t>Department of Communications and the Arts</w:t>
    </w:r>
    <w:r>
      <w:rPr>
        <w:noProof/>
      </w:rPr>
      <w:fldChar w:fldCharType="end"/>
    </w:r>
  </w:p>
  <w:p w14:paraId="065B603C" w14:textId="77777777" w:rsidR="00E66FE1" w:rsidRPr="006650EF" w:rsidRDefault="00E66FE1" w:rsidP="00B41847">
    <w:pPr>
      <w:pStyle w:val="Footer-ToCEven"/>
    </w:pPr>
    <w:r>
      <w:t>PwC</w:t>
    </w:r>
    <w:r>
      <w:tab/>
    </w:r>
    <w:r>
      <w:fldChar w:fldCharType="begin"/>
    </w:r>
    <w:r>
      <w:instrText xml:space="preserve"> PAGE  \* MERGEFORMAT </w:instrText>
    </w:r>
    <w:r>
      <w:fldChar w:fldCharType="separate"/>
    </w:r>
    <w:r>
      <w:rPr>
        <w:noProof/>
      </w:rPr>
      <w:t>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631A2" w14:textId="77777777" w:rsidR="00E66FE1" w:rsidRDefault="00E66FE1" w:rsidP="00B41847">
    <w:pPr>
      <w:pStyle w:val="Footer-ToC"/>
    </w:pPr>
  </w:p>
  <w:p w14:paraId="736AFE79" w14:textId="5BE774E0" w:rsidR="00E66FE1" w:rsidRDefault="00E66FE1" w:rsidP="00B41847">
    <w:pPr>
      <w:pStyle w:val="Footer-ToC"/>
    </w:pPr>
    <w:r>
      <w:rPr>
        <w:noProof/>
      </w:rPr>
      <w:fldChar w:fldCharType="begin"/>
    </w:r>
    <w:r>
      <w:rPr>
        <w:noProof/>
      </w:rPr>
      <w:instrText xml:space="preserve"> STYLEREF "Cover Title" </w:instrText>
    </w:r>
    <w:r>
      <w:rPr>
        <w:noProof/>
      </w:rPr>
      <w:fldChar w:fldCharType="separate"/>
    </w:r>
    <w:r w:rsidR="00D27372">
      <w:rPr>
        <w:noProof/>
      </w:rPr>
      <w:t>Department of Communications and the Arts</w:t>
    </w:r>
    <w:r>
      <w:rPr>
        <w:noProof/>
      </w:rPr>
      <w:fldChar w:fldCharType="end"/>
    </w:r>
  </w:p>
  <w:p w14:paraId="6AB15400" w14:textId="750998F3" w:rsidR="00E66FE1" w:rsidRPr="00A84ADF" w:rsidRDefault="00E66FE1" w:rsidP="00B41847">
    <w:pPr>
      <w:pStyle w:val="Footer-ToC"/>
    </w:pPr>
    <w:r>
      <w:t>PwC</w:t>
    </w:r>
    <w:r>
      <w:tab/>
    </w:r>
    <w:r>
      <w:fldChar w:fldCharType="begin"/>
    </w:r>
    <w:r>
      <w:instrText xml:space="preserve"> PAGE  \* MERGEFORMAT </w:instrText>
    </w:r>
    <w:r>
      <w:fldChar w:fldCharType="separate"/>
    </w:r>
    <w:r w:rsidR="00D27372">
      <w:rPr>
        <w:noProof/>
      </w:rPr>
      <w:t>i</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2DFDF" w14:textId="2831F3BC" w:rsidR="00E66FE1" w:rsidRDefault="00E66FE1" w:rsidP="00B41847">
    <w:pPr>
      <w:pStyle w:val="Footer-ToC"/>
    </w:pPr>
    <w:r w:rsidRPr="006650EF">
      <w:rPr>
        <w:sz w:val="18"/>
      </w:rPr>
      <w:fldChar w:fldCharType="begin"/>
    </w:r>
    <w:r>
      <w:instrText xml:space="preserve"> IF </w:instrText>
    </w:r>
    <w:r w:rsidR="00D27372">
      <w:fldChar w:fldCharType="begin"/>
    </w:r>
    <w:r w:rsidR="00D27372">
      <w:instrText xml:space="preserve"> DOCPROPERTY "Mirror Margins" </w:instrText>
    </w:r>
    <w:r w:rsidR="00D27372">
      <w:fldChar w:fldCharType="separate"/>
    </w:r>
    <w:r>
      <w:instrText>N</w:instrText>
    </w:r>
    <w:r w:rsidR="00D27372">
      <w:fldChar w:fldCharType="end"/>
    </w:r>
    <w:r>
      <w:instrText xml:space="preserve"> = "N" "</w:instrText>
    </w:r>
    <w:r>
      <w:rPr>
        <w:noProof/>
      </w:rPr>
      <w:fldChar w:fldCharType="begin"/>
    </w:r>
    <w:r>
      <w:rPr>
        <w:noProof/>
      </w:rPr>
      <w:instrText xml:space="preserve"> STYLEREF "Cover title" </w:instrText>
    </w:r>
    <w:r>
      <w:rPr>
        <w:noProof/>
      </w:rPr>
      <w:fldChar w:fldCharType="separate"/>
    </w:r>
    <w:r>
      <w:rPr>
        <w:noProof/>
      </w:rPr>
      <w:instrText>Department of Communications and the Arts</w:instrText>
    </w:r>
    <w:r>
      <w:rPr>
        <w:noProof/>
      </w:rPr>
      <w:fldChar w:fldCharType="end"/>
    </w:r>
  </w:p>
  <w:p w14:paraId="41132083" w14:textId="77777777" w:rsidR="00E66FE1" w:rsidRDefault="00E66FE1" w:rsidP="00B41847">
    <w:pPr>
      <w:pStyle w:val="Footer-ToC"/>
    </w:pPr>
    <w:r>
      <w:instrText>PwC</w:instrText>
    </w:r>
    <w:r>
      <w:ptab w:relativeTo="margin" w:alignment="right" w:leader="none"/>
    </w:r>
    <w:r>
      <w:fldChar w:fldCharType="begin"/>
    </w:r>
    <w:r>
      <w:instrText xml:space="preserve"> PAGE </w:instrText>
    </w:r>
    <w:r>
      <w:fldChar w:fldCharType="separate"/>
    </w:r>
    <w:r>
      <w:rPr>
        <w:noProof/>
      </w:rPr>
      <w:instrText>i</w:instrText>
    </w:r>
    <w:r>
      <w:rPr>
        <w:noProof/>
      </w:rPr>
      <w:fldChar w:fldCharType="end"/>
    </w:r>
    <w:r>
      <w:instrText xml:space="preserve">" </w:instrText>
    </w:r>
    <w:r w:rsidRPr="006650EF">
      <w:rPr>
        <w:sz w:val="18"/>
      </w:rPr>
      <w:fldChar w:fldCharType="begin"/>
    </w:r>
    <w:r>
      <w:instrText xml:space="preserve"> IF </w:instrText>
    </w:r>
    <w:r>
      <w:fldChar w:fldCharType="begin"/>
    </w:r>
    <w:r>
      <w:instrText xml:space="preserve"> =mod( </w:instrText>
    </w:r>
    <w:r>
      <w:fldChar w:fldCharType="begin"/>
    </w:r>
    <w:r>
      <w:instrText xml:space="preserve"> PAGE \* Arabic </w:instrText>
    </w:r>
    <w:r>
      <w:fldChar w:fldCharType="separate"/>
    </w:r>
    <w:r>
      <w:rPr>
        <w:noProof/>
      </w:rPr>
      <w:instrText>5</w:instrText>
    </w:r>
    <w:r>
      <w:rPr>
        <w:noProof/>
      </w:rPr>
      <w:fldChar w:fldCharType="end"/>
    </w:r>
    <w:r>
      <w:instrText xml:space="preserve"> ,2) </w:instrText>
    </w:r>
    <w:r>
      <w:fldChar w:fldCharType="separate"/>
    </w:r>
    <w:r>
      <w:rPr>
        <w:noProof/>
      </w:rPr>
      <w:instrText>1</w:instrText>
    </w:r>
    <w:r>
      <w:fldChar w:fldCharType="end"/>
    </w:r>
    <w:r>
      <w:instrText xml:space="preserve"> = "1" "</w:instrText>
    </w:r>
    <w:r>
      <w:rPr>
        <w:noProof/>
      </w:rPr>
      <w:fldChar w:fldCharType="begin"/>
    </w:r>
    <w:r>
      <w:rPr>
        <w:noProof/>
      </w:rPr>
      <w:instrText xml:space="preserve"> STYLEREF "Cover title" </w:instrText>
    </w:r>
    <w:r>
      <w:rPr>
        <w:noProof/>
      </w:rPr>
      <w:fldChar w:fldCharType="separate"/>
    </w:r>
    <w:r>
      <w:rPr>
        <w:noProof/>
      </w:rPr>
      <w:instrText>Prospect name</w:instrText>
    </w:r>
    <w:r>
      <w:rPr>
        <w:noProof/>
      </w:rPr>
      <w:fldChar w:fldCharType="end"/>
    </w:r>
  </w:p>
  <w:p w14:paraId="15D32BC4" w14:textId="77777777" w:rsidR="00E66FE1" w:rsidRDefault="00E66FE1" w:rsidP="00B41847">
    <w:pPr>
      <w:pStyle w:val="Footer-ToC"/>
    </w:pPr>
    <w:r>
      <w:instrText>PwC</w:instrText>
    </w:r>
    <w:r>
      <w:ptab w:relativeTo="margin" w:alignment="right" w:leader="none"/>
    </w:r>
    <w:r>
      <w:fldChar w:fldCharType="begin"/>
    </w:r>
    <w:r>
      <w:instrText xml:space="preserve"> PAGE </w:instrText>
    </w:r>
    <w:r>
      <w:fldChar w:fldCharType="separate"/>
    </w:r>
    <w:r>
      <w:rPr>
        <w:noProof/>
      </w:rPr>
      <w:instrText>5</w:instrText>
    </w:r>
    <w:r>
      <w:rPr>
        <w:noProof/>
      </w:rPr>
      <w:fldChar w:fldCharType="end"/>
    </w:r>
  </w:p>
  <w:p w14:paraId="6142C070" w14:textId="77777777" w:rsidR="00E66FE1" w:rsidRDefault="00E66FE1" w:rsidP="00B41847">
    <w:pPr>
      <w:pStyle w:val="Footer-ToC"/>
    </w:pPr>
    <w:r>
      <w:instrText>" "</w:instrText>
    </w:r>
    <w:r>
      <w:ptab w:relativeTo="margin" w:alignment="right" w:leader="none"/>
    </w:r>
    <w:r>
      <w:rPr>
        <w:noProof/>
      </w:rPr>
      <w:fldChar w:fldCharType="begin"/>
    </w:r>
    <w:r>
      <w:rPr>
        <w:noProof/>
      </w:rPr>
      <w:instrText xml:space="preserve"> STYLEREF "Cover title" </w:instrText>
    </w:r>
    <w:r>
      <w:rPr>
        <w:noProof/>
      </w:rPr>
      <w:fldChar w:fldCharType="separate"/>
    </w:r>
    <w:r>
      <w:rPr>
        <w:noProof/>
      </w:rPr>
      <w:instrText>Prospect name</w:instrText>
    </w:r>
    <w:r>
      <w:rPr>
        <w:noProof/>
      </w:rPr>
      <w:fldChar w:fldCharType="end"/>
    </w:r>
  </w:p>
  <w:p w14:paraId="58DD7868" w14:textId="77777777" w:rsidR="00E66FE1" w:rsidRDefault="00E66FE1" w:rsidP="00B41847">
    <w:pPr>
      <w:pStyle w:val="Footer-ToC"/>
    </w:pPr>
    <w:r>
      <w:fldChar w:fldCharType="begin"/>
    </w:r>
    <w:r>
      <w:instrText xml:space="preserve"> PAGE </w:instrText>
    </w:r>
    <w:r>
      <w:fldChar w:fldCharType="separate"/>
    </w:r>
    <w:r>
      <w:rPr>
        <w:noProof/>
      </w:rPr>
      <w:instrText>4</w:instrText>
    </w:r>
    <w:r>
      <w:rPr>
        <w:noProof/>
      </w:rPr>
      <w:fldChar w:fldCharType="end"/>
    </w:r>
    <w:r>
      <w:ptab w:relativeTo="margin" w:alignment="right" w:leader="none"/>
    </w:r>
    <w:r>
      <w:instrText>PwC</w:instrText>
    </w:r>
  </w:p>
  <w:p w14:paraId="436100F4" w14:textId="77777777" w:rsidR="00E66FE1" w:rsidRPr="006650EF" w:rsidRDefault="00E66FE1" w:rsidP="00B41847">
    <w:pPr>
      <w:pStyle w:val="Footer-ToC"/>
      <w:rPr>
        <w:noProof/>
        <w:sz w:val="2"/>
      </w:rPr>
    </w:pPr>
    <w:r w:rsidRPr="006650EF">
      <w:rPr>
        <w:sz w:val="2"/>
      </w:rPr>
      <w:instrText xml:space="preserve">" </w:instrText>
    </w:r>
    <w:r w:rsidRPr="006650EF">
      <w:rPr>
        <w:sz w:val="2"/>
      </w:rPr>
      <w:fldChar w:fldCharType="separate"/>
    </w:r>
    <w:r w:rsidRPr="006650EF">
      <w:rPr>
        <w:noProof/>
        <w:sz w:val="2"/>
      </w:rPr>
      <w:instrText>Prospect name</w:instrText>
    </w:r>
  </w:p>
  <w:p w14:paraId="7B6E5BF1" w14:textId="77777777" w:rsidR="00E66FE1" w:rsidRPr="006650EF" w:rsidRDefault="00E66FE1" w:rsidP="00B41847">
    <w:pPr>
      <w:pStyle w:val="Footer-ToC"/>
      <w:rPr>
        <w:noProof/>
        <w:sz w:val="2"/>
      </w:rPr>
    </w:pPr>
    <w:r w:rsidRPr="006650EF">
      <w:rPr>
        <w:noProof/>
        <w:sz w:val="2"/>
      </w:rPr>
      <w:instrText>PwC</w:instrText>
    </w:r>
    <w:r w:rsidRPr="006650EF">
      <w:rPr>
        <w:noProof/>
        <w:sz w:val="2"/>
      </w:rPr>
      <w:tab/>
      <w:instrText>5</w:instrText>
    </w:r>
    <w:r w:rsidRPr="006650EF">
      <w:rPr>
        <w:noProof/>
        <w:sz w:val="2"/>
      </w:rPr>
      <w:tab/>
      <w:instrText>WWYLTG?</w:instrText>
    </w:r>
  </w:p>
  <w:p w14:paraId="4F9FE49F" w14:textId="21C45FF6" w:rsidR="00E66FE1" w:rsidRDefault="00E66FE1" w:rsidP="00B41847">
    <w:pPr>
      <w:pStyle w:val="Footer-ToC"/>
      <w:rPr>
        <w:noProof/>
      </w:rPr>
    </w:pPr>
    <w:r w:rsidRPr="006650EF">
      <w:rPr>
        <w:sz w:val="2"/>
      </w:rPr>
      <w:fldChar w:fldCharType="end"/>
    </w:r>
    <w:r w:rsidRPr="006650EF">
      <w:rPr>
        <w:sz w:val="2"/>
      </w:rPr>
      <w:instrText xml:space="preserve"> </w:instrText>
    </w:r>
    <w:r w:rsidRPr="006650EF">
      <w:rPr>
        <w:sz w:val="2"/>
      </w:rPr>
      <w:fldChar w:fldCharType="separate"/>
    </w:r>
    <w:r>
      <w:rPr>
        <w:noProof/>
      </w:rPr>
      <w:t>Department of Communications and the Arts</w:t>
    </w:r>
  </w:p>
  <w:p w14:paraId="0B8BB7AA" w14:textId="628E8359" w:rsidR="00E66FE1" w:rsidRPr="006650EF" w:rsidRDefault="00E66FE1" w:rsidP="00B41847">
    <w:pPr>
      <w:pStyle w:val="Footer-ToC"/>
      <w:rPr>
        <w:sz w:val="2"/>
      </w:rPr>
    </w:pPr>
    <w:r>
      <w:rPr>
        <w:noProof/>
      </w:rPr>
      <w:t>PwC</w:t>
    </w:r>
    <w:r>
      <w:rPr>
        <w:noProof/>
      </w:rPr>
      <w:ptab w:relativeTo="margin" w:alignment="right" w:leader="none"/>
    </w:r>
    <w:r>
      <w:rPr>
        <w:noProof/>
      </w:rPr>
      <w:t>i</w:t>
    </w:r>
    <w:r w:rsidRPr="006650EF">
      <w:rPr>
        <w:sz w:val="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27C77" w14:textId="18F8BFC7" w:rsidR="00E66FE1" w:rsidRDefault="00E66FE1" w:rsidP="00B41847">
    <w:pPr>
      <w:pStyle w:val="Footer-Even"/>
    </w:pPr>
    <w:r>
      <w:rPr>
        <w:noProof/>
      </w:rPr>
      <w:fldChar w:fldCharType="begin"/>
    </w:r>
    <w:r>
      <w:rPr>
        <w:noProof/>
      </w:rPr>
      <w:instrText xml:space="preserve"> STYLEREF "Cover Title" </w:instrText>
    </w:r>
    <w:r>
      <w:rPr>
        <w:noProof/>
      </w:rPr>
      <w:fldChar w:fldCharType="separate"/>
    </w:r>
    <w:r>
      <w:rPr>
        <w:noProof/>
      </w:rPr>
      <w:t>Department of Communications and the Arts</w:t>
    </w:r>
    <w:r>
      <w:rPr>
        <w:noProof/>
      </w:rPr>
      <w:fldChar w:fldCharType="end"/>
    </w:r>
  </w:p>
  <w:p w14:paraId="08BDCAF5" w14:textId="09D408F1" w:rsidR="00E66FE1" w:rsidRPr="002628D1" w:rsidRDefault="00E66FE1" w:rsidP="00B41847">
    <w:pPr>
      <w:pStyle w:val="Footer-Even"/>
    </w:pPr>
    <w:r>
      <w:t>PwC</w:t>
    </w:r>
    <w:r>
      <w:ptab w:relativeTo="margin" w:alignment="right" w:leader="none"/>
    </w:r>
    <w:r>
      <w:fldChar w:fldCharType="begin"/>
    </w:r>
    <w:r>
      <w:instrText xml:space="preserve"> PAGE  \* MERGEFORMAT </w:instrText>
    </w:r>
    <w:r>
      <w:fldChar w:fldCharType="separate"/>
    </w:r>
    <w:r>
      <w:rPr>
        <w:noProof/>
      </w:rPr>
      <w:t>18</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668D5" w14:textId="3E4D154C" w:rsidR="00E66FE1" w:rsidRPr="008C6722" w:rsidRDefault="00E66FE1" w:rsidP="00B41847">
    <w:pPr>
      <w:pStyle w:val="Footer"/>
    </w:pPr>
    <w:r>
      <w:rPr>
        <w:noProof/>
      </w:rPr>
      <w:fldChar w:fldCharType="begin"/>
    </w:r>
    <w:r>
      <w:rPr>
        <w:noProof/>
      </w:rPr>
      <w:instrText xml:space="preserve"> STYLEREF "Cover Title" </w:instrText>
    </w:r>
    <w:r>
      <w:rPr>
        <w:noProof/>
      </w:rPr>
      <w:fldChar w:fldCharType="separate"/>
    </w:r>
    <w:r w:rsidR="00D27372">
      <w:rPr>
        <w:noProof/>
      </w:rPr>
      <w:t>Department of Communications and the Arts</w:t>
    </w:r>
    <w:r>
      <w:rPr>
        <w:noProof/>
      </w:rPr>
      <w:fldChar w:fldCharType="end"/>
    </w:r>
  </w:p>
  <w:p w14:paraId="7F105E02" w14:textId="0973D9CA" w:rsidR="00E66FE1" w:rsidRPr="008C6722" w:rsidRDefault="00E66FE1" w:rsidP="00B41847">
    <w:pPr>
      <w:pStyle w:val="Footer"/>
    </w:pPr>
    <w:r w:rsidRPr="008C6722">
      <w:t>PwC</w:t>
    </w:r>
    <w:r>
      <w:ptab w:relativeTo="margin" w:alignment="right" w:leader="none"/>
    </w:r>
    <w:r>
      <w:fldChar w:fldCharType="begin"/>
    </w:r>
    <w:r>
      <w:instrText xml:space="preserve"> PAGE  \* MERGEFORMAT </w:instrText>
    </w:r>
    <w:r>
      <w:fldChar w:fldCharType="separate"/>
    </w:r>
    <w:r w:rsidR="00D27372">
      <w:rPr>
        <w:noProof/>
      </w:rPr>
      <w:t>20</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57169" w14:textId="5998B08D" w:rsidR="00E66FE1" w:rsidRDefault="00E66FE1" w:rsidP="006650EF">
    <w:pPr>
      <w:pStyle w:val="Footer"/>
    </w:pPr>
    <w:r w:rsidRPr="006650EF">
      <w:rPr>
        <w:sz w:val="18"/>
      </w:rPr>
      <w:fldChar w:fldCharType="begin"/>
    </w:r>
    <w:r>
      <w:instrText xml:space="preserve"> IF </w:instrText>
    </w:r>
    <w:r w:rsidR="00D27372">
      <w:fldChar w:fldCharType="begin"/>
    </w:r>
    <w:r w:rsidR="00D27372">
      <w:instrText xml:space="preserve"> DOCPROPERTY "Mirror Margins" </w:instrText>
    </w:r>
    <w:r w:rsidR="00D27372">
      <w:fldChar w:fldCharType="separate"/>
    </w:r>
    <w:r>
      <w:instrText>N</w:instrText>
    </w:r>
    <w:r w:rsidR="00D27372">
      <w:fldChar w:fldCharType="end"/>
    </w:r>
    <w:r>
      <w:instrText xml:space="preserve"> = "N" "</w:instrText>
    </w:r>
    <w:r>
      <w:rPr>
        <w:noProof/>
      </w:rPr>
      <w:fldChar w:fldCharType="begin"/>
    </w:r>
    <w:r>
      <w:rPr>
        <w:noProof/>
      </w:rPr>
      <w:instrText xml:space="preserve"> STYLEREF "Cover title" </w:instrText>
    </w:r>
    <w:r>
      <w:rPr>
        <w:noProof/>
      </w:rPr>
      <w:fldChar w:fldCharType="separate"/>
    </w:r>
    <w:r w:rsidR="00D27372">
      <w:rPr>
        <w:noProof/>
      </w:rPr>
      <w:instrText>Department of Communications and the Arts</w:instrText>
    </w:r>
    <w:r>
      <w:rPr>
        <w:noProof/>
      </w:rPr>
      <w:fldChar w:fldCharType="end"/>
    </w:r>
  </w:p>
  <w:p w14:paraId="3D4C7D72" w14:textId="67AED1A0" w:rsidR="00E66FE1" w:rsidRDefault="00E66FE1" w:rsidP="006650EF">
    <w:pPr>
      <w:pStyle w:val="Footer"/>
    </w:pPr>
    <w:r>
      <w:instrText>PwC</w:instrText>
    </w:r>
    <w:r>
      <w:ptab w:relativeTo="margin" w:alignment="right" w:leader="none"/>
    </w:r>
    <w:r>
      <w:fldChar w:fldCharType="begin"/>
    </w:r>
    <w:r>
      <w:instrText xml:space="preserve"> PAGE </w:instrText>
    </w:r>
    <w:r>
      <w:fldChar w:fldCharType="separate"/>
    </w:r>
    <w:r w:rsidR="00D27372">
      <w:rPr>
        <w:noProof/>
      </w:rPr>
      <w:instrText>2</w:instrText>
    </w:r>
    <w:r>
      <w:rPr>
        <w:noProof/>
      </w:rPr>
      <w:fldChar w:fldCharType="end"/>
    </w:r>
    <w:r>
      <w:instrText xml:space="preserve">" </w:instrText>
    </w:r>
    <w:r w:rsidRPr="006650EF">
      <w:rPr>
        <w:sz w:val="18"/>
      </w:rPr>
      <w:fldChar w:fldCharType="begin"/>
    </w:r>
    <w:r>
      <w:instrText xml:space="preserve"> IF </w:instrText>
    </w:r>
    <w:r>
      <w:fldChar w:fldCharType="begin"/>
    </w:r>
    <w:r>
      <w:instrText xml:space="preserve"> =mod( </w:instrText>
    </w:r>
    <w:r>
      <w:fldChar w:fldCharType="begin"/>
    </w:r>
    <w:r>
      <w:instrText xml:space="preserve"> PAGE \* Arabic </w:instrText>
    </w:r>
    <w:r>
      <w:fldChar w:fldCharType="separate"/>
    </w:r>
    <w:r>
      <w:rPr>
        <w:noProof/>
      </w:rPr>
      <w:instrText>5</w:instrText>
    </w:r>
    <w:r>
      <w:rPr>
        <w:noProof/>
      </w:rPr>
      <w:fldChar w:fldCharType="end"/>
    </w:r>
    <w:r>
      <w:instrText xml:space="preserve"> ,2) </w:instrText>
    </w:r>
    <w:r>
      <w:fldChar w:fldCharType="separate"/>
    </w:r>
    <w:r>
      <w:rPr>
        <w:noProof/>
      </w:rPr>
      <w:instrText>1</w:instrText>
    </w:r>
    <w:r>
      <w:fldChar w:fldCharType="end"/>
    </w:r>
    <w:r>
      <w:instrText xml:space="preserve"> = "1" "</w:instrText>
    </w:r>
    <w:r>
      <w:rPr>
        <w:noProof/>
      </w:rPr>
      <w:fldChar w:fldCharType="begin"/>
    </w:r>
    <w:r>
      <w:rPr>
        <w:noProof/>
      </w:rPr>
      <w:instrText xml:space="preserve"> STYLEREF "Cover title" </w:instrText>
    </w:r>
    <w:r>
      <w:rPr>
        <w:noProof/>
      </w:rPr>
      <w:fldChar w:fldCharType="separate"/>
    </w:r>
    <w:r>
      <w:rPr>
        <w:noProof/>
      </w:rPr>
      <w:instrText>Prospect name</w:instrText>
    </w:r>
    <w:r>
      <w:rPr>
        <w:noProof/>
      </w:rPr>
      <w:fldChar w:fldCharType="end"/>
    </w:r>
  </w:p>
  <w:p w14:paraId="3A755003" w14:textId="77777777" w:rsidR="00E66FE1" w:rsidRDefault="00E66FE1" w:rsidP="006650EF">
    <w:pPr>
      <w:pStyle w:val="Footer"/>
    </w:pPr>
    <w:r>
      <w:instrText>PwC</w:instrText>
    </w:r>
    <w:r>
      <w:ptab w:relativeTo="margin" w:alignment="right" w:leader="none"/>
    </w:r>
    <w:r>
      <w:fldChar w:fldCharType="begin"/>
    </w:r>
    <w:r>
      <w:instrText xml:space="preserve"> PAGE </w:instrText>
    </w:r>
    <w:r>
      <w:fldChar w:fldCharType="separate"/>
    </w:r>
    <w:r>
      <w:rPr>
        <w:noProof/>
      </w:rPr>
      <w:instrText>5</w:instrText>
    </w:r>
    <w:r>
      <w:rPr>
        <w:noProof/>
      </w:rPr>
      <w:fldChar w:fldCharType="end"/>
    </w:r>
  </w:p>
  <w:p w14:paraId="418B5583" w14:textId="77777777" w:rsidR="00E66FE1" w:rsidRDefault="00E66FE1" w:rsidP="006650EF">
    <w:pPr>
      <w:pStyle w:val="Footer-Even"/>
    </w:pPr>
    <w:r>
      <w:instrText>" "</w:instrText>
    </w:r>
    <w:r>
      <w:ptab w:relativeTo="margin" w:alignment="right" w:leader="none"/>
    </w:r>
    <w:r>
      <w:rPr>
        <w:noProof/>
      </w:rPr>
      <w:fldChar w:fldCharType="begin"/>
    </w:r>
    <w:r>
      <w:rPr>
        <w:noProof/>
      </w:rPr>
      <w:instrText xml:space="preserve"> STYLEREF "Cover title" </w:instrText>
    </w:r>
    <w:r>
      <w:rPr>
        <w:noProof/>
      </w:rPr>
      <w:fldChar w:fldCharType="separate"/>
    </w:r>
    <w:r>
      <w:rPr>
        <w:noProof/>
      </w:rPr>
      <w:instrText>Prospect name</w:instrText>
    </w:r>
    <w:r>
      <w:rPr>
        <w:noProof/>
      </w:rPr>
      <w:fldChar w:fldCharType="end"/>
    </w:r>
  </w:p>
  <w:p w14:paraId="195C54F0" w14:textId="77777777" w:rsidR="00E66FE1" w:rsidRDefault="00E66FE1" w:rsidP="006650EF">
    <w:pPr>
      <w:pStyle w:val="Footer-Even"/>
    </w:pPr>
    <w:r>
      <w:fldChar w:fldCharType="begin"/>
    </w:r>
    <w:r>
      <w:instrText xml:space="preserve"> PAGE </w:instrText>
    </w:r>
    <w:r>
      <w:fldChar w:fldCharType="separate"/>
    </w:r>
    <w:r>
      <w:rPr>
        <w:noProof/>
      </w:rPr>
      <w:instrText>4</w:instrText>
    </w:r>
    <w:r>
      <w:rPr>
        <w:noProof/>
      </w:rPr>
      <w:fldChar w:fldCharType="end"/>
    </w:r>
    <w:r>
      <w:ptab w:relativeTo="margin" w:alignment="right" w:leader="none"/>
    </w:r>
    <w:r>
      <w:instrText>PwC</w:instrText>
    </w:r>
  </w:p>
  <w:p w14:paraId="06334692" w14:textId="77777777" w:rsidR="00E66FE1" w:rsidRPr="006650EF" w:rsidRDefault="00E66FE1" w:rsidP="006650EF">
    <w:pPr>
      <w:pStyle w:val="Footer"/>
      <w:rPr>
        <w:noProof/>
        <w:sz w:val="2"/>
      </w:rPr>
    </w:pPr>
    <w:r w:rsidRPr="006650EF">
      <w:rPr>
        <w:sz w:val="2"/>
      </w:rPr>
      <w:instrText xml:space="preserve">" </w:instrText>
    </w:r>
    <w:r w:rsidRPr="006650EF">
      <w:rPr>
        <w:sz w:val="2"/>
      </w:rPr>
      <w:fldChar w:fldCharType="separate"/>
    </w:r>
    <w:r w:rsidRPr="006650EF">
      <w:rPr>
        <w:noProof/>
        <w:sz w:val="2"/>
      </w:rPr>
      <w:instrText>Prospect name</w:instrText>
    </w:r>
  </w:p>
  <w:p w14:paraId="7826F82C" w14:textId="77777777" w:rsidR="00E66FE1" w:rsidRPr="006650EF" w:rsidRDefault="00E66FE1" w:rsidP="006650EF">
    <w:pPr>
      <w:pStyle w:val="Footer"/>
      <w:rPr>
        <w:noProof/>
        <w:sz w:val="2"/>
      </w:rPr>
    </w:pPr>
    <w:r w:rsidRPr="006650EF">
      <w:rPr>
        <w:noProof/>
        <w:sz w:val="2"/>
      </w:rPr>
      <w:instrText>PwC</w:instrText>
    </w:r>
    <w:r w:rsidRPr="006650EF">
      <w:rPr>
        <w:noProof/>
        <w:sz w:val="2"/>
      </w:rPr>
      <w:tab/>
      <w:instrText>5</w:instrText>
    </w:r>
    <w:r w:rsidRPr="006650EF">
      <w:rPr>
        <w:noProof/>
        <w:sz w:val="2"/>
      </w:rPr>
      <w:tab/>
      <w:instrText>WWYLTG?</w:instrText>
    </w:r>
  </w:p>
  <w:p w14:paraId="7D643924" w14:textId="77777777" w:rsidR="00D27372" w:rsidRDefault="00E66FE1" w:rsidP="006650EF">
    <w:pPr>
      <w:pStyle w:val="Footer"/>
      <w:rPr>
        <w:noProof/>
      </w:rPr>
    </w:pPr>
    <w:r w:rsidRPr="006650EF">
      <w:rPr>
        <w:sz w:val="2"/>
      </w:rPr>
      <w:fldChar w:fldCharType="end"/>
    </w:r>
    <w:r w:rsidRPr="006650EF">
      <w:rPr>
        <w:sz w:val="2"/>
      </w:rPr>
      <w:instrText xml:space="preserve"> </w:instrText>
    </w:r>
    <w:r w:rsidRPr="006650EF">
      <w:rPr>
        <w:sz w:val="2"/>
      </w:rPr>
      <w:fldChar w:fldCharType="separate"/>
    </w:r>
    <w:r w:rsidR="00D27372">
      <w:rPr>
        <w:noProof/>
      </w:rPr>
      <w:t>Department of Communications and the Arts</w:t>
    </w:r>
  </w:p>
  <w:p w14:paraId="7BD7E59A" w14:textId="7FECDE5B" w:rsidR="00E66FE1" w:rsidRPr="006650EF" w:rsidRDefault="00D27372" w:rsidP="006650EF">
    <w:pPr>
      <w:pStyle w:val="Footer"/>
      <w:rPr>
        <w:sz w:val="2"/>
      </w:rPr>
    </w:pPr>
    <w:r>
      <w:rPr>
        <w:noProof/>
      </w:rPr>
      <w:t>PwC</w:t>
    </w:r>
    <w:r>
      <w:rPr>
        <w:noProof/>
      </w:rPr>
      <w:ptab w:relativeTo="margin" w:alignment="right" w:leader="none"/>
    </w:r>
    <w:r>
      <w:rPr>
        <w:noProof/>
      </w:rPr>
      <w:t>2</w:t>
    </w:r>
    <w:r w:rsidR="00E66FE1" w:rsidRPr="006650EF">
      <w:rPr>
        <w:sz w:val="2"/>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8D079" w14:textId="01A48CA0" w:rsidR="00E66FE1" w:rsidRPr="008C6722" w:rsidRDefault="00E66FE1" w:rsidP="00B41847">
    <w:pPr>
      <w:pStyle w:val="Footer"/>
    </w:pPr>
    <w:r>
      <w:rPr>
        <w:noProof/>
      </w:rPr>
      <w:fldChar w:fldCharType="begin"/>
    </w:r>
    <w:r>
      <w:rPr>
        <w:noProof/>
      </w:rPr>
      <w:instrText xml:space="preserve"> STYLEREF "Cover Title" </w:instrText>
    </w:r>
    <w:r>
      <w:rPr>
        <w:noProof/>
      </w:rPr>
      <w:fldChar w:fldCharType="separate"/>
    </w:r>
    <w:r w:rsidR="00DB47B8">
      <w:rPr>
        <w:noProof/>
      </w:rPr>
      <w:t>Department of Communications and the Arts</w:t>
    </w:r>
    <w:r>
      <w:rPr>
        <w:noProof/>
      </w:rPr>
      <w:fldChar w:fldCharType="end"/>
    </w:r>
  </w:p>
  <w:p w14:paraId="3B628B32" w14:textId="2087E395" w:rsidR="00E66FE1" w:rsidRPr="008C6722" w:rsidRDefault="00E66FE1" w:rsidP="00B41847">
    <w:pPr>
      <w:pStyle w:val="Footer"/>
    </w:pPr>
    <w:r w:rsidRPr="008C6722">
      <w:t>PwC</w:t>
    </w:r>
    <w:r>
      <w:ptab w:relativeTo="margin" w:alignment="right" w:leader="none"/>
    </w:r>
    <w:r>
      <w:fldChar w:fldCharType="begin"/>
    </w:r>
    <w:r>
      <w:instrText xml:space="preserve"> PAGE  \* MERGEFORMAT </w:instrText>
    </w:r>
    <w:r>
      <w:fldChar w:fldCharType="separate"/>
    </w:r>
    <w:r w:rsidR="00DB47B8">
      <w:rPr>
        <w:noProof/>
      </w:rPr>
      <w:t>41</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6F114" w14:textId="77777777" w:rsidR="00E66FE1" w:rsidRDefault="00E66FE1" w:rsidP="00B41847">
    <w:pPr>
      <w:pStyle w:val="URL"/>
      <w:framePr w:wrap="around"/>
    </w:pPr>
    <w:bookmarkStart w:id="56" w:name="URLEven"/>
    <w:r>
      <w:t>www.pwc.com.au</w:t>
    </w:r>
  </w:p>
  <w:p w14:paraId="4CBB46A2" w14:textId="77777777" w:rsidR="00E66FE1" w:rsidRDefault="00E66FE1" w:rsidP="00B41847">
    <w:pPr>
      <w:pStyle w:val="Copyright"/>
      <w:framePr w:wrap="around"/>
    </w:pPr>
    <w:bookmarkStart w:id="57" w:name="DisclaimerEven"/>
    <w:bookmarkEnd w:id="56"/>
    <w:r>
      <w:t>© 2018 PricewaterhouseCoopers Consulting (Australia) Pty Limited. All rights reserved.</w:t>
    </w:r>
  </w:p>
  <w:p w14:paraId="4791A1CC" w14:textId="77777777" w:rsidR="00E66FE1" w:rsidRDefault="00E66FE1" w:rsidP="00B41847">
    <w:pPr>
      <w:pStyle w:val="Copyright"/>
      <w:framePr w:wrap="around"/>
    </w:pPr>
    <w:r>
      <w:t>PwC refers to PricewaterhouseCoopers Consulting (Australia) Pty Limited, and may sometimes refer to the PwC network.</w:t>
    </w:r>
  </w:p>
  <w:p w14:paraId="38F8ECFF" w14:textId="77777777" w:rsidR="00E66FE1" w:rsidRDefault="00E66FE1" w:rsidP="00B41847">
    <w:pPr>
      <w:pStyle w:val="Copyright"/>
      <w:framePr w:wrap="around"/>
    </w:pPr>
    <w:r>
      <w:t>Each member firm is a separate legal entity. Please see www.pwc.com/structure for further details.</w:t>
    </w:r>
  </w:p>
  <w:p w14:paraId="40A8BCF7" w14:textId="77777777" w:rsidR="00E66FE1" w:rsidRDefault="00E66FE1" w:rsidP="00B41847">
    <w:pPr>
      <w:pStyle w:val="Copyright"/>
      <w:framePr w:wrap="around"/>
    </w:pPr>
  </w:p>
  <w:p w14:paraId="246630C4" w14:textId="77777777" w:rsidR="00E66FE1" w:rsidRPr="00A84ADF" w:rsidRDefault="00E66FE1" w:rsidP="00B41847">
    <w:pPr>
      <w:pStyle w:val="Copyright"/>
      <w:framePr w:wrap="around"/>
    </w:pPr>
    <w:r>
      <w:t>Liability limited by a scheme approved under Professional Standards Legislation</w:t>
    </w:r>
    <w:bookmarkEnd w:id="57"/>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6B7AF" w14:textId="77777777" w:rsidR="00E66FE1" w:rsidRDefault="00E66FE1" w:rsidP="004343B3">
      <w:pPr>
        <w:pStyle w:val="Separator"/>
      </w:pPr>
      <w:r>
        <w:separator/>
      </w:r>
    </w:p>
  </w:footnote>
  <w:footnote w:type="continuationSeparator" w:id="0">
    <w:p w14:paraId="408D8267" w14:textId="77777777" w:rsidR="00E66FE1" w:rsidRDefault="00E66FE1" w:rsidP="004343B3">
      <w:pPr>
        <w:pStyle w:val="Separator"/>
      </w:pPr>
      <w:r>
        <w:continuationSeparator/>
      </w:r>
    </w:p>
  </w:footnote>
  <w:footnote w:type="continuationNotice" w:id="1">
    <w:p w14:paraId="4E59605D" w14:textId="77777777" w:rsidR="00E66FE1" w:rsidRPr="00F20B7D" w:rsidRDefault="00E66FE1" w:rsidP="00F20B7D">
      <w:pPr>
        <w:pStyle w:val="Footer"/>
        <w:rPr>
          <w:sz w:val="2"/>
          <w:szCs w:val="2"/>
        </w:rPr>
      </w:pPr>
    </w:p>
    <w:p w14:paraId="55D2A14E" w14:textId="77777777" w:rsidR="00E66FE1" w:rsidRDefault="00E66FE1"/>
  </w:footnote>
  <w:footnote w:id="2">
    <w:p w14:paraId="0529A77E" w14:textId="09F21E58" w:rsidR="00E66FE1" w:rsidRPr="00C005CB" w:rsidRDefault="00E66FE1" w:rsidP="00D76E4F">
      <w:pPr>
        <w:pStyle w:val="FootnoteText"/>
      </w:pPr>
      <w:r w:rsidRPr="007B6F19">
        <w:rPr>
          <w:rStyle w:val="FootnoteReference"/>
        </w:rPr>
        <w:footnoteRef/>
      </w:r>
      <w:r w:rsidRPr="007B6F19">
        <w:t xml:space="preserve"> </w:t>
      </w:r>
      <w:r w:rsidRPr="007B6F19">
        <w:tab/>
      </w:r>
      <w:r>
        <w:t xml:space="preserve">OECD </w:t>
      </w:r>
      <w:r w:rsidRPr="0062023F">
        <w:t>(2013)</w:t>
      </w:r>
      <w:r w:rsidRPr="007B6F19">
        <w:t xml:space="preserve"> </w:t>
      </w:r>
      <w:r w:rsidRPr="0062023F">
        <w:t>The Role and Measurement of Quality</w:t>
      </w:r>
      <w:r>
        <w:t>, a</w:t>
      </w:r>
      <w:r w:rsidRPr="00C005CB">
        <w:t xml:space="preserve">vailable at: </w:t>
      </w:r>
      <w:hyperlink r:id="rId1" w:history="1">
        <w:r w:rsidRPr="00C55BBE">
          <w:rPr>
            <w:rStyle w:val="Hyperlink"/>
          </w:rPr>
          <w:t>http://www.oecd.org/competition/Quality-in-competition-analysis-2013.pdf</w:t>
        </w:r>
      </w:hyperlink>
      <w:r>
        <w:t>.</w:t>
      </w:r>
    </w:p>
  </w:footnote>
  <w:footnote w:id="3">
    <w:p w14:paraId="75474DD0" w14:textId="408C5069" w:rsidR="00E66FE1" w:rsidRPr="00B94F86" w:rsidRDefault="00E66FE1">
      <w:pPr>
        <w:pStyle w:val="FootnoteText"/>
        <w:rPr>
          <w:lang w:val="en-US"/>
        </w:rPr>
      </w:pPr>
      <w:r>
        <w:rPr>
          <w:rStyle w:val="FootnoteReference"/>
        </w:rPr>
        <w:footnoteRef/>
      </w:r>
      <w:r>
        <w:t xml:space="preserve"> </w:t>
      </w:r>
      <w:r>
        <w:tab/>
      </w:r>
      <w:r>
        <w:rPr>
          <w:lang w:val="en-US"/>
        </w:rPr>
        <w:t>For the purpose of this report, clarity refers to the coherence and intelligibility of the sound being transmitted, while fidelity refers to the precision of the sound ie whether it is true to its source.</w:t>
      </w:r>
    </w:p>
  </w:footnote>
  <w:footnote w:id="4">
    <w:p w14:paraId="57FF5126" w14:textId="2882D50F" w:rsidR="00E66FE1" w:rsidRPr="007B6F19" w:rsidRDefault="00E66FE1" w:rsidP="00E959AC">
      <w:pPr>
        <w:pStyle w:val="FootnoteText"/>
      </w:pPr>
      <w:r w:rsidRPr="007B6F19">
        <w:rPr>
          <w:rStyle w:val="FootnoteReference"/>
        </w:rPr>
        <w:footnoteRef/>
      </w:r>
      <w:r w:rsidRPr="007B6F19">
        <w:t xml:space="preserve"> </w:t>
      </w:r>
      <w:r w:rsidRPr="0062023F">
        <w:tab/>
        <w:t xml:space="preserve">The telecommunications regulator in </w:t>
      </w:r>
      <w:r w:rsidRPr="004F39BB">
        <w:t xml:space="preserve">Singapore considers a packet of data to be lost if the response is not received within two seconds form </w:t>
      </w:r>
      <w:r w:rsidRPr="00C55BBE">
        <w:rPr>
          <w:lang w:val="en-US"/>
        </w:rPr>
        <w:t>the time the packet</w:t>
      </w:r>
      <w:r w:rsidRPr="004F39BB">
        <w:t xml:space="preserve"> is sent, see: </w:t>
      </w:r>
      <w:hyperlink r:id="rId2" w:history="1">
        <w:r w:rsidRPr="00C55BBE">
          <w:rPr>
            <w:rStyle w:val="Hyperlink"/>
          </w:rPr>
          <w:t>https://www.imda.gov.sg/-/media/imda/files/regulation-licensing-and-consultations/licensing/licenses/compliance-to-ida-standards/page-b---qos-framework-for-fibre-broadband-services.pdf?la=en</w:t>
        </w:r>
      </w:hyperlink>
      <w:r>
        <w:t>.</w:t>
      </w:r>
    </w:p>
  </w:footnote>
  <w:footnote w:id="5">
    <w:p w14:paraId="17E583F4" w14:textId="7D6F08F9" w:rsidR="00E66FE1" w:rsidRPr="00C005CB" w:rsidRDefault="00E66FE1" w:rsidP="00500F31">
      <w:pPr>
        <w:pStyle w:val="FootnoteText"/>
        <w:rPr>
          <w:lang w:val="en-US"/>
        </w:rPr>
      </w:pPr>
      <w:r w:rsidRPr="007B6F19">
        <w:rPr>
          <w:rStyle w:val="FootnoteReference"/>
        </w:rPr>
        <w:footnoteRef/>
      </w:r>
      <w:r w:rsidRPr="007B6F19">
        <w:t xml:space="preserve"> </w:t>
      </w:r>
      <w:r w:rsidRPr="007B6F19">
        <w:tab/>
      </w:r>
      <w:r w:rsidRPr="0062023F">
        <w:rPr>
          <w:lang w:val="en-US"/>
        </w:rPr>
        <w:t>See: the Eight Dimensions of Qu</w:t>
      </w:r>
      <w:r>
        <w:rPr>
          <w:lang w:val="en-US"/>
        </w:rPr>
        <w:t>ality, SERVQUAL or RATER models.</w:t>
      </w:r>
    </w:p>
  </w:footnote>
  <w:footnote w:id="6">
    <w:p w14:paraId="5B03F677" w14:textId="3E34780A" w:rsidR="00E66FE1" w:rsidRPr="00C005CB" w:rsidRDefault="00E66FE1" w:rsidP="00500F31">
      <w:pPr>
        <w:pStyle w:val="FootnoteText"/>
        <w:rPr>
          <w:lang w:val="en-US"/>
        </w:rPr>
      </w:pPr>
      <w:r w:rsidRPr="007B6F19">
        <w:rPr>
          <w:rStyle w:val="FootnoteReference"/>
        </w:rPr>
        <w:footnoteRef/>
      </w:r>
      <w:r w:rsidRPr="007B6F19">
        <w:t xml:space="preserve"> </w:t>
      </w:r>
      <w:r w:rsidRPr="007B6F19">
        <w:tab/>
      </w:r>
      <w:r>
        <w:t xml:space="preserve">Harvard Business Review </w:t>
      </w:r>
      <w:r w:rsidRPr="0062023F">
        <w:rPr>
          <w:lang w:val="en-US"/>
        </w:rPr>
        <w:t>(1987)</w:t>
      </w:r>
      <w:r>
        <w:rPr>
          <w:lang w:val="en-US"/>
        </w:rPr>
        <w:t xml:space="preserve"> </w:t>
      </w:r>
      <w:r w:rsidRPr="0062023F">
        <w:rPr>
          <w:lang w:val="en-US"/>
        </w:rPr>
        <w:t>Competing on the eight dimensions of quality</w:t>
      </w:r>
      <w:r>
        <w:rPr>
          <w:lang w:val="en-US"/>
        </w:rPr>
        <w:t>, a</w:t>
      </w:r>
      <w:r w:rsidRPr="00C005CB">
        <w:rPr>
          <w:lang w:val="en-US"/>
        </w:rPr>
        <w:t xml:space="preserve">vailable at: </w:t>
      </w:r>
      <w:hyperlink r:id="rId3" w:history="1">
        <w:r w:rsidRPr="00C55BBE">
          <w:rPr>
            <w:rStyle w:val="Hyperlink"/>
          </w:rPr>
          <w:t>https://hbr.org/1987/11/competing-on-the-eight-dimensions-of-quality</w:t>
        </w:r>
      </w:hyperlink>
      <w:r>
        <w:t>.</w:t>
      </w:r>
    </w:p>
  </w:footnote>
  <w:footnote w:id="7">
    <w:p w14:paraId="4213105E" w14:textId="7DEDFE6E" w:rsidR="00E66FE1" w:rsidRPr="00C005CB" w:rsidRDefault="00E66FE1" w:rsidP="00500F31">
      <w:pPr>
        <w:pStyle w:val="FootnoteText"/>
        <w:rPr>
          <w:lang w:val="en-US"/>
        </w:rPr>
      </w:pPr>
      <w:r w:rsidRPr="007B6F19">
        <w:rPr>
          <w:rStyle w:val="FootnoteReference"/>
        </w:rPr>
        <w:footnoteRef/>
      </w:r>
      <w:r w:rsidRPr="007B6F19">
        <w:t xml:space="preserve"> </w:t>
      </w:r>
      <w:r w:rsidRPr="007B6F19">
        <w:tab/>
      </w:r>
      <w:r>
        <w:t>OECD</w:t>
      </w:r>
      <w:r w:rsidRPr="0062023F">
        <w:t xml:space="preserve"> </w:t>
      </w:r>
      <w:r w:rsidRPr="0062023F">
        <w:rPr>
          <w:lang w:val="en-US"/>
        </w:rPr>
        <w:t>(2013)</w:t>
      </w:r>
      <w:r>
        <w:rPr>
          <w:lang w:val="en-US"/>
        </w:rPr>
        <w:t xml:space="preserve"> </w:t>
      </w:r>
      <w:r w:rsidRPr="0062023F">
        <w:rPr>
          <w:lang w:val="en-US"/>
        </w:rPr>
        <w:t>The Role and Measurement of Quality</w:t>
      </w:r>
      <w:r>
        <w:rPr>
          <w:lang w:val="en-US"/>
        </w:rPr>
        <w:t>, a</w:t>
      </w:r>
      <w:r w:rsidRPr="00C005CB">
        <w:rPr>
          <w:lang w:val="en-US"/>
        </w:rPr>
        <w:t xml:space="preserve">vailable at: </w:t>
      </w:r>
      <w:hyperlink r:id="rId4" w:history="1">
        <w:r w:rsidRPr="00C55BBE">
          <w:rPr>
            <w:rStyle w:val="Hyperlink"/>
          </w:rPr>
          <w:t>http://www.oecd.org/competition/Quality-in-competition-analysis-2013.pdf</w:t>
        </w:r>
      </w:hyperlink>
      <w:r>
        <w:t>.</w:t>
      </w:r>
    </w:p>
  </w:footnote>
  <w:footnote w:id="8">
    <w:p w14:paraId="7067B785" w14:textId="2E46CA42" w:rsidR="00E66FE1" w:rsidRPr="00C005CB" w:rsidRDefault="00E66FE1" w:rsidP="00500F31">
      <w:pPr>
        <w:pStyle w:val="FootnoteText"/>
        <w:rPr>
          <w:lang w:val="en-US"/>
        </w:rPr>
      </w:pPr>
      <w:r w:rsidRPr="007B6F19">
        <w:rPr>
          <w:rStyle w:val="FootnoteReference"/>
        </w:rPr>
        <w:footnoteRef/>
      </w:r>
      <w:r w:rsidRPr="007B6F19">
        <w:t xml:space="preserve"> </w:t>
      </w:r>
      <w:r w:rsidRPr="007B6F19">
        <w:tab/>
      </w:r>
      <w:r>
        <w:t>Investopedia (Accessed June 2018)</w:t>
      </w:r>
      <w:r w:rsidRPr="0062023F">
        <w:t xml:space="preserve"> </w:t>
      </w:r>
      <w:r>
        <w:rPr>
          <w:lang w:val="en-US"/>
        </w:rPr>
        <w:t>Law of Supply and Demand, a</w:t>
      </w:r>
      <w:r w:rsidRPr="0062023F">
        <w:rPr>
          <w:lang w:val="en-US"/>
        </w:rPr>
        <w:t xml:space="preserve">vailable at: </w:t>
      </w:r>
      <w:hyperlink r:id="rId5" w:history="1">
        <w:r w:rsidRPr="00C55BBE">
          <w:rPr>
            <w:rStyle w:val="Hyperlink"/>
          </w:rPr>
          <w:t>https://www.investopedia.com/terms/l/law-of-supply-demand.asp</w:t>
        </w:r>
      </w:hyperlink>
      <w:r>
        <w:t>.</w:t>
      </w:r>
    </w:p>
  </w:footnote>
  <w:footnote w:id="9">
    <w:p w14:paraId="55F84D32" w14:textId="5856165C" w:rsidR="00E66FE1" w:rsidRPr="00C005CB" w:rsidRDefault="00E66FE1" w:rsidP="00500F31">
      <w:pPr>
        <w:pStyle w:val="FootnoteText"/>
        <w:rPr>
          <w:lang w:val="en-US"/>
        </w:rPr>
      </w:pPr>
      <w:r w:rsidRPr="007B6F19">
        <w:rPr>
          <w:rStyle w:val="FootnoteReference"/>
        </w:rPr>
        <w:footnoteRef/>
      </w:r>
      <w:r w:rsidRPr="007B6F19">
        <w:t xml:space="preserve"> </w:t>
      </w:r>
      <w:r w:rsidRPr="007B6F19">
        <w:tab/>
      </w:r>
      <w:r>
        <w:t>ACCC (2018) Competition and Price Changes in Telecommunications Services in Australia 2016–17, available at</w:t>
      </w:r>
      <w:r w:rsidRPr="00C005CB">
        <w:t xml:space="preserve">: </w:t>
      </w:r>
      <w:hyperlink r:id="rId6" w:history="1">
        <w:r w:rsidRPr="00C55BBE">
          <w:rPr>
            <w:rStyle w:val="Hyperlink"/>
          </w:rPr>
          <w:t>https://www.accc.gov.au/system/files/Competition%20and%20price%20changes%20in%20telecommunications%20services%20in%20Australia%202016–17.pdf</w:t>
        </w:r>
      </w:hyperlink>
      <w:r>
        <w:t>.</w:t>
      </w:r>
    </w:p>
  </w:footnote>
  <w:footnote w:id="10">
    <w:p w14:paraId="31B655F3" w14:textId="79A4A4C8" w:rsidR="00E66FE1" w:rsidRPr="00C55BBE" w:rsidRDefault="00E66FE1" w:rsidP="00500F31">
      <w:pPr>
        <w:pStyle w:val="FootnoteText"/>
      </w:pPr>
      <w:r w:rsidRPr="007B6F19">
        <w:rPr>
          <w:rStyle w:val="FootnoteReference"/>
        </w:rPr>
        <w:footnoteRef/>
      </w:r>
      <w:r w:rsidRPr="007B6F19">
        <w:t xml:space="preserve"> </w:t>
      </w:r>
      <w:r w:rsidRPr="007B6F19">
        <w:tab/>
      </w:r>
      <w:r>
        <w:t>EY (2013)</w:t>
      </w:r>
      <w:r w:rsidRPr="007B6F19">
        <w:t xml:space="preserve"> </w:t>
      </w:r>
      <w:r w:rsidRPr="0062023F">
        <w:rPr>
          <w:lang w:val="en-US"/>
        </w:rPr>
        <w:t>The Mobile Maze</w:t>
      </w:r>
      <w:r>
        <w:rPr>
          <w:lang w:val="en-US"/>
        </w:rPr>
        <w:t>, available at</w:t>
      </w:r>
      <w:r w:rsidRPr="0062023F">
        <w:rPr>
          <w:lang w:val="en-US"/>
        </w:rPr>
        <w:t xml:space="preserve">: </w:t>
      </w:r>
      <w:hyperlink r:id="rId7" w:history="1">
        <w:r w:rsidRPr="00C55BBE">
          <w:rPr>
            <w:rStyle w:val="Hyperlink"/>
          </w:rPr>
          <w:t>https://www.ey.com/Publication/vwLUAssets/EF0110/%24FILE/The-mobile-maze_EF0110.pdf</w:t>
        </w:r>
      </w:hyperlink>
      <w:r>
        <w:t>.</w:t>
      </w:r>
    </w:p>
  </w:footnote>
  <w:footnote w:id="11">
    <w:p w14:paraId="3B0C1C80" w14:textId="3C5272EF" w:rsidR="00E66FE1" w:rsidRPr="00C005CB" w:rsidRDefault="00E66FE1" w:rsidP="00500F31">
      <w:pPr>
        <w:pStyle w:val="FootnoteText"/>
        <w:rPr>
          <w:lang w:val="en-US"/>
        </w:rPr>
      </w:pPr>
      <w:r w:rsidRPr="007B6F19">
        <w:rPr>
          <w:rStyle w:val="FootnoteReference"/>
        </w:rPr>
        <w:footnoteRef/>
      </w:r>
      <w:r w:rsidRPr="007B6F19">
        <w:t xml:space="preserve"> </w:t>
      </w:r>
      <w:r w:rsidRPr="007B6F19">
        <w:tab/>
      </w:r>
      <w:r>
        <w:t xml:space="preserve">Deloitte </w:t>
      </w:r>
      <w:r w:rsidRPr="0062023F">
        <w:rPr>
          <w:lang w:val="en-US"/>
        </w:rPr>
        <w:t>(2017)</w:t>
      </w:r>
      <w:r>
        <w:rPr>
          <w:lang w:val="en-US"/>
        </w:rPr>
        <w:t xml:space="preserve"> </w:t>
      </w:r>
      <w:r w:rsidRPr="0062023F">
        <w:rPr>
          <w:lang w:val="en-US"/>
        </w:rPr>
        <w:t>Mobile Consumer Survey, The Australian Cut</w:t>
      </w:r>
      <w:r>
        <w:rPr>
          <w:lang w:val="en-US"/>
        </w:rPr>
        <w:t>,</w:t>
      </w:r>
      <w:r w:rsidRPr="0062023F">
        <w:rPr>
          <w:lang w:val="en-US"/>
        </w:rPr>
        <w:t xml:space="preserve"> </w:t>
      </w:r>
      <w:r>
        <w:rPr>
          <w:lang w:val="en-US"/>
        </w:rPr>
        <w:t>available</w:t>
      </w:r>
      <w:r w:rsidRPr="00C005CB">
        <w:rPr>
          <w:lang w:val="en-US"/>
        </w:rPr>
        <w:t xml:space="preserve"> at: </w:t>
      </w:r>
      <w:hyperlink r:id="rId8" w:history="1">
        <w:r w:rsidRPr="00C55BBE">
          <w:rPr>
            <w:rStyle w:val="Hyperlink"/>
          </w:rPr>
          <w:t>https://www2.deloitte.com/au/mobile-consumer-survey</w:t>
        </w:r>
      </w:hyperlink>
      <w:r>
        <w:t>.</w:t>
      </w:r>
    </w:p>
  </w:footnote>
  <w:footnote w:id="12">
    <w:p w14:paraId="271D6344" w14:textId="4210126A" w:rsidR="00E66FE1" w:rsidRPr="000B0990" w:rsidRDefault="00E66FE1" w:rsidP="00C55BBE">
      <w:pPr>
        <w:pStyle w:val="FootnoteText"/>
      </w:pPr>
      <w:r>
        <w:rPr>
          <w:rStyle w:val="FootnoteReference"/>
        </w:rPr>
        <w:footnoteRef/>
      </w:r>
      <w:r>
        <w:t xml:space="preserve"> </w:t>
      </w:r>
      <w:r>
        <w:tab/>
        <w:t xml:space="preserve">Currency exchange rates taken at 1 July 2018 from </w:t>
      </w:r>
      <w:hyperlink r:id="rId9" w:history="1">
        <w:r w:rsidRPr="00C55BBE">
          <w:rPr>
            <w:rStyle w:val="Hyperlink"/>
          </w:rPr>
          <w:t>https://www.xe.com/</w:t>
        </w:r>
      </w:hyperlink>
      <w:r>
        <w:t>.</w:t>
      </w:r>
    </w:p>
  </w:footnote>
  <w:footnote w:id="13">
    <w:p w14:paraId="091F6DE5" w14:textId="644BDFA1" w:rsidR="00E66FE1" w:rsidRDefault="00E66FE1">
      <w:pPr>
        <w:pStyle w:val="FootnoteText"/>
      </w:pPr>
      <w:r>
        <w:rPr>
          <w:rStyle w:val="FootnoteReference"/>
        </w:rPr>
        <w:footnoteRef/>
      </w:r>
      <w:r>
        <w:t xml:space="preserve"> </w:t>
      </w:r>
      <w:r>
        <w:tab/>
        <w:t xml:space="preserve">Infocomm Media Development Authority (accessed June 2018) </w:t>
      </w:r>
      <w:r w:rsidRPr="00F61130">
        <w:t>Quality of Service Performance Results for April</w:t>
      </w:r>
      <w:r>
        <w:t>–</w:t>
      </w:r>
      <w:r w:rsidRPr="00F61130">
        <w:t>June 2016</w:t>
      </w:r>
      <w:r>
        <w:t>, available at</w:t>
      </w:r>
      <w:r w:rsidRPr="00DD3E96">
        <w:t xml:space="preserve">: </w:t>
      </w:r>
      <w:hyperlink r:id="rId10" w:history="1">
        <w:r w:rsidRPr="00C55BBE">
          <w:rPr>
            <w:rStyle w:val="Hyperlink"/>
          </w:rPr>
          <w:t>https://www.imda.gov.sg/regulations-licensing-and-consultations/licensing/licences/licence-for-the-sale-of-telecommunication-equipment/compliance-to-imda-standards/3g-services/apr-jun-2016</w:t>
        </w:r>
      </w:hyperlink>
      <w:r>
        <w:t>.</w:t>
      </w:r>
    </w:p>
  </w:footnote>
  <w:footnote w:id="14">
    <w:p w14:paraId="08B3AE7E" w14:textId="4DCF0CE9" w:rsidR="00E66FE1" w:rsidRPr="00F405F6" w:rsidRDefault="00E66FE1">
      <w:pPr>
        <w:pStyle w:val="FootnoteText"/>
        <w:rPr>
          <w:lang w:val="en-US"/>
        </w:rPr>
      </w:pPr>
      <w:r>
        <w:rPr>
          <w:rStyle w:val="FootnoteReference"/>
        </w:rPr>
        <w:footnoteRef/>
      </w:r>
      <w:r>
        <w:t xml:space="preserve"> </w:t>
      </w:r>
      <w:r>
        <w:tab/>
        <w:t xml:space="preserve">ACMA (accessed June 2018) Network Reliability Framework, available at: </w:t>
      </w:r>
      <w:hyperlink r:id="rId11" w:history="1">
        <w:r w:rsidRPr="008456A3">
          <w:rPr>
            <w:rStyle w:val="Hyperlink"/>
          </w:rPr>
          <w:t>https://www.acma.gov.au/Industry/Telco/Carriers-and-service-providers/Universal-service-obligation/network-reliability-framework-carriers-service-providers-acma-1</w:t>
        </w:r>
      </w:hyperlink>
      <w:r>
        <w:t>.</w:t>
      </w:r>
    </w:p>
  </w:footnote>
  <w:footnote w:id="15">
    <w:p w14:paraId="4F8C926A" w14:textId="22BA45D6" w:rsidR="00E66FE1" w:rsidRPr="007B6F19" w:rsidRDefault="00E66FE1" w:rsidP="006721E0">
      <w:pPr>
        <w:pStyle w:val="FootnoteText"/>
      </w:pPr>
      <w:r w:rsidRPr="007B6F19">
        <w:rPr>
          <w:rStyle w:val="FootnoteReference"/>
        </w:rPr>
        <w:footnoteRef/>
      </w:r>
      <w:r w:rsidRPr="007B6F19">
        <w:t xml:space="preserve"> </w:t>
      </w:r>
      <w:r w:rsidRPr="007B6F19">
        <w:tab/>
        <w:t>Canadian Radio-television and Telecommunications Commission</w:t>
      </w:r>
      <w:r w:rsidRPr="00DD3E96">
        <w:t xml:space="preserve"> </w:t>
      </w:r>
      <w:r w:rsidRPr="0062023F">
        <w:t xml:space="preserve">(2005) </w:t>
      </w:r>
      <w:r w:rsidRPr="00C005CB">
        <w:t>Telecom Decision CRTC 2005-20</w:t>
      </w:r>
      <w:r>
        <w:t>, available at</w:t>
      </w:r>
      <w:r w:rsidRPr="00C005CB">
        <w:t xml:space="preserve">: </w:t>
      </w:r>
      <w:hyperlink r:id="rId12" w:history="1">
        <w:r w:rsidRPr="008456A3">
          <w:rPr>
            <w:rStyle w:val="Hyperlink"/>
          </w:rPr>
          <w:t>https://crtc.gc.ca/eng/archive/2005/dt2005-20.htm</w:t>
        </w:r>
      </w:hyperlink>
      <w:r>
        <w:t>.</w:t>
      </w:r>
    </w:p>
  </w:footnote>
  <w:footnote w:id="16">
    <w:p w14:paraId="5ED9BC28" w14:textId="75D56AF1" w:rsidR="00E66FE1" w:rsidRPr="007B6F19" w:rsidRDefault="00E66FE1" w:rsidP="006721E0">
      <w:pPr>
        <w:pStyle w:val="FootnoteText"/>
      </w:pPr>
      <w:r w:rsidRPr="007B6F19">
        <w:rPr>
          <w:rStyle w:val="FootnoteReference"/>
        </w:rPr>
        <w:footnoteRef/>
      </w:r>
      <w:r w:rsidRPr="007B6F19">
        <w:t xml:space="preserve"> </w:t>
      </w:r>
      <w:r w:rsidRPr="007B6F19">
        <w:tab/>
        <w:t>DLA Piper (2016) Telec</w:t>
      </w:r>
      <w:r w:rsidRPr="00DD3E96">
        <w:t>ommunications laws of the world - France</w:t>
      </w:r>
      <w:r>
        <w:t>, available at</w:t>
      </w:r>
      <w:r w:rsidRPr="00DD3E96">
        <w:t xml:space="preserve">: </w:t>
      </w:r>
      <w:hyperlink r:id="rId13" w:history="1">
        <w:r w:rsidRPr="008456A3">
          <w:rPr>
            <w:rStyle w:val="Hyperlink"/>
          </w:rPr>
          <w:t>https://www.dlapiperintelligence.com/telecoms/index.html?t=overview&amp;c=FR</w:t>
        </w:r>
      </w:hyperlink>
      <w:r>
        <w:t>.</w:t>
      </w:r>
    </w:p>
  </w:footnote>
  <w:footnote w:id="17">
    <w:p w14:paraId="62142797" w14:textId="7DA0A238" w:rsidR="00E66FE1" w:rsidRPr="007B6F19" w:rsidRDefault="00E66FE1" w:rsidP="00193BF6">
      <w:pPr>
        <w:pStyle w:val="FootnoteText"/>
        <w:keepLines/>
      </w:pPr>
      <w:r w:rsidRPr="007B6F19">
        <w:rPr>
          <w:rStyle w:val="FootnoteReference"/>
        </w:rPr>
        <w:footnoteRef/>
      </w:r>
      <w:r w:rsidRPr="007B6F19">
        <w:t xml:space="preserve"> </w:t>
      </w:r>
      <w:r w:rsidRPr="007B6F19">
        <w:tab/>
        <w:t>Singapore Government: Info-communications Media Development Authority (2018) Quality of Service</w:t>
      </w:r>
      <w:r>
        <w:t>, available at</w:t>
      </w:r>
      <w:r w:rsidRPr="0062023F">
        <w:t xml:space="preserve">: </w:t>
      </w:r>
      <w:hyperlink r:id="rId14" w:history="1">
        <w:r w:rsidRPr="008456A3">
          <w:rPr>
            <w:rStyle w:val="Hyperlink"/>
          </w:rPr>
          <w:t>https://www.imda.gov.sg/regulations-licensing-and-consultations/licensing/licences/licence-for-the-sale-of-telecommunication-equipment/compliance-to-imda-standards/quality-of-service</w:t>
        </w:r>
      </w:hyperlink>
      <w:r w:rsidRPr="00225950">
        <w:rPr>
          <w:rFonts w:eastAsia="Georgia"/>
          <w:snapToGrid/>
        </w:rPr>
        <w:t>.</w:t>
      </w:r>
    </w:p>
  </w:footnote>
  <w:footnote w:id="18">
    <w:p w14:paraId="33359D28" w14:textId="0C88BEA4" w:rsidR="00E66FE1" w:rsidRPr="00C005CB" w:rsidRDefault="00E66FE1" w:rsidP="00367B4D">
      <w:pPr>
        <w:pStyle w:val="FootnoteText"/>
        <w:rPr>
          <w:lang w:val="en-US"/>
        </w:rPr>
      </w:pPr>
      <w:r w:rsidRPr="007B6F19">
        <w:rPr>
          <w:rStyle w:val="FootnoteReference"/>
        </w:rPr>
        <w:footnoteRef/>
      </w:r>
      <w:r w:rsidRPr="007B6F19">
        <w:t xml:space="preserve"> </w:t>
      </w:r>
      <w:r>
        <w:tab/>
      </w:r>
      <w:r w:rsidRPr="002F0392">
        <w:rPr>
          <w:i/>
          <w:lang w:val="en-US"/>
        </w:rPr>
        <w:t>Telecommunications Act of 1996</w:t>
      </w:r>
      <w:r>
        <w:rPr>
          <w:lang w:val="en-US"/>
        </w:rPr>
        <w:t>, available at</w:t>
      </w:r>
      <w:r w:rsidRPr="00C005CB">
        <w:rPr>
          <w:lang w:val="en-US"/>
        </w:rPr>
        <w:t xml:space="preserve">: </w:t>
      </w:r>
      <w:hyperlink r:id="rId15" w:history="1">
        <w:r w:rsidRPr="008456A3">
          <w:rPr>
            <w:rStyle w:val="Hyperlink"/>
            <w:lang w:val="en-US"/>
          </w:rPr>
          <w:t>https://transition.fcc.gov/Reports/tcom1996.pdf</w:t>
        </w:r>
      </w:hyperlink>
      <w:r w:rsidRPr="00225950">
        <w:rPr>
          <w:rFonts w:eastAsia="Georgia"/>
          <w:snapToGrid/>
        </w:rPr>
        <w:t>.</w:t>
      </w:r>
    </w:p>
  </w:footnote>
  <w:footnote w:id="19">
    <w:p w14:paraId="2056A747" w14:textId="75065E96" w:rsidR="00E66FE1" w:rsidRPr="007B6F19" w:rsidRDefault="00E66FE1" w:rsidP="00FA2001">
      <w:pPr>
        <w:pStyle w:val="FootnoteText"/>
        <w:tabs>
          <w:tab w:val="clear" w:pos="284"/>
        </w:tabs>
        <w:ind w:left="284" w:hanging="284"/>
        <w:rPr>
          <w:rFonts w:asciiTheme="majorHAnsi" w:hAnsiTheme="majorHAnsi"/>
          <w:szCs w:val="14"/>
          <w:lang w:val="en-US"/>
        </w:rPr>
      </w:pPr>
      <w:r w:rsidRPr="007B6F19">
        <w:rPr>
          <w:rStyle w:val="FootnoteReference"/>
        </w:rPr>
        <w:footnoteRef/>
      </w:r>
      <w:r w:rsidRPr="007B6F19">
        <w:t xml:space="preserve"> </w:t>
      </w:r>
      <w:r w:rsidRPr="007B6F19">
        <w:tab/>
        <w:t>ACMA (September 2016) Introduction to the ACMA</w:t>
      </w:r>
      <w:r>
        <w:t>, available at</w:t>
      </w:r>
      <w:r w:rsidRPr="00DD3E96">
        <w:t xml:space="preserve">: </w:t>
      </w:r>
      <w:hyperlink r:id="rId16" w:anchor="1" w:history="1">
        <w:r w:rsidRPr="008456A3">
          <w:rPr>
            <w:rStyle w:val="Hyperlink"/>
            <w:rFonts w:asciiTheme="majorHAnsi" w:hAnsiTheme="majorHAnsi"/>
            <w:szCs w:val="14"/>
          </w:rPr>
          <w:t>https://www.acma.gov.au/theACMA/About/Corporate/Authority/introduction-to-the-acma#1</w:t>
        </w:r>
      </w:hyperlink>
      <w:r w:rsidRPr="00225950">
        <w:rPr>
          <w:rFonts w:eastAsia="Georgia"/>
          <w:snapToGrid/>
        </w:rPr>
        <w:t>.</w:t>
      </w:r>
    </w:p>
  </w:footnote>
  <w:footnote w:id="20">
    <w:p w14:paraId="608D9A33" w14:textId="7B5EF86A" w:rsidR="00E66FE1" w:rsidRPr="007B6F19" w:rsidRDefault="00E66FE1" w:rsidP="00FA2001">
      <w:pPr>
        <w:pStyle w:val="FootnoteText"/>
        <w:tabs>
          <w:tab w:val="clear" w:pos="284"/>
        </w:tabs>
        <w:ind w:left="284" w:hanging="284"/>
        <w:rPr>
          <w:lang w:val="en-US"/>
        </w:rPr>
      </w:pPr>
      <w:r w:rsidRPr="007B6F19">
        <w:rPr>
          <w:rStyle w:val="FootnoteReference"/>
        </w:rPr>
        <w:footnoteRef/>
      </w:r>
      <w:r w:rsidRPr="007B6F19">
        <w:t xml:space="preserve"> </w:t>
      </w:r>
      <w:r w:rsidRPr="007B6F19">
        <w:tab/>
      </w:r>
      <w:r w:rsidRPr="002F0392">
        <w:rPr>
          <w:rFonts w:asciiTheme="majorHAnsi" w:hAnsiTheme="majorHAnsi"/>
          <w:i/>
          <w:szCs w:val="14"/>
        </w:rPr>
        <w:t>Telecommunications Act 1997</w:t>
      </w:r>
      <w:r>
        <w:rPr>
          <w:rFonts w:asciiTheme="majorHAnsi" w:hAnsiTheme="majorHAnsi"/>
          <w:szCs w:val="14"/>
        </w:rPr>
        <w:t>, available at</w:t>
      </w:r>
      <w:r w:rsidRPr="007B6F19">
        <w:rPr>
          <w:rFonts w:asciiTheme="majorHAnsi" w:hAnsiTheme="majorHAnsi"/>
          <w:szCs w:val="14"/>
        </w:rPr>
        <w:t xml:space="preserve">: </w:t>
      </w:r>
      <w:hyperlink r:id="rId17" w:history="1">
        <w:r w:rsidRPr="008456A3">
          <w:rPr>
            <w:rStyle w:val="Hyperlink"/>
            <w:rFonts w:asciiTheme="majorHAnsi" w:hAnsiTheme="majorHAnsi"/>
            <w:szCs w:val="14"/>
          </w:rPr>
          <w:t>https://www.legislation.gov.au/Details/C2018C00311</w:t>
        </w:r>
      </w:hyperlink>
    </w:p>
  </w:footnote>
  <w:footnote w:id="21">
    <w:p w14:paraId="336192D6" w14:textId="39CAFC52" w:rsidR="00E66FE1" w:rsidRPr="00C005CB" w:rsidRDefault="00E66FE1" w:rsidP="00385998">
      <w:pPr>
        <w:pStyle w:val="FootnoteText"/>
        <w:tabs>
          <w:tab w:val="clear" w:pos="284"/>
        </w:tabs>
        <w:ind w:left="284" w:hanging="284"/>
        <w:rPr>
          <w:lang w:val="en-US"/>
        </w:rPr>
      </w:pPr>
      <w:r w:rsidRPr="007B6F19">
        <w:rPr>
          <w:rStyle w:val="FootnoteReference"/>
        </w:rPr>
        <w:footnoteRef/>
      </w:r>
      <w:r w:rsidRPr="007B6F19">
        <w:t xml:space="preserve"> </w:t>
      </w:r>
      <w:r w:rsidRPr="007B6F19">
        <w:rPr>
          <w:lang w:val="en-US"/>
        </w:rPr>
        <w:tab/>
        <w:t>ACCC</w:t>
      </w:r>
      <w:r>
        <w:rPr>
          <w:lang w:val="en-US"/>
        </w:rPr>
        <w:t xml:space="preserve"> (Accessed in June 2018)</w:t>
      </w:r>
      <w:r w:rsidRPr="007B6F19">
        <w:rPr>
          <w:lang w:val="en-US"/>
        </w:rPr>
        <w:t xml:space="preserve"> Monitoring Broadband Performance</w:t>
      </w:r>
      <w:r>
        <w:rPr>
          <w:lang w:val="en-US"/>
        </w:rPr>
        <w:t>, available at</w:t>
      </w:r>
      <w:r w:rsidRPr="007B6F19">
        <w:rPr>
          <w:lang w:val="en-US"/>
        </w:rPr>
        <w:t xml:space="preserve">: </w:t>
      </w:r>
      <w:hyperlink r:id="rId18" w:history="1">
        <w:r w:rsidRPr="008456A3">
          <w:rPr>
            <w:rStyle w:val="Hyperlink"/>
            <w:lang w:val="en-US"/>
          </w:rPr>
          <w:t>https://www.accc.gov.au/consumers/internet-phone/monitoring-broadband-performance</w:t>
        </w:r>
      </w:hyperlink>
      <w:r w:rsidRPr="00225950">
        <w:rPr>
          <w:rFonts w:eastAsia="Georgia"/>
          <w:snapToGrid/>
        </w:rPr>
        <w:t>.</w:t>
      </w:r>
    </w:p>
  </w:footnote>
  <w:footnote w:id="22">
    <w:p w14:paraId="11F24099" w14:textId="3E348863" w:rsidR="00E66FE1" w:rsidRPr="007B6F19" w:rsidRDefault="00E66FE1" w:rsidP="00500F31">
      <w:pPr>
        <w:pStyle w:val="FootnoteText"/>
        <w:tabs>
          <w:tab w:val="clear" w:pos="284"/>
        </w:tabs>
        <w:ind w:left="284" w:hanging="284"/>
      </w:pPr>
      <w:r w:rsidRPr="007B6F19">
        <w:rPr>
          <w:rStyle w:val="FootnoteReference"/>
        </w:rPr>
        <w:footnoteRef/>
      </w:r>
      <w:r w:rsidRPr="007B6F19">
        <w:t xml:space="preserve"> </w:t>
      </w:r>
      <w:r w:rsidRPr="007B6F19">
        <w:tab/>
        <w:t>Telecommunications (Customer Service Guarantee – Retail Performance Benchmarks) Instrument</w:t>
      </w:r>
      <w:r>
        <w:t>, available at</w:t>
      </w:r>
      <w:r w:rsidRPr="007B6F19">
        <w:t xml:space="preserve">: </w:t>
      </w:r>
      <w:hyperlink r:id="rId19" w:history="1">
        <w:r w:rsidRPr="008456A3">
          <w:rPr>
            <w:rStyle w:val="Hyperlink"/>
          </w:rPr>
          <w:t>https://www.legislation.gov.au/Details/F2012C00625</w:t>
        </w:r>
      </w:hyperlink>
      <w:r>
        <w:rPr>
          <w:rFonts w:eastAsia="Georgia"/>
          <w:snapToGrid/>
        </w:rPr>
        <w:t>.</w:t>
      </w:r>
    </w:p>
  </w:footnote>
  <w:footnote w:id="23">
    <w:p w14:paraId="15A4EC9A" w14:textId="00610573" w:rsidR="00E66FE1" w:rsidRPr="00F405F6" w:rsidRDefault="00E66FE1" w:rsidP="00500F31">
      <w:pPr>
        <w:pStyle w:val="FootnoteText"/>
        <w:tabs>
          <w:tab w:val="clear" w:pos="284"/>
        </w:tabs>
        <w:ind w:left="284" w:hanging="312"/>
      </w:pPr>
      <w:r w:rsidRPr="007B6F19">
        <w:rPr>
          <w:rStyle w:val="FootnoteReference"/>
        </w:rPr>
        <w:footnoteRef/>
      </w:r>
      <w:r w:rsidRPr="007B6F19">
        <w:t xml:space="preserve"> </w:t>
      </w:r>
      <w:r w:rsidRPr="007B6F19">
        <w:tab/>
        <w:t>ACMA (2015) Know your obligations - Carriers and carriage service providers, including internet and VoIP service providers</w:t>
      </w:r>
      <w:r>
        <w:t>, available at</w:t>
      </w:r>
      <w:r w:rsidRPr="007B6F19">
        <w:t xml:space="preserve">: </w:t>
      </w:r>
      <w:hyperlink r:id="rId20" w:history="1">
        <w:r w:rsidRPr="008456A3">
          <w:rPr>
            <w:rStyle w:val="Hyperlink"/>
          </w:rPr>
          <w:t>https://www.acma.gov.au/-/media/Networks/Publication/pdf/Know-Your-Telecommunications-Industry-Obligations-Booklet.pdf?la=en</w:t>
        </w:r>
      </w:hyperlink>
      <w:r>
        <w:rPr>
          <w:rFonts w:eastAsia="Georgia"/>
          <w:snapToGrid/>
        </w:rPr>
        <w:t>.</w:t>
      </w:r>
    </w:p>
  </w:footnote>
  <w:footnote w:id="24">
    <w:p w14:paraId="73157A34" w14:textId="251ACB32" w:rsidR="00E66FE1" w:rsidRPr="007B6F19" w:rsidRDefault="00E66FE1" w:rsidP="00500F31">
      <w:pPr>
        <w:pStyle w:val="FootnoteText"/>
        <w:tabs>
          <w:tab w:val="clear" w:pos="284"/>
        </w:tabs>
        <w:ind w:left="284" w:hanging="312"/>
        <w:rPr>
          <w:lang w:val="en-US"/>
        </w:rPr>
      </w:pPr>
      <w:r w:rsidRPr="007B6F19">
        <w:rPr>
          <w:rStyle w:val="FootnoteReference"/>
        </w:rPr>
        <w:footnoteRef/>
      </w:r>
      <w:r w:rsidRPr="007B6F19">
        <w:t xml:space="preserve"> </w:t>
      </w:r>
      <w:r w:rsidRPr="007B6F19">
        <w:tab/>
        <w:t xml:space="preserve">ACMA (2017) </w:t>
      </w:r>
      <w:r w:rsidRPr="00F405F6">
        <w:t>Customer Service Guarantee: FAQs</w:t>
      </w:r>
      <w:r>
        <w:t>, available at</w:t>
      </w:r>
      <w:r w:rsidRPr="007B6F19">
        <w:t xml:space="preserve">: </w:t>
      </w:r>
      <w:hyperlink r:id="rId21" w:history="1">
        <w:r w:rsidRPr="008456A3">
          <w:rPr>
            <w:rStyle w:val="Hyperlink"/>
          </w:rPr>
          <w:t>https://www.acma.gov.au/Citizen/Phones/Landlines/Phone-connection-and-repair/customer-service-guarantee-for-phone-users-faqs</w:t>
        </w:r>
      </w:hyperlink>
      <w:r>
        <w:rPr>
          <w:rFonts w:eastAsia="Georgia"/>
          <w:snapToGrid/>
        </w:rPr>
        <w:t>.</w:t>
      </w:r>
    </w:p>
  </w:footnote>
  <w:footnote w:id="25">
    <w:p w14:paraId="19FE07D1" w14:textId="516CEF55" w:rsidR="00E66FE1" w:rsidRPr="007B6F19" w:rsidRDefault="00E66FE1" w:rsidP="00500F31">
      <w:pPr>
        <w:pStyle w:val="FootnoteText"/>
        <w:tabs>
          <w:tab w:val="clear" w:pos="284"/>
        </w:tabs>
        <w:ind w:left="284" w:hanging="312"/>
        <w:rPr>
          <w:lang w:val="en-US"/>
        </w:rPr>
      </w:pPr>
      <w:r w:rsidRPr="007B6F19">
        <w:rPr>
          <w:rStyle w:val="FootnoteReference"/>
        </w:rPr>
        <w:footnoteRef/>
      </w:r>
      <w:r w:rsidRPr="007B6F19">
        <w:t xml:space="preserve"> </w:t>
      </w:r>
      <w:r w:rsidRPr="007B6F19">
        <w:tab/>
      </w:r>
      <w:r>
        <w:t>ACMA</w:t>
      </w:r>
      <w:r w:rsidRPr="007B6F19">
        <w:t>. (2017). Communications report 2016–17</w:t>
      </w:r>
      <w:r>
        <w:t>, available at</w:t>
      </w:r>
      <w:r w:rsidRPr="007B6F19">
        <w:t xml:space="preserve">: </w:t>
      </w:r>
      <w:hyperlink r:id="rId22" w:history="1">
        <w:r w:rsidRPr="008456A3">
          <w:rPr>
            <w:rStyle w:val="Hyperlink"/>
          </w:rPr>
          <w:t>https://www.acma.gov.au/-/media/Research-and-Analysis/Report/pdf/Communications-report-</w:t>
        </w:r>
        <w:r>
          <w:rPr>
            <w:rStyle w:val="Hyperlink"/>
          </w:rPr>
          <w:t>2016–17</w:t>
        </w:r>
        <w:r w:rsidRPr="008456A3">
          <w:rPr>
            <w:rStyle w:val="Hyperlink"/>
          </w:rPr>
          <w:t>-pdf.pdf?la=en</w:t>
        </w:r>
      </w:hyperlink>
      <w:r>
        <w:rPr>
          <w:rFonts w:eastAsia="Georgia"/>
          <w:snapToGrid/>
        </w:rPr>
        <w:t>.</w:t>
      </w:r>
    </w:p>
  </w:footnote>
  <w:footnote w:id="26">
    <w:p w14:paraId="417E9832" w14:textId="4D28820A" w:rsidR="00E66FE1" w:rsidRPr="007B6F19" w:rsidRDefault="00E66FE1" w:rsidP="00500F31">
      <w:pPr>
        <w:pStyle w:val="FootnoteText"/>
        <w:tabs>
          <w:tab w:val="clear" w:pos="284"/>
        </w:tabs>
        <w:ind w:left="284" w:hanging="312"/>
        <w:rPr>
          <w:lang w:val="en-US"/>
        </w:rPr>
      </w:pPr>
      <w:r w:rsidRPr="007B6F19">
        <w:rPr>
          <w:rStyle w:val="FootnoteReference"/>
        </w:rPr>
        <w:footnoteRef/>
      </w:r>
      <w:r w:rsidRPr="007B6F19">
        <w:t xml:space="preserve"> </w:t>
      </w:r>
      <w:r w:rsidRPr="007B6F19">
        <w:tab/>
        <w:t>Telstra (2018) Network Reliability Framework for fixed voice services</w:t>
      </w:r>
      <w:r>
        <w:t>, available at</w:t>
      </w:r>
      <w:r w:rsidRPr="007B6F19">
        <w:t xml:space="preserve">: </w:t>
      </w:r>
      <w:hyperlink r:id="rId23" w:history="1">
        <w:r w:rsidRPr="008456A3">
          <w:rPr>
            <w:rStyle w:val="Hyperlink"/>
          </w:rPr>
          <w:t>https://www.telstra.com.au/consumer-advice/customer-service/network-reliability</w:t>
        </w:r>
      </w:hyperlink>
      <w:r w:rsidRPr="00225950">
        <w:rPr>
          <w:rFonts w:eastAsia="Georgia"/>
          <w:snapToGrid/>
        </w:rPr>
        <w:t>.</w:t>
      </w:r>
    </w:p>
  </w:footnote>
  <w:footnote w:id="27">
    <w:p w14:paraId="30A183A4" w14:textId="5B2669A4" w:rsidR="00E66FE1" w:rsidRPr="007B6F19" w:rsidRDefault="00E66FE1" w:rsidP="00500F31">
      <w:pPr>
        <w:pStyle w:val="FootnoteText"/>
        <w:tabs>
          <w:tab w:val="clear" w:pos="284"/>
        </w:tabs>
        <w:ind w:left="284" w:hanging="284"/>
      </w:pPr>
      <w:r w:rsidRPr="007B6F19">
        <w:rPr>
          <w:rStyle w:val="FootnoteReference"/>
        </w:rPr>
        <w:footnoteRef/>
      </w:r>
      <w:r w:rsidRPr="007B6F19">
        <w:t xml:space="preserve"> </w:t>
      </w:r>
      <w:r w:rsidRPr="007B6F19">
        <w:tab/>
        <w:t>Telstra (</w:t>
      </w:r>
      <w:r>
        <w:t>Accessed 2018)</w:t>
      </w:r>
      <w:r w:rsidRPr="007B6F19">
        <w:t xml:space="preserve"> NBN Transition</w:t>
      </w:r>
      <w:r>
        <w:t>, available at</w:t>
      </w:r>
      <w:r w:rsidRPr="007B6F19">
        <w:t xml:space="preserve">: </w:t>
      </w:r>
      <w:hyperlink r:id="rId24" w:history="1">
        <w:r w:rsidRPr="008456A3">
          <w:rPr>
            <w:rStyle w:val="Hyperlink"/>
          </w:rPr>
          <w:t>https://www.telstrawholesale.com.au/nbn.html</w:t>
        </w:r>
      </w:hyperlink>
      <w:r>
        <w:rPr>
          <w:rFonts w:eastAsia="Georgia"/>
          <w:snapToGrid/>
        </w:rPr>
        <w:t>.</w:t>
      </w:r>
    </w:p>
  </w:footnote>
  <w:footnote w:id="28">
    <w:p w14:paraId="1C53BAAB" w14:textId="6BAFA9A4" w:rsidR="00E66FE1" w:rsidRDefault="00E66FE1">
      <w:pPr>
        <w:pStyle w:val="FootnoteText"/>
      </w:pPr>
      <w:r>
        <w:rPr>
          <w:rStyle w:val="FootnoteReference"/>
        </w:rPr>
        <w:footnoteRef/>
      </w:r>
      <w:r>
        <w:t xml:space="preserve"> </w:t>
      </w:r>
      <w:r>
        <w:tab/>
      </w:r>
      <w:r w:rsidRPr="005A6ABA">
        <w:t>Carrier Licence Conditions (Telstra Corporation Limited) Declaration 1997</w:t>
      </w:r>
      <w:r>
        <w:t xml:space="preserve">, available at: </w:t>
      </w:r>
      <w:hyperlink r:id="rId25" w:history="1">
        <w:r w:rsidRPr="008456A3">
          <w:rPr>
            <w:rStyle w:val="Hyperlink"/>
          </w:rPr>
          <w:t>https://www.legislation.gov.au/Details/F2018C00380</w:t>
        </w:r>
      </w:hyperlink>
      <w:r>
        <w:rPr>
          <w:rFonts w:eastAsia="Georgia"/>
          <w:snapToGrid/>
        </w:rPr>
        <w:t>.</w:t>
      </w:r>
    </w:p>
  </w:footnote>
  <w:footnote w:id="29">
    <w:p w14:paraId="05CC2E27" w14:textId="4D0BFC74" w:rsidR="00E66FE1" w:rsidRDefault="00E66FE1" w:rsidP="006721E0">
      <w:pPr>
        <w:pStyle w:val="FootnoteText"/>
        <w:tabs>
          <w:tab w:val="clear" w:pos="284"/>
        </w:tabs>
        <w:ind w:left="284" w:hanging="284"/>
      </w:pPr>
      <w:r>
        <w:rPr>
          <w:rStyle w:val="FootnoteReference"/>
        </w:rPr>
        <w:footnoteRef/>
      </w:r>
      <w:r>
        <w:t xml:space="preserve"> </w:t>
      </w:r>
      <w:r>
        <w:tab/>
        <w:t xml:space="preserve">Telstra (Accessed June 2018) Priority Assistance for Life Threatening Medical Conditions Policy, available at: </w:t>
      </w:r>
      <w:hyperlink r:id="rId26" w:history="1">
        <w:r w:rsidRPr="008456A3">
          <w:rPr>
            <w:rStyle w:val="Hyperlink"/>
          </w:rPr>
          <w:t>https://www.telstra.com.au/content/dam/tcom/personal/consumer-advice/pdf/priority-assist-policy.pdf</w:t>
        </w:r>
      </w:hyperlink>
      <w:r>
        <w:rPr>
          <w:rFonts w:eastAsia="Georgia"/>
          <w:snapToGrid/>
        </w:rPr>
        <w:t>.</w:t>
      </w:r>
    </w:p>
  </w:footnote>
  <w:footnote w:id="30">
    <w:p w14:paraId="7AC5C99D" w14:textId="4B98CE8C" w:rsidR="00E66FE1" w:rsidRPr="007B6F19" w:rsidRDefault="00E66FE1" w:rsidP="006721E0">
      <w:pPr>
        <w:pStyle w:val="FootnoteText"/>
        <w:tabs>
          <w:tab w:val="clear" w:pos="284"/>
        </w:tabs>
        <w:ind w:left="284" w:hanging="312"/>
        <w:rPr>
          <w:lang w:val="en-US"/>
        </w:rPr>
      </w:pPr>
      <w:r w:rsidRPr="007B6F19">
        <w:rPr>
          <w:rStyle w:val="FootnoteReference"/>
        </w:rPr>
        <w:footnoteRef/>
      </w:r>
      <w:r w:rsidRPr="007B6F19">
        <w:t xml:space="preserve"> </w:t>
      </w:r>
      <w:r w:rsidRPr="007B6F19">
        <w:tab/>
      </w:r>
      <w:r>
        <w:t>ACMA</w:t>
      </w:r>
      <w:r w:rsidRPr="007B6F19">
        <w:t xml:space="preserve"> (2017) Communications report 2016–17</w:t>
      </w:r>
      <w:r>
        <w:t>, available at</w:t>
      </w:r>
      <w:r w:rsidRPr="007B6F19">
        <w:t xml:space="preserve">: </w:t>
      </w:r>
      <w:hyperlink r:id="rId27" w:history="1">
        <w:r w:rsidRPr="008456A3">
          <w:rPr>
            <w:rStyle w:val="Hyperlink"/>
          </w:rPr>
          <w:t>https://www.acma.gov.au/-/media/Research-and-Analysis/Report/pdf/Communications-report-</w:t>
        </w:r>
        <w:r>
          <w:rPr>
            <w:rStyle w:val="Hyperlink"/>
          </w:rPr>
          <w:t>2016–17</w:t>
        </w:r>
        <w:r w:rsidRPr="008456A3">
          <w:rPr>
            <w:rStyle w:val="Hyperlink"/>
          </w:rPr>
          <w:t>-pdf.pdf?la=en</w:t>
        </w:r>
      </w:hyperlink>
      <w:r>
        <w:rPr>
          <w:rFonts w:eastAsia="Georgia"/>
          <w:snapToGrid/>
        </w:rPr>
        <w:t>.</w:t>
      </w:r>
    </w:p>
  </w:footnote>
  <w:footnote w:id="31">
    <w:p w14:paraId="08906508" w14:textId="4038B171" w:rsidR="00E66FE1" w:rsidRDefault="00E66FE1" w:rsidP="006721E0">
      <w:pPr>
        <w:pStyle w:val="FootnoteText"/>
        <w:tabs>
          <w:tab w:val="clear" w:pos="284"/>
        </w:tabs>
        <w:ind w:left="284" w:hanging="284"/>
      </w:pPr>
      <w:r>
        <w:rPr>
          <w:rStyle w:val="FootnoteReference"/>
        </w:rPr>
        <w:footnoteRef/>
      </w:r>
      <w:r>
        <w:t xml:space="preserve"> </w:t>
      </w:r>
      <w:r>
        <w:tab/>
      </w:r>
      <w:r w:rsidRPr="006721E0">
        <w:t xml:space="preserve">iPrimus (Accessed July 2018), Priority Assistance, available at: </w:t>
      </w:r>
      <w:hyperlink r:id="rId28" w:history="1">
        <w:r w:rsidRPr="008456A3">
          <w:rPr>
            <w:rStyle w:val="Hyperlink"/>
          </w:rPr>
          <w:t>https://www.iprimus.com.au/support/priority-assistance/</w:t>
        </w:r>
      </w:hyperlink>
      <w:r>
        <w:rPr>
          <w:rFonts w:eastAsia="Georgia"/>
          <w:snapToGrid/>
        </w:rPr>
        <w:t>.</w:t>
      </w:r>
    </w:p>
  </w:footnote>
  <w:footnote w:id="32">
    <w:p w14:paraId="16E76D44" w14:textId="59FC1B0F" w:rsidR="00E66FE1" w:rsidRPr="007B6F19" w:rsidRDefault="00E66FE1" w:rsidP="00FA2001">
      <w:pPr>
        <w:pStyle w:val="FootnoteText"/>
        <w:tabs>
          <w:tab w:val="clear" w:pos="284"/>
        </w:tabs>
        <w:ind w:left="284" w:hanging="284"/>
        <w:rPr>
          <w:lang w:val="en-US"/>
        </w:rPr>
      </w:pPr>
      <w:r w:rsidRPr="007B6F19">
        <w:rPr>
          <w:rStyle w:val="FootnoteReference"/>
        </w:rPr>
        <w:footnoteRef/>
      </w:r>
      <w:r w:rsidRPr="007B6F19">
        <w:t xml:space="preserve"> </w:t>
      </w:r>
      <w:r w:rsidRPr="007B6F19">
        <w:tab/>
        <w:t xml:space="preserve">ACMA (2017) </w:t>
      </w:r>
      <w:r w:rsidRPr="00F405F6">
        <w:t>Customer Service Guarantee: FAQs</w:t>
      </w:r>
      <w:r>
        <w:t>, available at</w:t>
      </w:r>
      <w:r w:rsidRPr="007B6F19">
        <w:t xml:space="preserve">: </w:t>
      </w:r>
      <w:hyperlink r:id="rId29" w:history="1">
        <w:r w:rsidRPr="008456A3">
          <w:rPr>
            <w:rStyle w:val="Hyperlink"/>
          </w:rPr>
          <w:t>https://www.acma.gov.au/Citizen/Phones/Landlines/Phone-connection-and-repair/customer-service-guarantee-for-phone-users-faqs</w:t>
        </w:r>
      </w:hyperlink>
      <w:r>
        <w:rPr>
          <w:rFonts w:eastAsia="Georgia"/>
          <w:snapToGrid/>
        </w:rPr>
        <w:t>.</w:t>
      </w:r>
    </w:p>
  </w:footnote>
  <w:footnote w:id="33">
    <w:p w14:paraId="47578A37" w14:textId="37A6F494" w:rsidR="00E66FE1" w:rsidRPr="007B6F19" w:rsidRDefault="00E66FE1" w:rsidP="00FA2001">
      <w:pPr>
        <w:pStyle w:val="FootnoteText"/>
        <w:tabs>
          <w:tab w:val="clear" w:pos="284"/>
        </w:tabs>
        <w:ind w:left="284" w:hanging="284"/>
        <w:rPr>
          <w:lang w:val="en-US"/>
        </w:rPr>
      </w:pPr>
      <w:r w:rsidRPr="007B6F19">
        <w:rPr>
          <w:rStyle w:val="FootnoteReference"/>
        </w:rPr>
        <w:footnoteRef/>
      </w:r>
      <w:r w:rsidRPr="007B6F19">
        <w:t xml:space="preserve"> </w:t>
      </w:r>
      <w:r w:rsidRPr="007B6F19">
        <w:tab/>
        <w:t xml:space="preserve">NBN Co Ltd. (2017 &amp; 2018) </w:t>
      </w:r>
      <w:r w:rsidRPr="00F405F6">
        <w:t>Wholesale Broadband Agreement (WBA)</w:t>
      </w:r>
      <w:r>
        <w:t>, available at</w:t>
      </w:r>
      <w:r w:rsidRPr="007B6F19">
        <w:t xml:space="preserve">: </w:t>
      </w:r>
      <w:hyperlink r:id="rId30" w:history="1">
        <w:r w:rsidRPr="008456A3">
          <w:rPr>
            <w:rStyle w:val="Hyperlink"/>
          </w:rPr>
          <w:t>https://www.nbnco.com.au/sell-nbn-services/supply-agreements/wba.html</w:t>
        </w:r>
      </w:hyperlink>
      <w:r>
        <w:rPr>
          <w:rFonts w:eastAsia="Georgia"/>
          <w:snapToGrid/>
        </w:rPr>
        <w:t>.</w:t>
      </w:r>
    </w:p>
  </w:footnote>
  <w:footnote w:id="34">
    <w:p w14:paraId="045E48E2" w14:textId="27B1670C" w:rsidR="00E66FE1" w:rsidRPr="007B6F19" w:rsidRDefault="00E66FE1" w:rsidP="00FA2001">
      <w:pPr>
        <w:pStyle w:val="FootnoteText"/>
        <w:tabs>
          <w:tab w:val="clear" w:pos="284"/>
        </w:tabs>
        <w:ind w:left="284" w:hanging="284"/>
        <w:rPr>
          <w:lang w:val="en-US"/>
        </w:rPr>
      </w:pPr>
      <w:r w:rsidRPr="007B6F19">
        <w:rPr>
          <w:rStyle w:val="FootnoteReference"/>
        </w:rPr>
        <w:footnoteRef/>
      </w:r>
      <w:r w:rsidRPr="007B6F19">
        <w:t xml:space="preserve"> </w:t>
      </w:r>
      <w:r w:rsidRPr="007B6F19">
        <w:tab/>
      </w:r>
      <w:r>
        <w:t>ACMA</w:t>
      </w:r>
      <w:r w:rsidRPr="007B6F19">
        <w:t xml:space="preserve"> (2017) Communications report 2016–17</w:t>
      </w:r>
      <w:r>
        <w:t>, available at</w:t>
      </w:r>
      <w:r w:rsidRPr="00DD3E96">
        <w:t xml:space="preserve">: </w:t>
      </w:r>
      <w:hyperlink r:id="rId31" w:history="1">
        <w:r w:rsidRPr="008456A3">
          <w:rPr>
            <w:rStyle w:val="Hyperlink"/>
          </w:rPr>
          <w:t>https://www.acma.gov.au/-/media/Research-and-Analysis/Report/pdf/Communications-report-</w:t>
        </w:r>
        <w:r>
          <w:rPr>
            <w:rStyle w:val="Hyperlink"/>
          </w:rPr>
          <w:t>2016–17</w:t>
        </w:r>
        <w:r w:rsidRPr="008456A3">
          <w:rPr>
            <w:rStyle w:val="Hyperlink"/>
          </w:rPr>
          <w:t>-pdf.pdf?la=en</w:t>
        </w:r>
      </w:hyperlink>
      <w:r>
        <w:rPr>
          <w:rFonts w:eastAsia="Georgia"/>
          <w:snapToGrid/>
        </w:rPr>
        <w:t>.</w:t>
      </w:r>
    </w:p>
  </w:footnote>
  <w:footnote w:id="35">
    <w:p w14:paraId="64C1DB48" w14:textId="1457B1A1" w:rsidR="00E66FE1" w:rsidRPr="007B6F19" w:rsidRDefault="00E66FE1" w:rsidP="00500F31">
      <w:pPr>
        <w:pStyle w:val="FootnoteText"/>
        <w:tabs>
          <w:tab w:val="clear" w:pos="284"/>
        </w:tabs>
        <w:ind w:left="284" w:hanging="284"/>
        <w:rPr>
          <w:lang w:val="en-US"/>
        </w:rPr>
      </w:pPr>
      <w:r w:rsidRPr="007B6F19">
        <w:rPr>
          <w:rStyle w:val="FootnoteReference"/>
        </w:rPr>
        <w:footnoteRef/>
      </w:r>
      <w:r w:rsidRPr="007B6F19">
        <w:t xml:space="preserve"> </w:t>
      </w:r>
      <w:r w:rsidRPr="007B6F19">
        <w:tab/>
      </w:r>
      <w:r>
        <w:t>ACMA</w:t>
      </w:r>
      <w:r w:rsidRPr="007B6F19">
        <w:t xml:space="preserve"> (2017) Communications report 2016–17</w:t>
      </w:r>
      <w:r>
        <w:t>, available at</w:t>
      </w:r>
      <w:r w:rsidRPr="00DD3E96">
        <w:t xml:space="preserve">: </w:t>
      </w:r>
      <w:hyperlink r:id="rId32" w:history="1">
        <w:r w:rsidRPr="008456A3">
          <w:rPr>
            <w:rStyle w:val="Hyperlink"/>
          </w:rPr>
          <w:t>https://www.acma.gov.au/-/media/Research-and-Analysis/Report/pdf/Communications-report-</w:t>
        </w:r>
        <w:r>
          <w:rPr>
            <w:rStyle w:val="Hyperlink"/>
          </w:rPr>
          <w:t>2016–17</w:t>
        </w:r>
        <w:r w:rsidRPr="008456A3">
          <w:rPr>
            <w:rStyle w:val="Hyperlink"/>
          </w:rPr>
          <w:t>-pdf.pdf?la=en</w:t>
        </w:r>
      </w:hyperlink>
      <w:r>
        <w:rPr>
          <w:rFonts w:eastAsia="Georgia"/>
          <w:snapToGrid/>
        </w:rPr>
        <w:t>.</w:t>
      </w:r>
    </w:p>
  </w:footnote>
  <w:footnote w:id="36">
    <w:p w14:paraId="277720C8" w14:textId="0346362C" w:rsidR="00E66FE1" w:rsidRPr="007B6F19" w:rsidRDefault="00E66FE1" w:rsidP="00FA2001">
      <w:pPr>
        <w:pStyle w:val="FootnoteText"/>
        <w:tabs>
          <w:tab w:val="clear" w:pos="284"/>
        </w:tabs>
        <w:ind w:left="284" w:hanging="284"/>
        <w:rPr>
          <w:lang w:val="en-US"/>
        </w:rPr>
      </w:pPr>
      <w:r w:rsidRPr="007B6F19">
        <w:rPr>
          <w:rStyle w:val="FootnoteReference"/>
        </w:rPr>
        <w:footnoteRef/>
      </w:r>
      <w:r w:rsidRPr="007B6F19">
        <w:t xml:space="preserve"> </w:t>
      </w:r>
      <w:r w:rsidRPr="007B6F19">
        <w:tab/>
        <w:t xml:space="preserve">ACMA (2017) </w:t>
      </w:r>
      <w:r w:rsidRPr="00F405F6">
        <w:t>Customer Service Guarantee: FAQs</w:t>
      </w:r>
      <w:r>
        <w:t>, available at</w:t>
      </w:r>
      <w:r w:rsidRPr="007B6F19">
        <w:t xml:space="preserve">: </w:t>
      </w:r>
      <w:hyperlink r:id="rId33" w:history="1">
        <w:r w:rsidRPr="008456A3">
          <w:rPr>
            <w:rStyle w:val="Hyperlink"/>
          </w:rPr>
          <w:t>https://www.acma.gov.au/Citizen/Phones/Landlines/Phone-connection-and-repair/customer-service-guarantee-for-phone-users-faqs</w:t>
        </w:r>
      </w:hyperlink>
      <w:r>
        <w:rPr>
          <w:rFonts w:eastAsia="Georgia"/>
          <w:snapToGrid/>
        </w:rPr>
        <w:t>.</w:t>
      </w:r>
    </w:p>
  </w:footnote>
  <w:footnote w:id="37">
    <w:p w14:paraId="20316576" w14:textId="3798F0CE" w:rsidR="00E66FE1" w:rsidRPr="007B6F19" w:rsidRDefault="00E66FE1" w:rsidP="00FA2001">
      <w:pPr>
        <w:pStyle w:val="FootnoteText"/>
        <w:tabs>
          <w:tab w:val="clear" w:pos="284"/>
        </w:tabs>
        <w:ind w:left="284" w:hanging="284"/>
        <w:rPr>
          <w:lang w:val="en-US"/>
        </w:rPr>
      </w:pPr>
      <w:r w:rsidRPr="007B6F19">
        <w:rPr>
          <w:rStyle w:val="FootnoteReference"/>
        </w:rPr>
        <w:footnoteRef/>
      </w:r>
      <w:r w:rsidRPr="007B6F19">
        <w:t xml:space="preserve"> </w:t>
      </w:r>
      <w:r w:rsidRPr="007B6F19">
        <w:tab/>
        <w:t xml:space="preserve">NBN Co Ltd. (2017 &amp; 2018) </w:t>
      </w:r>
      <w:r w:rsidRPr="00F405F6">
        <w:t>Wholesale Broadband Agreement (WBA)</w:t>
      </w:r>
      <w:r>
        <w:t>, available at</w:t>
      </w:r>
      <w:r w:rsidRPr="007B6F19">
        <w:t xml:space="preserve">: </w:t>
      </w:r>
      <w:hyperlink r:id="rId34" w:history="1">
        <w:r w:rsidRPr="008456A3">
          <w:rPr>
            <w:rStyle w:val="Hyperlink"/>
          </w:rPr>
          <w:t>https://www.nbnco.com.au/sell-nbn-services/supply-agreements/wba.html</w:t>
        </w:r>
      </w:hyperlink>
      <w:r>
        <w:rPr>
          <w:rFonts w:eastAsia="Georgia"/>
          <w:snapToGrid/>
        </w:rPr>
        <w:t>.</w:t>
      </w:r>
    </w:p>
  </w:footnote>
  <w:footnote w:id="38">
    <w:p w14:paraId="220E1A50" w14:textId="153E98D0" w:rsidR="00E66FE1" w:rsidRPr="007B6F19" w:rsidRDefault="00E66FE1" w:rsidP="00FA2001">
      <w:pPr>
        <w:pStyle w:val="FootnoteText"/>
        <w:tabs>
          <w:tab w:val="clear" w:pos="284"/>
        </w:tabs>
        <w:ind w:left="284" w:hanging="284"/>
        <w:rPr>
          <w:lang w:val="en-US"/>
        </w:rPr>
      </w:pPr>
      <w:r w:rsidRPr="007B6F19">
        <w:rPr>
          <w:rStyle w:val="FootnoteReference"/>
        </w:rPr>
        <w:footnoteRef/>
      </w:r>
      <w:r w:rsidRPr="007B6F19">
        <w:t xml:space="preserve"> </w:t>
      </w:r>
      <w:r w:rsidRPr="007B6F19">
        <w:tab/>
      </w:r>
      <w:r>
        <w:t>ACMA</w:t>
      </w:r>
      <w:r w:rsidRPr="007B6F19">
        <w:t xml:space="preserve"> (2017) Communications report 2016–17</w:t>
      </w:r>
      <w:r>
        <w:t>, available at</w:t>
      </w:r>
      <w:r w:rsidRPr="00C005CB">
        <w:t xml:space="preserve">: </w:t>
      </w:r>
      <w:hyperlink r:id="rId35" w:history="1">
        <w:r w:rsidRPr="008456A3">
          <w:rPr>
            <w:rStyle w:val="Hyperlink"/>
          </w:rPr>
          <w:t>https://www.acma.gov.au/-/media/Research-and-Analysis/Report/pdf/Communications-report-</w:t>
        </w:r>
        <w:r>
          <w:rPr>
            <w:rStyle w:val="Hyperlink"/>
          </w:rPr>
          <w:t>2016–17</w:t>
        </w:r>
        <w:r w:rsidRPr="008456A3">
          <w:rPr>
            <w:rStyle w:val="Hyperlink"/>
          </w:rPr>
          <w:t>-pdf.pdf?la=en</w:t>
        </w:r>
      </w:hyperlink>
      <w:r>
        <w:rPr>
          <w:rFonts w:eastAsia="Georgia"/>
          <w:snapToGrid/>
        </w:rPr>
        <w:t>.</w:t>
      </w:r>
    </w:p>
  </w:footnote>
  <w:footnote w:id="39">
    <w:p w14:paraId="12143C9E" w14:textId="1D792714" w:rsidR="00E66FE1" w:rsidRPr="007B6F19" w:rsidRDefault="00E66FE1" w:rsidP="00FA2001">
      <w:pPr>
        <w:pStyle w:val="FootnoteText"/>
        <w:tabs>
          <w:tab w:val="clear" w:pos="284"/>
        </w:tabs>
        <w:ind w:left="284" w:hanging="284"/>
        <w:rPr>
          <w:lang w:val="en-US"/>
        </w:rPr>
      </w:pPr>
      <w:r w:rsidRPr="007B6F19">
        <w:rPr>
          <w:rStyle w:val="FootnoteReference"/>
        </w:rPr>
        <w:footnoteRef/>
      </w:r>
      <w:r w:rsidRPr="007B6F19">
        <w:t xml:space="preserve"> </w:t>
      </w:r>
      <w:r w:rsidRPr="007B6F19">
        <w:tab/>
        <w:t xml:space="preserve">ACMA (2017) </w:t>
      </w:r>
      <w:r w:rsidRPr="00F405F6">
        <w:t>Customer Service Guarantee: FAQs</w:t>
      </w:r>
      <w:r>
        <w:t>, available at</w:t>
      </w:r>
      <w:r w:rsidRPr="007B6F19">
        <w:t xml:space="preserve">: </w:t>
      </w:r>
      <w:hyperlink r:id="rId36" w:history="1">
        <w:r w:rsidRPr="008456A3">
          <w:rPr>
            <w:rStyle w:val="Hyperlink"/>
          </w:rPr>
          <w:t>https://www.acma.gov.au/Citizen/Phones/Landlines/Phone-connection-and-repair/customer-service-guarantee-for-phone-users-faqs</w:t>
        </w:r>
      </w:hyperlink>
      <w:r>
        <w:rPr>
          <w:rFonts w:eastAsia="Georgia"/>
          <w:snapToGrid/>
        </w:rPr>
        <w:t>.</w:t>
      </w:r>
    </w:p>
  </w:footnote>
  <w:footnote w:id="40">
    <w:p w14:paraId="38985206" w14:textId="72F5C679" w:rsidR="00E66FE1" w:rsidRPr="007B6F19" w:rsidRDefault="00E66FE1" w:rsidP="00353D16">
      <w:pPr>
        <w:pStyle w:val="FootnoteText"/>
        <w:tabs>
          <w:tab w:val="clear" w:pos="284"/>
        </w:tabs>
        <w:ind w:left="284" w:hanging="284"/>
        <w:rPr>
          <w:lang w:val="en-US"/>
        </w:rPr>
      </w:pPr>
      <w:r w:rsidRPr="007B6F19">
        <w:rPr>
          <w:rStyle w:val="FootnoteReference"/>
        </w:rPr>
        <w:footnoteRef/>
      </w:r>
      <w:r w:rsidRPr="007B6F19">
        <w:t xml:space="preserve"> </w:t>
      </w:r>
      <w:r w:rsidRPr="007B6F19">
        <w:tab/>
      </w:r>
      <w:r>
        <w:t>ACMA</w:t>
      </w:r>
      <w:r w:rsidRPr="007B6F19">
        <w:t xml:space="preserve"> (2017) Communications report 2016–17</w:t>
      </w:r>
      <w:r>
        <w:t>, available at</w:t>
      </w:r>
      <w:r w:rsidRPr="007B6F19">
        <w:t xml:space="preserve">: </w:t>
      </w:r>
      <w:hyperlink r:id="rId37" w:history="1">
        <w:r w:rsidRPr="008456A3">
          <w:rPr>
            <w:rStyle w:val="Hyperlink"/>
          </w:rPr>
          <w:t>https://www.acma.gov.au/-/media/Research-and-Analysis/Report/pdf/Communications-report-</w:t>
        </w:r>
        <w:r>
          <w:rPr>
            <w:rStyle w:val="Hyperlink"/>
          </w:rPr>
          <w:t>2016–17</w:t>
        </w:r>
        <w:r w:rsidRPr="008456A3">
          <w:rPr>
            <w:rStyle w:val="Hyperlink"/>
          </w:rPr>
          <w:t>-pdf.pdf?la=en</w:t>
        </w:r>
      </w:hyperlink>
      <w:r>
        <w:rPr>
          <w:rFonts w:eastAsia="Georgia"/>
          <w:snapToGrid/>
        </w:rPr>
        <w:t>.</w:t>
      </w:r>
    </w:p>
  </w:footnote>
  <w:footnote w:id="41">
    <w:p w14:paraId="43D17F2D" w14:textId="59CC0871" w:rsidR="00E66FE1" w:rsidRPr="007B6F19" w:rsidRDefault="00E66FE1" w:rsidP="00FA2001">
      <w:pPr>
        <w:pStyle w:val="FootnoteText"/>
        <w:tabs>
          <w:tab w:val="clear" w:pos="284"/>
        </w:tabs>
        <w:ind w:left="284" w:hanging="284"/>
        <w:rPr>
          <w:lang w:val="en-US"/>
        </w:rPr>
      </w:pPr>
      <w:r w:rsidRPr="007B6F19">
        <w:rPr>
          <w:rStyle w:val="FootnoteReference"/>
          <w:szCs w:val="21"/>
        </w:rPr>
        <w:footnoteRef/>
      </w:r>
      <w:r w:rsidRPr="007B6F19">
        <w:rPr>
          <w:sz w:val="21"/>
          <w:szCs w:val="21"/>
        </w:rPr>
        <w:t xml:space="preserve"> </w:t>
      </w:r>
      <w:r w:rsidRPr="007B6F19">
        <w:rPr>
          <w:sz w:val="21"/>
          <w:szCs w:val="21"/>
        </w:rPr>
        <w:tab/>
      </w:r>
      <w:r w:rsidRPr="007B6F19">
        <w:rPr>
          <w:szCs w:val="14"/>
        </w:rPr>
        <w:t>ACCC (Accessed June 2018) Broadband speeds</w:t>
      </w:r>
      <w:r>
        <w:rPr>
          <w:szCs w:val="14"/>
        </w:rPr>
        <w:t>, available at</w:t>
      </w:r>
      <w:r w:rsidRPr="007B6F19">
        <w:rPr>
          <w:szCs w:val="14"/>
        </w:rPr>
        <w:t xml:space="preserve">: </w:t>
      </w:r>
      <w:hyperlink r:id="rId38" w:anchor="broadband-speed-claims" w:history="1">
        <w:r w:rsidRPr="008456A3">
          <w:rPr>
            <w:rStyle w:val="Hyperlink"/>
            <w:szCs w:val="14"/>
          </w:rPr>
          <w:t>https://www.accc.gov.au/consumers/national-broadband-network/broadband-speeds#broadband-speed-claims</w:t>
        </w:r>
      </w:hyperlink>
      <w:r>
        <w:rPr>
          <w:rFonts w:eastAsia="Georgia"/>
          <w:snapToGrid/>
        </w:rPr>
        <w:t>.</w:t>
      </w:r>
    </w:p>
  </w:footnote>
  <w:footnote w:id="42">
    <w:p w14:paraId="04BB9B6C" w14:textId="036CB3E4" w:rsidR="00E66FE1" w:rsidRPr="007B6F19" w:rsidRDefault="00E66FE1" w:rsidP="00500F31">
      <w:pPr>
        <w:pStyle w:val="FootnoteText"/>
        <w:tabs>
          <w:tab w:val="clear" w:pos="284"/>
        </w:tabs>
        <w:ind w:left="284" w:hanging="284"/>
        <w:rPr>
          <w:szCs w:val="14"/>
          <w:lang w:val="en-US"/>
        </w:rPr>
      </w:pPr>
      <w:r w:rsidRPr="007B6F19">
        <w:rPr>
          <w:rStyle w:val="FootnoteReference"/>
          <w:szCs w:val="21"/>
        </w:rPr>
        <w:footnoteRef/>
      </w:r>
      <w:r w:rsidRPr="007B6F19">
        <w:rPr>
          <w:szCs w:val="14"/>
        </w:rPr>
        <w:t xml:space="preserve"> </w:t>
      </w:r>
      <w:r w:rsidRPr="007B6F19">
        <w:rPr>
          <w:szCs w:val="14"/>
        </w:rPr>
        <w:tab/>
        <w:t>CRTC (2018) Our Mandate, Mission and What We Do</w:t>
      </w:r>
      <w:r>
        <w:rPr>
          <w:szCs w:val="14"/>
        </w:rPr>
        <w:t>, available at</w:t>
      </w:r>
      <w:r w:rsidRPr="007B6F19">
        <w:rPr>
          <w:szCs w:val="14"/>
        </w:rPr>
        <w:t xml:space="preserve">: </w:t>
      </w:r>
      <w:hyperlink r:id="rId39" w:history="1">
        <w:r w:rsidRPr="008456A3">
          <w:rPr>
            <w:rStyle w:val="Hyperlink"/>
            <w:szCs w:val="14"/>
          </w:rPr>
          <w:t>https://crtc.gc.ca/eng/acrtc/acrtc.htm</w:t>
        </w:r>
      </w:hyperlink>
      <w:r>
        <w:rPr>
          <w:rFonts w:eastAsia="Georgia"/>
          <w:snapToGrid/>
        </w:rPr>
        <w:t>.</w:t>
      </w:r>
    </w:p>
  </w:footnote>
  <w:footnote w:id="43">
    <w:p w14:paraId="2C4639CE" w14:textId="6DE04F83" w:rsidR="00E66FE1" w:rsidRPr="007B6F19" w:rsidRDefault="00E66FE1" w:rsidP="00500F31">
      <w:pPr>
        <w:pStyle w:val="FootnoteText"/>
        <w:tabs>
          <w:tab w:val="clear" w:pos="284"/>
        </w:tabs>
        <w:ind w:left="284" w:hanging="284"/>
        <w:rPr>
          <w:szCs w:val="14"/>
          <w:lang w:val="en-US"/>
        </w:rPr>
      </w:pPr>
      <w:r w:rsidRPr="007B6F19">
        <w:rPr>
          <w:rStyle w:val="FootnoteReference"/>
          <w:szCs w:val="21"/>
        </w:rPr>
        <w:footnoteRef/>
      </w:r>
      <w:r w:rsidRPr="007B6F19">
        <w:rPr>
          <w:rStyle w:val="FootnoteReference"/>
          <w:szCs w:val="21"/>
        </w:rPr>
        <w:t xml:space="preserve"> </w:t>
      </w:r>
      <w:r w:rsidRPr="007B6F19">
        <w:rPr>
          <w:rStyle w:val="FootnoteReference"/>
          <w:szCs w:val="21"/>
        </w:rPr>
        <w:tab/>
      </w:r>
      <w:r w:rsidRPr="007B6F19">
        <w:rPr>
          <w:szCs w:val="14"/>
        </w:rPr>
        <w:t>CRTC (2009) Telecom Regulatory Policy CRTC 2009</w:t>
      </w:r>
      <w:r>
        <w:rPr>
          <w:szCs w:val="14"/>
        </w:rPr>
        <w:t>-</w:t>
      </w:r>
      <w:r w:rsidRPr="007B6F19">
        <w:rPr>
          <w:szCs w:val="14"/>
        </w:rPr>
        <w:t>304</w:t>
      </w:r>
      <w:r>
        <w:rPr>
          <w:szCs w:val="14"/>
        </w:rPr>
        <w:t>, available at</w:t>
      </w:r>
      <w:r w:rsidRPr="007B6F19">
        <w:rPr>
          <w:szCs w:val="14"/>
        </w:rPr>
        <w:t xml:space="preserve">: </w:t>
      </w:r>
      <w:hyperlink r:id="rId40" w:history="1">
        <w:r w:rsidRPr="008456A3">
          <w:rPr>
            <w:rStyle w:val="Hyperlink"/>
            <w:szCs w:val="14"/>
          </w:rPr>
          <w:t>https://crtc.gc.ca/eng/archive/2009/2009-304.htm</w:t>
        </w:r>
      </w:hyperlink>
      <w:r>
        <w:rPr>
          <w:rFonts w:eastAsia="Georgia"/>
          <w:snapToGrid/>
        </w:rPr>
        <w:t>.</w:t>
      </w:r>
    </w:p>
  </w:footnote>
  <w:footnote w:id="44">
    <w:p w14:paraId="1D2456D3" w14:textId="5157583D" w:rsidR="00E66FE1" w:rsidRPr="007B6F19" w:rsidRDefault="00E66FE1" w:rsidP="00500F31">
      <w:pPr>
        <w:pStyle w:val="FootnoteText"/>
        <w:tabs>
          <w:tab w:val="clear" w:pos="284"/>
        </w:tabs>
        <w:ind w:left="284" w:hanging="284"/>
        <w:rPr>
          <w:szCs w:val="14"/>
          <w:lang w:val="en-US"/>
        </w:rPr>
      </w:pPr>
      <w:r w:rsidRPr="007B6F19">
        <w:rPr>
          <w:rStyle w:val="FootnoteReference"/>
          <w:szCs w:val="21"/>
        </w:rPr>
        <w:footnoteRef/>
      </w:r>
      <w:r w:rsidRPr="007B6F19">
        <w:rPr>
          <w:rStyle w:val="FootnoteReference"/>
          <w:szCs w:val="21"/>
        </w:rPr>
        <w:t xml:space="preserve"> </w:t>
      </w:r>
      <w:r w:rsidRPr="007B6F19">
        <w:rPr>
          <w:szCs w:val="21"/>
        </w:rPr>
        <w:tab/>
        <w:t>Government of Canada (2005) CRTC Announces QoS Rate Rebate Plan for Competitors</w:t>
      </w:r>
      <w:r>
        <w:rPr>
          <w:szCs w:val="21"/>
        </w:rPr>
        <w:t>, available at</w:t>
      </w:r>
      <w:r w:rsidRPr="007B6F19">
        <w:rPr>
          <w:szCs w:val="21"/>
        </w:rPr>
        <w:t xml:space="preserve">: </w:t>
      </w:r>
      <w:hyperlink r:id="rId41" w:history="1">
        <w:r w:rsidRPr="008456A3">
          <w:rPr>
            <w:rStyle w:val="Hyperlink"/>
            <w:szCs w:val="14"/>
          </w:rPr>
          <w:t>https://www.canada.ca/en/news/archive/2005/03/crtc-announces-quality-service-rate-rebate-plan-competitors.html</w:t>
        </w:r>
      </w:hyperlink>
      <w:r>
        <w:rPr>
          <w:rFonts w:eastAsia="Georgia"/>
          <w:snapToGrid/>
        </w:rPr>
        <w:t>.</w:t>
      </w:r>
    </w:p>
  </w:footnote>
  <w:footnote w:id="45">
    <w:p w14:paraId="01B5A556" w14:textId="381EE61A" w:rsidR="00E66FE1" w:rsidRPr="0062023F" w:rsidRDefault="00E66FE1" w:rsidP="00A16BB8">
      <w:pPr>
        <w:spacing w:before="80" w:after="80"/>
        <w:ind w:left="284" w:hanging="284"/>
        <w:rPr>
          <w:sz w:val="14"/>
          <w:szCs w:val="14"/>
        </w:rPr>
      </w:pPr>
      <w:r w:rsidRPr="007B6F19">
        <w:rPr>
          <w:rStyle w:val="FootnoteReference"/>
          <w:szCs w:val="21"/>
        </w:rPr>
        <w:footnoteRef/>
      </w:r>
      <w:r w:rsidRPr="007B6F19">
        <w:rPr>
          <w:rStyle w:val="FootnoteReference"/>
          <w:szCs w:val="21"/>
        </w:rPr>
        <w:t xml:space="preserve"> </w:t>
      </w:r>
      <w:r w:rsidRPr="007B6F19">
        <w:rPr>
          <w:szCs w:val="21"/>
        </w:rPr>
        <w:tab/>
      </w:r>
      <w:r w:rsidRPr="005A47B9">
        <w:rPr>
          <w:sz w:val="18"/>
          <w:szCs w:val="14"/>
        </w:rPr>
        <w:t>CRTC (2018) Telecom Regulatory Policy CRTC 2018</w:t>
      </w:r>
      <w:r>
        <w:rPr>
          <w:sz w:val="18"/>
          <w:szCs w:val="14"/>
        </w:rPr>
        <w:t>-</w:t>
      </w:r>
      <w:r w:rsidRPr="005A47B9">
        <w:rPr>
          <w:sz w:val="18"/>
          <w:szCs w:val="14"/>
        </w:rPr>
        <w:t xml:space="preserve">123, available at: </w:t>
      </w:r>
      <w:hyperlink r:id="rId42" w:history="1">
        <w:r w:rsidRPr="008456A3">
          <w:rPr>
            <w:rStyle w:val="Hyperlink"/>
            <w:sz w:val="18"/>
            <w:szCs w:val="14"/>
          </w:rPr>
          <w:t>https://crtc.gc.ca/eng/archive/2018/2018-123.htm</w:t>
        </w:r>
      </w:hyperlink>
      <w:r w:rsidRPr="005A47B9">
        <w:rPr>
          <w:sz w:val="18"/>
          <w:szCs w:val="14"/>
        </w:rPr>
        <w:t>.</w:t>
      </w:r>
    </w:p>
  </w:footnote>
  <w:footnote w:id="46">
    <w:p w14:paraId="5D16B2D0" w14:textId="146E4EC9" w:rsidR="00E66FE1" w:rsidRPr="007B6F19" w:rsidRDefault="00E66FE1" w:rsidP="00E80473">
      <w:pPr>
        <w:pStyle w:val="FootnoteText"/>
        <w:tabs>
          <w:tab w:val="clear" w:pos="284"/>
        </w:tabs>
        <w:ind w:left="284" w:hanging="284"/>
        <w:rPr>
          <w:szCs w:val="14"/>
          <w:lang w:val="en-US"/>
        </w:rPr>
      </w:pPr>
      <w:r w:rsidRPr="007B6F19">
        <w:rPr>
          <w:rStyle w:val="FootnoteReference"/>
          <w:szCs w:val="21"/>
        </w:rPr>
        <w:footnoteRef/>
      </w:r>
      <w:r>
        <w:rPr>
          <w:szCs w:val="14"/>
        </w:rPr>
        <w:t xml:space="preserve"> </w:t>
      </w:r>
      <w:r w:rsidRPr="007B6F19">
        <w:rPr>
          <w:szCs w:val="14"/>
        </w:rPr>
        <w:t>CRTC (2009) Telecom Regulatory Policy CRTC 2009-304</w:t>
      </w:r>
      <w:r>
        <w:rPr>
          <w:szCs w:val="14"/>
        </w:rPr>
        <w:t>, available at</w:t>
      </w:r>
      <w:r w:rsidRPr="007B6F19">
        <w:rPr>
          <w:szCs w:val="14"/>
        </w:rPr>
        <w:t xml:space="preserve">: </w:t>
      </w:r>
      <w:hyperlink r:id="rId43" w:history="1">
        <w:r w:rsidRPr="008456A3">
          <w:rPr>
            <w:rStyle w:val="Hyperlink"/>
            <w:szCs w:val="14"/>
          </w:rPr>
          <w:t>https://crtc.gc.ca/eng/archive/2009/2009-304.htm</w:t>
        </w:r>
      </w:hyperlink>
      <w:r>
        <w:rPr>
          <w:rFonts w:eastAsia="Georgia"/>
          <w:snapToGrid/>
        </w:rPr>
        <w:t>.</w:t>
      </w:r>
    </w:p>
  </w:footnote>
  <w:footnote w:id="47">
    <w:p w14:paraId="4AD6C402" w14:textId="66D1389A" w:rsidR="00E66FE1" w:rsidRPr="007B6F19" w:rsidRDefault="00E66FE1" w:rsidP="00E80473">
      <w:pPr>
        <w:pStyle w:val="FootnoteText"/>
        <w:rPr>
          <w:lang w:val="en-US"/>
        </w:rPr>
      </w:pPr>
      <w:r w:rsidRPr="007B6F19">
        <w:rPr>
          <w:rStyle w:val="FootnoteReference"/>
        </w:rPr>
        <w:footnoteRef/>
      </w:r>
      <w:r w:rsidRPr="007B6F19">
        <w:t xml:space="preserve"> </w:t>
      </w:r>
      <w:r w:rsidRPr="007B6F19">
        <w:rPr>
          <w:lang w:val="en-US"/>
        </w:rPr>
        <w:tab/>
      </w:r>
      <w:r>
        <w:rPr>
          <w:lang w:val="en-US"/>
        </w:rPr>
        <w:t xml:space="preserve">CRTC (2008) Telecom Decision CRTC 2008-105, available at: </w:t>
      </w:r>
      <w:hyperlink r:id="rId44" w:history="1">
        <w:r w:rsidRPr="008456A3">
          <w:rPr>
            <w:rStyle w:val="Hyperlink"/>
            <w:lang w:val="en-US"/>
          </w:rPr>
          <w:t>https://crtc.gc.ca/eng/archive/2008/dt2008-105.htm</w:t>
        </w:r>
      </w:hyperlink>
      <w:r>
        <w:rPr>
          <w:rFonts w:eastAsia="Georgia"/>
          <w:snapToGrid/>
        </w:rPr>
        <w:t>.</w:t>
      </w:r>
    </w:p>
  </w:footnote>
  <w:footnote w:id="48">
    <w:p w14:paraId="41A9515A" w14:textId="03756602" w:rsidR="00E66FE1" w:rsidRPr="007B6F19" w:rsidRDefault="00E66FE1" w:rsidP="00E80473">
      <w:pPr>
        <w:pStyle w:val="FootnoteText"/>
        <w:rPr>
          <w:lang w:val="en-US"/>
        </w:rPr>
      </w:pPr>
      <w:r w:rsidRPr="007B6F19">
        <w:rPr>
          <w:rStyle w:val="FootnoteReference"/>
        </w:rPr>
        <w:footnoteRef/>
      </w:r>
      <w:r w:rsidRPr="007B6F19">
        <w:t xml:space="preserve"> </w:t>
      </w:r>
      <w:r w:rsidRPr="007B6F19">
        <w:rPr>
          <w:lang w:val="en-US"/>
        </w:rPr>
        <w:tab/>
      </w:r>
      <w:r>
        <w:rPr>
          <w:lang w:val="en-US"/>
        </w:rPr>
        <w:t xml:space="preserve">CRTC (2017) </w:t>
      </w:r>
      <w:r w:rsidRPr="007B6F19">
        <w:rPr>
          <w:lang w:val="en-US"/>
        </w:rPr>
        <w:t>What you should know about Internet speeds</w:t>
      </w:r>
      <w:r>
        <w:rPr>
          <w:lang w:val="en-US"/>
        </w:rPr>
        <w:t xml:space="preserve">, available at: </w:t>
      </w:r>
      <w:hyperlink r:id="rId45" w:history="1">
        <w:r w:rsidRPr="008456A3">
          <w:rPr>
            <w:rStyle w:val="Hyperlink"/>
            <w:lang w:val="en-US"/>
          </w:rPr>
          <w:t>https://crtc.gc.ca/eng/internet/performance.htm</w:t>
        </w:r>
      </w:hyperlink>
      <w:r>
        <w:rPr>
          <w:rFonts w:eastAsia="Georgia"/>
          <w:snapToGrid/>
        </w:rPr>
        <w:t>.</w:t>
      </w:r>
    </w:p>
  </w:footnote>
  <w:footnote w:id="49">
    <w:p w14:paraId="3CB095AE" w14:textId="49D70A15" w:rsidR="00E66FE1" w:rsidRPr="007B6F19" w:rsidRDefault="00E66FE1">
      <w:pPr>
        <w:pStyle w:val="FootnoteText"/>
      </w:pPr>
      <w:r w:rsidRPr="007B6F19">
        <w:rPr>
          <w:rStyle w:val="FootnoteReference"/>
        </w:rPr>
        <w:footnoteRef/>
      </w:r>
      <w:r w:rsidRPr="007B6F19">
        <w:t xml:space="preserve"> </w:t>
      </w:r>
      <w:r w:rsidRPr="007B6F19">
        <w:tab/>
      </w:r>
      <w:r>
        <w:t xml:space="preserve">CRTC (2009) </w:t>
      </w:r>
      <w:r w:rsidRPr="007B6F19">
        <w:t>Telecom Regulatory Policy CRTC 2009-304</w:t>
      </w:r>
      <w:r>
        <w:t>, available at</w:t>
      </w:r>
      <w:r w:rsidRPr="007B6F19">
        <w:t xml:space="preserve">: </w:t>
      </w:r>
      <w:hyperlink r:id="rId46" w:history="1">
        <w:r w:rsidRPr="008456A3">
          <w:rPr>
            <w:rStyle w:val="Hyperlink"/>
          </w:rPr>
          <w:t>https://crtc.gc.ca/eng/archive/2009/2009-304.htm</w:t>
        </w:r>
      </w:hyperlink>
      <w:r>
        <w:rPr>
          <w:rFonts w:eastAsia="Georgia"/>
          <w:snapToGrid/>
        </w:rPr>
        <w:t>.</w:t>
      </w:r>
    </w:p>
  </w:footnote>
  <w:footnote w:id="50">
    <w:p w14:paraId="5D40A0FD" w14:textId="59AA99AD" w:rsidR="00E66FE1" w:rsidRPr="007B6F19" w:rsidRDefault="00E66FE1" w:rsidP="00500F31">
      <w:pPr>
        <w:pStyle w:val="FootnoteText"/>
        <w:tabs>
          <w:tab w:val="clear" w:pos="284"/>
        </w:tabs>
        <w:ind w:left="284" w:hanging="284"/>
        <w:rPr>
          <w:szCs w:val="14"/>
          <w:lang w:val="en-US"/>
        </w:rPr>
      </w:pPr>
      <w:r w:rsidRPr="007B6F19">
        <w:rPr>
          <w:rStyle w:val="FootnoteReference"/>
          <w:szCs w:val="21"/>
        </w:rPr>
        <w:footnoteRef/>
      </w:r>
      <w:r w:rsidRPr="007B6F19">
        <w:rPr>
          <w:sz w:val="21"/>
          <w:szCs w:val="21"/>
        </w:rPr>
        <w:t xml:space="preserve"> </w:t>
      </w:r>
      <w:r w:rsidRPr="007B6F19">
        <w:rPr>
          <w:sz w:val="21"/>
          <w:szCs w:val="21"/>
        </w:rPr>
        <w:tab/>
      </w:r>
      <w:r w:rsidRPr="007B6F19">
        <w:rPr>
          <w:szCs w:val="14"/>
        </w:rPr>
        <w:t>CRTC (2009) Telecom Regulatory Policy CRTC 2009-304</w:t>
      </w:r>
      <w:r>
        <w:rPr>
          <w:szCs w:val="14"/>
        </w:rPr>
        <w:t>, available at</w:t>
      </w:r>
      <w:r w:rsidRPr="007B6F19">
        <w:rPr>
          <w:szCs w:val="14"/>
        </w:rPr>
        <w:t xml:space="preserve">: </w:t>
      </w:r>
      <w:hyperlink r:id="rId47" w:history="1">
        <w:r w:rsidRPr="008456A3">
          <w:rPr>
            <w:rStyle w:val="Hyperlink"/>
            <w:szCs w:val="14"/>
          </w:rPr>
          <w:t>https://crtc.gc.ca/eng/archive/2009/2009-304.htm</w:t>
        </w:r>
      </w:hyperlink>
      <w:r>
        <w:rPr>
          <w:rFonts w:eastAsia="Georgia"/>
          <w:snapToGrid/>
        </w:rPr>
        <w:t>.</w:t>
      </w:r>
    </w:p>
  </w:footnote>
  <w:footnote w:id="51">
    <w:p w14:paraId="3B3DD8A6" w14:textId="00D657B8" w:rsidR="00E66FE1" w:rsidRPr="007B6F19" w:rsidRDefault="00E66FE1" w:rsidP="00E80473">
      <w:pPr>
        <w:pStyle w:val="FootnoteText"/>
        <w:tabs>
          <w:tab w:val="clear" w:pos="284"/>
        </w:tabs>
        <w:ind w:left="284" w:hanging="284"/>
        <w:rPr>
          <w:lang w:val="en-US"/>
        </w:rPr>
      </w:pPr>
      <w:r w:rsidRPr="007B6F19">
        <w:rPr>
          <w:rStyle w:val="FootnoteReference"/>
          <w:szCs w:val="21"/>
        </w:rPr>
        <w:footnoteRef/>
      </w:r>
      <w:r w:rsidRPr="007B6F19">
        <w:rPr>
          <w:szCs w:val="14"/>
        </w:rPr>
        <w:t xml:space="preserve"> </w:t>
      </w:r>
      <w:r w:rsidRPr="007B6F19">
        <w:rPr>
          <w:szCs w:val="14"/>
        </w:rPr>
        <w:tab/>
        <w:t>CRTC (2005) Telecom Decision CRTC 2005-20</w:t>
      </w:r>
      <w:r>
        <w:rPr>
          <w:szCs w:val="14"/>
        </w:rPr>
        <w:t>, available at</w:t>
      </w:r>
      <w:r w:rsidRPr="007B6F19">
        <w:rPr>
          <w:szCs w:val="14"/>
        </w:rPr>
        <w:t xml:space="preserve">: </w:t>
      </w:r>
      <w:hyperlink r:id="rId48" w:history="1">
        <w:r w:rsidRPr="008456A3">
          <w:rPr>
            <w:rStyle w:val="Hyperlink"/>
            <w:szCs w:val="14"/>
          </w:rPr>
          <w:t>https://crtc.gc.ca/eng/archive/2005/dt2005-20.htm</w:t>
        </w:r>
      </w:hyperlink>
      <w:r>
        <w:rPr>
          <w:rFonts w:eastAsia="Georgia"/>
          <w:snapToGrid/>
        </w:rPr>
        <w:t>.</w:t>
      </w:r>
    </w:p>
  </w:footnote>
  <w:footnote w:id="52">
    <w:p w14:paraId="686E6CAA" w14:textId="39EFE777" w:rsidR="00E66FE1" w:rsidRPr="007B6F19" w:rsidRDefault="00E66FE1" w:rsidP="00FA4EF8">
      <w:pPr>
        <w:pStyle w:val="FootnoteText"/>
        <w:tabs>
          <w:tab w:val="clear" w:pos="284"/>
        </w:tabs>
        <w:ind w:left="284" w:hanging="284"/>
        <w:rPr>
          <w:lang w:val="en-US"/>
        </w:rPr>
      </w:pPr>
      <w:r w:rsidRPr="007B6F19">
        <w:rPr>
          <w:rStyle w:val="FootnoteReference"/>
        </w:rPr>
        <w:footnoteRef/>
      </w:r>
      <w:r w:rsidRPr="007B6F19">
        <w:t xml:space="preserve"> </w:t>
      </w:r>
      <w:r w:rsidRPr="007B6F19">
        <w:tab/>
      </w:r>
      <w:r w:rsidRPr="007B6F19">
        <w:rPr>
          <w:lang w:val="en-US"/>
        </w:rPr>
        <w:t>European Commission (2018) Telecommunications Overview</w:t>
      </w:r>
      <w:r>
        <w:rPr>
          <w:lang w:val="en-US"/>
        </w:rPr>
        <w:t>, available at</w:t>
      </w:r>
      <w:r w:rsidRPr="007B6F19">
        <w:rPr>
          <w:lang w:val="en-US"/>
        </w:rPr>
        <w:t xml:space="preserve">: </w:t>
      </w:r>
      <w:hyperlink r:id="rId49" w:history="1">
        <w:r w:rsidRPr="008456A3">
          <w:rPr>
            <w:rStyle w:val="Hyperlink"/>
            <w:lang w:val="en-US"/>
          </w:rPr>
          <w:t>http://ec.europa.eu/competition/sectors/telecommunications/overview_en.html</w:t>
        </w:r>
      </w:hyperlink>
      <w:r>
        <w:rPr>
          <w:rFonts w:eastAsia="Georgia"/>
          <w:snapToGrid/>
        </w:rPr>
        <w:t>.</w:t>
      </w:r>
    </w:p>
  </w:footnote>
  <w:footnote w:id="53">
    <w:p w14:paraId="6F4BA6D2" w14:textId="16A2FE60" w:rsidR="00E66FE1" w:rsidRPr="007B6F19" w:rsidRDefault="00E66FE1" w:rsidP="00FA4EF8">
      <w:pPr>
        <w:pStyle w:val="FootnoteText"/>
        <w:tabs>
          <w:tab w:val="clear" w:pos="284"/>
        </w:tabs>
        <w:ind w:left="284" w:hanging="284"/>
        <w:rPr>
          <w:lang w:val="en-US"/>
        </w:rPr>
      </w:pPr>
      <w:r w:rsidRPr="007B6F19">
        <w:rPr>
          <w:rStyle w:val="FootnoteReference"/>
        </w:rPr>
        <w:footnoteRef/>
      </w:r>
      <w:r w:rsidRPr="007B6F19">
        <w:t xml:space="preserve"> </w:t>
      </w:r>
      <w:r w:rsidRPr="007B6F19">
        <w:tab/>
      </w:r>
      <w:r w:rsidRPr="007B6F19">
        <w:rPr>
          <w:lang w:val="en-US"/>
        </w:rPr>
        <w:t>The UK is scheduled to leave the European Union in March 2019. It is currently unclear as to how this will impact telecommunications regulation in the UK until a deal is agreed between the UK and EU</w:t>
      </w:r>
    </w:p>
  </w:footnote>
  <w:footnote w:id="54">
    <w:p w14:paraId="444BCA2A" w14:textId="438F8DDC" w:rsidR="00E66FE1" w:rsidRPr="0062023F" w:rsidRDefault="00E66FE1" w:rsidP="00FA4EF8">
      <w:pPr>
        <w:pStyle w:val="FootnoteText"/>
        <w:tabs>
          <w:tab w:val="clear" w:pos="284"/>
        </w:tabs>
        <w:ind w:left="284" w:hanging="284"/>
        <w:rPr>
          <w:szCs w:val="14"/>
          <w:lang w:val="en-US"/>
        </w:rPr>
      </w:pPr>
      <w:r w:rsidRPr="007B6F19">
        <w:rPr>
          <w:rStyle w:val="FootnoteReference"/>
          <w:szCs w:val="21"/>
        </w:rPr>
        <w:footnoteRef/>
      </w:r>
      <w:r w:rsidRPr="007B6F19">
        <w:rPr>
          <w:sz w:val="21"/>
          <w:szCs w:val="21"/>
        </w:rPr>
        <w:t xml:space="preserve"> </w:t>
      </w:r>
      <w:r w:rsidRPr="007B6F19">
        <w:rPr>
          <w:sz w:val="21"/>
          <w:szCs w:val="21"/>
        </w:rPr>
        <w:tab/>
      </w:r>
      <w:r w:rsidRPr="007B6F19">
        <w:rPr>
          <w:szCs w:val="14"/>
        </w:rPr>
        <w:t>European Commission (2018) Telecom Rules</w:t>
      </w:r>
      <w:r>
        <w:rPr>
          <w:szCs w:val="14"/>
        </w:rPr>
        <w:t>, available at</w:t>
      </w:r>
      <w:r w:rsidRPr="007B6F19">
        <w:rPr>
          <w:szCs w:val="14"/>
        </w:rPr>
        <w:t xml:space="preserve">: </w:t>
      </w:r>
      <w:hyperlink r:id="rId50" w:history="1">
        <w:r w:rsidRPr="008456A3">
          <w:rPr>
            <w:rStyle w:val="Hyperlink"/>
            <w:szCs w:val="14"/>
          </w:rPr>
          <w:t>https://ec.europa.eu/digital-single-market/en/telecoms-rules</w:t>
        </w:r>
      </w:hyperlink>
      <w:r>
        <w:rPr>
          <w:rFonts w:eastAsia="Georgia"/>
          <w:snapToGrid/>
        </w:rPr>
        <w:t>.</w:t>
      </w:r>
    </w:p>
  </w:footnote>
  <w:footnote w:id="55">
    <w:p w14:paraId="2A977B1C" w14:textId="7541F6C1" w:rsidR="00E66FE1" w:rsidRPr="007B6F19" w:rsidRDefault="00E66FE1" w:rsidP="00FA4EF8">
      <w:pPr>
        <w:spacing w:before="80" w:after="80"/>
        <w:ind w:left="284" w:hanging="284"/>
        <w:rPr>
          <w:sz w:val="14"/>
          <w:szCs w:val="14"/>
        </w:rPr>
      </w:pPr>
      <w:r w:rsidRPr="007B6F19">
        <w:rPr>
          <w:sz w:val="21"/>
          <w:szCs w:val="21"/>
          <w:vertAlign w:val="superscript"/>
        </w:rPr>
        <w:footnoteRef/>
      </w:r>
      <w:r w:rsidRPr="007B6F19">
        <w:rPr>
          <w:sz w:val="14"/>
          <w:szCs w:val="14"/>
        </w:rPr>
        <w:t xml:space="preserve"> </w:t>
      </w:r>
      <w:r w:rsidRPr="007B6F19">
        <w:rPr>
          <w:sz w:val="14"/>
          <w:szCs w:val="14"/>
        </w:rPr>
        <w:tab/>
      </w:r>
      <w:r w:rsidRPr="000E4BFD">
        <w:rPr>
          <w:sz w:val="18"/>
          <w:szCs w:val="14"/>
        </w:rPr>
        <w:t xml:space="preserve">Communications Regulatory Authority Qatar (2014) Consultation on Draft QoS Policy and Draft QoS Regulatory Framework Annex 3: Quality of Service Benchmark Report, available at: </w:t>
      </w:r>
      <w:hyperlink r:id="rId51" w:history="1">
        <w:r w:rsidRPr="008456A3">
          <w:rPr>
            <w:rStyle w:val="Hyperlink"/>
            <w:sz w:val="18"/>
            <w:szCs w:val="14"/>
          </w:rPr>
          <w:t>http://www.motc.gov.qa/sites/default/files/documents/Annex%203%20-%20QoS%20benchmark%20report.pdf</w:t>
        </w:r>
      </w:hyperlink>
      <w:r>
        <w:rPr>
          <w:rFonts w:eastAsia="Georgia"/>
          <w:snapToGrid/>
        </w:rPr>
        <w:t>.</w:t>
      </w:r>
    </w:p>
  </w:footnote>
  <w:footnote w:id="56">
    <w:p w14:paraId="105AB073" w14:textId="7EA42F0A" w:rsidR="00E66FE1" w:rsidRPr="001A30CD" w:rsidRDefault="00E66FE1" w:rsidP="00FA4EF8">
      <w:pPr>
        <w:pStyle w:val="FootnoteText"/>
        <w:tabs>
          <w:tab w:val="clear" w:pos="284"/>
        </w:tabs>
        <w:ind w:left="284" w:hanging="284"/>
        <w:rPr>
          <w:lang w:val="en-US"/>
        </w:rPr>
      </w:pPr>
      <w:r w:rsidRPr="007B6F19">
        <w:rPr>
          <w:rStyle w:val="FootnoteReference"/>
          <w:szCs w:val="21"/>
        </w:rPr>
        <w:footnoteRef/>
      </w:r>
      <w:r w:rsidRPr="007B6F19">
        <w:rPr>
          <w:szCs w:val="14"/>
        </w:rPr>
        <w:t xml:space="preserve"> </w:t>
      </w:r>
      <w:r w:rsidRPr="007B6F19">
        <w:rPr>
          <w:szCs w:val="14"/>
        </w:rPr>
        <w:tab/>
        <w:t>European Commission (2018) Telecom Rules</w:t>
      </w:r>
      <w:r>
        <w:rPr>
          <w:szCs w:val="14"/>
        </w:rPr>
        <w:t>, available at</w:t>
      </w:r>
      <w:r w:rsidRPr="007B6F19">
        <w:rPr>
          <w:szCs w:val="14"/>
        </w:rPr>
        <w:t xml:space="preserve">: </w:t>
      </w:r>
      <w:hyperlink r:id="rId52" w:history="1">
        <w:r w:rsidRPr="008456A3">
          <w:rPr>
            <w:rStyle w:val="Hyperlink"/>
            <w:szCs w:val="14"/>
          </w:rPr>
          <w:t>https://ec.europa.eu/digital-single-market/en/telecoms-rules</w:t>
        </w:r>
      </w:hyperlink>
      <w:r>
        <w:rPr>
          <w:rFonts w:eastAsia="Georgia"/>
          <w:snapToGrid/>
        </w:rPr>
        <w:t>.</w:t>
      </w:r>
    </w:p>
  </w:footnote>
  <w:footnote w:id="57">
    <w:p w14:paraId="022FE600" w14:textId="7BAD863E" w:rsidR="00E66FE1" w:rsidRPr="007B6F19" w:rsidRDefault="00E66FE1" w:rsidP="00FA4EF8">
      <w:pPr>
        <w:pStyle w:val="FootnoteText"/>
        <w:tabs>
          <w:tab w:val="clear" w:pos="284"/>
        </w:tabs>
        <w:ind w:left="284" w:hanging="284"/>
        <w:rPr>
          <w:lang w:val="en-US"/>
        </w:rPr>
      </w:pPr>
      <w:r w:rsidRPr="007B6F19">
        <w:rPr>
          <w:rStyle w:val="FootnoteReference"/>
        </w:rPr>
        <w:footnoteRef/>
      </w:r>
      <w:r w:rsidRPr="007B6F19">
        <w:t xml:space="preserve"> </w:t>
      </w:r>
      <w:r w:rsidRPr="007B6F19">
        <w:tab/>
      </w:r>
      <w:r w:rsidRPr="007B6F19">
        <w:rPr>
          <w:szCs w:val="14"/>
        </w:rPr>
        <w:t>Communications Regulatory Authority Qatar (2014)</w:t>
      </w:r>
      <w:r w:rsidRPr="00976A4E">
        <w:t xml:space="preserve"> </w:t>
      </w:r>
      <w:r w:rsidRPr="007B6F19">
        <w:rPr>
          <w:rFonts w:asciiTheme="majorHAnsi" w:hAnsiTheme="majorHAnsi"/>
          <w:szCs w:val="14"/>
        </w:rPr>
        <w:t>Consultation on Draft QoS Policy and Draft QoS Regulatory Framework Annex 3: Quality of Service Benchmark Report</w:t>
      </w:r>
      <w:r>
        <w:rPr>
          <w:szCs w:val="14"/>
        </w:rPr>
        <w:t>, available at</w:t>
      </w:r>
      <w:r w:rsidRPr="007B6F19">
        <w:rPr>
          <w:szCs w:val="14"/>
        </w:rPr>
        <w:t xml:space="preserve">: </w:t>
      </w:r>
      <w:hyperlink r:id="rId53" w:history="1">
        <w:r w:rsidRPr="008456A3">
          <w:rPr>
            <w:rStyle w:val="Hyperlink"/>
            <w:szCs w:val="14"/>
          </w:rPr>
          <w:t>http://www.motc.gov.qa/sites/default/files/documents/Annex%203%20-%20QoS%20benchmark%20report.pdf</w:t>
        </w:r>
      </w:hyperlink>
      <w:r>
        <w:rPr>
          <w:rFonts w:eastAsia="Georgia"/>
          <w:snapToGrid/>
        </w:rPr>
        <w:t>.</w:t>
      </w:r>
    </w:p>
  </w:footnote>
  <w:footnote w:id="58">
    <w:p w14:paraId="029746A6" w14:textId="4B040337" w:rsidR="00E66FE1" w:rsidRPr="007B6F19" w:rsidRDefault="00E66FE1" w:rsidP="00FA4EF8">
      <w:pPr>
        <w:pStyle w:val="FootnoteText"/>
        <w:tabs>
          <w:tab w:val="clear" w:pos="284"/>
        </w:tabs>
        <w:ind w:left="284" w:hanging="284"/>
        <w:rPr>
          <w:lang w:val="en-US"/>
        </w:rPr>
      </w:pPr>
      <w:r w:rsidRPr="007B6F19">
        <w:rPr>
          <w:rStyle w:val="FootnoteReference"/>
        </w:rPr>
        <w:footnoteRef/>
      </w:r>
      <w:r w:rsidRPr="007B6F19">
        <w:t xml:space="preserve"> </w:t>
      </w:r>
      <w:r w:rsidRPr="007B6F19">
        <w:tab/>
        <w:t xml:space="preserve">European Commission (2009) </w:t>
      </w:r>
      <w:r w:rsidRPr="00F405F6">
        <w:t>Regulatory framework for electronic communications in the European Union</w:t>
      </w:r>
      <w:r>
        <w:t>, available at</w:t>
      </w:r>
      <w:r w:rsidRPr="007B6F19">
        <w:t xml:space="preserve">: </w:t>
      </w:r>
      <w:hyperlink r:id="rId54" w:history="1">
        <w:r w:rsidRPr="008456A3">
          <w:rPr>
            <w:rStyle w:val="Hyperlink"/>
          </w:rPr>
          <w:t>https://ec.europa.eu/digital-single-market/sites/digital-agenda/files/Copy%20of%20Regulatory%20Framework%20for%20Electonic%20Communications%202013%20NO%20CROPS.pdf</w:t>
        </w:r>
      </w:hyperlink>
      <w:r>
        <w:rPr>
          <w:rFonts w:eastAsia="Georgia"/>
          <w:snapToGrid/>
        </w:rPr>
        <w:t>.</w:t>
      </w:r>
    </w:p>
  </w:footnote>
  <w:footnote w:id="59">
    <w:p w14:paraId="007E0E13" w14:textId="73FC3735" w:rsidR="00E66FE1" w:rsidRPr="007B6F19" w:rsidRDefault="00E66FE1" w:rsidP="00FA4EF8">
      <w:pPr>
        <w:pStyle w:val="FootnoteText"/>
        <w:tabs>
          <w:tab w:val="clear" w:pos="284"/>
        </w:tabs>
        <w:ind w:left="284" w:hanging="284"/>
        <w:rPr>
          <w:lang w:val="en-US"/>
        </w:rPr>
      </w:pPr>
      <w:r w:rsidRPr="007B6F19">
        <w:rPr>
          <w:rStyle w:val="FootnoteReference"/>
        </w:rPr>
        <w:footnoteRef/>
      </w:r>
      <w:r w:rsidRPr="007B6F19">
        <w:t xml:space="preserve"> </w:t>
      </w:r>
      <w:r w:rsidRPr="007B6F19">
        <w:tab/>
        <w:t>Body of European Regulators for Electronic Communications (Accessed June 2018)</w:t>
      </w:r>
      <w:r>
        <w:t xml:space="preserve"> </w:t>
      </w:r>
      <w:r w:rsidRPr="007B6F19">
        <w:t>What is BEREC?</w:t>
      </w:r>
      <w:r>
        <w:t xml:space="preserve"> available at</w:t>
      </w:r>
      <w:r w:rsidRPr="007B6F19">
        <w:t xml:space="preserve">: </w:t>
      </w:r>
      <w:hyperlink r:id="rId55" w:history="1">
        <w:r w:rsidRPr="008456A3">
          <w:rPr>
            <w:rStyle w:val="Hyperlink"/>
          </w:rPr>
          <w:t>https://berec.europa.eu/eng/about_berec/what_is_berec/</w:t>
        </w:r>
      </w:hyperlink>
      <w:r>
        <w:rPr>
          <w:rFonts w:eastAsia="Georgia"/>
          <w:snapToGrid/>
        </w:rPr>
        <w:t>.</w:t>
      </w:r>
    </w:p>
  </w:footnote>
  <w:footnote w:id="60">
    <w:p w14:paraId="508F2095" w14:textId="2DDEF17A" w:rsidR="00E66FE1" w:rsidRPr="007B6F19" w:rsidRDefault="00E66FE1" w:rsidP="00FD0BA5">
      <w:pPr>
        <w:pStyle w:val="FootnoteText"/>
        <w:tabs>
          <w:tab w:val="clear" w:pos="284"/>
        </w:tabs>
        <w:ind w:left="284" w:hanging="284"/>
        <w:rPr>
          <w:rFonts w:asciiTheme="majorHAnsi" w:hAnsiTheme="majorHAnsi"/>
          <w:szCs w:val="14"/>
          <w:lang w:val="en-US"/>
        </w:rPr>
      </w:pPr>
      <w:r w:rsidRPr="007B6F19">
        <w:rPr>
          <w:rStyle w:val="FootnoteReference"/>
          <w:rFonts w:asciiTheme="majorHAnsi" w:hAnsiTheme="majorHAnsi"/>
          <w:szCs w:val="21"/>
        </w:rPr>
        <w:footnoteRef/>
      </w:r>
      <w:r w:rsidRPr="007B6F19">
        <w:rPr>
          <w:rFonts w:asciiTheme="majorHAnsi" w:hAnsiTheme="majorHAnsi"/>
          <w:sz w:val="21"/>
          <w:szCs w:val="21"/>
        </w:rPr>
        <w:t xml:space="preserve"> </w:t>
      </w:r>
      <w:r w:rsidRPr="007B6F19">
        <w:rPr>
          <w:rFonts w:asciiTheme="majorHAnsi" w:hAnsiTheme="majorHAnsi"/>
          <w:sz w:val="21"/>
          <w:szCs w:val="21"/>
        </w:rPr>
        <w:tab/>
      </w:r>
      <w:r w:rsidRPr="007B6F19">
        <w:t>Autorité de régulation des communicati</w:t>
      </w:r>
      <w:r>
        <w:t>ons électroniques et des postes,</w:t>
      </w:r>
      <w:r w:rsidRPr="00976A4E">
        <w:t xml:space="preserve"> </w:t>
      </w:r>
      <w:r w:rsidRPr="007B6F19">
        <w:t>ACREP (Accessed June 2018)</w:t>
      </w:r>
      <w:r>
        <w:t xml:space="preserve"> Home, available at</w:t>
      </w:r>
      <w:r w:rsidRPr="007B6F19">
        <w:t xml:space="preserve">: </w:t>
      </w:r>
      <w:hyperlink r:id="rId56" w:history="1">
        <w:r w:rsidRPr="008456A3">
          <w:rPr>
            <w:rStyle w:val="Hyperlink"/>
          </w:rPr>
          <w:t>https://www.arcep.fr/index.php?id=1&amp;L=1</w:t>
        </w:r>
      </w:hyperlink>
      <w:r>
        <w:rPr>
          <w:rFonts w:eastAsia="Georgia"/>
          <w:snapToGrid/>
        </w:rPr>
        <w:t>.</w:t>
      </w:r>
    </w:p>
  </w:footnote>
  <w:footnote w:id="61">
    <w:p w14:paraId="1DE1E57F" w14:textId="5CE2ADA9" w:rsidR="00E66FE1" w:rsidRPr="007B6F19" w:rsidRDefault="00E66FE1" w:rsidP="00FD0BA5">
      <w:pPr>
        <w:spacing w:before="80" w:after="80"/>
        <w:ind w:left="284" w:hanging="284"/>
        <w:rPr>
          <w:rFonts w:asciiTheme="majorHAnsi" w:hAnsiTheme="majorHAnsi"/>
          <w:sz w:val="14"/>
          <w:szCs w:val="14"/>
        </w:rPr>
      </w:pPr>
      <w:r w:rsidRPr="007B6F19">
        <w:rPr>
          <w:rFonts w:asciiTheme="majorHAnsi" w:hAnsiTheme="majorHAnsi"/>
          <w:sz w:val="21"/>
          <w:szCs w:val="21"/>
          <w:vertAlign w:val="superscript"/>
        </w:rPr>
        <w:footnoteRef/>
      </w:r>
      <w:r w:rsidRPr="007B6F19">
        <w:rPr>
          <w:rFonts w:asciiTheme="majorHAnsi" w:hAnsiTheme="majorHAnsi"/>
          <w:sz w:val="21"/>
          <w:szCs w:val="21"/>
        </w:rPr>
        <w:t xml:space="preserve"> </w:t>
      </w:r>
      <w:r w:rsidRPr="007B6F19">
        <w:rPr>
          <w:rFonts w:asciiTheme="majorHAnsi" w:hAnsiTheme="majorHAnsi"/>
          <w:sz w:val="21"/>
          <w:szCs w:val="21"/>
        </w:rPr>
        <w:tab/>
      </w:r>
      <w:r w:rsidRPr="000E4BFD">
        <w:rPr>
          <w:rFonts w:asciiTheme="majorHAnsi" w:hAnsiTheme="majorHAnsi"/>
          <w:sz w:val="18"/>
          <w:szCs w:val="14"/>
          <w:lang w:val="en-US"/>
        </w:rPr>
        <w:t xml:space="preserve">DLA Piper (2016) Telecommunications laws of the world - France, available at: </w:t>
      </w:r>
      <w:hyperlink r:id="rId57" w:history="1">
        <w:r w:rsidRPr="008456A3">
          <w:rPr>
            <w:rStyle w:val="Hyperlink"/>
            <w:rFonts w:asciiTheme="majorHAnsi" w:hAnsiTheme="majorHAnsi"/>
            <w:sz w:val="18"/>
            <w:szCs w:val="14"/>
            <w:lang w:val="en-US"/>
          </w:rPr>
          <w:t>https://www.dlapiperintelligence.com/telecoms/index.html?t=overview&amp;c=FR</w:t>
        </w:r>
      </w:hyperlink>
      <w:r>
        <w:rPr>
          <w:rFonts w:eastAsia="Georgia"/>
          <w:snapToGrid/>
        </w:rPr>
        <w:t>.</w:t>
      </w:r>
    </w:p>
  </w:footnote>
  <w:footnote w:id="62">
    <w:p w14:paraId="7E2E0C27" w14:textId="7F2D0C26" w:rsidR="00E66FE1" w:rsidRPr="007B6F19" w:rsidRDefault="00E66FE1" w:rsidP="00FD0BA5">
      <w:pPr>
        <w:pStyle w:val="FootnoteText"/>
        <w:tabs>
          <w:tab w:val="clear" w:pos="284"/>
        </w:tabs>
        <w:ind w:left="284" w:hanging="284"/>
        <w:rPr>
          <w:rFonts w:asciiTheme="majorHAnsi" w:hAnsiTheme="majorHAnsi"/>
          <w:szCs w:val="14"/>
          <w:lang w:val="en-US"/>
        </w:rPr>
      </w:pPr>
      <w:r w:rsidRPr="007B6F19">
        <w:rPr>
          <w:rStyle w:val="FootnoteReference"/>
          <w:rFonts w:asciiTheme="majorHAnsi" w:hAnsiTheme="majorHAnsi"/>
          <w:szCs w:val="21"/>
        </w:rPr>
        <w:footnoteRef/>
      </w:r>
      <w:r w:rsidRPr="007B6F19">
        <w:rPr>
          <w:rFonts w:asciiTheme="majorHAnsi" w:hAnsiTheme="majorHAnsi"/>
          <w:sz w:val="21"/>
          <w:szCs w:val="21"/>
        </w:rPr>
        <w:t xml:space="preserve"> </w:t>
      </w:r>
      <w:r w:rsidRPr="007B6F19">
        <w:rPr>
          <w:rFonts w:asciiTheme="majorHAnsi" w:hAnsiTheme="majorHAnsi"/>
          <w:sz w:val="21"/>
          <w:szCs w:val="21"/>
        </w:rPr>
        <w:tab/>
      </w:r>
      <w:r w:rsidRPr="007B6F19">
        <w:rPr>
          <w:rFonts w:asciiTheme="majorHAnsi" w:hAnsiTheme="majorHAnsi"/>
          <w:szCs w:val="14"/>
          <w:lang w:val="en-US"/>
        </w:rPr>
        <w:t>Legifrance (2006) ARCEP article D. 98-4</w:t>
      </w:r>
      <w:r>
        <w:rPr>
          <w:rFonts w:asciiTheme="majorHAnsi" w:hAnsiTheme="majorHAnsi"/>
          <w:szCs w:val="14"/>
          <w:lang w:val="en-US"/>
        </w:rPr>
        <w:t>, available at</w:t>
      </w:r>
      <w:r w:rsidRPr="007B6F19">
        <w:rPr>
          <w:rFonts w:asciiTheme="majorHAnsi" w:hAnsiTheme="majorHAnsi"/>
          <w:szCs w:val="14"/>
          <w:lang w:val="en-US"/>
        </w:rPr>
        <w:t xml:space="preserve">: </w:t>
      </w:r>
      <w:hyperlink r:id="rId58" w:history="1">
        <w:r w:rsidRPr="008456A3">
          <w:rPr>
            <w:rStyle w:val="Hyperlink"/>
            <w:rFonts w:asciiTheme="majorHAnsi" w:hAnsiTheme="majorHAnsi"/>
            <w:szCs w:val="14"/>
            <w:lang w:val="en-US"/>
          </w:rPr>
          <w:t>https://www.legifrance.gouv.fr/affichCode.do?idArticle=LEGIARTI000006464073&amp;idSectionTA=LEGISCTA000006181878&amp;cidTexte=LEGITEXT000006070987&amp;dateTexte=20090217</w:t>
        </w:r>
      </w:hyperlink>
      <w:r>
        <w:rPr>
          <w:rFonts w:asciiTheme="majorHAnsi" w:hAnsiTheme="majorHAnsi"/>
          <w:szCs w:val="14"/>
          <w:lang w:val="en-US"/>
        </w:rPr>
        <w:t xml:space="preserve"> (Note website is in French as no English language site available)</w:t>
      </w:r>
      <w:r>
        <w:rPr>
          <w:rFonts w:eastAsia="Georgia"/>
          <w:snapToGrid/>
        </w:rPr>
        <w:t>.</w:t>
      </w:r>
    </w:p>
  </w:footnote>
  <w:footnote w:id="63">
    <w:p w14:paraId="47953E43" w14:textId="7E381340" w:rsidR="00E66FE1" w:rsidRPr="007B6F19" w:rsidRDefault="00E66FE1" w:rsidP="00FD0BA5">
      <w:pPr>
        <w:pStyle w:val="FootnoteText"/>
        <w:tabs>
          <w:tab w:val="clear" w:pos="284"/>
        </w:tabs>
        <w:ind w:left="284" w:hanging="284"/>
        <w:rPr>
          <w:rFonts w:asciiTheme="majorHAnsi" w:hAnsiTheme="majorHAnsi"/>
          <w:szCs w:val="14"/>
          <w:lang w:val="en-US"/>
        </w:rPr>
      </w:pPr>
      <w:r w:rsidRPr="007B6F19">
        <w:rPr>
          <w:rStyle w:val="FootnoteReference"/>
          <w:rFonts w:asciiTheme="majorHAnsi" w:hAnsiTheme="majorHAnsi"/>
          <w:szCs w:val="21"/>
        </w:rPr>
        <w:footnoteRef/>
      </w:r>
      <w:r w:rsidRPr="007B6F19">
        <w:rPr>
          <w:rFonts w:asciiTheme="majorHAnsi" w:hAnsiTheme="majorHAnsi"/>
          <w:sz w:val="21"/>
          <w:szCs w:val="21"/>
        </w:rPr>
        <w:t xml:space="preserve"> </w:t>
      </w:r>
      <w:r w:rsidRPr="007B6F19">
        <w:rPr>
          <w:rFonts w:asciiTheme="majorHAnsi" w:hAnsiTheme="majorHAnsi"/>
          <w:sz w:val="21"/>
          <w:szCs w:val="21"/>
        </w:rPr>
        <w:tab/>
      </w:r>
      <w:r w:rsidRPr="007B6F19">
        <w:rPr>
          <w:szCs w:val="14"/>
        </w:rPr>
        <w:t>Communications Regulatory Authority Qatar (2014)</w:t>
      </w:r>
      <w:r w:rsidRPr="007B6F19">
        <w:rPr>
          <w:rFonts w:asciiTheme="majorHAnsi" w:hAnsiTheme="majorHAnsi"/>
          <w:szCs w:val="14"/>
        </w:rPr>
        <w:t xml:space="preserve"> Consultation on Draft QoS Policy and Draft QoS Regulatory Framework Annex 3: Quality of Service Benchmark Report</w:t>
      </w:r>
      <w:r>
        <w:rPr>
          <w:szCs w:val="14"/>
        </w:rPr>
        <w:t>, available at</w:t>
      </w:r>
      <w:r w:rsidRPr="007B6F19">
        <w:rPr>
          <w:szCs w:val="14"/>
        </w:rPr>
        <w:t xml:space="preserve">: </w:t>
      </w:r>
      <w:hyperlink r:id="rId59" w:history="1">
        <w:r w:rsidRPr="008456A3">
          <w:rPr>
            <w:rStyle w:val="Hyperlink"/>
            <w:szCs w:val="14"/>
          </w:rPr>
          <w:t>http://www.motc.gov.qa/sites/default/files/documents/Annex%203%20-%20QoS%20benchmark%20report.pdf</w:t>
        </w:r>
      </w:hyperlink>
      <w:r>
        <w:rPr>
          <w:rFonts w:eastAsia="Georgia"/>
          <w:snapToGrid/>
        </w:rPr>
        <w:t>.</w:t>
      </w:r>
    </w:p>
  </w:footnote>
  <w:footnote w:id="64">
    <w:p w14:paraId="48D78639" w14:textId="48476B6C" w:rsidR="00E66FE1" w:rsidRPr="007B6F19" w:rsidRDefault="00E66FE1" w:rsidP="00402D6D">
      <w:pPr>
        <w:pStyle w:val="FootnoteText"/>
        <w:tabs>
          <w:tab w:val="clear" w:pos="284"/>
        </w:tabs>
        <w:ind w:left="284" w:hanging="284"/>
        <w:rPr>
          <w:szCs w:val="14"/>
          <w:lang w:val="en-US"/>
        </w:rPr>
      </w:pPr>
      <w:r w:rsidRPr="007B6F19">
        <w:rPr>
          <w:rStyle w:val="FootnoteReference"/>
          <w:szCs w:val="21"/>
        </w:rPr>
        <w:footnoteRef/>
      </w:r>
      <w:r w:rsidRPr="007B6F19">
        <w:rPr>
          <w:szCs w:val="14"/>
        </w:rPr>
        <w:t xml:space="preserve"> </w:t>
      </w:r>
      <w:r w:rsidRPr="007B6F19">
        <w:rPr>
          <w:szCs w:val="14"/>
        </w:rPr>
        <w:tab/>
        <w:t>Communications Regulatory Authority Qatar (2014)</w:t>
      </w:r>
      <w:r w:rsidRPr="007B6F19">
        <w:rPr>
          <w:rFonts w:asciiTheme="majorHAnsi" w:hAnsiTheme="majorHAnsi"/>
          <w:szCs w:val="14"/>
        </w:rPr>
        <w:t xml:space="preserve"> Consultation on Draft QoS Policy and Draft QoS Regulatory Framework Annex 3: Quality of Service Benchmark Report</w:t>
      </w:r>
      <w:r>
        <w:rPr>
          <w:szCs w:val="14"/>
        </w:rPr>
        <w:t>, available at</w:t>
      </w:r>
      <w:r w:rsidRPr="007B6F19">
        <w:rPr>
          <w:szCs w:val="14"/>
        </w:rPr>
        <w:t xml:space="preserve">: </w:t>
      </w:r>
      <w:hyperlink r:id="rId60" w:history="1">
        <w:r w:rsidRPr="008456A3">
          <w:rPr>
            <w:rStyle w:val="Hyperlink"/>
            <w:szCs w:val="14"/>
          </w:rPr>
          <w:t>http://www.motc.gov.qa/sites/default/files/documents/Annex%203%20-%20QoS%20benchmark%20report.pdf</w:t>
        </w:r>
      </w:hyperlink>
      <w:r>
        <w:rPr>
          <w:rFonts w:eastAsia="Georgia"/>
          <w:snapToGrid/>
        </w:rPr>
        <w:t>.</w:t>
      </w:r>
    </w:p>
  </w:footnote>
  <w:footnote w:id="65">
    <w:p w14:paraId="53986FEE" w14:textId="76F0DABC" w:rsidR="00E66FE1" w:rsidRPr="007B6F19" w:rsidRDefault="00E66FE1" w:rsidP="00402D6D">
      <w:pPr>
        <w:pStyle w:val="FootnoteText"/>
        <w:tabs>
          <w:tab w:val="clear" w:pos="284"/>
        </w:tabs>
        <w:ind w:left="284" w:hanging="284"/>
        <w:rPr>
          <w:szCs w:val="14"/>
          <w:lang w:val="en-US"/>
        </w:rPr>
      </w:pPr>
      <w:r w:rsidRPr="007B6F19">
        <w:rPr>
          <w:rStyle w:val="FootnoteReference"/>
          <w:szCs w:val="21"/>
        </w:rPr>
        <w:footnoteRef/>
      </w:r>
      <w:r w:rsidRPr="007B6F19">
        <w:rPr>
          <w:szCs w:val="14"/>
        </w:rPr>
        <w:t xml:space="preserve"> </w:t>
      </w:r>
      <w:r w:rsidRPr="007B6F19">
        <w:rPr>
          <w:szCs w:val="14"/>
        </w:rPr>
        <w:tab/>
        <w:t>Communications Regulatory Authority Qatar (2014)</w:t>
      </w:r>
      <w:r w:rsidRPr="007B6F19">
        <w:rPr>
          <w:rFonts w:asciiTheme="majorHAnsi" w:hAnsiTheme="majorHAnsi"/>
          <w:szCs w:val="14"/>
        </w:rPr>
        <w:t xml:space="preserve"> Consultation on Draft QoS Policy and Draft QoS Regulatory Framework Annex 3: Quality of Service Benchmark Report</w:t>
      </w:r>
      <w:r>
        <w:rPr>
          <w:szCs w:val="14"/>
        </w:rPr>
        <w:t>, available at</w:t>
      </w:r>
      <w:r w:rsidRPr="007B6F19">
        <w:rPr>
          <w:szCs w:val="14"/>
        </w:rPr>
        <w:t xml:space="preserve">: </w:t>
      </w:r>
      <w:hyperlink r:id="rId61" w:history="1">
        <w:r w:rsidRPr="008456A3">
          <w:rPr>
            <w:rStyle w:val="Hyperlink"/>
            <w:szCs w:val="14"/>
          </w:rPr>
          <w:t>http://www.motc.gov.qa/sites/default/files/documents/Annex%203%20-%20QoS%20benchmark%20report.pdf</w:t>
        </w:r>
      </w:hyperlink>
      <w:r>
        <w:rPr>
          <w:rFonts w:eastAsia="Georgia"/>
          <w:snapToGrid/>
        </w:rPr>
        <w:t>.</w:t>
      </w:r>
    </w:p>
  </w:footnote>
  <w:footnote w:id="66">
    <w:p w14:paraId="0CEE3E1D" w14:textId="11044999" w:rsidR="00E66FE1" w:rsidRPr="007B6F19" w:rsidRDefault="00E66FE1" w:rsidP="00FD0BA5">
      <w:pPr>
        <w:pStyle w:val="FootnoteText"/>
        <w:tabs>
          <w:tab w:val="clear" w:pos="284"/>
        </w:tabs>
        <w:ind w:left="284" w:hanging="284"/>
        <w:rPr>
          <w:lang w:val="en-US"/>
        </w:rPr>
      </w:pPr>
      <w:r w:rsidRPr="007B6F19">
        <w:rPr>
          <w:rStyle w:val="FootnoteReference"/>
          <w:szCs w:val="21"/>
        </w:rPr>
        <w:footnoteRef/>
      </w:r>
      <w:r w:rsidRPr="007B6F19">
        <w:rPr>
          <w:sz w:val="21"/>
          <w:szCs w:val="21"/>
        </w:rPr>
        <w:t xml:space="preserve"> </w:t>
      </w:r>
      <w:r w:rsidRPr="007B6F19">
        <w:rPr>
          <w:sz w:val="21"/>
          <w:szCs w:val="21"/>
        </w:rPr>
        <w:tab/>
      </w:r>
      <w:r w:rsidRPr="007B6F19">
        <w:rPr>
          <w:szCs w:val="14"/>
        </w:rPr>
        <w:t>Communications Regulatory Authority Qatar (2014)</w:t>
      </w:r>
      <w:r w:rsidRPr="007B6F19">
        <w:rPr>
          <w:rFonts w:asciiTheme="majorHAnsi" w:hAnsiTheme="majorHAnsi"/>
          <w:szCs w:val="14"/>
        </w:rPr>
        <w:t xml:space="preserve"> Consultation on Draft QoS Policy and Draft QoS Regulatory Framework Annex 3: Quality of Service Benchmark Report</w:t>
      </w:r>
      <w:r>
        <w:rPr>
          <w:szCs w:val="14"/>
        </w:rPr>
        <w:t>, available at</w:t>
      </w:r>
      <w:r w:rsidRPr="007B6F19">
        <w:rPr>
          <w:szCs w:val="14"/>
        </w:rPr>
        <w:t xml:space="preserve">: </w:t>
      </w:r>
      <w:hyperlink r:id="rId62" w:history="1">
        <w:r w:rsidRPr="008456A3">
          <w:rPr>
            <w:rStyle w:val="Hyperlink"/>
            <w:szCs w:val="14"/>
          </w:rPr>
          <w:t>http://www.motc.gov.qa/sites/default/files/documents/Annex%203%20-%20QoS%20benchmark%20report.pdf</w:t>
        </w:r>
      </w:hyperlink>
      <w:r>
        <w:rPr>
          <w:rFonts w:eastAsia="Georgia"/>
          <w:snapToGrid/>
        </w:rPr>
        <w:t>.</w:t>
      </w:r>
    </w:p>
  </w:footnote>
  <w:footnote w:id="67">
    <w:p w14:paraId="6F4E7393" w14:textId="6C882A40" w:rsidR="00E66FE1" w:rsidRDefault="00E66FE1" w:rsidP="0000588F">
      <w:pPr>
        <w:pStyle w:val="FootnoteText"/>
      </w:pPr>
      <w:r>
        <w:rPr>
          <w:rStyle w:val="FootnoteReference"/>
        </w:rPr>
        <w:footnoteRef/>
      </w:r>
      <w:r>
        <w:t xml:space="preserve"> </w:t>
      </w:r>
      <w:r>
        <w:tab/>
        <w:t xml:space="preserve">As at 1 July 2018 based on rates on </w:t>
      </w:r>
      <w:hyperlink r:id="rId63" w:history="1">
        <w:r w:rsidRPr="008456A3">
          <w:rPr>
            <w:rStyle w:val="Hyperlink"/>
          </w:rPr>
          <w:t>https://www.xe.com/</w:t>
        </w:r>
      </w:hyperlink>
      <w:r>
        <w:rPr>
          <w:rFonts w:eastAsia="Georgia"/>
          <w:snapToGrid/>
        </w:rPr>
        <w:t>.</w:t>
      </w:r>
    </w:p>
  </w:footnote>
  <w:footnote w:id="68">
    <w:p w14:paraId="4BC819B0" w14:textId="3EC9D7E1" w:rsidR="00E66FE1" w:rsidRPr="000E4BFD" w:rsidRDefault="00E66FE1" w:rsidP="00500F31">
      <w:pPr>
        <w:spacing w:before="80" w:after="80"/>
        <w:ind w:left="284" w:hanging="284"/>
        <w:rPr>
          <w:sz w:val="18"/>
        </w:rPr>
      </w:pPr>
      <w:r w:rsidRPr="007B6F19">
        <w:rPr>
          <w:rStyle w:val="FootnoteReference"/>
          <w:szCs w:val="21"/>
        </w:rPr>
        <w:footnoteRef/>
      </w:r>
      <w:r w:rsidRPr="007B6F19">
        <w:rPr>
          <w:sz w:val="21"/>
          <w:szCs w:val="21"/>
        </w:rPr>
        <w:t xml:space="preserve"> </w:t>
      </w:r>
      <w:r w:rsidRPr="007B6F19">
        <w:rPr>
          <w:sz w:val="21"/>
          <w:szCs w:val="21"/>
        </w:rPr>
        <w:tab/>
      </w:r>
      <w:r w:rsidRPr="000E4BFD">
        <w:rPr>
          <w:sz w:val="18"/>
        </w:rPr>
        <w:t xml:space="preserve">DLA Piper (2016) Telecommunications laws of the world - France, available at: </w:t>
      </w:r>
      <w:hyperlink r:id="rId64" w:history="1">
        <w:r w:rsidRPr="008456A3">
          <w:rPr>
            <w:rStyle w:val="Hyperlink"/>
            <w:sz w:val="18"/>
          </w:rPr>
          <w:t>https://www.dlapiperintelligence.com/telecoms/index.html?t=overview&amp;c=FR</w:t>
        </w:r>
      </w:hyperlink>
      <w:r>
        <w:rPr>
          <w:rFonts w:eastAsia="Georgia"/>
          <w:snapToGrid/>
        </w:rPr>
        <w:t>.</w:t>
      </w:r>
    </w:p>
  </w:footnote>
  <w:footnote w:id="69">
    <w:p w14:paraId="3D230CF9" w14:textId="5A872E3D" w:rsidR="00E66FE1" w:rsidRPr="007B6F19" w:rsidRDefault="00E66FE1" w:rsidP="00A16BB8">
      <w:pPr>
        <w:pStyle w:val="FootnoteText"/>
        <w:tabs>
          <w:tab w:val="clear" w:pos="284"/>
        </w:tabs>
        <w:ind w:left="284" w:hanging="284"/>
        <w:rPr>
          <w:lang w:val="en-US"/>
        </w:rPr>
      </w:pPr>
      <w:r w:rsidRPr="007B6F19">
        <w:rPr>
          <w:rStyle w:val="FootnoteReference"/>
        </w:rPr>
        <w:footnoteRef/>
      </w:r>
      <w:r w:rsidRPr="007B6F19">
        <w:t xml:space="preserve"> </w:t>
      </w:r>
      <w:r w:rsidRPr="007B6F19">
        <w:tab/>
        <w:t xml:space="preserve">Commerce Commission (November 2010) </w:t>
      </w:r>
      <w:r w:rsidRPr="00F405F6">
        <w:t>Communique – The year in review 2009/10</w:t>
      </w:r>
      <w:r>
        <w:t>.</w:t>
      </w:r>
    </w:p>
  </w:footnote>
  <w:footnote w:id="70">
    <w:p w14:paraId="2628CD2C" w14:textId="606BABAD" w:rsidR="00E66FE1" w:rsidRPr="007B6F19" w:rsidRDefault="00E66FE1" w:rsidP="00BE12F3">
      <w:pPr>
        <w:pStyle w:val="FootnoteText"/>
        <w:tabs>
          <w:tab w:val="clear" w:pos="284"/>
        </w:tabs>
        <w:ind w:left="284" w:hanging="284"/>
        <w:rPr>
          <w:lang w:val="en-US"/>
        </w:rPr>
      </w:pPr>
      <w:r w:rsidRPr="007B6F19">
        <w:rPr>
          <w:rStyle w:val="FootnoteReference"/>
        </w:rPr>
        <w:footnoteRef/>
      </w:r>
      <w:r w:rsidRPr="007B6F19">
        <w:t xml:space="preserve"> </w:t>
      </w:r>
      <w:r w:rsidRPr="007B6F19">
        <w:tab/>
        <w:t xml:space="preserve">Commerce Commission (2018) </w:t>
      </w:r>
      <w:r w:rsidRPr="00F405F6">
        <w:t>Monitoring reports</w:t>
      </w:r>
      <w:r>
        <w:t>, available at</w:t>
      </w:r>
      <w:r w:rsidRPr="007B6F19">
        <w:t xml:space="preserve">: </w:t>
      </w:r>
      <w:hyperlink r:id="rId65" w:history="1">
        <w:r w:rsidRPr="008456A3">
          <w:rPr>
            <w:rStyle w:val="Hyperlink"/>
          </w:rPr>
          <w:t>https://comcom.govt.nz/regulated-industries/telecommunications/monitoring-the-telecommunications-market</w:t>
        </w:r>
      </w:hyperlink>
      <w:r>
        <w:t>.</w:t>
      </w:r>
    </w:p>
  </w:footnote>
  <w:footnote w:id="71">
    <w:p w14:paraId="0653DF70" w14:textId="1DA5FCFE" w:rsidR="00E66FE1" w:rsidRPr="007B6F19" w:rsidRDefault="00E66FE1" w:rsidP="00BE12F3">
      <w:pPr>
        <w:pStyle w:val="FootnoteText"/>
        <w:tabs>
          <w:tab w:val="clear" w:pos="284"/>
        </w:tabs>
        <w:ind w:left="284" w:hanging="284"/>
        <w:rPr>
          <w:lang w:val="en-US"/>
        </w:rPr>
      </w:pPr>
      <w:r w:rsidRPr="007B6F19">
        <w:rPr>
          <w:rStyle w:val="FootnoteReference"/>
        </w:rPr>
        <w:footnoteRef/>
      </w:r>
      <w:r w:rsidRPr="007B6F19">
        <w:t xml:space="preserve"> </w:t>
      </w:r>
      <w:r w:rsidRPr="007B6F19">
        <w:tab/>
        <w:t xml:space="preserve">New Zealand Government (2017) </w:t>
      </w:r>
      <w:r w:rsidRPr="00F405F6">
        <w:t>Internet service provider survey: 2017</w:t>
      </w:r>
      <w:r>
        <w:t>, available at</w:t>
      </w:r>
      <w:r w:rsidRPr="007B6F19">
        <w:t xml:space="preserve">: </w:t>
      </w:r>
      <w:hyperlink r:id="rId66" w:history="1">
        <w:r w:rsidRPr="008456A3">
          <w:rPr>
            <w:rStyle w:val="Hyperlink"/>
          </w:rPr>
          <w:t>https://www.stats.govt.nz/information-releases/internet-service-provider-survey-2017</w:t>
        </w:r>
      </w:hyperlink>
      <w:r>
        <w:rPr>
          <w:rFonts w:eastAsia="Georgia"/>
          <w:snapToGrid/>
        </w:rPr>
        <w:t>.</w:t>
      </w:r>
    </w:p>
  </w:footnote>
  <w:footnote w:id="72">
    <w:p w14:paraId="5AAF85FB" w14:textId="03E75A65" w:rsidR="00E66FE1" w:rsidRPr="007B6F19" w:rsidRDefault="00E66FE1" w:rsidP="00BE12F3">
      <w:pPr>
        <w:pStyle w:val="FootnoteText"/>
        <w:tabs>
          <w:tab w:val="clear" w:pos="284"/>
        </w:tabs>
        <w:ind w:left="284" w:hanging="284"/>
        <w:rPr>
          <w:lang w:val="en-US"/>
        </w:rPr>
      </w:pPr>
      <w:r w:rsidRPr="007B6F19">
        <w:rPr>
          <w:rStyle w:val="FootnoteReference"/>
        </w:rPr>
        <w:footnoteRef/>
      </w:r>
      <w:r w:rsidRPr="007B6F19">
        <w:t xml:space="preserve"> </w:t>
      </w:r>
      <w:r w:rsidRPr="007B6F19">
        <w:tab/>
        <w:t>Commerce Commission (2018)</w:t>
      </w:r>
      <w:r>
        <w:t xml:space="preserve"> Standard Terms Determinations, available at</w:t>
      </w:r>
      <w:r w:rsidRPr="007B6F19">
        <w:t xml:space="preserve">: </w:t>
      </w:r>
      <w:hyperlink r:id="rId67" w:history="1">
        <w:r w:rsidRPr="008456A3">
          <w:rPr>
            <w:rStyle w:val="Hyperlink"/>
          </w:rPr>
          <w:t>http://www.comcom.govt.nz/regulated-industries/telecommunications/regulated-services/standard-terms-determinations/</w:t>
        </w:r>
      </w:hyperlink>
      <w:r>
        <w:rPr>
          <w:rFonts w:eastAsia="Georgia"/>
          <w:snapToGrid/>
        </w:rPr>
        <w:t>.</w:t>
      </w:r>
    </w:p>
  </w:footnote>
  <w:footnote w:id="73">
    <w:p w14:paraId="628B04DA" w14:textId="5D83780E" w:rsidR="00E66FE1" w:rsidRPr="007B6F19" w:rsidRDefault="00E66FE1" w:rsidP="00A16BB8">
      <w:pPr>
        <w:pStyle w:val="FootnoteText"/>
        <w:tabs>
          <w:tab w:val="clear" w:pos="284"/>
        </w:tabs>
        <w:ind w:left="284" w:hanging="284"/>
        <w:rPr>
          <w:lang w:val="en-US"/>
        </w:rPr>
      </w:pPr>
      <w:r w:rsidRPr="007B6F19">
        <w:rPr>
          <w:rStyle w:val="FootnoteReference"/>
        </w:rPr>
        <w:footnoteRef/>
      </w:r>
      <w:r w:rsidRPr="007B6F19">
        <w:t xml:space="preserve"> </w:t>
      </w:r>
      <w:r w:rsidRPr="007B6F19">
        <w:tab/>
        <w:t>NZ Telec</w:t>
      </w:r>
      <w:r>
        <w:t>ommunications Forum Inc. (2018)</w:t>
      </w:r>
      <w:r w:rsidRPr="007B6F19">
        <w:t xml:space="preserve"> </w:t>
      </w:r>
      <w:r w:rsidRPr="00F405F6">
        <w:t>Industry Standards &amp; Guides</w:t>
      </w:r>
      <w:r>
        <w:t>,</w:t>
      </w:r>
      <w:r w:rsidRPr="007B6F19">
        <w:t xml:space="preserve"> </w:t>
      </w:r>
      <w:r>
        <w:t>a</w:t>
      </w:r>
      <w:r w:rsidRPr="007B6F19">
        <w:t>vailable</w:t>
      </w:r>
      <w:r>
        <w:t xml:space="preserve"> at</w:t>
      </w:r>
      <w:r w:rsidRPr="007B6F19">
        <w:t xml:space="preserve">: </w:t>
      </w:r>
      <w:hyperlink r:id="rId68" w:history="1">
        <w:r w:rsidRPr="008456A3">
          <w:rPr>
            <w:rStyle w:val="Hyperlink"/>
          </w:rPr>
          <w:t>https://www.tcf.org.nz/industry/resources/publications/industry-standards-guides/</w:t>
        </w:r>
      </w:hyperlink>
      <w:r>
        <w:rPr>
          <w:rFonts w:eastAsia="Georgia"/>
          <w:snapToGrid/>
        </w:rPr>
        <w:t>.</w:t>
      </w:r>
    </w:p>
  </w:footnote>
  <w:footnote w:id="74">
    <w:p w14:paraId="470A75FF" w14:textId="17A1A71A" w:rsidR="00E66FE1" w:rsidRPr="007B6F19" w:rsidRDefault="00E66FE1" w:rsidP="00A16BB8">
      <w:pPr>
        <w:pStyle w:val="FootnoteText"/>
        <w:tabs>
          <w:tab w:val="clear" w:pos="284"/>
        </w:tabs>
        <w:ind w:left="284" w:hanging="284"/>
        <w:rPr>
          <w:lang w:val="en-US"/>
        </w:rPr>
      </w:pPr>
      <w:r w:rsidRPr="007B6F19">
        <w:rPr>
          <w:rStyle w:val="FootnoteReference"/>
        </w:rPr>
        <w:footnoteRef/>
      </w:r>
      <w:r w:rsidRPr="007B6F19">
        <w:t xml:space="preserve"> </w:t>
      </w:r>
      <w:r w:rsidRPr="007B6F19">
        <w:tab/>
        <w:t xml:space="preserve">NZ Telecommunications Forum Inc. (2012) </w:t>
      </w:r>
      <w:r w:rsidRPr="00DD3E96">
        <w:t>Code Compliance Framework (CCF)</w:t>
      </w:r>
      <w:r>
        <w:t>, available at</w:t>
      </w:r>
      <w:r w:rsidRPr="007B6F19">
        <w:t xml:space="preserve">: </w:t>
      </w:r>
      <w:hyperlink r:id="rId69" w:history="1">
        <w:r w:rsidRPr="008456A3">
          <w:rPr>
            <w:rStyle w:val="Hyperlink"/>
          </w:rPr>
          <w:t>https://www.tcf.org.nz/assets/codes/tcf-code-compliance-framework-endorsed-march-2012.pdf</w:t>
        </w:r>
      </w:hyperlink>
      <w:r>
        <w:rPr>
          <w:rFonts w:eastAsia="Georgia"/>
          <w:snapToGrid/>
        </w:rPr>
        <w:t>.</w:t>
      </w:r>
    </w:p>
  </w:footnote>
  <w:footnote w:id="75">
    <w:p w14:paraId="78865EAE" w14:textId="2F944725" w:rsidR="00E66FE1" w:rsidRPr="007B6F19" w:rsidRDefault="00E66FE1" w:rsidP="00500F31">
      <w:pPr>
        <w:pStyle w:val="FootnoteText"/>
        <w:tabs>
          <w:tab w:val="clear" w:pos="284"/>
        </w:tabs>
        <w:ind w:left="284" w:hanging="284"/>
        <w:rPr>
          <w:lang w:val="en-US"/>
        </w:rPr>
      </w:pPr>
      <w:r w:rsidRPr="007B6F19">
        <w:rPr>
          <w:rStyle w:val="FootnoteReference"/>
        </w:rPr>
        <w:footnoteRef/>
      </w:r>
      <w:r w:rsidRPr="007B6F19">
        <w:t xml:space="preserve"> </w:t>
      </w:r>
      <w:r w:rsidRPr="007B6F19">
        <w:tab/>
        <w:t xml:space="preserve">Spark NZ (2018) </w:t>
      </w:r>
      <w:r w:rsidRPr="00F405F6">
        <w:t>Service Levels</w:t>
      </w:r>
      <w:r>
        <w:t>, available at</w:t>
      </w:r>
      <w:r w:rsidRPr="007B6F19">
        <w:t xml:space="preserve">: </w:t>
      </w:r>
      <w:hyperlink r:id="rId70" w:history="1">
        <w:r w:rsidRPr="008456A3">
          <w:rPr>
            <w:rStyle w:val="Hyperlink"/>
          </w:rPr>
          <w:t>https://www.spark.co.nz/help/other/terms/policies/servicelevels/</w:t>
        </w:r>
      </w:hyperlink>
      <w:r>
        <w:rPr>
          <w:rFonts w:eastAsia="Georgia"/>
          <w:snapToGrid/>
        </w:rPr>
        <w:t>.</w:t>
      </w:r>
    </w:p>
  </w:footnote>
  <w:footnote w:id="76">
    <w:p w14:paraId="124381BE" w14:textId="667A20D8" w:rsidR="00E66FE1" w:rsidRPr="007B6F19" w:rsidRDefault="00E66FE1" w:rsidP="00A16BB8">
      <w:pPr>
        <w:pStyle w:val="FootnoteText"/>
        <w:tabs>
          <w:tab w:val="clear" w:pos="284"/>
        </w:tabs>
        <w:ind w:left="284" w:hanging="284"/>
        <w:rPr>
          <w:lang w:val="en-US"/>
        </w:rPr>
      </w:pPr>
      <w:r w:rsidRPr="007B6F19">
        <w:rPr>
          <w:rStyle w:val="FootnoteReference"/>
        </w:rPr>
        <w:footnoteRef/>
      </w:r>
      <w:r w:rsidRPr="007B6F19">
        <w:t xml:space="preserve"> </w:t>
      </w:r>
      <w:r w:rsidRPr="007B6F19">
        <w:tab/>
        <w:t xml:space="preserve">NBN Co Ltd. (2017) Australia &amp; New Zealand broadband: </w:t>
      </w:r>
      <w:r w:rsidRPr="00F405F6">
        <w:t>Comparing apples with oranges…</w:t>
      </w:r>
      <w:r>
        <w:t>, available at</w:t>
      </w:r>
      <w:r w:rsidRPr="007B6F19">
        <w:t xml:space="preserve">: </w:t>
      </w:r>
      <w:hyperlink r:id="rId71" w:history="1">
        <w:r w:rsidRPr="008456A3">
          <w:rPr>
            <w:rStyle w:val="Hyperlink"/>
          </w:rPr>
          <w:t>https://www.nbnco.com.au/blog/the-nbn-project/australia-and-new-zealand-broadband-comparing-apples-with-oranges.html</w:t>
        </w:r>
      </w:hyperlink>
      <w:r>
        <w:rPr>
          <w:rFonts w:eastAsia="Georgia"/>
          <w:snapToGrid/>
        </w:rPr>
        <w:t>.</w:t>
      </w:r>
    </w:p>
  </w:footnote>
  <w:footnote w:id="77">
    <w:p w14:paraId="73BD650F" w14:textId="764AE677" w:rsidR="00E66FE1" w:rsidRPr="00F405F6" w:rsidRDefault="00E66FE1" w:rsidP="005A47B9">
      <w:pPr>
        <w:pStyle w:val="FootnoteText"/>
        <w:rPr>
          <w:lang w:val="en-US"/>
        </w:rPr>
      </w:pPr>
      <w:r w:rsidRPr="007B6F19">
        <w:rPr>
          <w:rStyle w:val="FootnoteReference"/>
        </w:rPr>
        <w:footnoteRef/>
      </w:r>
      <w:r w:rsidRPr="007B6F19">
        <w:t xml:space="preserve"> </w:t>
      </w:r>
      <w:r w:rsidRPr="007B6F19">
        <w:rPr>
          <w:lang w:val="en-US"/>
        </w:rPr>
        <w:t xml:space="preserve">Ministry of business, Innovation and Employment (2017), Review of the </w:t>
      </w:r>
      <w:r w:rsidRPr="002F0392">
        <w:rPr>
          <w:i/>
          <w:lang w:val="en-US"/>
        </w:rPr>
        <w:t>Telecommunications Act 2001</w:t>
      </w:r>
      <w:r>
        <w:rPr>
          <w:lang w:val="en-US"/>
        </w:rPr>
        <w:t>, available at</w:t>
      </w:r>
      <w:r w:rsidRPr="007B6F19">
        <w:rPr>
          <w:lang w:val="en-US"/>
        </w:rPr>
        <w:t xml:space="preserve">: </w:t>
      </w:r>
      <w:hyperlink r:id="rId72" w:history="1">
        <w:r w:rsidRPr="008456A3">
          <w:rPr>
            <w:rStyle w:val="Hyperlink"/>
            <w:lang w:val="en-US"/>
          </w:rPr>
          <w:t>http://www.mbie.govt.nz/info-services/sectors-industries/technology-communications/communications/regulating-the-telecommunications-sector/review-of-the-telecommunications-act-2001/final-decisions-june-2017</w:t>
        </w:r>
      </w:hyperlink>
      <w:r>
        <w:rPr>
          <w:rFonts w:eastAsia="Georgia"/>
          <w:snapToGrid/>
        </w:rPr>
        <w:t>.</w:t>
      </w:r>
    </w:p>
  </w:footnote>
  <w:footnote w:id="78">
    <w:p w14:paraId="08202F3F" w14:textId="327867EE" w:rsidR="00E66FE1" w:rsidRPr="007B6F19" w:rsidRDefault="00E66FE1" w:rsidP="00BE12F3">
      <w:pPr>
        <w:pStyle w:val="FootnoteText"/>
        <w:tabs>
          <w:tab w:val="clear" w:pos="284"/>
        </w:tabs>
        <w:ind w:left="284" w:hanging="284"/>
        <w:rPr>
          <w:lang w:val="en-US"/>
        </w:rPr>
      </w:pPr>
      <w:r w:rsidRPr="007B6F19">
        <w:rPr>
          <w:rStyle w:val="FootnoteReference"/>
        </w:rPr>
        <w:footnoteRef/>
      </w:r>
      <w:r w:rsidRPr="007B6F19">
        <w:t xml:space="preserve"> </w:t>
      </w:r>
      <w:r w:rsidRPr="007B6F19">
        <w:tab/>
        <w:t>NZ Telecommunications Forum Inc. (2016)</w:t>
      </w:r>
      <w:r w:rsidRPr="00DD3E96">
        <w:t xml:space="preserve"> Customer Transfer Code for Fibre Services</w:t>
      </w:r>
      <w:r>
        <w:t>, available at</w:t>
      </w:r>
      <w:r w:rsidRPr="007B6F19">
        <w:t xml:space="preserve">: </w:t>
      </w:r>
      <w:hyperlink r:id="rId73" w:history="1">
        <w:r w:rsidRPr="008456A3">
          <w:rPr>
            <w:rStyle w:val="Hyperlink"/>
          </w:rPr>
          <w:t>https://www.tcf.org.nz/industry/standards-compliance/customer-experience/customer-transfer-fibre/</w:t>
        </w:r>
      </w:hyperlink>
      <w:r>
        <w:rPr>
          <w:rFonts w:eastAsia="Georgia"/>
          <w:snapToGrid/>
        </w:rPr>
        <w:t>.</w:t>
      </w:r>
    </w:p>
  </w:footnote>
  <w:footnote w:id="79">
    <w:p w14:paraId="52D84BE4" w14:textId="5037E350" w:rsidR="00E66FE1" w:rsidRPr="007B6F19" w:rsidRDefault="00E66FE1" w:rsidP="001A40A0">
      <w:pPr>
        <w:pStyle w:val="FootnoteText"/>
        <w:tabs>
          <w:tab w:val="clear" w:pos="284"/>
        </w:tabs>
        <w:ind w:left="284" w:hanging="284"/>
        <w:rPr>
          <w:lang w:val="en-US"/>
        </w:rPr>
      </w:pPr>
      <w:r w:rsidRPr="007B6F19">
        <w:rPr>
          <w:rStyle w:val="FootnoteReference"/>
        </w:rPr>
        <w:footnoteRef/>
      </w:r>
      <w:r w:rsidRPr="007B6F19">
        <w:t xml:space="preserve"> </w:t>
      </w:r>
      <w:r w:rsidRPr="007B6F19">
        <w:tab/>
        <w:t>NZ Telecommunications Forum Inc. (2013)</w:t>
      </w:r>
      <w:r w:rsidRPr="00F405F6">
        <w:t xml:space="preserve"> Code for Transfer of Telecommunications Services</w:t>
      </w:r>
      <w:r>
        <w:t>, available at</w:t>
      </w:r>
      <w:r w:rsidRPr="007B6F19">
        <w:t xml:space="preserve">: </w:t>
      </w:r>
      <w:hyperlink r:id="rId74" w:history="1">
        <w:r w:rsidRPr="008456A3">
          <w:rPr>
            <w:rStyle w:val="Hyperlink"/>
          </w:rPr>
          <w:t>https://www.tcf.org.nz/industry/standards-compliance/customer-experience/customer-transfer-regulated-services/regulated-customer-transfer-code.PDF</w:t>
        </w:r>
      </w:hyperlink>
      <w:r>
        <w:rPr>
          <w:rFonts w:eastAsia="Georgia"/>
          <w:snapToGrid/>
        </w:rPr>
        <w:t>.</w:t>
      </w:r>
    </w:p>
  </w:footnote>
  <w:footnote w:id="80">
    <w:p w14:paraId="159B94A6" w14:textId="0B184357" w:rsidR="00E66FE1" w:rsidRPr="007B6F19" w:rsidRDefault="00E66FE1" w:rsidP="00BE12F3">
      <w:pPr>
        <w:pStyle w:val="FootnoteText"/>
        <w:tabs>
          <w:tab w:val="clear" w:pos="284"/>
        </w:tabs>
        <w:ind w:left="284" w:hanging="284"/>
        <w:rPr>
          <w:lang w:val="en-US"/>
        </w:rPr>
      </w:pPr>
      <w:r w:rsidRPr="007B6F19">
        <w:rPr>
          <w:rStyle w:val="FootnoteReference"/>
        </w:rPr>
        <w:footnoteRef/>
      </w:r>
      <w:r w:rsidRPr="007B6F19">
        <w:t xml:space="preserve"> </w:t>
      </w:r>
      <w:r w:rsidRPr="007B6F19">
        <w:tab/>
        <w:t xml:space="preserve">Spark NZ (2018) </w:t>
      </w:r>
      <w:r w:rsidRPr="00F405F6">
        <w:t>Service Levels</w:t>
      </w:r>
      <w:r>
        <w:t>, available at</w:t>
      </w:r>
      <w:r w:rsidRPr="007B6F19">
        <w:t xml:space="preserve">: </w:t>
      </w:r>
      <w:hyperlink r:id="rId75" w:history="1">
        <w:r w:rsidRPr="008456A3">
          <w:rPr>
            <w:rStyle w:val="Hyperlink"/>
          </w:rPr>
          <w:t>https://www.spark.co.nz/help/other/terms/policies/servicelevels/</w:t>
        </w:r>
      </w:hyperlink>
      <w:r>
        <w:rPr>
          <w:rFonts w:eastAsia="Georgia"/>
          <w:snapToGrid/>
        </w:rPr>
        <w:t>.</w:t>
      </w:r>
    </w:p>
  </w:footnote>
  <w:footnote w:id="81">
    <w:p w14:paraId="0CA2711C" w14:textId="3CDC1AD3" w:rsidR="00E66FE1" w:rsidRPr="007B6F19" w:rsidRDefault="00E66FE1" w:rsidP="00BE12F3">
      <w:pPr>
        <w:pStyle w:val="FootnoteText"/>
        <w:tabs>
          <w:tab w:val="clear" w:pos="284"/>
        </w:tabs>
        <w:ind w:left="284" w:hanging="284"/>
        <w:rPr>
          <w:lang w:val="en-US"/>
        </w:rPr>
      </w:pPr>
      <w:r w:rsidRPr="007B6F19">
        <w:rPr>
          <w:rStyle w:val="FootnoteReference"/>
        </w:rPr>
        <w:footnoteRef/>
      </w:r>
      <w:r w:rsidRPr="007B6F19">
        <w:t xml:space="preserve"> </w:t>
      </w:r>
      <w:r w:rsidRPr="007B6F19">
        <w:tab/>
        <w:t xml:space="preserve">Spark NZ (2018) </w:t>
      </w:r>
      <w:r w:rsidRPr="00F405F6">
        <w:t>Service Levels</w:t>
      </w:r>
      <w:r>
        <w:t>, available at</w:t>
      </w:r>
      <w:r w:rsidRPr="007B6F19">
        <w:t xml:space="preserve">: </w:t>
      </w:r>
      <w:hyperlink r:id="rId76" w:history="1">
        <w:r w:rsidRPr="008456A3">
          <w:rPr>
            <w:rStyle w:val="Hyperlink"/>
          </w:rPr>
          <w:t>https://www.spark.co.nz/help/other/terms/policies/servicelevels/</w:t>
        </w:r>
      </w:hyperlink>
      <w:r>
        <w:rPr>
          <w:rFonts w:eastAsia="Georgia"/>
          <w:snapToGrid/>
        </w:rPr>
        <w:t>.</w:t>
      </w:r>
    </w:p>
  </w:footnote>
  <w:footnote w:id="82">
    <w:p w14:paraId="6890D3ED" w14:textId="62FDEFA9" w:rsidR="00E66FE1" w:rsidRPr="007B6F19" w:rsidRDefault="00E66FE1" w:rsidP="00D75B15">
      <w:pPr>
        <w:pStyle w:val="FootnoteText"/>
        <w:tabs>
          <w:tab w:val="clear" w:pos="284"/>
        </w:tabs>
        <w:ind w:left="284" w:hanging="284"/>
        <w:rPr>
          <w:lang w:val="en-US"/>
        </w:rPr>
      </w:pPr>
      <w:r w:rsidRPr="007B6F19">
        <w:rPr>
          <w:rStyle w:val="FootnoteReference"/>
        </w:rPr>
        <w:footnoteRef/>
      </w:r>
      <w:r w:rsidRPr="007B6F19">
        <w:t xml:space="preserve"> </w:t>
      </w:r>
      <w:r w:rsidRPr="007B6F19">
        <w:tab/>
        <w:t xml:space="preserve">NZ Telecommunications Forum Inc. (2012) </w:t>
      </w:r>
      <w:r w:rsidRPr="00F405F6">
        <w:t>Code Compliance Framework (CCF)</w:t>
      </w:r>
      <w:r>
        <w:t>, available at</w:t>
      </w:r>
      <w:r w:rsidRPr="007B6F19">
        <w:t xml:space="preserve">: </w:t>
      </w:r>
      <w:hyperlink r:id="rId77" w:history="1">
        <w:r w:rsidRPr="008456A3">
          <w:rPr>
            <w:rStyle w:val="Hyperlink"/>
          </w:rPr>
          <w:t>https://www.tcf.org.nz/assets/codes/tcf-code-compliance-framework-endorsed-march-2012.pdf</w:t>
        </w:r>
      </w:hyperlink>
      <w:r>
        <w:rPr>
          <w:rFonts w:eastAsia="Georgia"/>
          <w:snapToGrid/>
        </w:rPr>
        <w:t>.</w:t>
      </w:r>
    </w:p>
  </w:footnote>
  <w:footnote w:id="83">
    <w:p w14:paraId="1B49EFF4" w14:textId="42E00C86" w:rsidR="00E66FE1" w:rsidRPr="007B6F19" w:rsidRDefault="00E66FE1" w:rsidP="00BE12F3">
      <w:pPr>
        <w:pStyle w:val="FootnoteText"/>
        <w:tabs>
          <w:tab w:val="clear" w:pos="284"/>
        </w:tabs>
        <w:ind w:left="284" w:hanging="284"/>
        <w:rPr>
          <w:lang w:val="en-US"/>
        </w:rPr>
      </w:pPr>
      <w:r w:rsidRPr="007B6F19">
        <w:rPr>
          <w:rStyle w:val="FootnoteReference"/>
        </w:rPr>
        <w:footnoteRef/>
      </w:r>
      <w:r>
        <w:t xml:space="preserve"> </w:t>
      </w:r>
      <w:r>
        <w:tab/>
      </w:r>
      <w:r w:rsidRPr="007B6F19">
        <w:t xml:space="preserve">NZ Telecommunications Forum Inc. (2012) </w:t>
      </w:r>
      <w:r w:rsidRPr="00F405F6">
        <w:t>Code Compliance Framework (CCF)</w:t>
      </w:r>
      <w:r>
        <w:t>, available at</w:t>
      </w:r>
      <w:r w:rsidRPr="007B6F19">
        <w:t xml:space="preserve">: </w:t>
      </w:r>
      <w:hyperlink r:id="rId78" w:history="1">
        <w:r w:rsidRPr="008456A3">
          <w:rPr>
            <w:rStyle w:val="Hyperlink"/>
          </w:rPr>
          <w:t>https://www.tcf.org.nz/assets/codes/tcf-code-compliance-framework-endorsed-march-2012.pdf</w:t>
        </w:r>
      </w:hyperlink>
      <w:r>
        <w:rPr>
          <w:rFonts w:eastAsia="Georgia"/>
          <w:snapToGrid/>
        </w:rPr>
        <w:t>.</w:t>
      </w:r>
    </w:p>
  </w:footnote>
  <w:footnote w:id="84">
    <w:p w14:paraId="7E87170A" w14:textId="5D9BCC6F" w:rsidR="00E66FE1" w:rsidRPr="007B6F19" w:rsidRDefault="00E66FE1" w:rsidP="00BE12F3">
      <w:pPr>
        <w:pStyle w:val="FootnoteText"/>
        <w:tabs>
          <w:tab w:val="clear" w:pos="284"/>
        </w:tabs>
        <w:ind w:left="284" w:hanging="284"/>
        <w:rPr>
          <w:lang w:val="en-US"/>
        </w:rPr>
      </w:pPr>
      <w:r w:rsidRPr="007B6F19">
        <w:rPr>
          <w:rStyle w:val="FootnoteReference"/>
        </w:rPr>
        <w:footnoteRef/>
      </w:r>
      <w:r w:rsidRPr="007B6F19">
        <w:t xml:space="preserve"> </w:t>
      </w:r>
      <w:r w:rsidRPr="007B6F19">
        <w:tab/>
        <w:t xml:space="preserve">New Zealand Government (2018) </w:t>
      </w:r>
      <w:r w:rsidRPr="00F405F6">
        <w:t>Customer Protection -Phone and broadband services</w:t>
      </w:r>
      <w:r>
        <w:t>, available at</w:t>
      </w:r>
      <w:r w:rsidRPr="007B6F19">
        <w:t xml:space="preserve">: </w:t>
      </w:r>
      <w:hyperlink r:id="rId79" w:history="1">
        <w:r w:rsidRPr="008456A3">
          <w:rPr>
            <w:rStyle w:val="Hyperlink"/>
          </w:rPr>
          <w:t>https://www.consumerprotection.govt.nz/help-product-service/phone-broadband-services/</w:t>
        </w:r>
      </w:hyperlink>
      <w:r>
        <w:t xml:space="preserve"> </w:t>
      </w:r>
    </w:p>
  </w:footnote>
  <w:footnote w:id="85">
    <w:p w14:paraId="7A63EA19" w14:textId="284D3A43" w:rsidR="00E66FE1" w:rsidRPr="007B6F19" w:rsidRDefault="00E66FE1">
      <w:pPr>
        <w:pStyle w:val="FootnoteText"/>
        <w:rPr>
          <w:lang w:val="en-US"/>
        </w:rPr>
      </w:pPr>
      <w:r w:rsidRPr="007B6F19">
        <w:rPr>
          <w:rStyle w:val="FootnoteReference"/>
        </w:rPr>
        <w:footnoteRef/>
      </w:r>
      <w:r>
        <w:t xml:space="preserve"> </w:t>
      </w:r>
      <w:r>
        <w:tab/>
      </w:r>
      <w:r w:rsidRPr="007B6F19">
        <w:rPr>
          <w:rFonts w:asciiTheme="majorHAnsi" w:hAnsiTheme="majorHAnsi"/>
          <w:szCs w:val="14"/>
        </w:rPr>
        <w:t>Singapore Government: Info-communications Dev</w:t>
      </w:r>
      <w:r>
        <w:rPr>
          <w:rFonts w:asciiTheme="majorHAnsi" w:hAnsiTheme="majorHAnsi"/>
          <w:szCs w:val="14"/>
        </w:rPr>
        <w:t>elopment Authority of Singapore</w:t>
      </w:r>
      <w:r w:rsidRPr="007B6F19">
        <w:rPr>
          <w:rFonts w:asciiTheme="majorHAnsi" w:hAnsiTheme="majorHAnsi"/>
          <w:szCs w:val="14"/>
        </w:rPr>
        <w:t xml:space="preserve"> (201</w:t>
      </w:r>
      <w:r>
        <w:rPr>
          <w:rFonts w:asciiTheme="majorHAnsi" w:hAnsiTheme="majorHAnsi"/>
          <w:szCs w:val="14"/>
        </w:rPr>
        <w:t>8)</w:t>
      </w:r>
      <w:r>
        <w:t xml:space="preserve"> Acts and Regulations, available at: </w:t>
      </w:r>
      <w:hyperlink r:id="rId80" w:history="1">
        <w:r w:rsidRPr="008456A3">
          <w:rPr>
            <w:rStyle w:val="Hyperlink"/>
          </w:rPr>
          <w:t>https://www.imda.gov.sg/regulations-licensing-and-consultations/acts-and-regulations</w:t>
        </w:r>
      </w:hyperlink>
      <w:r>
        <w:rPr>
          <w:rFonts w:eastAsia="Georgia"/>
          <w:snapToGrid/>
        </w:rPr>
        <w:t>.</w:t>
      </w:r>
    </w:p>
  </w:footnote>
  <w:footnote w:id="86">
    <w:p w14:paraId="6F50892E" w14:textId="5A9B203A" w:rsidR="00E66FE1" w:rsidRPr="000E4BFD" w:rsidRDefault="00E66FE1" w:rsidP="006C3EB1">
      <w:pPr>
        <w:ind w:left="284" w:hanging="284"/>
        <w:rPr>
          <w:rFonts w:asciiTheme="majorHAnsi" w:hAnsiTheme="majorHAnsi"/>
          <w:sz w:val="18"/>
          <w:szCs w:val="14"/>
        </w:rPr>
      </w:pPr>
      <w:r w:rsidRPr="007B6F19">
        <w:rPr>
          <w:rFonts w:asciiTheme="majorHAnsi" w:hAnsiTheme="majorHAnsi"/>
          <w:sz w:val="21"/>
          <w:szCs w:val="21"/>
          <w:vertAlign w:val="superscript"/>
        </w:rPr>
        <w:footnoteRef/>
      </w:r>
      <w:r w:rsidRPr="007B6F19">
        <w:rPr>
          <w:rFonts w:asciiTheme="majorHAnsi" w:hAnsiTheme="majorHAnsi"/>
          <w:sz w:val="21"/>
          <w:szCs w:val="21"/>
        </w:rPr>
        <w:t xml:space="preserve"> </w:t>
      </w:r>
      <w:r w:rsidRPr="000E4BFD">
        <w:rPr>
          <w:rFonts w:asciiTheme="majorHAnsi" w:hAnsiTheme="majorHAnsi"/>
          <w:sz w:val="18"/>
          <w:szCs w:val="14"/>
        </w:rPr>
        <w:tab/>
        <w:t xml:space="preserve">Singapore Government: Info-communications Development Authority of Singapore (2016) Role of GovTech and Role of IMDA, available at: </w:t>
      </w:r>
      <w:hyperlink r:id="rId81" w:history="1">
        <w:r w:rsidRPr="008456A3">
          <w:rPr>
            <w:rStyle w:val="Hyperlink"/>
            <w:sz w:val="18"/>
          </w:rPr>
          <w:t>https://www.tech.gov.sg/IDA.html</w:t>
        </w:r>
      </w:hyperlink>
      <w:r>
        <w:rPr>
          <w:sz w:val="18"/>
        </w:rPr>
        <w:t xml:space="preserve"> </w:t>
      </w:r>
    </w:p>
  </w:footnote>
  <w:footnote w:id="87">
    <w:p w14:paraId="3E0E2F76" w14:textId="35C0DE0E" w:rsidR="00E66FE1" w:rsidRPr="00D7555E" w:rsidRDefault="00E66FE1">
      <w:pPr>
        <w:pStyle w:val="FootnoteText"/>
        <w:rPr>
          <w:lang w:val="en-US"/>
        </w:rPr>
      </w:pPr>
      <w:r>
        <w:rPr>
          <w:rStyle w:val="FootnoteReference"/>
        </w:rPr>
        <w:footnoteRef/>
      </w:r>
      <w:r>
        <w:t xml:space="preserve"> </w:t>
      </w:r>
      <w:r>
        <w:tab/>
      </w:r>
      <w:r w:rsidRPr="007B6F19">
        <w:rPr>
          <w:rFonts w:asciiTheme="majorHAnsi" w:hAnsiTheme="majorHAnsi"/>
          <w:szCs w:val="14"/>
        </w:rPr>
        <w:t>Singapore Government Info-communications Med</w:t>
      </w:r>
      <w:r>
        <w:rPr>
          <w:rFonts w:asciiTheme="majorHAnsi" w:hAnsiTheme="majorHAnsi"/>
          <w:szCs w:val="14"/>
        </w:rPr>
        <w:t>ia Development Authority (2018) Home, available at</w:t>
      </w:r>
      <w:r w:rsidRPr="007B6F19">
        <w:rPr>
          <w:rFonts w:asciiTheme="majorHAnsi" w:hAnsiTheme="majorHAnsi"/>
          <w:szCs w:val="14"/>
        </w:rPr>
        <w:t xml:space="preserve">: </w:t>
      </w:r>
      <w:hyperlink r:id="rId82" w:history="1">
        <w:r w:rsidRPr="008456A3">
          <w:rPr>
            <w:rStyle w:val="Hyperlink"/>
          </w:rPr>
          <w:t>https://www.imda.gov.sg/</w:t>
        </w:r>
      </w:hyperlink>
      <w:r>
        <w:rPr>
          <w:rFonts w:eastAsia="Georgia"/>
          <w:snapToGrid/>
        </w:rPr>
        <w:t>.</w:t>
      </w:r>
    </w:p>
  </w:footnote>
  <w:footnote w:id="88">
    <w:p w14:paraId="785A9E09" w14:textId="43137E07" w:rsidR="00E66FE1" w:rsidRPr="001A30CD" w:rsidRDefault="00E66FE1" w:rsidP="00BE12F3">
      <w:pPr>
        <w:pStyle w:val="FootnoteText"/>
        <w:ind w:left="284" w:hanging="284"/>
        <w:rPr>
          <w:rFonts w:asciiTheme="majorHAnsi" w:hAnsiTheme="majorHAnsi"/>
          <w:szCs w:val="14"/>
          <w:lang w:val="en-US"/>
        </w:rPr>
      </w:pPr>
      <w:r w:rsidRPr="007B6F19">
        <w:rPr>
          <w:rStyle w:val="FootnoteReference"/>
          <w:rFonts w:asciiTheme="majorHAnsi" w:hAnsiTheme="majorHAnsi"/>
          <w:szCs w:val="21"/>
        </w:rPr>
        <w:footnoteRef/>
      </w:r>
      <w:r w:rsidRPr="007B6F19">
        <w:rPr>
          <w:rFonts w:asciiTheme="majorHAnsi" w:hAnsiTheme="majorHAnsi"/>
          <w:szCs w:val="14"/>
        </w:rPr>
        <w:t xml:space="preserve"> </w:t>
      </w:r>
      <w:r w:rsidRPr="007B6F19">
        <w:rPr>
          <w:rFonts w:asciiTheme="majorHAnsi" w:hAnsiTheme="majorHAnsi"/>
          <w:szCs w:val="14"/>
        </w:rPr>
        <w:tab/>
        <w:t>Singapore Government: Info-communications Media Development Authority (2018) What We Do</w:t>
      </w:r>
      <w:r>
        <w:rPr>
          <w:rFonts w:asciiTheme="majorHAnsi" w:hAnsiTheme="majorHAnsi"/>
          <w:szCs w:val="14"/>
        </w:rPr>
        <w:t>, available at</w:t>
      </w:r>
      <w:r w:rsidRPr="007B6F19">
        <w:rPr>
          <w:rFonts w:asciiTheme="majorHAnsi" w:hAnsiTheme="majorHAnsi"/>
          <w:szCs w:val="14"/>
        </w:rPr>
        <w:t xml:space="preserve">: </w:t>
      </w:r>
      <w:hyperlink r:id="rId83" w:history="1">
        <w:r w:rsidRPr="008456A3">
          <w:rPr>
            <w:rStyle w:val="Hyperlink"/>
            <w:rFonts w:asciiTheme="majorHAnsi" w:hAnsiTheme="majorHAnsi"/>
            <w:szCs w:val="14"/>
          </w:rPr>
          <w:t>https://www.imda.gov.sg/about/what-we-do</w:t>
        </w:r>
      </w:hyperlink>
      <w:r>
        <w:rPr>
          <w:rFonts w:eastAsia="Georgia"/>
          <w:snapToGrid/>
        </w:rPr>
        <w:t>.</w:t>
      </w:r>
    </w:p>
  </w:footnote>
  <w:footnote w:id="89">
    <w:p w14:paraId="4BC2177D" w14:textId="5DD69C32" w:rsidR="00E66FE1" w:rsidRPr="007B6F19" w:rsidRDefault="00E66FE1">
      <w:pPr>
        <w:pStyle w:val="FootnoteText"/>
      </w:pPr>
      <w:r w:rsidRPr="007B6F19">
        <w:rPr>
          <w:rStyle w:val="FootnoteReference"/>
        </w:rPr>
        <w:footnoteRef/>
      </w:r>
      <w:r w:rsidRPr="007B6F19">
        <w:t xml:space="preserve"> </w:t>
      </w:r>
      <w:r w:rsidRPr="007B6F19">
        <w:tab/>
      </w:r>
      <w:r w:rsidRPr="007B6F19">
        <w:rPr>
          <w:rFonts w:asciiTheme="majorHAnsi" w:hAnsiTheme="majorHAnsi"/>
          <w:szCs w:val="14"/>
        </w:rPr>
        <w:t>Singapore Government: Info-communications Dev</w:t>
      </w:r>
      <w:r>
        <w:rPr>
          <w:rFonts w:asciiTheme="majorHAnsi" w:hAnsiTheme="majorHAnsi"/>
          <w:szCs w:val="14"/>
        </w:rPr>
        <w:t>elopment Authority of Singapore</w:t>
      </w:r>
      <w:r w:rsidRPr="007B6F19">
        <w:rPr>
          <w:rFonts w:asciiTheme="majorHAnsi" w:hAnsiTheme="majorHAnsi"/>
          <w:szCs w:val="14"/>
        </w:rPr>
        <w:t xml:space="preserve"> (201</w:t>
      </w:r>
      <w:r>
        <w:rPr>
          <w:rFonts w:asciiTheme="majorHAnsi" w:hAnsiTheme="majorHAnsi"/>
          <w:szCs w:val="14"/>
        </w:rPr>
        <w:t>8)</w:t>
      </w:r>
      <w:r>
        <w:t xml:space="preserve"> </w:t>
      </w:r>
      <w:r w:rsidRPr="007B6F19">
        <w:t>Quality of Service Reports</w:t>
      </w:r>
      <w:r>
        <w:t>,</w:t>
      </w:r>
      <w:r w:rsidRPr="007B6F19">
        <w:t xml:space="preserve"> </w:t>
      </w:r>
      <w:r>
        <w:t>a</w:t>
      </w:r>
      <w:r w:rsidRPr="007B6F19">
        <w:t>vailable</w:t>
      </w:r>
      <w:r>
        <w:t xml:space="preserve"> </w:t>
      </w:r>
      <w:r w:rsidRPr="00976A4E">
        <w:t xml:space="preserve">at: </w:t>
      </w:r>
      <w:hyperlink r:id="rId84" w:history="1">
        <w:r w:rsidRPr="008456A3">
          <w:rPr>
            <w:rStyle w:val="Hyperlink"/>
          </w:rPr>
          <w:t>https://www.imda.gov.sg/regulations-licensing-and-consultations/licensing/licences/licence-for-the-sale-of-telecommunication-equipment/compliance-to-imda-standards/quality-of-service</w:t>
        </w:r>
      </w:hyperlink>
      <w:r>
        <w:rPr>
          <w:rFonts w:eastAsia="Georgia"/>
          <w:snapToGrid/>
        </w:rPr>
        <w:t>.</w:t>
      </w:r>
    </w:p>
  </w:footnote>
  <w:footnote w:id="90">
    <w:p w14:paraId="3342FC18" w14:textId="0D331936" w:rsidR="00E66FE1" w:rsidRPr="00C87C70" w:rsidRDefault="00E66FE1">
      <w:pPr>
        <w:pStyle w:val="FootnoteText"/>
      </w:pPr>
      <w:r w:rsidRPr="007B6F19">
        <w:rPr>
          <w:rStyle w:val="FootnoteReference"/>
        </w:rPr>
        <w:footnoteRef/>
      </w:r>
      <w:r w:rsidRPr="007B6F19">
        <w:t xml:space="preserve"> </w:t>
      </w:r>
      <w:r w:rsidRPr="007B6F19">
        <w:rPr>
          <w:rFonts w:asciiTheme="majorHAnsi" w:hAnsiTheme="majorHAnsi"/>
          <w:szCs w:val="14"/>
        </w:rPr>
        <w:t>Singapore Government: Info-communications Dev</w:t>
      </w:r>
      <w:r>
        <w:rPr>
          <w:rFonts w:asciiTheme="majorHAnsi" w:hAnsiTheme="majorHAnsi"/>
          <w:szCs w:val="14"/>
        </w:rPr>
        <w:t>elopment Authority of Singapore</w:t>
      </w:r>
      <w:r w:rsidRPr="007B6F19">
        <w:rPr>
          <w:rFonts w:asciiTheme="majorHAnsi" w:hAnsiTheme="majorHAnsi"/>
          <w:szCs w:val="14"/>
        </w:rPr>
        <w:t xml:space="preserve"> (201</w:t>
      </w:r>
      <w:r>
        <w:rPr>
          <w:rFonts w:asciiTheme="majorHAnsi" w:hAnsiTheme="majorHAnsi"/>
          <w:szCs w:val="14"/>
        </w:rPr>
        <w:t>8)</w:t>
      </w:r>
      <w:r>
        <w:t xml:space="preserve"> </w:t>
      </w:r>
      <w:r w:rsidRPr="007B6F19">
        <w:t>Quality of Service Reports</w:t>
      </w:r>
      <w:r>
        <w:t>, available at</w:t>
      </w:r>
      <w:r w:rsidRPr="007B6F19">
        <w:t xml:space="preserve">: </w:t>
      </w:r>
      <w:hyperlink r:id="rId85" w:history="1">
        <w:r w:rsidRPr="008456A3">
          <w:rPr>
            <w:rStyle w:val="Hyperlink"/>
          </w:rPr>
          <w:t>https://www.imda.gov.sg/regulations-licensing-and-consultations/licensing/licences/licence-for-the-sale-of-telecommunication-equipment/compliance-to-imda-standards/quality-of-service</w:t>
        </w:r>
      </w:hyperlink>
      <w:r>
        <w:rPr>
          <w:rFonts w:eastAsia="Georgia"/>
          <w:snapToGrid/>
        </w:rPr>
        <w:t>.</w:t>
      </w:r>
    </w:p>
  </w:footnote>
  <w:footnote w:id="91">
    <w:p w14:paraId="0A54A67F" w14:textId="7C5AE76F" w:rsidR="00E66FE1" w:rsidRPr="00C87C70" w:rsidRDefault="00E66FE1" w:rsidP="00D54457">
      <w:pPr>
        <w:pStyle w:val="FootnoteText"/>
        <w:ind w:left="284" w:hanging="284"/>
        <w:rPr>
          <w:lang w:val="en-US"/>
        </w:rPr>
      </w:pPr>
      <w:r w:rsidRPr="007B6F19">
        <w:rPr>
          <w:rStyle w:val="FootnoteReference"/>
        </w:rPr>
        <w:footnoteRef/>
      </w:r>
      <w:r w:rsidRPr="007B6F19">
        <w:t xml:space="preserve"> </w:t>
      </w:r>
      <w:r w:rsidRPr="007B6F19">
        <w:tab/>
      </w:r>
      <w:r w:rsidRPr="007B6F19">
        <w:rPr>
          <w:rFonts w:asciiTheme="majorHAnsi" w:hAnsiTheme="majorHAnsi"/>
          <w:szCs w:val="14"/>
        </w:rPr>
        <w:t>Singapore Government: Info-communications Dev</w:t>
      </w:r>
      <w:r>
        <w:rPr>
          <w:rFonts w:asciiTheme="majorHAnsi" w:hAnsiTheme="majorHAnsi"/>
          <w:szCs w:val="14"/>
        </w:rPr>
        <w:t>elopment Authority of Singapore</w:t>
      </w:r>
      <w:r w:rsidRPr="007B6F19">
        <w:rPr>
          <w:rFonts w:asciiTheme="majorHAnsi" w:hAnsiTheme="majorHAnsi"/>
          <w:szCs w:val="14"/>
        </w:rPr>
        <w:t xml:space="preserve"> (201</w:t>
      </w:r>
      <w:r>
        <w:rPr>
          <w:rFonts w:asciiTheme="majorHAnsi" w:hAnsiTheme="majorHAnsi"/>
          <w:szCs w:val="14"/>
        </w:rPr>
        <w:t>8)</w:t>
      </w:r>
      <w:r w:rsidRPr="007B6F19">
        <w:t xml:space="preserve"> Quality of Service Reports</w:t>
      </w:r>
      <w:r>
        <w:t>, available at</w:t>
      </w:r>
      <w:r w:rsidRPr="007B6F19">
        <w:t xml:space="preserve">: </w:t>
      </w:r>
      <w:hyperlink r:id="rId86" w:history="1">
        <w:r w:rsidRPr="008456A3">
          <w:rPr>
            <w:rStyle w:val="Hyperlink"/>
          </w:rPr>
          <w:t>https://www.imda.gov.sg/regulations-licensing-and-consultations/licensing/licences/licence-for-the-sale-of-telecommunication-equipment/compliance-to-imda-standards/quality-of-service/quality-of-service-reports</w:t>
        </w:r>
      </w:hyperlink>
      <w:r>
        <w:rPr>
          <w:rFonts w:eastAsia="Georgia"/>
          <w:snapToGrid/>
        </w:rPr>
        <w:t>.</w:t>
      </w:r>
    </w:p>
  </w:footnote>
  <w:footnote w:id="92">
    <w:p w14:paraId="35621ECA" w14:textId="466D7DB7" w:rsidR="00E66FE1" w:rsidRPr="007B6F19" w:rsidRDefault="00E66FE1" w:rsidP="00BE12F3">
      <w:pPr>
        <w:pStyle w:val="FootnoteText"/>
        <w:tabs>
          <w:tab w:val="clear" w:pos="284"/>
        </w:tabs>
        <w:ind w:left="284" w:hanging="284"/>
        <w:rPr>
          <w:szCs w:val="14"/>
          <w:lang w:val="en-US"/>
        </w:rPr>
      </w:pPr>
      <w:r w:rsidRPr="007B6F19">
        <w:rPr>
          <w:rStyle w:val="FootnoteReference"/>
          <w:szCs w:val="21"/>
        </w:rPr>
        <w:footnoteRef/>
      </w:r>
      <w:r w:rsidRPr="007B6F19">
        <w:rPr>
          <w:szCs w:val="14"/>
        </w:rPr>
        <w:t xml:space="preserve"> </w:t>
      </w:r>
      <w:r w:rsidRPr="007B6F19">
        <w:rPr>
          <w:szCs w:val="14"/>
        </w:rPr>
        <w:tab/>
        <w:t>Singapore Government: Info-communications Media Development Authority (2018) Quality of Service</w:t>
      </w:r>
      <w:r>
        <w:rPr>
          <w:szCs w:val="14"/>
        </w:rPr>
        <w:t>, available at</w:t>
      </w:r>
      <w:r w:rsidRPr="007B6F19">
        <w:rPr>
          <w:szCs w:val="14"/>
        </w:rPr>
        <w:t xml:space="preserve">: </w:t>
      </w:r>
      <w:hyperlink r:id="rId87" w:history="1">
        <w:r w:rsidRPr="008456A3">
          <w:rPr>
            <w:rStyle w:val="Hyperlink"/>
            <w:szCs w:val="14"/>
          </w:rPr>
          <w:t>https://www.imda.gov.sg/regulations-licensing-and-consultations/licensing/licences/licence-for-the-sale-of-telecommunication-equipment/compliance-to-imda-standards/quality-of-service</w:t>
        </w:r>
      </w:hyperlink>
      <w:r>
        <w:rPr>
          <w:rFonts w:eastAsia="Georgia"/>
          <w:snapToGrid/>
        </w:rPr>
        <w:t>.</w:t>
      </w:r>
    </w:p>
  </w:footnote>
  <w:footnote w:id="93">
    <w:p w14:paraId="2784B5AD" w14:textId="717CC100" w:rsidR="00E66FE1" w:rsidRPr="007B6F19" w:rsidRDefault="00E66FE1" w:rsidP="00E80473">
      <w:pPr>
        <w:pStyle w:val="FootnoteText"/>
        <w:tabs>
          <w:tab w:val="clear" w:pos="284"/>
        </w:tabs>
        <w:ind w:left="284" w:hanging="284"/>
        <w:rPr>
          <w:lang w:val="en-US"/>
        </w:rPr>
      </w:pPr>
      <w:r w:rsidRPr="007B6F19">
        <w:rPr>
          <w:rStyle w:val="FootnoteReference"/>
        </w:rPr>
        <w:footnoteRef/>
      </w:r>
      <w:r w:rsidRPr="007B6F19">
        <w:t xml:space="preserve"> </w:t>
      </w:r>
      <w:r w:rsidRPr="007B6F19">
        <w:tab/>
        <w:t xml:space="preserve">Ofcom (2018) </w:t>
      </w:r>
      <w:r w:rsidRPr="00F405F6">
        <w:t>What is Ofcom?</w:t>
      </w:r>
      <w:r>
        <w:t xml:space="preserve"> a</w:t>
      </w:r>
      <w:r w:rsidRPr="007B6F19">
        <w:t>vailable</w:t>
      </w:r>
      <w:r>
        <w:t xml:space="preserve"> at</w:t>
      </w:r>
      <w:r w:rsidRPr="007B6F19">
        <w:t xml:space="preserve">: </w:t>
      </w:r>
      <w:hyperlink r:id="rId88" w:history="1">
        <w:r w:rsidRPr="008456A3">
          <w:rPr>
            <w:rStyle w:val="Hyperlink"/>
          </w:rPr>
          <w:t>https://www.ofcom.org.uk/about-ofcom/what-is-ofcom</w:t>
        </w:r>
      </w:hyperlink>
      <w:r>
        <w:rPr>
          <w:rFonts w:eastAsia="Georgia"/>
          <w:snapToGrid/>
        </w:rPr>
        <w:t>.</w:t>
      </w:r>
    </w:p>
  </w:footnote>
  <w:footnote w:id="94">
    <w:p w14:paraId="39BDFC82" w14:textId="5A050FF0" w:rsidR="00E66FE1" w:rsidRPr="007B6F19" w:rsidRDefault="00E66FE1" w:rsidP="007D33E0">
      <w:pPr>
        <w:pStyle w:val="FootnoteText"/>
        <w:tabs>
          <w:tab w:val="clear" w:pos="284"/>
        </w:tabs>
        <w:ind w:left="284" w:hanging="284"/>
        <w:rPr>
          <w:lang w:val="en-US"/>
        </w:rPr>
      </w:pPr>
      <w:r w:rsidRPr="007B6F19">
        <w:rPr>
          <w:rStyle w:val="FootnoteReference"/>
        </w:rPr>
        <w:footnoteRef/>
      </w:r>
      <w:r w:rsidRPr="007B6F19">
        <w:t xml:space="preserve"> </w:t>
      </w:r>
      <w:r w:rsidRPr="007B6F19">
        <w:tab/>
        <w:t xml:space="preserve">Ofcom (2016) </w:t>
      </w:r>
      <w:r w:rsidRPr="00F405F6">
        <w:t>Business Connectivity Market Review – Volume I</w:t>
      </w:r>
      <w:r>
        <w:t>, available at</w:t>
      </w:r>
      <w:r w:rsidRPr="007B6F19">
        <w:t xml:space="preserve">: </w:t>
      </w:r>
      <w:hyperlink r:id="rId89" w:history="1">
        <w:r w:rsidRPr="008456A3">
          <w:rPr>
            <w:rStyle w:val="Hyperlink"/>
          </w:rPr>
          <w:t>https://www.ofcom.org.uk/__data/assets/pdf_file/0015/72303/bcmr-final-statement-volume-one.pdf</w:t>
        </w:r>
      </w:hyperlink>
      <w:r>
        <w:rPr>
          <w:rFonts w:eastAsia="Georgia"/>
          <w:snapToGrid/>
        </w:rPr>
        <w:t>.</w:t>
      </w:r>
    </w:p>
  </w:footnote>
  <w:footnote w:id="95">
    <w:p w14:paraId="488CD500" w14:textId="0F415C9B" w:rsidR="00E66FE1" w:rsidRPr="007B6F19" w:rsidRDefault="00E66FE1" w:rsidP="007D33E0">
      <w:pPr>
        <w:pStyle w:val="FootnoteText"/>
        <w:tabs>
          <w:tab w:val="left" w:pos="1440"/>
        </w:tabs>
        <w:rPr>
          <w:lang w:val="en-US"/>
        </w:rPr>
      </w:pPr>
      <w:r w:rsidRPr="007B6F19">
        <w:rPr>
          <w:rStyle w:val="FootnoteReference"/>
        </w:rPr>
        <w:footnoteRef/>
      </w:r>
      <w:r w:rsidRPr="007B6F19">
        <w:t xml:space="preserve"> </w:t>
      </w:r>
      <w:r w:rsidRPr="007B6F19">
        <w:rPr>
          <w:lang w:val="en-US"/>
        </w:rPr>
        <w:t xml:space="preserve">Ofcom (2014) </w:t>
      </w:r>
      <w:r w:rsidRPr="007B6F19">
        <w:t>Consultation on Draft QoS Policy and Draft QoS Regulatory Framework, Annex 3</w:t>
      </w:r>
      <w:r>
        <w:t>, available at</w:t>
      </w:r>
      <w:r w:rsidRPr="007B6F19">
        <w:t xml:space="preserve">: </w:t>
      </w:r>
      <w:hyperlink r:id="rId90" w:history="1">
        <w:r w:rsidRPr="008456A3">
          <w:rPr>
            <w:rStyle w:val="Hyperlink"/>
          </w:rPr>
          <w:t>http://www.motc.gov.qa/sites/default/files/documents/Annex%203%20-%20QoS%20benchmark%20report.pdf</w:t>
        </w:r>
      </w:hyperlink>
      <w:r>
        <w:rPr>
          <w:rFonts w:eastAsia="Georgia"/>
          <w:snapToGrid/>
        </w:rPr>
        <w:t>.</w:t>
      </w:r>
    </w:p>
  </w:footnote>
  <w:footnote w:id="96">
    <w:p w14:paraId="5DD44FAB" w14:textId="598A67CB" w:rsidR="00E66FE1" w:rsidRPr="007B6F19" w:rsidRDefault="00E66FE1" w:rsidP="007D33E0">
      <w:pPr>
        <w:pStyle w:val="FootnoteText"/>
        <w:rPr>
          <w:lang w:val="en-US"/>
        </w:rPr>
      </w:pPr>
      <w:r w:rsidRPr="007B6F19">
        <w:rPr>
          <w:rStyle w:val="FootnoteReference"/>
        </w:rPr>
        <w:footnoteRef/>
      </w:r>
      <w:r w:rsidRPr="007B6F19">
        <w:t xml:space="preserve"> </w:t>
      </w:r>
      <w:r w:rsidRPr="007B6F19">
        <w:rPr>
          <w:lang w:val="en-US"/>
        </w:rPr>
        <w:tab/>
      </w:r>
      <w:r w:rsidRPr="007B6F19">
        <w:t xml:space="preserve">Ofcom (2017) </w:t>
      </w:r>
      <w:r w:rsidRPr="00F405F6">
        <w:t>Automatic Compensation Protecting consumers from service quality problems</w:t>
      </w:r>
      <w:r>
        <w:t>, available at</w:t>
      </w:r>
      <w:r w:rsidRPr="007B6F19">
        <w:t xml:space="preserve">: </w:t>
      </w:r>
      <w:hyperlink r:id="rId91" w:history="1">
        <w:r w:rsidRPr="008456A3">
          <w:rPr>
            <w:rStyle w:val="Hyperlink"/>
          </w:rPr>
          <w:t>https://www.ofcom.org.uk/__data/assets/pdf_file/0026/107693/Statement-automatic-compensation.pdf</w:t>
        </w:r>
      </w:hyperlink>
      <w:r>
        <w:rPr>
          <w:rFonts w:eastAsia="Georgia"/>
          <w:snapToGrid/>
        </w:rPr>
        <w:t>.</w:t>
      </w:r>
    </w:p>
  </w:footnote>
  <w:footnote w:id="97">
    <w:p w14:paraId="2BFFB63E" w14:textId="2DBCCD82" w:rsidR="00E66FE1" w:rsidRPr="007B6F19" w:rsidRDefault="00E66FE1" w:rsidP="00E80473">
      <w:pPr>
        <w:pStyle w:val="FootnoteText"/>
        <w:tabs>
          <w:tab w:val="clear" w:pos="284"/>
        </w:tabs>
        <w:ind w:left="284" w:hanging="284"/>
        <w:rPr>
          <w:lang w:val="en-US"/>
        </w:rPr>
      </w:pPr>
      <w:r w:rsidRPr="007B6F19">
        <w:rPr>
          <w:rStyle w:val="FootnoteReference"/>
        </w:rPr>
        <w:footnoteRef/>
      </w:r>
      <w:r w:rsidRPr="007B6F19">
        <w:t xml:space="preserve"> </w:t>
      </w:r>
      <w:r w:rsidRPr="007B6F19">
        <w:tab/>
        <w:t xml:space="preserve">Ofcom (2017) </w:t>
      </w:r>
      <w:r w:rsidRPr="00F405F6">
        <w:t>Automatic Compensation Protecting consumers from service quality problems</w:t>
      </w:r>
      <w:r>
        <w:t>, available at</w:t>
      </w:r>
      <w:r w:rsidRPr="007B6F19">
        <w:t xml:space="preserve">: </w:t>
      </w:r>
      <w:hyperlink r:id="rId92" w:history="1">
        <w:r w:rsidRPr="008456A3">
          <w:rPr>
            <w:rStyle w:val="Hyperlink"/>
          </w:rPr>
          <w:t>https://www.ofcom.org.uk/__data/assets/pdf_file/0026/107693/Statement-automatic-compensation.pdf</w:t>
        </w:r>
      </w:hyperlink>
      <w:r>
        <w:rPr>
          <w:rFonts w:eastAsia="Georgia"/>
          <w:snapToGrid/>
        </w:rPr>
        <w:t>.</w:t>
      </w:r>
    </w:p>
  </w:footnote>
  <w:footnote w:id="98">
    <w:p w14:paraId="62E773E3" w14:textId="3F24CA3F" w:rsidR="00E66FE1" w:rsidRPr="007B6F19" w:rsidRDefault="00E66FE1" w:rsidP="007D33E0">
      <w:pPr>
        <w:pStyle w:val="FootnoteText"/>
        <w:tabs>
          <w:tab w:val="clear" w:pos="284"/>
        </w:tabs>
        <w:ind w:left="284" w:hanging="284"/>
        <w:rPr>
          <w:lang w:val="en-US"/>
        </w:rPr>
      </w:pPr>
      <w:r w:rsidRPr="007B6F19">
        <w:rPr>
          <w:rStyle w:val="FootnoteReference"/>
        </w:rPr>
        <w:footnoteRef/>
      </w:r>
      <w:r w:rsidRPr="007B6F19">
        <w:t xml:space="preserve"> </w:t>
      </w:r>
      <w:r w:rsidRPr="007B6F19">
        <w:tab/>
        <w:t xml:space="preserve">Ofcom (2018) </w:t>
      </w:r>
      <w:r w:rsidRPr="00F405F6">
        <w:t>Better Broadband Speeds Information: Voluntary Codes of Practice</w:t>
      </w:r>
      <w:r>
        <w:t>, available at</w:t>
      </w:r>
      <w:r w:rsidRPr="007B6F19">
        <w:t xml:space="preserve">: </w:t>
      </w:r>
      <w:hyperlink r:id="rId93" w:history="1">
        <w:r w:rsidRPr="008456A3">
          <w:rPr>
            <w:rStyle w:val="Hyperlink"/>
          </w:rPr>
          <w:t>https://www.ofcom.org.uk/__data/assets/pdf_file/0024/111696/statement-broadband-speeds.pdf</w:t>
        </w:r>
      </w:hyperlink>
      <w:r>
        <w:rPr>
          <w:rFonts w:eastAsia="Georgia"/>
          <w:snapToGrid/>
        </w:rPr>
        <w:t>.</w:t>
      </w:r>
    </w:p>
  </w:footnote>
  <w:footnote w:id="99">
    <w:p w14:paraId="6455C2D3" w14:textId="016F9A73" w:rsidR="00E66FE1" w:rsidRPr="007B6F19" w:rsidRDefault="00E66FE1" w:rsidP="007D33E0">
      <w:pPr>
        <w:pStyle w:val="FootnoteText"/>
        <w:tabs>
          <w:tab w:val="clear" w:pos="284"/>
        </w:tabs>
        <w:ind w:left="284" w:hanging="284"/>
        <w:rPr>
          <w:lang w:val="en-US"/>
        </w:rPr>
      </w:pPr>
      <w:r w:rsidRPr="007B6F19">
        <w:rPr>
          <w:rStyle w:val="FootnoteReference"/>
        </w:rPr>
        <w:footnoteRef/>
      </w:r>
      <w:r w:rsidRPr="007B6F19">
        <w:t xml:space="preserve"> </w:t>
      </w:r>
      <w:r w:rsidRPr="007B6F19">
        <w:tab/>
        <w:t xml:space="preserve">Ofcom (2018) </w:t>
      </w:r>
      <w:r w:rsidRPr="00F405F6">
        <w:t>Choosing the best broadband, mobile and landline provider Comparing Service Quality 2017</w:t>
      </w:r>
      <w:r>
        <w:t>, available at</w:t>
      </w:r>
      <w:r w:rsidRPr="007B6F19">
        <w:t xml:space="preserve">: </w:t>
      </w:r>
      <w:hyperlink r:id="rId94" w:history="1">
        <w:r w:rsidRPr="008456A3">
          <w:rPr>
            <w:rStyle w:val="Hyperlink"/>
          </w:rPr>
          <w:t>https://www.ofcom.org.uk/__data/assets/pdf_file/0023/113639/full-report.pdf</w:t>
        </w:r>
      </w:hyperlink>
      <w:r>
        <w:rPr>
          <w:rFonts w:eastAsia="Georgia"/>
          <w:snapToGrid/>
        </w:rPr>
        <w:t>.</w:t>
      </w:r>
    </w:p>
  </w:footnote>
  <w:footnote w:id="100">
    <w:p w14:paraId="4920000E" w14:textId="3184CCCD" w:rsidR="00E66FE1" w:rsidRPr="007B6F19" w:rsidRDefault="00E66FE1" w:rsidP="007D33E0">
      <w:pPr>
        <w:pStyle w:val="FootnoteText"/>
        <w:tabs>
          <w:tab w:val="clear" w:pos="284"/>
        </w:tabs>
        <w:ind w:left="284" w:hanging="284"/>
        <w:rPr>
          <w:lang w:val="en-US"/>
        </w:rPr>
      </w:pPr>
      <w:r w:rsidRPr="007B6F19">
        <w:rPr>
          <w:rStyle w:val="FootnoteReference"/>
        </w:rPr>
        <w:footnoteRef/>
      </w:r>
      <w:r w:rsidRPr="007B6F19">
        <w:t xml:space="preserve"> </w:t>
      </w:r>
      <w:r w:rsidRPr="007B6F19">
        <w:tab/>
        <w:t>Ofcom (</w:t>
      </w:r>
      <w:r>
        <w:t>Accessed June 2018</w:t>
      </w:r>
      <w:r w:rsidRPr="007B6F19">
        <w:t xml:space="preserve">) </w:t>
      </w:r>
      <w:r w:rsidRPr="00F405F6">
        <w:t>Mobile and broadband checker</w:t>
      </w:r>
      <w:r>
        <w:t>, available at</w:t>
      </w:r>
      <w:r w:rsidRPr="007B6F19">
        <w:t xml:space="preserve">: </w:t>
      </w:r>
      <w:hyperlink r:id="rId95" w:history="1">
        <w:r w:rsidRPr="008456A3">
          <w:rPr>
            <w:rStyle w:val="Hyperlink"/>
          </w:rPr>
          <w:t>https://checker.ofcom.org.uk/mobile-coverage</w:t>
        </w:r>
      </w:hyperlink>
      <w:r>
        <w:rPr>
          <w:rFonts w:eastAsia="Georgia"/>
          <w:snapToGrid/>
        </w:rPr>
        <w:t>.</w:t>
      </w:r>
    </w:p>
  </w:footnote>
  <w:footnote w:id="101">
    <w:p w14:paraId="672C5ED8" w14:textId="4EB18F97" w:rsidR="00E66FE1" w:rsidRPr="00C87C70" w:rsidRDefault="00E66FE1" w:rsidP="007D33E0">
      <w:pPr>
        <w:pStyle w:val="FootnoteText"/>
        <w:tabs>
          <w:tab w:val="clear" w:pos="284"/>
        </w:tabs>
        <w:ind w:left="284" w:hanging="284"/>
        <w:rPr>
          <w:lang w:val="en-US"/>
        </w:rPr>
      </w:pPr>
      <w:r w:rsidRPr="007B6F19">
        <w:rPr>
          <w:rStyle w:val="FootnoteReference"/>
        </w:rPr>
        <w:footnoteRef/>
      </w:r>
      <w:r w:rsidRPr="007B6F19">
        <w:t xml:space="preserve"> </w:t>
      </w:r>
      <w:r w:rsidRPr="007B6F19">
        <w:tab/>
        <w:t>Ofcom (2017) The Office of Communications Annual Report &amp; Accounts For the period 1 April 2016 to 31 March 2017</w:t>
      </w:r>
      <w:r>
        <w:t>, available at</w:t>
      </w:r>
      <w:r w:rsidRPr="007B6F19">
        <w:t xml:space="preserve">: </w:t>
      </w:r>
      <w:hyperlink r:id="rId96" w:history="1">
        <w:r w:rsidRPr="008456A3">
          <w:rPr>
            <w:rStyle w:val="Hyperlink"/>
          </w:rPr>
          <w:t>https://www.ofcom.org.uk/__data/assets/pdf_file/0021/104358/annual-report-2016-accessible.pdf</w:t>
        </w:r>
      </w:hyperlink>
      <w:r>
        <w:rPr>
          <w:rFonts w:eastAsia="Georgia"/>
          <w:snapToGrid/>
        </w:rPr>
        <w:t>.</w:t>
      </w:r>
    </w:p>
  </w:footnote>
  <w:footnote w:id="102">
    <w:p w14:paraId="2C3F7E4E" w14:textId="0CDE8543" w:rsidR="00E66FE1" w:rsidRPr="007B6F19" w:rsidRDefault="00E66FE1" w:rsidP="007D33E0">
      <w:pPr>
        <w:pStyle w:val="FootnoteText"/>
        <w:tabs>
          <w:tab w:val="clear" w:pos="284"/>
        </w:tabs>
        <w:ind w:left="284" w:hanging="284"/>
        <w:rPr>
          <w:lang w:val="en-US"/>
        </w:rPr>
      </w:pPr>
      <w:r w:rsidRPr="007B6F19">
        <w:rPr>
          <w:rStyle w:val="FootnoteReference"/>
        </w:rPr>
        <w:footnoteRef/>
      </w:r>
      <w:r w:rsidRPr="007B6F19">
        <w:t xml:space="preserve"> </w:t>
      </w:r>
      <w:r w:rsidRPr="007B6F19">
        <w:tab/>
        <w:t xml:space="preserve">Ofcom (2018) </w:t>
      </w:r>
      <w:r w:rsidRPr="00F405F6">
        <w:t>Choosing the best broadband, mobile and landline provider Comparing Service Quality 2017</w:t>
      </w:r>
      <w:r>
        <w:t>, available at</w:t>
      </w:r>
      <w:r w:rsidRPr="007B6F19">
        <w:t xml:space="preserve">: </w:t>
      </w:r>
      <w:hyperlink r:id="rId97" w:history="1">
        <w:r w:rsidRPr="008456A3">
          <w:rPr>
            <w:rStyle w:val="Hyperlink"/>
          </w:rPr>
          <w:t>https://www.ofcom.org.uk/__data/assets/pdf_file/0023/113639/full-report.pdf</w:t>
        </w:r>
      </w:hyperlink>
      <w:r>
        <w:rPr>
          <w:rFonts w:eastAsia="Georgia"/>
          <w:snapToGrid/>
        </w:rPr>
        <w:t>.</w:t>
      </w:r>
    </w:p>
  </w:footnote>
  <w:footnote w:id="103">
    <w:p w14:paraId="56853BFB" w14:textId="4FAB1EA0" w:rsidR="00E66FE1" w:rsidRPr="007B6F19" w:rsidRDefault="00E66FE1" w:rsidP="007D33E0">
      <w:pPr>
        <w:pStyle w:val="FootnoteText"/>
        <w:tabs>
          <w:tab w:val="clear" w:pos="284"/>
        </w:tabs>
        <w:ind w:left="284" w:hanging="284"/>
        <w:rPr>
          <w:lang w:val="en-US"/>
        </w:rPr>
      </w:pPr>
      <w:r w:rsidRPr="007B6F19">
        <w:rPr>
          <w:rStyle w:val="FootnoteReference"/>
        </w:rPr>
        <w:footnoteRef/>
      </w:r>
      <w:r w:rsidRPr="007B6F19">
        <w:t xml:space="preserve"> </w:t>
      </w:r>
      <w:r w:rsidRPr="007B6F19">
        <w:tab/>
        <w:t>Ofcom (2017</w:t>
      </w:r>
      <w:r>
        <w:t>)</w:t>
      </w:r>
      <w:r w:rsidRPr="007B6F19">
        <w:t xml:space="preserve"> </w:t>
      </w:r>
      <w:r w:rsidRPr="00F405F6">
        <w:t>Automatic Compensation Protecting consumers from service quality problems</w:t>
      </w:r>
      <w:r>
        <w:t>, available at</w:t>
      </w:r>
      <w:r w:rsidRPr="007B6F19">
        <w:t xml:space="preserve">: </w:t>
      </w:r>
      <w:hyperlink r:id="rId98" w:history="1">
        <w:r w:rsidRPr="008456A3">
          <w:rPr>
            <w:rStyle w:val="Hyperlink"/>
          </w:rPr>
          <w:t>https://www.ofcom.org.uk/__data/assets/pdf_file/0026/107693/Statement-automatic-compensation.pdf</w:t>
        </w:r>
      </w:hyperlink>
      <w:r>
        <w:rPr>
          <w:rFonts w:eastAsia="Georgia"/>
          <w:snapToGrid/>
        </w:rPr>
        <w:t>.</w:t>
      </w:r>
    </w:p>
  </w:footnote>
  <w:footnote w:id="104">
    <w:p w14:paraId="21A0C892" w14:textId="72C2BE4F" w:rsidR="00E66FE1" w:rsidRPr="007B6F19" w:rsidRDefault="00E66FE1" w:rsidP="00E80473">
      <w:pPr>
        <w:pStyle w:val="FootnoteText"/>
        <w:tabs>
          <w:tab w:val="clear" w:pos="284"/>
        </w:tabs>
        <w:ind w:left="284" w:hanging="284"/>
        <w:rPr>
          <w:lang w:val="en-US"/>
        </w:rPr>
      </w:pPr>
      <w:r w:rsidRPr="007B6F19">
        <w:rPr>
          <w:rStyle w:val="FootnoteReference"/>
        </w:rPr>
        <w:footnoteRef/>
      </w:r>
      <w:r w:rsidRPr="007B6F19">
        <w:t xml:space="preserve"> </w:t>
      </w:r>
      <w:r w:rsidRPr="007B6F19">
        <w:tab/>
        <w:t xml:space="preserve">Ofcom (2017) </w:t>
      </w:r>
      <w:r w:rsidRPr="00F405F6">
        <w:t>Automatic Compensation Protecting consumers from service quality problems</w:t>
      </w:r>
      <w:r>
        <w:t>, available at</w:t>
      </w:r>
      <w:r w:rsidRPr="007B6F19">
        <w:t xml:space="preserve">: </w:t>
      </w:r>
      <w:hyperlink r:id="rId99" w:history="1">
        <w:r w:rsidRPr="008456A3">
          <w:rPr>
            <w:rStyle w:val="Hyperlink"/>
          </w:rPr>
          <w:t>https://www.ofcom.org.uk/__data/assets/pdf_file/0026/107693/Statement-automatic-compensation.pdf</w:t>
        </w:r>
      </w:hyperlink>
      <w:r>
        <w:rPr>
          <w:rFonts w:eastAsia="Georgia"/>
          <w:snapToGrid/>
        </w:rPr>
        <w:t>.</w:t>
      </w:r>
    </w:p>
  </w:footnote>
  <w:footnote w:id="105">
    <w:p w14:paraId="18BDE88A" w14:textId="11C2D4DE" w:rsidR="00C8386C" w:rsidRPr="00C87C70" w:rsidRDefault="00C8386C" w:rsidP="00C8386C">
      <w:pPr>
        <w:pStyle w:val="FootnoteText"/>
        <w:ind w:left="284" w:hanging="284"/>
        <w:rPr>
          <w:lang w:val="en-US"/>
        </w:rPr>
      </w:pPr>
      <w:r w:rsidRPr="007B6F19">
        <w:rPr>
          <w:rStyle w:val="FootnoteReference"/>
        </w:rPr>
        <w:footnoteRef/>
      </w:r>
      <w:r w:rsidRPr="007B6F19">
        <w:t xml:space="preserve"> </w:t>
      </w:r>
      <w:r w:rsidRPr="007B6F19">
        <w:tab/>
      </w:r>
      <w:r>
        <w:t xml:space="preserve">Ofcom (2017) </w:t>
      </w:r>
      <w:r w:rsidRPr="00C8386C">
        <w:t xml:space="preserve">Automatic Compensation, Protecting consumers from service quality problems, </w:t>
      </w:r>
      <w:r>
        <w:t xml:space="preserve">available at: </w:t>
      </w:r>
      <w:hyperlink r:id="rId100" w:history="1">
        <w:r w:rsidRPr="00EE6BF5">
          <w:rPr>
            <w:rStyle w:val="Hyperlink"/>
          </w:rPr>
          <w:t>https://www.ofcom.org.uk/__data/assets/pdf_file/0026/107693/Statement-automatic-compensation.pdf</w:t>
        </w:r>
      </w:hyperlink>
    </w:p>
  </w:footnote>
  <w:footnote w:id="106">
    <w:p w14:paraId="7A8E5A4A" w14:textId="340BC2E7" w:rsidR="00E66FE1" w:rsidRPr="007B6F19" w:rsidRDefault="00E66FE1" w:rsidP="00D233C0">
      <w:pPr>
        <w:pStyle w:val="FootnoteText"/>
        <w:tabs>
          <w:tab w:val="clear" w:pos="284"/>
        </w:tabs>
        <w:ind w:left="284" w:hanging="284"/>
        <w:rPr>
          <w:lang w:val="en-US"/>
        </w:rPr>
      </w:pPr>
      <w:r w:rsidRPr="007B6F19">
        <w:rPr>
          <w:rStyle w:val="FootnoteReference"/>
        </w:rPr>
        <w:footnoteRef/>
      </w:r>
      <w:r w:rsidRPr="007B6F19">
        <w:t xml:space="preserve"> </w:t>
      </w:r>
      <w:r w:rsidRPr="007B6F19">
        <w:tab/>
        <w:t>Federal Communications Commission (2018)</w:t>
      </w:r>
      <w:r w:rsidRPr="004F39BB">
        <w:t xml:space="preserve"> CSRIC Best Practices</w:t>
      </w:r>
      <w:r>
        <w:t>, available at</w:t>
      </w:r>
      <w:r w:rsidRPr="007B6F19">
        <w:t xml:space="preserve">: </w:t>
      </w:r>
      <w:hyperlink r:id="rId101" w:history="1">
        <w:r w:rsidRPr="008456A3">
          <w:rPr>
            <w:rStyle w:val="Hyperlink"/>
          </w:rPr>
          <w:t>https://opendata.fcc.gov/Public-Safety/CSRIC-Best-Practices/qb45-rw2t/data</w:t>
        </w:r>
      </w:hyperlink>
      <w:r>
        <w:rPr>
          <w:rFonts w:eastAsia="Georgia"/>
          <w:snapToGrid/>
        </w:rPr>
        <w:t>.</w:t>
      </w:r>
    </w:p>
  </w:footnote>
  <w:footnote w:id="107">
    <w:p w14:paraId="5A518C6A" w14:textId="4240E877" w:rsidR="00E66FE1" w:rsidRPr="007B6F19" w:rsidRDefault="00E66FE1" w:rsidP="00E80473">
      <w:pPr>
        <w:pStyle w:val="FootnoteText"/>
        <w:tabs>
          <w:tab w:val="clear" w:pos="284"/>
        </w:tabs>
        <w:ind w:left="284" w:hanging="284"/>
      </w:pPr>
      <w:r w:rsidRPr="007B6F19">
        <w:rPr>
          <w:rStyle w:val="FootnoteReference"/>
        </w:rPr>
        <w:footnoteRef/>
      </w:r>
      <w:r w:rsidRPr="007B6F19">
        <w:t xml:space="preserve"> </w:t>
      </w:r>
      <w:r w:rsidRPr="007B6F19">
        <w:tab/>
        <w:t>DLA Piper Intelligence (201</w:t>
      </w:r>
      <w:r>
        <w:t>6</w:t>
      </w:r>
      <w:r w:rsidRPr="007B6F19">
        <w:t xml:space="preserve">) </w:t>
      </w:r>
      <w:r w:rsidRPr="00F405F6">
        <w:t>Telecommunications laws of the world - United States</w:t>
      </w:r>
      <w:r>
        <w:t>, available at</w:t>
      </w:r>
      <w:r w:rsidRPr="007B6F19">
        <w:t xml:space="preserve">: </w:t>
      </w:r>
      <w:hyperlink r:id="rId102" w:history="1">
        <w:r w:rsidRPr="008456A3">
          <w:rPr>
            <w:rStyle w:val="Hyperlink"/>
          </w:rPr>
          <w:t>https://www.dlapiperintelligence.com/telecoms/index.html?c=US&amp;c2=&amp;go-button=GO&amp;t=overview</w:t>
        </w:r>
      </w:hyperlink>
      <w:r>
        <w:rPr>
          <w:rFonts w:eastAsia="Georgia"/>
          <w:snapToGrid/>
        </w:rPr>
        <w:t>.</w:t>
      </w:r>
    </w:p>
  </w:footnote>
  <w:footnote w:id="108">
    <w:p w14:paraId="02B642D7" w14:textId="4F23012F" w:rsidR="00E66FE1" w:rsidRPr="004F39BB" w:rsidRDefault="00E66FE1" w:rsidP="00BD153D">
      <w:pPr>
        <w:pStyle w:val="FootnoteText"/>
        <w:rPr>
          <w:lang w:val="en-US"/>
        </w:rPr>
      </w:pPr>
      <w:r>
        <w:rPr>
          <w:rStyle w:val="FootnoteReference"/>
        </w:rPr>
        <w:footnoteRef/>
      </w:r>
      <w:r>
        <w:t xml:space="preserve"> Proceeding on Motion of the Commission to Consider the Adequacy of Verizon New York Inc.’s Retail Service Quality Processes and Programs (Accessed June 2018), available at: </w:t>
      </w:r>
      <w:hyperlink r:id="rId103" w:history="1">
        <w:r w:rsidRPr="008456A3">
          <w:rPr>
            <w:rStyle w:val="Hyperlink"/>
          </w:rPr>
          <w:t>http://www3.dps.ny.gov/W/PSCWeb.nsf/All/CD5BCD03FE89ACA085257687006F389F?OpenDocument</w:t>
        </w:r>
      </w:hyperlink>
      <w:r>
        <w:rPr>
          <w:rFonts w:eastAsia="Georgia"/>
          <w:snapToGrid/>
        </w:rPr>
        <w:t>.</w:t>
      </w:r>
    </w:p>
  </w:footnote>
  <w:footnote w:id="109">
    <w:p w14:paraId="24088009" w14:textId="0CF14DC1" w:rsidR="00E66FE1" w:rsidRPr="00F405F6" w:rsidRDefault="00E66FE1">
      <w:pPr>
        <w:pStyle w:val="FootnoteText"/>
        <w:rPr>
          <w:lang w:val="en-US"/>
        </w:rPr>
      </w:pPr>
      <w:r w:rsidRPr="007B6F19">
        <w:rPr>
          <w:rStyle w:val="FootnoteReference"/>
        </w:rPr>
        <w:footnoteRef/>
      </w:r>
      <w:r>
        <w:t xml:space="preserve"> </w:t>
      </w:r>
      <w:r>
        <w:tab/>
      </w:r>
      <w:r w:rsidRPr="00DD3E96">
        <w:rPr>
          <w:lang w:val="en-US"/>
        </w:rPr>
        <w:t xml:space="preserve">See: </w:t>
      </w:r>
      <w:r>
        <w:rPr>
          <w:lang w:val="en-US"/>
        </w:rPr>
        <w:t xml:space="preserve">NY Department of Public Service (Accessed June 2018) Telecommunications – Home, available at: </w:t>
      </w:r>
      <w:hyperlink r:id="rId104" w:history="1">
        <w:r w:rsidRPr="008456A3">
          <w:rPr>
            <w:rStyle w:val="Hyperlink"/>
            <w:lang w:val="en-US"/>
          </w:rPr>
          <w:t>http://www3.dps.ny.gov/W/PSCWeb.nsf/All/7F830C1FF90AB31285257687006F388D?OpenDocument</w:t>
        </w:r>
      </w:hyperlink>
      <w:r>
        <w:rPr>
          <w:rFonts w:eastAsia="Georgia"/>
          <w:snapToGrid/>
        </w:rPr>
        <w:t>.</w:t>
      </w:r>
    </w:p>
  </w:footnote>
  <w:footnote w:id="110">
    <w:p w14:paraId="2E637006" w14:textId="2040AB40" w:rsidR="00E66FE1" w:rsidRPr="009967DB" w:rsidRDefault="00E66FE1" w:rsidP="007D33E0">
      <w:pPr>
        <w:pStyle w:val="FootnoteText"/>
        <w:tabs>
          <w:tab w:val="clear" w:pos="284"/>
        </w:tabs>
        <w:ind w:left="284" w:hanging="284"/>
        <w:rPr>
          <w:lang w:val="en-US"/>
        </w:rPr>
      </w:pPr>
      <w:r w:rsidRPr="007B6F19">
        <w:rPr>
          <w:rStyle w:val="FootnoteReference"/>
        </w:rPr>
        <w:footnoteRef/>
      </w:r>
      <w:r w:rsidRPr="007B6F19">
        <w:t xml:space="preserve"> </w:t>
      </w:r>
      <w:r w:rsidRPr="007B6F19">
        <w:tab/>
        <w:t xml:space="preserve">Federal Communications Commission (2016) </w:t>
      </w:r>
      <w:r w:rsidRPr="00F405F6">
        <w:t>Customer Service Standards</w:t>
      </w:r>
      <w:r>
        <w:t>, available at</w:t>
      </w:r>
      <w:r w:rsidRPr="007B6F19">
        <w:t xml:space="preserve">: </w:t>
      </w:r>
      <w:hyperlink r:id="rId105" w:history="1">
        <w:r w:rsidRPr="008456A3">
          <w:rPr>
            <w:rStyle w:val="Hyperlink"/>
          </w:rPr>
          <w:t>https://www.fcc.gov/media/customer-service-standards</w:t>
        </w:r>
      </w:hyperlink>
      <w:r>
        <w:rPr>
          <w:rFonts w:eastAsia="Georgia"/>
          <w:snapToGrid/>
        </w:rPr>
        <w:t>.</w:t>
      </w:r>
    </w:p>
  </w:footnote>
  <w:footnote w:id="111">
    <w:p w14:paraId="38280BF5" w14:textId="6BF66A53" w:rsidR="00E66FE1" w:rsidRPr="007B6F19" w:rsidRDefault="00E66FE1" w:rsidP="00E80473">
      <w:pPr>
        <w:pStyle w:val="FootnoteText"/>
        <w:tabs>
          <w:tab w:val="clear" w:pos="284"/>
        </w:tabs>
        <w:ind w:left="284" w:hanging="284"/>
        <w:rPr>
          <w:lang w:val="en-US"/>
        </w:rPr>
      </w:pPr>
      <w:r w:rsidRPr="007B6F19">
        <w:rPr>
          <w:rStyle w:val="FootnoteReference"/>
        </w:rPr>
        <w:footnoteRef/>
      </w:r>
      <w:r w:rsidRPr="007B6F19">
        <w:t xml:space="preserve"> </w:t>
      </w:r>
      <w:r w:rsidRPr="007B6F19">
        <w:tab/>
        <w:t xml:space="preserve">Federal Communications Commission (2016) </w:t>
      </w:r>
      <w:r w:rsidRPr="00F405F6">
        <w:t>Measuring Fixed Broadband Report - 2016</w:t>
      </w:r>
      <w:r>
        <w:t>, available at</w:t>
      </w:r>
      <w:r w:rsidRPr="007B6F19">
        <w:t xml:space="preserve">: </w:t>
      </w:r>
      <w:hyperlink r:id="rId106" w:history="1">
        <w:r w:rsidRPr="008456A3">
          <w:rPr>
            <w:rStyle w:val="Hyperlink"/>
          </w:rPr>
          <w:t>https://www.fcc.gov/reports-research/reports/measuring-broadband-america/measuring-fixed-broadband-report-2016</w:t>
        </w:r>
      </w:hyperlink>
      <w:r>
        <w:rPr>
          <w:rFonts w:eastAsia="Georgia"/>
          <w:snapToGrid/>
        </w:rPr>
        <w:t>.</w:t>
      </w:r>
    </w:p>
  </w:footnote>
  <w:footnote w:id="112">
    <w:p w14:paraId="735F8713" w14:textId="6759D535" w:rsidR="00E66FE1" w:rsidRPr="0062023F" w:rsidRDefault="00E66FE1" w:rsidP="00E80473">
      <w:pPr>
        <w:pStyle w:val="FootnoteText"/>
        <w:tabs>
          <w:tab w:val="clear" w:pos="284"/>
        </w:tabs>
        <w:ind w:left="284" w:hanging="284"/>
        <w:rPr>
          <w:lang w:val="en-US"/>
        </w:rPr>
      </w:pPr>
      <w:r w:rsidRPr="007B6F19">
        <w:rPr>
          <w:rStyle w:val="FootnoteReference"/>
        </w:rPr>
        <w:footnoteRef/>
      </w:r>
      <w:r w:rsidRPr="007B6F19">
        <w:t xml:space="preserve"> </w:t>
      </w:r>
      <w:r w:rsidRPr="007B6F19">
        <w:tab/>
        <w:t xml:space="preserve">Federal Communications Commission (2016) </w:t>
      </w:r>
      <w:r w:rsidRPr="00F405F6">
        <w:t>Customer Service Standards</w:t>
      </w:r>
      <w:r>
        <w:t>, available at</w:t>
      </w:r>
      <w:r w:rsidRPr="007B6F19">
        <w:t xml:space="preserve">: </w:t>
      </w:r>
      <w:hyperlink r:id="rId107" w:history="1">
        <w:r w:rsidRPr="008456A3">
          <w:rPr>
            <w:rStyle w:val="Hyperlink"/>
          </w:rPr>
          <w:t>https://www.fcc.gov/media/customer-service-standards</w:t>
        </w:r>
      </w:hyperlink>
      <w:r>
        <w:rPr>
          <w:rFonts w:eastAsia="Georgia"/>
          <w:snapToGrid/>
        </w:rPr>
        <w:t>.</w:t>
      </w:r>
    </w:p>
  </w:footnote>
  <w:footnote w:id="113">
    <w:p w14:paraId="2AF3E848" w14:textId="6B4CDD98" w:rsidR="00E66FE1" w:rsidRPr="00F405F6" w:rsidRDefault="00E66FE1" w:rsidP="0000588F">
      <w:pPr>
        <w:pStyle w:val="FootnoteText"/>
        <w:tabs>
          <w:tab w:val="clear" w:pos="284"/>
        </w:tabs>
        <w:ind w:left="284" w:hanging="284"/>
        <w:rPr>
          <w:lang w:val="en-US"/>
        </w:rPr>
      </w:pPr>
      <w:r w:rsidRPr="007B6F19">
        <w:rPr>
          <w:rStyle w:val="FootnoteReference"/>
        </w:rPr>
        <w:footnoteRef/>
      </w:r>
      <w:r w:rsidRPr="007B6F19">
        <w:t xml:space="preserve"> </w:t>
      </w:r>
      <w:r>
        <w:tab/>
      </w:r>
      <w:r>
        <w:rPr>
          <w:lang w:val="en-US"/>
        </w:rPr>
        <w:t xml:space="preserve">NY Department of Public Service (Accessed June 2018) Telecommunications – Home, </w:t>
      </w:r>
      <w:r w:rsidRPr="00243466">
        <w:rPr>
          <w:lang w:val="en-US"/>
        </w:rPr>
        <w:t xml:space="preserve">available at: </w:t>
      </w:r>
      <w:r w:rsidRPr="006B7CA5">
        <w:rPr>
          <w:rStyle w:val="Hyperlink"/>
          <w:lang w:val="en-US"/>
        </w:rPr>
        <w:t>http://www3.dps.ny.gov/W/PSCWeb.nsf/All/7F830C1FF90AB31285257687006F388D?OpenDocument</w:t>
      </w:r>
      <w:r>
        <w:rPr>
          <w:rFonts w:eastAsia="Georgia"/>
          <w:snapToGrid/>
        </w:rPr>
        <w:t>.</w:t>
      </w:r>
    </w:p>
  </w:footnote>
  <w:footnote w:id="114">
    <w:p w14:paraId="18192CE9" w14:textId="7EDE046E" w:rsidR="00E66FE1" w:rsidRPr="00811184" w:rsidRDefault="00E66FE1">
      <w:pPr>
        <w:pStyle w:val="FootnoteText"/>
        <w:rPr>
          <w:lang w:val="en-US"/>
        </w:rPr>
      </w:pPr>
      <w:r>
        <w:rPr>
          <w:rStyle w:val="FootnoteReference"/>
        </w:rPr>
        <w:footnoteRef/>
      </w:r>
      <w:r>
        <w:t xml:space="preserve"> S38, </w:t>
      </w:r>
      <w:r w:rsidRPr="002F0392">
        <w:rPr>
          <w:i/>
        </w:rPr>
        <w:t>National Electricity (South Australia) Act 1996</w:t>
      </w:r>
      <w:r>
        <w:rPr>
          <w:i/>
        </w:rPr>
        <w:t xml:space="preserve">, </w:t>
      </w:r>
      <w:r w:rsidRPr="00811184">
        <w:t xml:space="preserve">available at: </w:t>
      </w:r>
      <w:hyperlink r:id="rId108" w:history="1">
        <w:r w:rsidRPr="008456A3">
          <w:rPr>
            <w:rStyle w:val="Hyperlink"/>
          </w:rPr>
          <w:t>https://www.legislation.sa.gov.au/LZ/C/A/NATIONAL%20ELECTRICITY%20(SOUTH%20AUSTRALIA)%20ACT%201996.aspx</w:t>
        </w:r>
      </w:hyperlink>
      <w:r>
        <w:rPr>
          <w:rFonts w:eastAsia="Georgia"/>
          <w:snapToGrid/>
        </w:rPr>
        <w:t>.</w:t>
      </w:r>
    </w:p>
  </w:footnote>
  <w:footnote w:id="115">
    <w:p w14:paraId="643938B3" w14:textId="0E55BAC6" w:rsidR="00E66FE1" w:rsidRPr="0062023F" w:rsidRDefault="00E66FE1">
      <w:pPr>
        <w:pStyle w:val="FootnoteText"/>
      </w:pPr>
      <w:r w:rsidRPr="007B6F19">
        <w:rPr>
          <w:rStyle w:val="FootnoteReference"/>
        </w:rPr>
        <w:footnoteRef/>
      </w:r>
      <w:r w:rsidRPr="007B6F19">
        <w:t xml:space="preserve"> </w:t>
      </w:r>
      <w:r w:rsidRPr="007B6F19">
        <w:tab/>
        <w:t>A</w:t>
      </w:r>
      <w:r>
        <w:t xml:space="preserve">ustralian </w:t>
      </w:r>
      <w:r w:rsidRPr="007B6F19">
        <w:t>E</w:t>
      </w:r>
      <w:r>
        <w:t xml:space="preserve">nergy </w:t>
      </w:r>
      <w:r w:rsidRPr="007B6F19">
        <w:t>R</w:t>
      </w:r>
      <w:r>
        <w:t>egulator (2009)</w:t>
      </w:r>
      <w:r w:rsidRPr="007B6F19">
        <w:t xml:space="preserve"> Electricity distribution network service providers—service targ</w:t>
      </w:r>
      <w:r>
        <w:t>et performance incentive scheme.</w:t>
      </w:r>
    </w:p>
  </w:footnote>
  <w:footnote w:id="116">
    <w:p w14:paraId="0ED2EC54" w14:textId="265CE5AD" w:rsidR="00E66FE1" w:rsidRPr="0062023F" w:rsidRDefault="00E66FE1" w:rsidP="00BE12F3">
      <w:pPr>
        <w:pStyle w:val="FootnoteText"/>
        <w:tabs>
          <w:tab w:val="clear" w:pos="284"/>
        </w:tabs>
        <w:ind w:left="284" w:hanging="284"/>
        <w:rPr>
          <w:lang w:val="en-US"/>
        </w:rPr>
      </w:pPr>
      <w:r w:rsidRPr="007B6F19">
        <w:rPr>
          <w:rStyle w:val="FootnoteReference"/>
        </w:rPr>
        <w:footnoteRef/>
      </w:r>
      <w:r w:rsidRPr="007B6F19">
        <w:t xml:space="preserve"> </w:t>
      </w:r>
      <w:r w:rsidRPr="007B6F19">
        <w:tab/>
      </w:r>
      <w:r w:rsidRPr="007B6F19">
        <w:rPr>
          <w:lang w:val="en-US"/>
        </w:rPr>
        <w:t>Australian En</w:t>
      </w:r>
      <w:r w:rsidRPr="00C87C70">
        <w:rPr>
          <w:lang w:val="en-US"/>
        </w:rPr>
        <w:t>ergy Regulator (accessed June 2018)</w:t>
      </w:r>
      <w:r w:rsidRPr="009452AD">
        <w:t xml:space="preserve"> </w:t>
      </w:r>
      <w:r w:rsidRPr="009452AD">
        <w:rPr>
          <w:lang w:val="en-US"/>
        </w:rPr>
        <w:t>Service standards guidelines</w:t>
      </w:r>
      <w:r>
        <w:rPr>
          <w:lang w:val="en-US"/>
        </w:rPr>
        <w:t>, available at</w:t>
      </w:r>
      <w:r w:rsidRPr="00C87C70">
        <w:rPr>
          <w:lang w:val="en-US"/>
        </w:rPr>
        <w:t xml:space="preserve">: </w:t>
      </w:r>
      <w:hyperlink r:id="rId109" w:history="1">
        <w:r w:rsidRPr="008456A3">
          <w:rPr>
            <w:rStyle w:val="Hyperlink"/>
            <w:lang w:val="en-US"/>
          </w:rPr>
          <w:t>https://www.aer.gov.au/networks-pipelines/guidelines-schemes-models-reviews/service-standards-guidelines</w:t>
        </w:r>
      </w:hyperlink>
      <w:r>
        <w:rPr>
          <w:rFonts w:eastAsia="Georgia"/>
          <w:snapToGrid/>
        </w:rPr>
        <w:t>.</w:t>
      </w:r>
    </w:p>
  </w:footnote>
  <w:footnote w:id="117">
    <w:p w14:paraId="228E8447" w14:textId="5574FCEC" w:rsidR="00E66FE1" w:rsidRPr="007B6F19" w:rsidRDefault="00E66FE1" w:rsidP="00BE12F3">
      <w:pPr>
        <w:pStyle w:val="FootnoteText"/>
        <w:tabs>
          <w:tab w:val="clear" w:pos="284"/>
        </w:tabs>
        <w:ind w:left="284" w:hanging="284"/>
        <w:rPr>
          <w:lang w:val="en-US"/>
        </w:rPr>
      </w:pPr>
      <w:r w:rsidRPr="007B6F19">
        <w:rPr>
          <w:rStyle w:val="FootnoteReference"/>
        </w:rPr>
        <w:footnoteRef/>
      </w:r>
      <w:r w:rsidRPr="007B6F19">
        <w:t xml:space="preserve"> </w:t>
      </w:r>
      <w:r w:rsidRPr="007B6F19">
        <w:tab/>
        <w:t>Australian Energy Regulator &amp; Australian Competition and Consumer Commission (2013) Energy - Con</w:t>
      </w:r>
      <w:r w:rsidRPr="00C87C70">
        <w:t>nection electricity or gas to your property for the first time. Canberra</w:t>
      </w:r>
      <w:r>
        <w:t>.</w:t>
      </w:r>
    </w:p>
  </w:footnote>
  <w:footnote w:id="118">
    <w:p w14:paraId="1FFEEEBE" w14:textId="54E3DF1C" w:rsidR="00E66FE1" w:rsidRPr="007B6F19" w:rsidRDefault="00E66FE1">
      <w:pPr>
        <w:pStyle w:val="FootnoteText"/>
      </w:pPr>
      <w:r w:rsidRPr="007B6F19">
        <w:rPr>
          <w:rStyle w:val="FootnoteReference"/>
        </w:rPr>
        <w:footnoteRef/>
      </w:r>
      <w:r w:rsidRPr="007B6F19">
        <w:t xml:space="preserve"> </w:t>
      </w:r>
      <w:r w:rsidRPr="007B6F19">
        <w:tab/>
        <w:t>Essential Services Commission</w:t>
      </w:r>
      <w:r>
        <w:t xml:space="preserve"> of South Australia (2015)</w:t>
      </w:r>
      <w:r w:rsidRPr="007B6F19">
        <w:t xml:space="preserve"> Electricity Distribution Code, </w:t>
      </w:r>
      <w:r>
        <w:t xml:space="preserve">available at: </w:t>
      </w:r>
      <w:hyperlink r:id="rId110" w:history="1">
        <w:r w:rsidRPr="008456A3">
          <w:rPr>
            <w:rStyle w:val="Hyperlink"/>
          </w:rPr>
          <w:t>https://www.escosa.sa.gov.au/ArticleDocuments/512/20141007-Elec-DistributionCodeEDC12.pdf.aspx?Embed=Y</w:t>
        </w:r>
      </w:hyperlink>
      <w:r>
        <w:rPr>
          <w:rFonts w:eastAsia="Georgia"/>
          <w:snapToGrid/>
        </w:rPr>
        <w:t>.</w:t>
      </w:r>
    </w:p>
  </w:footnote>
  <w:footnote w:id="119">
    <w:p w14:paraId="740EA46F" w14:textId="44F31707" w:rsidR="00E66FE1" w:rsidRPr="007B6F19" w:rsidRDefault="00E66FE1">
      <w:pPr>
        <w:pStyle w:val="FootnoteText"/>
      </w:pPr>
      <w:r w:rsidRPr="007B6F19">
        <w:rPr>
          <w:rStyle w:val="FootnoteReference"/>
        </w:rPr>
        <w:footnoteRef/>
      </w:r>
      <w:r w:rsidRPr="007B6F19">
        <w:t xml:space="preserve"> </w:t>
      </w:r>
      <w:r w:rsidRPr="007B6F19">
        <w:tab/>
        <w:t>Queensland Government</w:t>
      </w:r>
      <w:r>
        <w:t xml:space="preserve"> (2018) </w:t>
      </w:r>
      <w:r w:rsidRPr="007B6F19">
        <w:t>Elect</w:t>
      </w:r>
      <w:r>
        <w:t xml:space="preserve">ricity Distribution Network Code, available at: </w:t>
      </w:r>
      <w:hyperlink r:id="rId111" w:anchor="finalpos" w:history="1">
        <w:r w:rsidRPr="008456A3">
          <w:rPr>
            <w:rStyle w:val="Hyperlink"/>
          </w:rPr>
          <w:t>http://www.qca.org.au/Electricity/Reviews/Electricity-Distribution-Network-Code/Final-Report/Current-version-of-the-Electricity-Distribution-Ne#finalpos</w:t>
        </w:r>
      </w:hyperlink>
      <w:r>
        <w:rPr>
          <w:rFonts w:eastAsia="Georgia"/>
          <w:snapToGrid/>
        </w:rPr>
        <w:t>.</w:t>
      </w:r>
    </w:p>
  </w:footnote>
  <w:footnote w:id="120">
    <w:p w14:paraId="6B340B74" w14:textId="3CC749ED" w:rsidR="00E66FE1" w:rsidRPr="007B6F19" w:rsidRDefault="00E66FE1">
      <w:pPr>
        <w:pStyle w:val="FootnoteText"/>
      </w:pPr>
      <w:r w:rsidRPr="007B6F19">
        <w:rPr>
          <w:rStyle w:val="FootnoteReference"/>
        </w:rPr>
        <w:footnoteRef/>
      </w:r>
      <w:r w:rsidRPr="007B6F19">
        <w:t xml:space="preserve"> </w:t>
      </w:r>
      <w:r w:rsidRPr="007B6F19">
        <w:tab/>
        <w:t>Essential Services Commission</w:t>
      </w:r>
      <w:r>
        <w:t xml:space="preserve"> of South Australia (2015)</w:t>
      </w:r>
      <w:r w:rsidRPr="007B6F19">
        <w:t xml:space="preserve"> Electricity Distribution Code, </w:t>
      </w:r>
      <w:r>
        <w:t xml:space="preserve">available at: </w:t>
      </w:r>
      <w:hyperlink r:id="rId112" w:history="1">
        <w:r w:rsidRPr="008456A3">
          <w:rPr>
            <w:rStyle w:val="Hyperlink"/>
          </w:rPr>
          <w:t>https://www.escosa.sa.gov.au/ArticleDocuments/512/20141007-Elec-DistributionCodeEDC12.pdf.aspx?Embed=Y</w:t>
        </w:r>
      </w:hyperlink>
      <w:r>
        <w:rPr>
          <w:rFonts w:eastAsia="Georgia"/>
          <w:snapToGrid/>
        </w:rPr>
        <w:t>.</w:t>
      </w:r>
    </w:p>
  </w:footnote>
  <w:footnote w:id="121">
    <w:p w14:paraId="507559F4" w14:textId="446BCF88" w:rsidR="00E66FE1" w:rsidRPr="007B6F19" w:rsidRDefault="00E66FE1" w:rsidP="00BE12F3">
      <w:pPr>
        <w:pStyle w:val="FootnoteText"/>
        <w:tabs>
          <w:tab w:val="clear" w:pos="284"/>
        </w:tabs>
        <w:ind w:left="284" w:hanging="284"/>
        <w:rPr>
          <w:lang w:val="en-US"/>
        </w:rPr>
      </w:pPr>
      <w:r w:rsidRPr="007B6F19">
        <w:rPr>
          <w:rStyle w:val="FootnoteReference"/>
        </w:rPr>
        <w:footnoteRef/>
      </w:r>
      <w:r>
        <w:t xml:space="preserve"> </w:t>
      </w:r>
      <w:r>
        <w:tab/>
        <w:t>Australian Energy Regulator (2018)</w:t>
      </w:r>
      <w:r w:rsidRPr="007B6F19">
        <w:t xml:space="preserve"> AER (Retail Law) Performance Repo</w:t>
      </w:r>
      <w:r>
        <w:t>rting Procedures and Guidelines,</w:t>
      </w:r>
      <w:r w:rsidRPr="007B6F19">
        <w:t xml:space="preserve"> </w:t>
      </w:r>
      <w:r>
        <w:t>a</w:t>
      </w:r>
      <w:r w:rsidRPr="007B6F19">
        <w:t>vailable</w:t>
      </w:r>
      <w:r>
        <w:t xml:space="preserve"> at</w:t>
      </w:r>
      <w:r w:rsidRPr="007B6F19">
        <w:t xml:space="preserve">: </w:t>
      </w:r>
      <w:hyperlink r:id="rId113" w:history="1">
        <w:r w:rsidRPr="008456A3">
          <w:rPr>
            <w:rStyle w:val="Hyperlink"/>
          </w:rPr>
          <w:t>https://www.aer.gov.au/system/files/AER%20%28Retail%20Law%29%20Performance%20Reporting%20Procedures%20and%20Guidelines%20-%20April%202018_0.pdf</w:t>
        </w:r>
      </w:hyperlink>
      <w:r>
        <w:rPr>
          <w:rFonts w:eastAsia="Georgia"/>
          <w:snapToGrid/>
        </w:rPr>
        <w:t>.</w:t>
      </w:r>
    </w:p>
  </w:footnote>
  <w:footnote w:id="122">
    <w:p w14:paraId="4108CE64" w14:textId="1D96CFEC" w:rsidR="00E66FE1" w:rsidRPr="001E5B4E" w:rsidRDefault="00E66FE1" w:rsidP="00BE12F3">
      <w:pPr>
        <w:pStyle w:val="FootnoteText"/>
        <w:tabs>
          <w:tab w:val="clear" w:pos="284"/>
        </w:tabs>
        <w:ind w:left="284" w:hanging="284"/>
        <w:rPr>
          <w:lang w:val="en-US"/>
        </w:rPr>
      </w:pPr>
      <w:r w:rsidRPr="007B6F19">
        <w:rPr>
          <w:rStyle w:val="FootnoteReference"/>
        </w:rPr>
        <w:footnoteRef/>
      </w:r>
      <w:r w:rsidRPr="007B6F19">
        <w:t xml:space="preserve"> </w:t>
      </w:r>
      <w:r w:rsidRPr="007B6F19">
        <w:tab/>
        <w:t xml:space="preserve">Australian Energy Regulator (2017) </w:t>
      </w:r>
      <w:r w:rsidRPr="00C87C70">
        <w:t>Annual report on compliance &amp; performance of the retail energy market</w:t>
      </w:r>
      <w:r w:rsidRPr="0062023F">
        <w:t xml:space="preserve"> 2016–17</w:t>
      </w:r>
      <w:r>
        <w:t>.</w:t>
      </w:r>
    </w:p>
  </w:footnote>
  <w:footnote w:id="123">
    <w:p w14:paraId="7C82C6FE" w14:textId="7705645A" w:rsidR="00E66FE1" w:rsidRPr="007B6F19" w:rsidRDefault="00E66FE1" w:rsidP="00E36D61">
      <w:pPr>
        <w:pStyle w:val="FootnoteText"/>
        <w:tabs>
          <w:tab w:val="clear" w:pos="284"/>
        </w:tabs>
        <w:ind w:left="284" w:hanging="284"/>
        <w:rPr>
          <w:lang w:val="en-US"/>
        </w:rPr>
      </w:pPr>
      <w:r w:rsidRPr="007B6F19">
        <w:rPr>
          <w:rStyle w:val="FootnoteReference"/>
        </w:rPr>
        <w:footnoteRef/>
      </w:r>
      <w:r>
        <w:t xml:space="preserve"> </w:t>
      </w:r>
      <w:r>
        <w:tab/>
        <w:t>Australian Energy Regulator</w:t>
      </w:r>
      <w:r w:rsidRPr="007B6F19">
        <w:t xml:space="preserve"> (</w:t>
      </w:r>
      <w:r>
        <w:t>Accessed June 2018</w:t>
      </w:r>
      <w:r w:rsidRPr="007B6F19">
        <w:t>) Enforceme</w:t>
      </w:r>
      <w:r>
        <w:t>nt matters - Wholesale market, a</w:t>
      </w:r>
      <w:r w:rsidRPr="007B6F19">
        <w:t>vai</w:t>
      </w:r>
      <w:r w:rsidRPr="00C87C70">
        <w:t xml:space="preserve">lable: </w:t>
      </w:r>
      <w:hyperlink r:id="rId114" w:history="1">
        <w:r w:rsidRPr="008456A3">
          <w:rPr>
            <w:rStyle w:val="Hyperlink"/>
          </w:rPr>
          <w:t>https://www.aer.gov.au/wholesale-markets/enforcement-matters</w:t>
        </w:r>
      </w:hyperlink>
      <w:r>
        <w:t>.</w:t>
      </w:r>
    </w:p>
  </w:footnote>
  <w:footnote w:id="124">
    <w:p w14:paraId="579203B0" w14:textId="24E7C9A2" w:rsidR="00E66FE1" w:rsidRPr="007B6F19" w:rsidRDefault="00E66FE1" w:rsidP="00BE12F3">
      <w:pPr>
        <w:pStyle w:val="FootnoteText"/>
        <w:tabs>
          <w:tab w:val="clear" w:pos="284"/>
        </w:tabs>
        <w:ind w:left="284" w:hanging="284"/>
      </w:pPr>
      <w:r w:rsidRPr="007B6F19">
        <w:rPr>
          <w:rStyle w:val="FootnoteReference"/>
        </w:rPr>
        <w:footnoteRef/>
      </w:r>
      <w:r>
        <w:t xml:space="preserve"> </w:t>
      </w:r>
      <w:r>
        <w:tab/>
        <w:t>Australian Energy Regulator</w:t>
      </w:r>
      <w:r w:rsidRPr="007B6F19">
        <w:t xml:space="preserve"> (</w:t>
      </w:r>
      <w:r>
        <w:t>Accessed June 2018) Compliance - Retail Market, a</w:t>
      </w:r>
      <w:r w:rsidRPr="007B6F19">
        <w:t>vailable</w:t>
      </w:r>
      <w:r>
        <w:t xml:space="preserve"> at</w:t>
      </w:r>
      <w:r w:rsidRPr="007B6F19">
        <w:t xml:space="preserve">: </w:t>
      </w:r>
      <w:hyperlink r:id="rId115" w:history="1">
        <w:r w:rsidRPr="008456A3">
          <w:rPr>
            <w:rStyle w:val="Hyperlink"/>
          </w:rPr>
          <w:t>https://www.aer.gov.au/retail-markets/compliance</w:t>
        </w:r>
      </w:hyperlink>
      <w:r>
        <w:t>.</w:t>
      </w:r>
    </w:p>
  </w:footnote>
  <w:footnote w:id="125">
    <w:p w14:paraId="17A4695B" w14:textId="5AAF3084" w:rsidR="00E66FE1" w:rsidRPr="00C87C70" w:rsidRDefault="00E66FE1" w:rsidP="00BE12F3">
      <w:pPr>
        <w:pStyle w:val="FootnoteText"/>
        <w:tabs>
          <w:tab w:val="clear" w:pos="284"/>
        </w:tabs>
        <w:ind w:left="284" w:hanging="284"/>
        <w:rPr>
          <w:lang w:val="en-US"/>
        </w:rPr>
      </w:pPr>
      <w:r w:rsidRPr="007B6F19">
        <w:rPr>
          <w:rStyle w:val="FootnoteReference"/>
        </w:rPr>
        <w:footnoteRef/>
      </w:r>
      <w:r w:rsidRPr="007B6F19">
        <w:t xml:space="preserve"> </w:t>
      </w:r>
      <w:r w:rsidRPr="007B6F19">
        <w:tab/>
        <w:t xml:space="preserve">Australian Energy Regulator (2017) </w:t>
      </w:r>
      <w:r w:rsidRPr="00C87C70">
        <w:t>Annual report on compliance &amp; performance of the retail energy market 2016–17</w:t>
      </w:r>
      <w:r>
        <w:t>.</w:t>
      </w:r>
    </w:p>
  </w:footnote>
  <w:footnote w:id="126">
    <w:p w14:paraId="4656B67C" w14:textId="6B2F05EB" w:rsidR="00E66FE1" w:rsidRPr="00C87C70" w:rsidRDefault="00E66FE1">
      <w:pPr>
        <w:pStyle w:val="FootnoteText"/>
      </w:pPr>
      <w:r w:rsidRPr="007B6F19">
        <w:rPr>
          <w:rStyle w:val="FootnoteReference"/>
        </w:rPr>
        <w:footnoteRef/>
      </w:r>
      <w:r w:rsidRPr="007B6F19">
        <w:t xml:space="preserve"> </w:t>
      </w:r>
      <w:r w:rsidRPr="007B6F19">
        <w:tab/>
      </w:r>
      <w:r>
        <w:t xml:space="preserve">Queensland Competition Authority (Accessed June 2018) Electricity Distribution Network Code, available at: </w:t>
      </w:r>
      <w:hyperlink r:id="rId116" w:history="1">
        <w:r w:rsidRPr="008456A3">
          <w:rPr>
            <w:rStyle w:val="Hyperlink"/>
          </w:rPr>
          <w:t>http://www.qca.org.au/Electricity/Reviews/Electricity-Distribution-Network-Code</w:t>
        </w:r>
      </w:hyperlink>
      <w:r>
        <w:t>.</w:t>
      </w:r>
    </w:p>
  </w:footnote>
  <w:footnote w:id="127">
    <w:p w14:paraId="01412E08" w14:textId="0602FFD0" w:rsidR="00E66FE1" w:rsidRPr="00C87C70" w:rsidRDefault="00E66FE1">
      <w:pPr>
        <w:pStyle w:val="FootnoteText"/>
      </w:pPr>
      <w:r w:rsidRPr="007B6F19">
        <w:rPr>
          <w:rStyle w:val="FootnoteReference"/>
        </w:rPr>
        <w:footnoteRef/>
      </w:r>
      <w:r w:rsidRPr="007B6F19">
        <w:t xml:space="preserve"> </w:t>
      </w:r>
      <w:r w:rsidRPr="007B6F19">
        <w:tab/>
      </w:r>
      <w:r>
        <w:t xml:space="preserve">Victorian Government: Environment, Land, Water and Planning (Accessed June 2018) Customer Compensation, available at: </w:t>
      </w:r>
      <w:hyperlink r:id="rId117" w:history="1">
        <w:r w:rsidRPr="008456A3">
          <w:rPr>
            <w:rStyle w:val="Hyperlink"/>
          </w:rPr>
          <w:t>https://www.energy.vic.gov.au/safety-and-emergencies/power-outages/customer-compensation</w:t>
        </w:r>
      </w:hyperlink>
      <w:r>
        <w:t>.</w:t>
      </w:r>
    </w:p>
  </w:footnote>
  <w:footnote w:id="128">
    <w:p w14:paraId="31C45BEF" w14:textId="1266FDF1" w:rsidR="00E66FE1" w:rsidRDefault="00E66FE1" w:rsidP="00AB2C3B">
      <w:pPr>
        <w:pStyle w:val="FootnoteText"/>
      </w:pPr>
      <w:r w:rsidRPr="007B6F19">
        <w:rPr>
          <w:rStyle w:val="FootnoteReference"/>
        </w:rPr>
        <w:footnoteRef/>
      </w:r>
      <w:r w:rsidRPr="007B6F19">
        <w:t xml:space="preserve"> </w:t>
      </w:r>
      <w:r w:rsidRPr="007B6F19">
        <w:tab/>
      </w:r>
      <w:r>
        <w:t>Collected Guaranteed Service Level information (Accessed June 2018) available at:</w:t>
      </w:r>
    </w:p>
    <w:p w14:paraId="08C6A4F3" w14:textId="3C1C705B" w:rsidR="00E66FE1" w:rsidRPr="007B6F19" w:rsidRDefault="00D27372" w:rsidP="00F405F6">
      <w:pPr>
        <w:pStyle w:val="FootnoteText"/>
        <w:ind w:left="454"/>
      </w:pPr>
      <w:hyperlink r:id="rId118" w:history="1">
        <w:r w:rsidR="00E66FE1" w:rsidRPr="008456A3">
          <w:rPr>
            <w:rStyle w:val="Hyperlink"/>
          </w:rPr>
          <w:t>https://www.energy.vic.gov.au/safety-and-emergencies/power-outages/customer-compensation</w:t>
        </w:r>
      </w:hyperlink>
    </w:p>
    <w:p w14:paraId="47B2C10A" w14:textId="2A0F29D4" w:rsidR="00E66FE1" w:rsidRPr="0062023F" w:rsidRDefault="00E66FE1" w:rsidP="00AB2C3B">
      <w:pPr>
        <w:pStyle w:val="FootnoteText"/>
      </w:pPr>
      <w:r w:rsidRPr="0062023F">
        <w:tab/>
      </w:r>
      <w:hyperlink r:id="rId119" w:history="1">
        <w:r w:rsidRPr="008456A3">
          <w:rPr>
            <w:rStyle w:val="Hyperlink"/>
          </w:rPr>
          <w:t>https://www.essentialenergy.com.au/about-us/customer-and-regulatory-information/guaranteed-service-level-scheme</w:t>
        </w:r>
      </w:hyperlink>
    </w:p>
    <w:p w14:paraId="5278FC1A" w14:textId="22C46A88" w:rsidR="00E66FE1" w:rsidRPr="007B6F19" w:rsidRDefault="00E66FE1" w:rsidP="00AB2C3B">
      <w:pPr>
        <w:pStyle w:val="FootnoteText"/>
      </w:pPr>
      <w:r w:rsidRPr="007B6F19">
        <w:tab/>
      </w:r>
      <w:hyperlink r:id="rId120" w:history="1">
        <w:r w:rsidRPr="008456A3">
          <w:rPr>
            <w:rStyle w:val="Hyperlink"/>
          </w:rPr>
          <w:t>https://www.powerwater.com.au/networks_and_infrastructure/power_networks/guaranteed_service_levels</w:t>
        </w:r>
      </w:hyperlink>
    </w:p>
    <w:p w14:paraId="745AFAC1" w14:textId="6437A5F1" w:rsidR="00E66FE1" w:rsidRPr="007B6F19" w:rsidRDefault="00E66FE1" w:rsidP="00AB2C3B">
      <w:pPr>
        <w:pStyle w:val="FootnoteText"/>
      </w:pPr>
      <w:r w:rsidRPr="007B6F19">
        <w:tab/>
      </w:r>
      <w:hyperlink r:id="rId121" w:history="1">
        <w:r w:rsidRPr="008456A3">
          <w:rPr>
            <w:rStyle w:val="Hyperlink"/>
          </w:rPr>
          <w:t>https://www.tasnetworks.com.au/about-us/policies/supply-reliability-guarantee/</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2F5E2" w14:textId="7C149B42" w:rsidR="00E66FE1" w:rsidRPr="000F4EB8" w:rsidRDefault="00D27372" w:rsidP="000F4EB8">
    <w:pPr>
      <w:pStyle w:val="URLCover"/>
      <w:rPr>
        <w:rFonts w:eastAsia="+mn-ea"/>
      </w:rPr>
    </w:pPr>
    <w:hyperlink r:id="rId1" w:history="1">
      <w:r w:rsidR="00E66FE1" w:rsidRPr="008456A3">
        <w:rPr>
          <w:rStyle w:val="Hyperlink"/>
          <w:rFonts w:eastAsia="+mn-ea"/>
        </w:rPr>
        <w:t>www.pwc.com.au</w:t>
      </w:r>
    </w:hyperlink>
    <w:r w:rsidR="00E66FE1">
      <w:rPr>
        <w:rFonts w:eastAsia="+mn-ea"/>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9A031" w14:textId="77777777" w:rsidR="00E66FE1" w:rsidRPr="005236F7" w:rsidRDefault="00E66FE1" w:rsidP="005236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B4196" w14:textId="3BEA368E" w:rsidR="00E66FE1" w:rsidRPr="005D1FC6" w:rsidRDefault="00E66FE1" w:rsidP="005D1FC6">
    <w:pPr>
      <w:pStyle w:val="Header"/>
    </w:pPr>
    <w:r>
      <w:rPr>
        <w:noProof/>
      </w:rPr>
      <w:fldChar w:fldCharType="begin"/>
    </w:r>
    <w:r>
      <w:rPr>
        <w:noProof/>
      </w:rPr>
      <w:instrText xml:space="preserve"> STYLEREF "TOC Title" </w:instrText>
    </w:r>
    <w:r>
      <w:rPr>
        <w:noProof/>
      </w:rPr>
      <w:fldChar w:fldCharType="separate"/>
    </w:r>
    <w:r>
      <w:rPr>
        <w:noProof/>
      </w:rPr>
      <w:t>Contents</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A4B51" w14:textId="6D62E08D" w:rsidR="00E66FE1" w:rsidRPr="005D1FC6" w:rsidRDefault="00E66FE1" w:rsidP="005D1FC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51538" w14:textId="573F5262" w:rsidR="00E66FE1" w:rsidRDefault="00E66FE1" w:rsidP="004521EC">
    <w:pPr>
      <w:pStyle w:val="Header"/>
    </w:pPr>
  </w:p>
  <w:p w14:paraId="302BD9A4" w14:textId="77777777" w:rsidR="00E66FE1" w:rsidRPr="00460052" w:rsidRDefault="00E66FE1" w:rsidP="00460052">
    <w:pPr>
      <w:pStyle w:val="FirstPagePanelFrame-Contents"/>
      <w:framePr w:wrap="notBesid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D8487" w14:textId="0D5E514A" w:rsidR="00E66FE1" w:rsidRPr="00B41847" w:rsidRDefault="00E66FE1" w:rsidP="00B41847">
    <w:pPr>
      <w:pStyle w:val="Header-Even"/>
    </w:pPr>
    <w:r>
      <w:rPr>
        <w:noProof/>
        <w:snapToGrid/>
        <w:lang w:eastAsia="en-AU"/>
      </w:rPr>
      <w:fldChar w:fldCharType="begin"/>
    </w:r>
    <w:r>
      <w:rPr>
        <w:noProof/>
        <w:snapToGrid/>
        <w:lang w:eastAsia="en-AU"/>
      </w:rPr>
      <w:instrText xml:space="preserve"> STYLEREF "Heading 4" </w:instrText>
    </w:r>
    <w:r>
      <w:rPr>
        <w:noProof/>
        <w:snapToGrid/>
        <w:lang w:eastAsia="en-AU"/>
      </w:rPr>
      <w:fldChar w:fldCharType="separate"/>
    </w:r>
    <w:r>
      <w:rPr>
        <w:b/>
        <w:bCs/>
        <w:noProof/>
        <w:snapToGrid/>
        <w:lang w:val="en-US" w:eastAsia="en-AU"/>
      </w:rPr>
      <w:t>Error! No text of specified style in document.</w:t>
    </w:r>
    <w:r>
      <w:rPr>
        <w:noProof/>
        <w:snapToGrid/>
        <w:lang w:eastAsia="en-AU"/>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33EE0" w14:textId="054D84F3" w:rsidR="00E66FE1" w:rsidRPr="00B41847" w:rsidRDefault="00E66FE1" w:rsidP="00B4184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E5DF4" w14:textId="467EE685" w:rsidR="00E66FE1" w:rsidRDefault="00E66FE1" w:rsidP="0090246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DBFCD" w14:textId="77777777" w:rsidR="00E66FE1" w:rsidRPr="005B4BF3" w:rsidRDefault="00E66FE1" w:rsidP="005B4BF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BDD2F" w14:textId="77777777" w:rsidR="00E66FE1" w:rsidRPr="003333C5" w:rsidRDefault="00E66FE1" w:rsidP="003333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7751"/>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BB222B"/>
    <w:multiLevelType w:val="hybridMultilevel"/>
    <w:tmpl w:val="E74E5864"/>
    <w:name w:val="Chapter numbering list2"/>
    <w:lvl w:ilvl="0" w:tplc="F2DC9934">
      <w:start w:val="1"/>
      <w:numFmt w:val="decimal"/>
      <w:pStyle w:val="Heading6"/>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1221B"/>
    <w:multiLevelType w:val="multilevel"/>
    <w:tmpl w:val="54B62ED8"/>
    <w:styleLink w:val="BulletList"/>
    <w:lvl w:ilvl="0">
      <w:start w:val="1"/>
      <w:numFmt w:val="bullet"/>
      <w:lvlRestart w:val="0"/>
      <w:lvlText w:val=""/>
      <w:lvlJc w:val="left"/>
      <w:pPr>
        <w:tabs>
          <w:tab w:val="num" w:pos="567"/>
        </w:tabs>
        <w:ind w:left="567" w:hanging="567"/>
      </w:pPr>
      <w:rPr>
        <w:rFonts w:ascii="Symbol" w:hAnsi="Symbol" w:hint="default"/>
        <w:b w:val="0"/>
        <w:i w:val="0"/>
        <w:color w:val="auto"/>
      </w:rPr>
    </w:lvl>
    <w:lvl w:ilvl="1">
      <w:start w:val="1"/>
      <w:numFmt w:val="bullet"/>
      <w:lvlText w:val="–"/>
      <w:lvlJc w:val="left"/>
      <w:pPr>
        <w:tabs>
          <w:tab w:val="num" w:pos="1134"/>
        </w:tabs>
        <w:ind w:left="1134" w:hanging="567"/>
      </w:pPr>
      <w:rPr>
        <w:rFonts w:ascii="Arial" w:hAnsi="Arial" w:hint="default"/>
        <w:b w:val="0"/>
        <w:i w:val="0"/>
        <w:color w:val="auto"/>
      </w:rPr>
    </w:lvl>
    <w:lvl w:ilvl="2">
      <w:start w:val="1"/>
      <w:numFmt w:val="bullet"/>
      <w:lvlText w:val="o"/>
      <w:lvlJc w:val="left"/>
      <w:pPr>
        <w:tabs>
          <w:tab w:val="num" w:pos="1701"/>
        </w:tabs>
        <w:ind w:left="1701" w:hanging="567"/>
      </w:pPr>
      <w:rPr>
        <w:rFonts w:ascii="Arial" w:hAnsi="Arial" w:hint="default"/>
        <w:b w:val="0"/>
        <w:i w:val="0"/>
        <w:color w:val="auto"/>
        <w:sz w:val="10"/>
        <w:szCs w:val="10"/>
      </w:rPr>
    </w:lvl>
    <w:lvl w:ilvl="3">
      <w:start w:val="1"/>
      <w:numFmt w:val="bullet"/>
      <w:lvlText w:val=""/>
      <w:lvlJc w:val="left"/>
      <w:pPr>
        <w:tabs>
          <w:tab w:val="num" w:pos="2268"/>
        </w:tabs>
        <w:ind w:left="2268" w:hanging="567"/>
      </w:pPr>
      <w:rPr>
        <w:rFonts w:ascii="Wingdings" w:hAnsi="Wingdings" w:hint="default"/>
        <w:b w:val="0"/>
        <w:i w:val="0"/>
        <w:color w:val="auto"/>
        <w:sz w:val="10"/>
        <w:szCs w:val="10"/>
      </w:rPr>
    </w:lvl>
    <w:lvl w:ilvl="4">
      <w:start w:val="1"/>
      <w:numFmt w:val="none"/>
      <w:lvlText w:val="%5"/>
      <w:lvlJc w:val="left"/>
      <w:pPr>
        <w:tabs>
          <w:tab w:val="num" w:pos="0"/>
        </w:tabs>
        <w:ind w:left="0" w:firstLine="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 w15:restartNumberingAfterBreak="0">
    <w:nsid w:val="08112352"/>
    <w:multiLevelType w:val="multilevel"/>
    <w:tmpl w:val="8CEA6DAA"/>
    <w:styleLink w:val="Bullets"/>
    <w:lvl w:ilvl="0">
      <w:start w:val="1"/>
      <w:numFmt w:val="bullet"/>
      <w:pStyle w:val="Bullet1"/>
      <w:lvlText w:val=""/>
      <w:lvlJc w:val="left"/>
      <w:pPr>
        <w:tabs>
          <w:tab w:val="num" w:pos="284"/>
        </w:tabs>
        <w:ind w:left="284" w:hanging="284"/>
      </w:pPr>
      <w:rPr>
        <w:rFonts w:ascii="Symbol" w:hAnsi="Symbol" w:hint="default"/>
        <w:color w:val="auto"/>
      </w:rPr>
    </w:lvl>
    <w:lvl w:ilvl="1">
      <w:start w:val="1"/>
      <w:numFmt w:val="bullet"/>
      <w:pStyle w:val="Bullet2"/>
      <w:lvlText w:val="–"/>
      <w:lvlJc w:val="left"/>
      <w:pPr>
        <w:tabs>
          <w:tab w:val="num" w:pos="567"/>
        </w:tabs>
        <w:ind w:left="568" w:hanging="284"/>
      </w:pPr>
      <w:rPr>
        <w:rFonts w:ascii="Arial" w:hAnsi="Arial" w:hint="default"/>
        <w:color w:val="auto"/>
      </w:rPr>
    </w:lvl>
    <w:lvl w:ilvl="2">
      <w:start w:val="1"/>
      <w:numFmt w:val="bullet"/>
      <w:pStyle w:val="Bullet3"/>
      <w:lvlText w:val="◦"/>
      <w:lvlJc w:val="left"/>
      <w:pPr>
        <w:tabs>
          <w:tab w:val="num" w:pos="851"/>
        </w:tabs>
        <w:ind w:left="852" w:hanging="284"/>
      </w:pPr>
      <w:rPr>
        <w:rFonts w:ascii="Georgia" w:hAnsi="Georgia" w:hint="default"/>
        <w:color w:val="auto"/>
      </w:rPr>
    </w:lvl>
    <w:lvl w:ilvl="3">
      <w:start w:val="1"/>
      <w:numFmt w:val="bullet"/>
      <w:pStyle w:val="Bullet4"/>
      <w:lvlText w:val=""/>
      <w:lvlJc w:val="left"/>
      <w:pPr>
        <w:tabs>
          <w:tab w:val="num" w:pos="1134"/>
        </w:tabs>
        <w:ind w:left="1136" w:hanging="284"/>
      </w:pPr>
      <w:rPr>
        <w:rFonts w:ascii="Symbol" w:hAnsi="Symbol" w:hint="default"/>
        <w:color w:val="auto"/>
      </w:rPr>
    </w:lvl>
    <w:lvl w:ilvl="4">
      <w:start w:val="1"/>
      <w:numFmt w:val="lowerLetter"/>
      <w:lvlText w:val="(%5)"/>
      <w:lvlJc w:val="left"/>
      <w:pPr>
        <w:tabs>
          <w:tab w:val="num" w:pos="1418"/>
        </w:tabs>
        <w:ind w:left="1420" w:hanging="284"/>
      </w:pPr>
      <w:rPr>
        <w:rFonts w:hint="default"/>
      </w:rPr>
    </w:lvl>
    <w:lvl w:ilvl="5">
      <w:start w:val="1"/>
      <w:numFmt w:val="lowerRoman"/>
      <w:lvlText w:val="(%6)"/>
      <w:lvlJc w:val="left"/>
      <w:pPr>
        <w:tabs>
          <w:tab w:val="num" w:pos="1701"/>
        </w:tabs>
        <w:ind w:left="1701" w:hanging="281"/>
      </w:pPr>
      <w:rPr>
        <w:rFonts w:hint="default"/>
      </w:rPr>
    </w:lvl>
    <w:lvl w:ilvl="6">
      <w:start w:val="1"/>
      <w:numFmt w:val="decimal"/>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Roman"/>
      <w:lvlText w:val="%9."/>
      <w:lvlJc w:val="left"/>
      <w:pPr>
        <w:tabs>
          <w:tab w:val="num" w:pos="2552"/>
        </w:tabs>
        <w:ind w:left="2552" w:hanging="284"/>
      </w:pPr>
      <w:rPr>
        <w:rFonts w:hint="default"/>
      </w:rPr>
    </w:lvl>
  </w:abstractNum>
  <w:abstractNum w:abstractNumId="4" w15:restartNumberingAfterBreak="0">
    <w:nsid w:val="09257FF5"/>
    <w:multiLevelType w:val="multilevel"/>
    <w:tmpl w:val="585065D6"/>
    <w:lvl w:ilvl="0">
      <w:start w:val="1"/>
      <w:numFmt w:val="bullet"/>
      <w:pStyle w:val="CVBullet1"/>
      <w:lvlText w:val=""/>
      <w:lvlJc w:val="left"/>
      <w:pPr>
        <w:ind w:left="227" w:hanging="227"/>
      </w:pPr>
      <w:rPr>
        <w:rFonts w:ascii="Symbol" w:hAnsi="Symbol" w:hint="default"/>
        <w:color w:val="auto"/>
      </w:rPr>
    </w:lvl>
    <w:lvl w:ilvl="1">
      <w:start w:val="1"/>
      <w:numFmt w:val="bullet"/>
      <w:pStyle w:val="CVBullet2"/>
      <w:lvlText w:val="–"/>
      <w:lvlJc w:val="left"/>
      <w:pPr>
        <w:ind w:left="454" w:hanging="227"/>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84408E"/>
    <w:multiLevelType w:val="multilevel"/>
    <w:tmpl w:val="EE3860A0"/>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6" w15:restartNumberingAfterBreak="0">
    <w:nsid w:val="0B086541"/>
    <w:multiLevelType w:val="multilevel"/>
    <w:tmpl w:val="572824AC"/>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13C4B44"/>
    <w:multiLevelType w:val="multilevel"/>
    <w:tmpl w:val="4E5C847A"/>
    <w:styleLink w:val="Indents"/>
    <w:lvl w:ilvl="0">
      <w:start w:val="1"/>
      <w:numFmt w:val="none"/>
      <w:suff w:val="nothing"/>
      <w:lvlText w:val=""/>
      <w:lvlJc w:val="left"/>
      <w:pPr>
        <w:ind w:left="0" w:firstLine="0"/>
      </w:pPr>
      <w:rPr>
        <w:rFonts w:hint="default"/>
        <w:color w:val="auto"/>
      </w:rPr>
    </w:lvl>
    <w:lvl w:ilvl="1">
      <w:start w:val="1"/>
      <w:numFmt w:val="none"/>
      <w:suff w:val="nothing"/>
      <w:lvlText w:val=""/>
      <w:lvlJc w:val="left"/>
      <w:pPr>
        <w:ind w:left="567" w:firstLine="0"/>
      </w:pPr>
      <w:rPr>
        <w:rFonts w:hint="default"/>
      </w:rPr>
    </w:lvl>
    <w:lvl w:ilvl="2">
      <w:start w:val="1"/>
      <w:numFmt w:val="none"/>
      <w:suff w:val="nothing"/>
      <w:lvlText w:val=""/>
      <w:lvlJc w:val="left"/>
      <w:pPr>
        <w:ind w:left="1134" w:firstLine="0"/>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835" w:firstLine="0"/>
      </w:pPr>
      <w:rPr>
        <w:rFonts w:hint="default"/>
      </w:rPr>
    </w:lvl>
    <w:lvl w:ilvl="6">
      <w:start w:val="1"/>
      <w:numFmt w:val="none"/>
      <w:suff w:val="nothing"/>
      <w:lvlText w:val=""/>
      <w:lvlJc w:val="left"/>
      <w:pPr>
        <w:ind w:left="3402" w:firstLine="0"/>
      </w:pPr>
      <w:rPr>
        <w:rFonts w:hint="default"/>
      </w:rPr>
    </w:lvl>
    <w:lvl w:ilvl="7">
      <w:start w:val="1"/>
      <w:numFmt w:val="none"/>
      <w:suff w:val="nothing"/>
      <w:lvlText w:val=""/>
      <w:lvlJc w:val="left"/>
      <w:pPr>
        <w:ind w:left="3969" w:firstLine="0"/>
      </w:pPr>
      <w:rPr>
        <w:rFonts w:hint="default"/>
      </w:rPr>
    </w:lvl>
    <w:lvl w:ilvl="8">
      <w:start w:val="1"/>
      <w:numFmt w:val="none"/>
      <w:suff w:val="nothing"/>
      <w:lvlText w:val=""/>
      <w:lvlJc w:val="left"/>
      <w:pPr>
        <w:ind w:left="4536" w:firstLine="0"/>
      </w:pPr>
      <w:rPr>
        <w:rFonts w:hint="default"/>
      </w:rPr>
    </w:lvl>
  </w:abstractNum>
  <w:abstractNum w:abstractNumId="8" w15:restartNumberingAfterBreak="0">
    <w:nsid w:val="1604457C"/>
    <w:multiLevelType w:val="hybridMultilevel"/>
    <w:tmpl w:val="BD32A42C"/>
    <w:lvl w:ilvl="0" w:tplc="56A6703C">
      <w:start w:val="1"/>
      <w:numFmt w:val="decimal"/>
      <w:pStyle w:val="Heading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417FC4"/>
    <w:multiLevelType w:val="multilevel"/>
    <w:tmpl w:val="50B20D3A"/>
    <w:styleLink w:val="TableNumberedListSmall"/>
    <w:lvl w:ilvl="0">
      <w:start w:val="1"/>
      <w:numFmt w:val="decimal"/>
      <w:lvlRestart w:val="0"/>
      <w:pStyle w:val="TableNumberedListSmall1"/>
      <w:lvlText w:val="%1"/>
      <w:lvlJc w:val="left"/>
      <w:pPr>
        <w:tabs>
          <w:tab w:val="num" w:pos="283"/>
        </w:tabs>
        <w:ind w:left="284" w:hanging="284"/>
      </w:pPr>
      <w:rPr>
        <w:rFonts w:asciiTheme="minorHAnsi" w:hAnsiTheme="minorHAnsi" w:hint="default"/>
        <w:b w:val="0"/>
        <w:i w:val="0"/>
        <w:color w:val="auto"/>
        <w:sz w:val="20"/>
      </w:rPr>
    </w:lvl>
    <w:lvl w:ilvl="1">
      <w:start w:val="1"/>
      <w:numFmt w:val="lowerLetter"/>
      <w:lvlRestart w:val="0"/>
      <w:pStyle w:val="TableNumberedListSmall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Small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0" w15:restartNumberingAfterBreak="0">
    <w:nsid w:val="168117D3"/>
    <w:multiLevelType w:val="hybridMultilevel"/>
    <w:tmpl w:val="6DF8620A"/>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1" w15:restartNumberingAfterBreak="0">
    <w:nsid w:val="184F5379"/>
    <w:multiLevelType w:val="multilevel"/>
    <w:tmpl w:val="1546630C"/>
    <w:styleLink w:val="ListNumberList"/>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87E60D1"/>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230827"/>
    <w:multiLevelType w:val="multilevel"/>
    <w:tmpl w:val="AF18B140"/>
    <w:styleLink w:val="TableNumberdListNormal"/>
    <w:lvl w:ilvl="0">
      <w:start w:val="1"/>
      <w:numFmt w:val="decimal"/>
      <w:lvlRestart w:val="0"/>
      <w:lvlText w:val="%1"/>
      <w:lvlJc w:val="left"/>
      <w:pPr>
        <w:tabs>
          <w:tab w:val="num" w:pos="283"/>
        </w:tabs>
        <w:ind w:left="284" w:hanging="284"/>
      </w:pPr>
      <w:rPr>
        <w:rFonts w:ascii="Times New Roman" w:hAnsi="Times New Roman" w:hint="default"/>
        <w:b w:val="0"/>
        <w:i w:val="0"/>
        <w:color w:val="auto"/>
      </w:rPr>
    </w:lvl>
    <w:lvl w:ilvl="1">
      <w:start w:val="1"/>
      <w:numFmt w:val="lowerLetter"/>
      <w:lvlRestart w:val="0"/>
      <w:lvlText w:val="%2"/>
      <w:lvlJc w:val="left"/>
      <w:pPr>
        <w:tabs>
          <w:tab w:val="num" w:pos="567"/>
        </w:tabs>
        <w:ind w:left="567" w:hanging="283"/>
      </w:pPr>
      <w:rPr>
        <w:rFonts w:hint="default"/>
        <w:b w:val="0"/>
        <w:i w:val="0"/>
        <w:color w:val="auto"/>
        <w:szCs w:val="10"/>
      </w:rPr>
    </w:lvl>
    <w:lvl w:ilvl="2">
      <w:start w:val="1"/>
      <w:numFmt w:val="lowerRoman"/>
      <w:lvlRestart w:val="0"/>
      <w:lvlText w:val="%3"/>
      <w:lvlJc w:val="left"/>
      <w:pPr>
        <w:tabs>
          <w:tab w:val="num" w:pos="851"/>
        </w:tabs>
        <w:ind w:left="851" w:hanging="284"/>
      </w:pPr>
      <w:rPr>
        <w:rFonts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4"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3947C2"/>
    <w:multiLevelType w:val="multilevel"/>
    <w:tmpl w:val="50B20D3A"/>
    <w:numStyleLink w:val="TableNumberedListSmall"/>
  </w:abstractNum>
  <w:abstractNum w:abstractNumId="16" w15:restartNumberingAfterBreak="0">
    <w:nsid w:val="29F60073"/>
    <w:multiLevelType w:val="multilevel"/>
    <w:tmpl w:val="28909FD8"/>
    <w:lvl w:ilvl="0">
      <w:start w:val="1"/>
      <w:numFmt w:val="decimal"/>
      <w:lvlRestart w:val="0"/>
      <w:pStyle w:val="TableNumberedList1"/>
      <w:lvlText w:val="%1"/>
      <w:lvlJc w:val="left"/>
      <w:pPr>
        <w:tabs>
          <w:tab w:val="num" w:pos="283"/>
        </w:tabs>
        <w:ind w:left="284" w:hanging="284"/>
      </w:pPr>
      <w:rPr>
        <w:rFonts w:ascii="Times New Roman" w:hAnsi="Times New Roman" w:hint="default"/>
        <w:b w:val="0"/>
        <w:i w:val="0"/>
        <w:color w:val="auto"/>
        <w:sz w:val="20"/>
      </w:rPr>
    </w:lvl>
    <w:lvl w:ilvl="1">
      <w:start w:val="1"/>
      <w:numFmt w:val="lowerLetter"/>
      <w:lvlRestart w:val="0"/>
      <w:pStyle w:val="TableNumberedList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7" w15:restartNumberingAfterBreak="0">
    <w:nsid w:val="2BF876DE"/>
    <w:multiLevelType w:val="multilevel"/>
    <w:tmpl w:val="B7F496D4"/>
    <w:lvl w:ilvl="0">
      <w:start w:val="1"/>
      <w:numFmt w:val="bullet"/>
      <w:lvlRestart w:val="0"/>
      <w:pStyle w:val="TableBullet1Small"/>
      <w:lvlText w:val=""/>
      <w:lvlJc w:val="left"/>
      <w:pPr>
        <w:tabs>
          <w:tab w:val="num" w:pos="284"/>
        </w:tabs>
        <w:ind w:left="170" w:hanging="170"/>
      </w:pPr>
      <w:rPr>
        <w:rFonts w:ascii="Symbol" w:hAnsi="Symbol" w:hint="default"/>
        <w:b w:val="0"/>
        <w:i w:val="0"/>
        <w:color w:val="auto"/>
      </w:rPr>
    </w:lvl>
    <w:lvl w:ilvl="1">
      <w:start w:val="1"/>
      <w:numFmt w:val="bullet"/>
      <w:lvlRestart w:val="0"/>
      <w:pStyle w:val="TableBullet2Small"/>
      <w:lvlText w:val="–"/>
      <w:lvlJc w:val="left"/>
      <w:pPr>
        <w:tabs>
          <w:tab w:val="num" w:pos="567"/>
        </w:tabs>
        <w:ind w:left="340" w:hanging="170"/>
      </w:pPr>
      <w:rPr>
        <w:rFonts w:ascii="Arial" w:hAnsi="Arial" w:hint="default"/>
        <w:b w:val="0"/>
        <w:i w:val="0"/>
        <w:color w:val="auto"/>
      </w:rPr>
    </w:lvl>
    <w:lvl w:ilvl="2">
      <w:start w:val="1"/>
      <w:numFmt w:val="bullet"/>
      <w:lvlRestart w:val="0"/>
      <w:pStyle w:val="TableBullet3Small"/>
      <w:lvlText w:val="o"/>
      <w:lvlJc w:val="left"/>
      <w:pPr>
        <w:tabs>
          <w:tab w:val="num" w:pos="851"/>
        </w:tabs>
        <w:ind w:left="510" w:hanging="170"/>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8" w15:restartNumberingAfterBreak="0">
    <w:nsid w:val="307E06FA"/>
    <w:multiLevelType w:val="multilevel"/>
    <w:tmpl w:val="0C090023"/>
    <w:styleLink w:val="ArticleSection"/>
    <w:lvl w:ilvl="0">
      <w:start w:val="1"/>
      <w:numFmt w:val="upperRoman"/>
      <w:pStyle w:val="Bulletpoint"/>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2D7125E"/>
    <w:multiLevelType w:val="multilevel"/>
    <w:tmpl w:val="8E0CCD38"/>
    <w:styleLink w:val="CV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3FD2C1B"/>
    <w:multiLevelType w:val="hybridMultilevel"/>
    <w:tmpl w:val="9F42173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1" w15:restartNumberingAfterBreak="0">
    <w:nsid w:val="378D5E27"/>
    <w:multiLevelType w:val="hybridMultilevel"/>
    <w:tmpl w:val="6C1609A0"/>
    <w:name w:val="NumberedLists"/>
    <w:lvl w:ilvl="0" w:tplc="978EC44E">
      <w:start w:val="1"/>
      <w:numFmt w:val="bullet"/>
      <w:lvlText w:val="-"/>
      <w:lvlJc w:val="left"/>
      <w:pPr>
        <w:tabs>
          <w:tab w:val="num" w:pos="720"/>
        </w:tabs>
        <w:ind w:left="720" w:hanging="360"/>
      </w:pPr>
      <w:rPr>
        <w:rFonts w:ascii="Times New Roman" w:hAnsi="Times New Roman" w:hint="default"/>
      </w:rPr>
    </w:lvl>
    <w:lvl w:ilvl="1" w:tplc="642E94AA" w:tentative="1">
      <w:start w:val="1"/>
      <w:numFmt w:val="bullet"/>
      <w:lvlText w:val="-"/>
      <w:lvlJc w:val="left"/>
      <w:pPr>
        <w:tabs>
          <w:tab w:val="num" w:pos="1440"/>
        </w:tabs>
        <w:ind w:left="1440" w:hanging="360"/>
      </w:pPr>
      <w:rPr>
        <w:rFonts w:ascii="Times New Roman" w:hAnsi="Times New Roman" w:hint="default"/>
      </w:rPr>
    </w:lvl>
    <w:lvl w:ilvl="2" w:tplc="DAC44BAE" w:tentative="1">
      <w:start w:val="1"/>
      <w:numFmt w:val="bullet"/>
      <w:lvlText w:val="-"/>
      <w:lvlJc w:val="left"/>
      <w:pPr>
        <w:tabs>
          <w:tab w:val="num" w:pos="2160"/>
        </w:tabs>
        <w:ind w:left="2160" w:hanging="360"/>
      </w:pPr>
      <w:rPr>
        <w:rFonts w:ascii="Times New Roman" w:hAnsi="Times New Roman" w:hint="default"/>
      </w:rPr>
    </w:lvl>
    <w:lvl w:ilvl="3" w:tplc="C792D91A" w:tentative="1">
      <w:start w:val="1"/>
      <w:numFmt w:val="bullet"/>
      <w:lvlText w:val="-"/>
      <w:lvlJc w:val="left"/>
      <w:pPr>
        <w:tabs>
          <w:tab w:val="num" w:pos="2880"/>
        </w:tabs>
        <w:ind w:left="2880" w:hanging="360"/>
      </w:pPr>
      <w:rPr>
        <w:rFonts w:ascii="Times New Roman" w:hAnsi="Times New Roman" w:hint="default"/>
      </w:rPr>
    </w:lvl>
    <w:lvl w:ilvl="4" w:tplc="414C920C" w:tentative="1">
      <w:start w:val="1"/>
      <w:numFmt w:val="bullet"/>
      <w:lvlText w:val="-"/>
      <w:lvlJc w:val="left"/>
      <w:pPr>
        <w:tabs>
          <w:tab w:val="num" w:pos="3600"/>
        </w:tabs>
        <w:ind w:left="3600" w:hanging="360"/>
      </w:pPr>
      <w:rPr>
        <w:rFonts w:ascii="Times New Roman" w:hAnsi="Times New Roman" w:hint="default"/>
      </w:rPr>
    </w:lvl>
    <w:lvl w:ilvl="5" w:tplc="531A9BB8" w:tentative="1">
      <w:start w:val="1"/>
      <w:numFmt w:val="bullet"/>
      <w:lvlText w:val="-"/>
      <w:lvlJc w:val="left"/>
      <w:pPr>
        <w:tabs>
          <w:tab w:val="num" w:pos="4320"/>
        </w:tabs>
        <w:ind w:left="4320" w:hanging="360"/>
      </w:pPr>
      <w:rPr>
        <w:rFonts w:ascii="Times New Roman" w:hAnsi="Times New Roman" w:hint="default"/>
      </w:rPr>
    </w:lvl>
    <w:lvl w:ilvl="6" w:tplc="8D7C4DA8" w:tentative="1">
      <w:start w:val="1"/>
      <w:numFmt w:val="bullet"/>
      <w:lvlText w:val="-"/>
      <w:lvlJc w:val="left"/>
      <w:pPr>
        <w:tabs>
          <w:tab w:val="num" w:pos="5040"/>
        </w:tabs>
        <w:ind w:left="5040" w:hanging="360"/>
      </w:pPr>
      <w:rPr>
        <w:rFonts w:ascii="Times New Roman" w:hAnsi="Times New Roman" w:hint="default"/>
      </w:rPr>
    </w:lvl>
    <w:lvl w:ilvl="7" w:tplc="8150675A" w:tentative="1">
      <w:start w:val="1"/>
      <w:numFmt w:val="bullet"/>
      <w:lvlText w:val="-"/>
      <w:lvlJc w:val="left"/>
      <w:pPr>
        <w:tabs>
          <w:tab w:val="num" w:pos="5760"/>
        </w:tabs>
        <w:ind w:left="5760" w:hanging="360"/>
      </w:pPr>
      <w:rPr>
        <w:rFonts w:ascii="Times New Roman" w:hAnsi="Times New Roman" w:hint="default"/>
      </w:rPr>
    </w:lvl>
    <w:lvl w:ilvl="8" w:tplc="454A8D4A"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E4F29E4"/>
    <w:multiLevelType w:val="multilevel"/>
    <w:tmpl w:val="73283144"/>
    <w:styleLink w:val="ChapterNumberingList"/>
    <w:lvl w:ilvl="0">
      <w:start w:val="1"/>
      <w:numFmt w:val="decimal"/>
      <w:lvlRestart w:val="0"/>
      <w:suff w:val="nothing"/>
      <w:lvlText w:val="%1"/>
      <w:lvlJc w:val="left"/>
      <w:pPr>
        <w:ind w:left="0" w:firstLine="0"/>
      </w:pPr>
      <w:rPr>
        <w:rFonts w:hint="default"/>
      </w:rPr>
    </w:lvl>
    <w:lvl w:ilvl="1">
      <w:start w:val="1"/>
      <w:numFmt w:val="decimal"/>
      <w:lvlRestart w:val="0"/>
      <w:lvlText w:val="%2"/>
      <w:lvlJc w:val="left"/>
      <w:pPr>
        <w:tabs>
          <w:tab w:val="num" w:pos="850"/>
        </w:tabs>
        <w:ind w:left="850" w:hanging="850"/>
      </w:pPr>
      <w:rPr>
        <w:rFonts w:hint="default"/>
      </w:rPr>
    </w:lvl>
    <w:lvl w:ilvl="2">
      <w:start w:val="1"/>
      <w:numFmt w:val="decimal"/>
      <w:lvlText w:val="%2.%3"/>
      <w:lvlJc w:val="left"/>
      <w:pPr>
        <w:tabs>
          <w:tab w:val="num" w:pos="850"/>
        </w:tabs>
        <w:ind w:left="850" w:hanging="850"/>
      </w:pPr>
      <w:rPr>
        <w:rFonts w:hint="default"/>
      </w:rPr>
    </w:lvl>
    <w:lvl w:ilvl="3">
      <w:start w:val="1"/>
      <w:numFmt w:val="decimal"/>
      <w:lvlText w:val="%2.%3.%4"/>
      <w:lvlJc w:val="left"/>
      <w:pPr>
        <w:tabs>
          <w:tab w:val="num" w:pos="850"/>
        </w:tabs>
        <w:ind w:left="850" w:hanging="850"/>
      </w:pPr>
      <w:rPr>
        <w:rFonts w:hint="default"/>
      </w:rPr>
    </w:lvl>
    <w:lvl w:ilvl="4">
      <w:start w:val="1"/>
      <w:numFmt w:val="upperLetter"/>
      <w:lvlRestart w:val="0"/>
      <w:lvlText w:val="Appendix %5"/>
      <w:lvlJc w:val="left"/>
      <w:pPr>
        <w:tabs>
          <w:tab w:val="num" w:pos="3685"/>
        </w:tabs>
        <w:ind w:left="0" w:firstLine="0"/>
      </w:pPr>
      <w:rPr>
        <w:rFonts w:hint="default"/>
      </w:rPr>
    </w:lvl>
    <w:lvl w:ilvl="5">
      <w:start w:val="1"/>
      <w:numFmt w:val="upperLetter"/>
      <w:lvlRestart w:val="0"/>
      <w:suff w:val="nothing"/>
      <w:lvlText w:val="Appendix %6"/>
      <w:lvlJc w:val="left"/>
      <w:pPr>
        <w:ind w:left="0" w:firstLine="0"/>
      </w:pPr>
      <w:rPr>
        <w:rFonts w:hint="default"/>
      </w:rPr>
    </w:lvl>
    <w:lvl w:ilvl="6">
      <w:start w:val="1"/>
      <w:numFmt w:val="decimal"/>
      <w:lvlText w:val="%7"/>
      <w:lvlJc w:val="left"/>
      <w:pPr>
        <w:tabs>
          <w:tab w:val="num" w:pos="567"/>
        </w:tabs>
        <w:ind w:left="567" w:hanging="567"/>
      </w:pPr>
      <w:rPr>
        <w:rFonts w:hint="default"/>
        <w:b/>
        <w:i/>
      </w:rPr>
    </w:lvl>
    <w:lvl w:ilvl="7">
      <w:start w:val="1"/>
      <w:numFmt w:val="decimal"/>
      <w:lvlText w:val="%8"/>
      <w:lvlJc w:val="left"/>
      <w:pPr>
        <w:tabs>
          <w:tab w:val="num" w:pos="284"/>
        </w:tabs>
        <w:ind w:left="284" w:hanging="284"/>
      </w:pPr>
      <w:rPr>
        <w:rFonts w:hint="default"/>
        <w:b w:val="0"/>
        <w:i w:val="0"/>
        <w:color w:val="auto"/>
      </w:rPr>
    </w:lvl>
    <w:lvl w:ilvl="8">
      <w:start w:val="1"/>
      <w:numFmt w:val="lowerLetter"/>
      <w:lvlText w:val="%9"/>
      <w:lvlJc w:val="left"/>
      <w:pPr>
        <w:tabs>
          <w:tab w:val="num" w:pos="567"/>
        </w:tabs>
        <w:ind w:left="567" w:hanging="283"/>
      </w:pPr>
      <w:rPr>
        <w:rFonts w:hint="default"/>
        <w:b w:val="0"/>
        <w:i w:val="0"/>
        <w:color w:val="auto"/>
      </w:rPr>
    </w:lvl>
  </w:abstractNum>
  <w:abstractNum w:abstractNumId="23" w15:restartNumberingAfterBreak="0">
    <w:nsid w:val="3EE52A50"/>
    <w:multiLevelType w:val="multilevel"/>
    <w:tmpl w:val="EE12AE72"/>
    <w:styleLink w:val="PwCAppendixList1"/>
    <w:lvl w:ilvl="0">
      <w:start w:val="1"/>
      <w:numFmt w:val="upperLetter"/>
      <w:pStyle w:val="Appendix"/>
      <w:lvlText w:val="Appendix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59D5DA9"/>
    <w:multiLevelType w:val="multilevel"/>
    <w:tmpl w:val="01B601FE"/>
    <w:styleLink w:val="ChapterNumbering"/>
    <w:lvl w:ilvl="0">
      <w:start w:val="1"/>
      <w:numFmt w:val="decimal"/>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60B564E"/>
    <w:multiLevelType w:val="multilevel"/>
    <w:tmpl w:val="D5EA105E"/>
    <w:styleLink w:val="TableBulletSmallList"/>
    <w:lvl w:ilvl="0">
      <w:start w:val="1"/>
      <w:numFmt w:val="bullet"/>
      <w:lvlRestart w:val="0"/>
      <w:lvlText w:val=""/>
      <w:lvlJc w:val="left"/>
      <w:pPr>
        <w:tabs>
          <w:tab w:val="num" w:pos="284"/>
        </w:tabs>
        <w:ind w:left="284" w:hanging="284"/>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6" w15:restartNumberingAfterBreak="0">
    <w:nsid w:val="49766521"/>
    <w:multiLevelType w:val="multilevel"/>
    <w:tmpl w:val="01B601FE"/>
    <w:numStyleLink w:val="ChapterNumbering"/>
  </w:abstractNum>
  <w:abstractNum w:abstractNumId="27" w15:restartNumberingAfterBreak="0">
    <w:nsid w:val="4AAB5470"/>
    <w:multiLevelType w:val="multilevel"/>
    <w:tmpl w:val="70E46C8A"/>
    <w:lvl w:ilvl="0">
      <w:start w:val="1"/>
      <w:numFmt w:val="bullet"/>
      <w:lvlRestart w:val="0"/>
      <w:pStyle w:val="ListBullet"/>
      <w:lvlText w:val=""/>
      <w:lvlJc w:val="left"/>
      <w:pPr>
        <w:tabs>
          <w:tab w:val="num" w:pos="284"/>
        </w:tabs>
        <w:ind w:left="284" w:hanging="284"/>
      </w:pPr>
      <w:rPr>
        <w:rFonts w:ascii="Symbol" w:hAnsi="Symbol" w:hint="default"/>
        <w:b w:val="0"/>
        <w:i w:val="0"/>
        <w:color w:val="auto"/>
      </w:rPr>
    </w:lvl>
    <w:lvl w:ilvl="1">
      <w:start w:val="1"/>
      <w:numFmt w:val="bullet"/>
      <w:pStyle w:val="ListBullet2"/>
      <w:lvlText w:val="–"/>
      <w:lvlJc w:val="left"/>
      <w:pPr>
        <w:tabs>
          <w:tab w:val="num" w:pos="567"/>
        </w:tabs>
        <w:ind w:left="568" w:hanging="284"/>
      </w:pPr>
      <w:rPr>
        <w:rFonts w:ascii="Arial" w:hAnsi="Arial" w:hint="default"/>
        <w:b w:val="0"/>
        <w:i w:val="0"/>
        <w:color w:val="auto"/>
      </w:rPr>
    </w:lvl>
    <w:lvl w:ilvl="2">
      <w:start w:val="1"/>
      <w:numFmt w:val="bullet"/>
      <w:pStyle w:val="ListBullet3"/>
      <w:lvlText w:val="◦"/>
      <w:lvlJc w:val="left"/>
      <w:pPr>
        <w:tabs>
          <w:tab w:val="num" w:pos="851"/>
        </w:tabs>
        <w:ind w:left="852" w:hanging="284"/>
      </w:pPr>
      <w:rPr>
        <w:rFonts w:ascii="Georgia" w:hAnsi="Georgia" w:hint="default"/>
        <w:b w:val="0"/>
        <w:i w:val="0"/>
        <w:color w:val="auto"/>
        <w:sz w:val="18"/>
        <w:szCs w:val="10"/>
      </w:rPr>
    </w:lvl>
    <w:lvl w:ilvl="3">
      <w:start w:val="1"/>
      <w:numFmt w:val="bullet"/>
      <w:pStyle w:val="ListBullet4"/>
      <w:lvlText w:val=""/>
      <w:lvlJc w:val="left"/>
      <w:pPr>
        <w:tabs>
          <w:tab w:val="num" w:pos="1134"/>
        </w:tabs>
        <w:ind w:left="1136" w:hanging="284"/>
      </w:pPr>
      <w:rPr>
        <w:rFonts w:ascii="Symbol" w:hAnsi="Symbol" w:hint="default"/>
        <w:b w:val="0"/>
        <w:i w:val="0"/>
        <w:color w:val="auto"/>
        <w:sz w:val="20"/>
        <w:szCs w:val="10"/>
      </w:rPr>
    </w:lvl>
    <w:lvl w:ilvl="4">
      <w:start w:val="1"/>
      <w:numFmt w:val="bullet"/>
      <w:pStyle w:val="ListBullet5"/>
      <w:lvlText w:val="~"/>
      <w:lvlJc w:val="left"/>
      <w:pPr>
        <w:tabs>
          <w:tab w:val="num" w:pos="1418"/>
        </w:tabs>
        <w:ind w:left="1420" w:hanging="284"/>
      </w:pPr>
      <w:rPr>
        <w:rFonts w:ascii="Georgia" w:hAnsi="Georgia" w:hint="default"/>
        <w:color w:val="auto"/>
      </w:rPr>
    </w:lvl>
    <w:lvl w:ilvl="5">
      <w:start w:val="1"/>
      <w:numFmt w:val="lowerRoman"/>
      <w:lvlText w:val="%6"/>
      <w:lvlJc w:val="left"/>
      <w:pPr>
        <w:tabs>
          <w:tab w:val="num" w:pos="1701"/>
        </w:tabs>
        <w:ind w:left="1361" w:firstLine="59"/>
      </w:pPr>
      <w:rPr>
        <w:rFonts w:hint="default"/>
      </w:rPr>
    </w:lvl>
    <w:lvl w:ilvl="6">
      <w:start w:val="1"/>
      <w:numFmt w:val="decimal"/>
      <w:lvlText w:val="%7"/>
      <w:lvlJc w:val="left"/>
      <w:pPr>
        <w:tabs>
          <w:tab w:val="num" w:pos="1985"/>
        </w:tabs>
        <w:ind w:left="1985" w:hanging="964"/>
      </w:pPr>
      <w:rPr>
        <w:rFonts w:hint="default"/>
      </w:rPr>
    </w:lvl>
    <w:lvl w:ilvl="7">
      <w:start w:val="1"/>
      <w:numFmt w:val="lowerLetter"/>
      <w:lvlText w:val="%8"/>
      <w:lvlJc w:val="left"/>
      <w:pPr>
        <w:tabs>
          <w:tab w:val="num" w:pos="2268"/>
        </w:tabs>
        <w:ind w:left="2211" w:hanging="226"/>
      </w:pPr>
      <w:rPr>
        <w:rFonts w:hint="default"/>
      </w:rPr>
    </w:lvl>
    <w:lvl w:ilvl="8">
      <w:start w:val="1"/>
      <w:numFmt w:val="lowerRoman"/>
      <w:lvlText w:val="%9"/>
      <w:lvlJc w:val="left"/>
      <w:pPr>
        <w:tabs>
          <w:tab w:val="num" w:pos="2552"/>
        </w:tabs>
        <w:ind w:left="2552" w:hanging="284"/>
      </w:pPr>
      <w:rPr>
        <w:rFonts w:hint="default"/>
      </w:rPr>
    </w:lvl>
  </w:abstractNum>
  <w:abstractNum w:abstractNumId="28" w15:restartNumberingAfterBreak="0">
    <w:nsid w:val="4B571F09"/>
    <w:multiLevelType w:val="hybridMultilevel"/>
    <w:tmpl w:val="99CA69A8"/>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29" w15:restartNumberingAfterBreak="0">
    <w:nsid w:val="4D8C2F25"/>
    <w:multiLevelType w:val="multilevel"/>
    <w:tmpl w:val="6E008996"/>
    <w:lvl w:ilvl="0">
      <w:start w:val="1"/>
      <w:numFmt w:val="bullet"/>
      <w:lvlRestart w:val="0"/>
      <w:pStyle w:val="TableBullet1Normal"/>
      <w:lvlText w:val=""/>
      <w:lvlJc w:val="left"/>
      <w:pPr>
        <w:tabs>
          <w:tab w:val="num" w:pos="283"/>
        </w:tabs>
        <w:ind w:left="284" w:hanging="284"/>
      </w:pPr>
      <w:rPr>
        <w:rFonts w:ascii="Symbol" w:hAnsi="Symbol" w:hint="default"/>
        <w:b w:val="0"/>
        <w:i w:val="0"/>
        <w:color w:val="auto"/>
      </w:rPr>
    </w:lvl>
    <w:lvl w:ilvl="1">
      <w:start w:val="1"/>
      <w:numFmt w:val="bullet"/>
      <w:lvlRestart w:val="0"/>
      <w:pStyle w:val="TableBullet2Normal"/>
      <w:lvlText w:val="–"/>
      <w:lvlJc w:val="left"/>
      <w:pPr>
        <w:tabs>
          <w:tab w:val="num" w:pos="567"/>
        </w:tabs>
        <w:ind w:left="567" w:hanging="283"/>
      </w:pPr>
      <w:rPr>
        <w:rFonts w:ascii="Arial" w:hAnsi="Arial" w:hint="default"/>
        <w:b w:val="0"/>
        <w:i w:val="0"/>
        <w:color w:val="auto"/>
        <w:szCs w:val="10"/>
      </w:rPr>
    </w:lvl>
    <w:lvl w:ilvl="2">
      <w:start w:val="1"/>
      <w:numFmt w:val="bullet"/>
      <w:lvlRestart w:val="0"/>
      <w:pStyle w:val="TableBullet3Normal"/>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0" w15:restartNumberingAfterBreak="0">
    <w:nsid w:val="4F0F4896"/>
    <w:multiLevelType w:val="hybridMultilevel"/>
    <w:tmpl w:val="DE446150"/>
    <w:lvl w:ilvl="0" w:tplc="FCEA5AF4">
      <w:start w:val="1"/>
      <w:numFmt w:val="bullet"/>
      <w:pStyle w:val="Tickedboxbulletpoint"/>
      <w:lvlText w:val=""/>
      <w:lvlJc w:val="left"/>
      <w:pPr>
        <w:ind w:left="1287"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31" w15:restartNumberingAfterBreak="0">
    <w:nsid w:val="518C39C9"/>
    <w:multiLevelType w:val="multilevel"/>
    <w:tmpl w:val="D93463A2"/>
    <w:styleLink w:val="Style1"/>
    <w:lvl w:ilvl="0">
      <w:start w:val="1"/>
      <w:numFmt w:val="decimal"/>
      <w:lvlText w:val="%1"/>
      <w:lvlJc w:val="left"/>
      <w:pPr>
        <w:tabs>
          <w:tab w:val="num" w:pos="567"/>
        </w:tabs>
        <w:ind w:left="567" w:hanging="567"/>
      </w:pPr>
      <w:rPr>
        <w:rFonts w:hint="default"/>
      </w:rPr>
    </w:lvl>
    <w:lvl w:ilvl="1">
      <w:start w:val="1"/>
      <w:numFmt w:val="none"/>
      <w:pStyle w:val="Appendicestitle"/>
      <w:suff w:val="nothing"/>
      <w:lvlText w:val=""/>
      <w:lvlJc w:val="left"/>
      <w:pPr>
        <w:ind w:left="0" w:firstLine="0"/>
      </w:pPr>
      <w:rPr>
        <w:rFonts w:hint="default"/>
      </w:rPr>
    </w:lvl>
    <w:lvl w:ilvl="2">
      <w:start w:val="1"/>
      <w:numFmt w:val="upperLetter"/>
      <w:lvlText w:val="Appendix %3"/>
      <w:lvlJc w:val="left"/>
      <w:pPr>
        <w:tabs>
          <w:tab w:val="num" w:pos="1985"/>
        </w:tabs>
        <w:ind w:left="1985" w:hanging="198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DC76B7F"/>
    <w:multiLevelType w:val="multilevel"/>
    <w:tmpl w:val="81E84736"/>
    <w:lvl w:ilvl="0">
      <w:start w:val="1"/>
      <w:numFmt w:val="decimal"/>
      <w:lvlRestart w:val="0"/>
      <w:pStyle w:val="ChapterNumberLong"/>
      <w:suff w:val="nothing"/>
      <w:lvlText w:val="%1"/>
      <w:lvlJc w:val="left"/>
      <w:pPr>
        <w:ind w:left="0" w:firstLine="0"/>
      </w:pPr>
      <w:rPr>
        <w:rFonts w:hint="default"/>
      </w:rPr>
    </w:lvl>
    <w:lvl w:ilvl="1">
      <w:start w:val="1"/>
      <w:numFmt w:val="decimal"/>
      <w:lvlRestart w:val="0"/>
      <w:lvlText w:val="%2"/>
      <w:lvlJc w:val="left"/>
      <w:pPr>
        <w:tabs>
          <w:tab w:val="num" w:pos="850"/>
        </w:tabs>
        <w:ind w:left="850" w:hanging="850"/>
      </w:pPr>
      <w:rPr>
        <w:rFonts w:hint="default"/>
      </w:rPr>
    </w:lvl>
    <w:lvl w:ilvl="2">
      <w:start w:val="1"/>
      <w:numFmt w:val="decimal"/>
      <w:lvlRestart w:val="1"/>
      <w:lvlText w:val="%2.%3"/>
      <w:lvlJc w:val="left"/>
      <w:pPr>
        <w:tabs>
          <w:tab w:val="num" w:pos="850"/>
        </w:tabs>
        <w:ind w:left="850" w:hanging="850"/>
      </w:pPr>
      <w:rPr>
        <w:rFonts w:hint="default"/>
      </w:rPr>
    </w:lvl>
    <w:lvl w:ilvl="3">
      <w:start w:val="1"/>
      <w:numFmt w:val="decimal"/>
      <w:pStyle w:val="Heading7"/>
      <w:lvlText w:val="2.2.%4"/>
      <w:lvlJc w:val="left"/>
      <w:pPr>
        <w:tabs>
          <w:tab w:val="num" w:pos="2268"/>
        </w:tabs>
        <w:ind w:left="2268" w:hanging="850"/>
      </w:pPr>
      <w:rPr>
        <w:rFonts w:hint="default"/>
      </w:rPr>
    </w:lvl>
    <w:lvl w:ilvl="4">
      <w:start w:val="1"/>
      <w:numFmt w:val="upperLetter"/>
      <w:lvlRestart w:val="0"/>
      <w:lvlText w:val="Appendix %5"/>
      <w:lvlJc w:val="left"/>
      <w:pPr>
        <w:tabs>
          <w:tab w:val="num" w:pos="3685"/>
        </w:tabs>
        <w:ind w:left="0" w:firstLine="0"/>
      </w:pPr>
      <w:rPr>
        <w:rFonts w:hint="default"/>
      </w:rPr>
    </w:lvl>
    <w:lvl w:ilvl="5">
      <w:start w:val="1"/>
      <w:numFmt w:val="upperLetter"/>
      <w:lvlRestart w:val="0"/>
      <w:pStyle w:val="AppendixNumberLong"/>
      <w:suff w:val="nothing"/>
      <w:lvlText w:val="Appendix %6"/>
      <w:lvlJc w:val="left"/>
      <w:pPr>
        <w:ind w:left="0" w:firstLine="0"/>
      </w:pPr>
      <w:rPr>
        <w:rFonts w:hint="default"/>
      </w:rPr>
    </w:lvl>
    <w:lvl w:ilvl="6">
      <w:start w:val="1"/>
      <w:numFmt w:val="decimal"/>
      <w:pStyle w:val="Heading8"/>
      <w:lvlText w:val="%7"/>
      <w:lvlJc w:val="left"/>
      <w:pPr>
        <w:tabs>
          <w:tab w:val="num" w:pos="567"/>
        </w:tabs>
        <w:ind w:left="567" w:hanging="567"/>
      </w:pPr>
      <w:rPr>
        <w:rFonts w:hint="default"/>
        <w:b/>
        <w:i/>
      </w:rPr>
    </w:lvl>
    <w:lvl w:ilvl="7">
      <w:start w:val="1"/>
      <w:numFmt w:val="decimal"/>
      <w:pStyle w:val="ChapterNumberedList1"/>
      <w:lvlText w:val="%8"/>
      <w:lvlJc w:val="left"/>
      <w:pPr>
        <w:tabs>
          <w:tab w:val="num" w:pos="567"/>
        </w:tabs>
        <w:ind w:left="567" w:hanging="567"/>
      </w:pPr>
      <w:rPr>
        <w:rFonts w:hint="default"/>
        <w:b w:val="0"/>
        <w:i w:val="0"/>
        <w:color w:val="auto"/>
      </w:rPr>
    </w:lvl>
    <w:lvl w:ilvl="8">
      <w:start w:val="1"/>
      <w:numFmt w:val="lowerLetter"/>
      <w:pStyle w:val="ChapterNumberedList2"/>
      <w:lvlText w:val="%9"/>
      <w:lvlJc w:val="left"/>
      <w:pPr>
        <w:tabs>
          <w:tab w:val="num" w:pos="1134"/>
        </w:tabs>
        <w:ind w:left="1134" w:hanging="567"/>
      </w:pPr>
      <w:rPr>
        <w:rFonts w:hint="default"/>
        <w:b w:val="0"/>
        <w:i w:val="0"/>
        <w:color w:val="auto"/>
      </w:rPr>
    </w:lvl>
  </w:abstractNum>
  <w:abstractNum w:abstractNumId="33" w15:restartNumberingAfterBreak="0">
    <w:nsid w:val="63917BB9"/>
    <w:multiLevelType w:val="multilevel"/>
    <w:tmpl w:val="E8606E6C"/>
    <w:lvl w:ilvl="0">
      <w:start w:val="1"/>
      <w:numFmt w:val="none"/>
      <w:pStyle w:val="PwCNormal"/>
      <w:suff w:val="nothing"/>
      <w:lvlText w:val=""/>
      <w:lvlJc w:val="left"/>
      <w:pPr>
        <w:ind w:left="0" w:firstLine="0"/>
      </w:pPr>
      <w:rPr>
        <w:rFonts w:hint="default"/>
        <w:color w:val="auto"/>
      </w:rPr>
    </w:lvl>
    <w:lvl w:ilvl="1">
      <w:start w:val="1"/>
      <w:numFmt w:val="none"/>
      <w:pStyle w:val="Indent1"/>
      <w:suff w:val="nothing"/>
      <w:lvlText w:val=""/>
      <w:lvlJc w:val="left"/>
      <w:pPr>
        <w:ind w:left="284" w:firstLine="0"/>
      </w:pPr>
      <w:rPr>
        <w:rFonts w:hint="default"/>
      </w:rPr>
    </w:lvl>
    <w:lvl w:ilvl="2">
      <w:start w:val="1"/>
      <w:numFmt w:val="none"/>
      <w:pStyle w:val="Indent2"/>
      <w:suff w:val="nothing"/>
      <w:lvlText w:val=""/>
      <w:lvlJc w:val="left"/>
      <w:pPr>
        <w:ind w:left="568" w:firstLine="0"/>
      </w:pPr>
      <w:rPr>
        <w:rFonts w:hint="default"/>
      </w:rPr>
    </w:lvl>
    <w:lvl w:ilvl="3">
      <w:start w:val="1"/>
      <w:numFmt w:val="none"/>
      <w:pStyle w:val="Indent3"/>
      <w:suff w:val="nothing"/>
      <w:lvlText w:val=""/>
      <w:lvlJc w:val="left"/>
      <w:pPr>
        <w:ind w:left="852" w:firstLine="0"/>
      </w:pPr>
      <w:rPr>
        <w:rFonts w:hint="default"/>
      </w:rPr>
    </w:lvl>
    <w:lvl w:ilvl="4">
      <w:start w:val="1"/>
      <w:numFmt w:val="none"/>
      <w:pStyle w:val="Indent4"/>
      <w:suff w:val="nothing"/>
      <w:lvlText w:val=""/>
      <w:lvlJc w:val="left"/>
      <w:pPr>
        <w:ind w:left="1136" w:firstLine="0"/>
      </w:pPr>
      <w:rPr>
        <w:rFonts w:hint="default"/>
      </w:rPr>
    </w:lvl>
    <w:lvl w:ilvl="5">
      <w:start w:val="1"/>
      <w:numFmt w:val="none"/>
      <w:pStyle w:val="Indent5"/>
      <w:suff w:val="nothing"/>
      <w:lvlText w:val=""/>
      <w:lvlJc w:val="left"/>
      <w:pPr>
        <w:ind w:left="1420" w:firstLine="0"/>
      </w:pPr>
      <w:rPr>
        <w:rFonts w:hint="default"/>
      </w:rPr>
    </w:lvl>
    <w:lvl w:ilvl="6">
      <w:start w:val="1"/>
      <w:numFmt w:val="none"/>
      <w:pStyle w:val="Indent6"/>
      <w:suff w:val="nothing"/>
      <w:lvlText w:val=""/>
      <w:lvlJc w:val="left"/>
      <w:pPr>
        <w:ind w:left="1704" w:firstLine="0"/>
      </w:pPr>
      <w:rPr>
        <w:rFonts w:hint="default"/>
      </w:rPr>
    </w:lvl>
    <w:lvl w:ilvl="7">
      <w:start w:val="1"/>
      <w:numFmt w:val="none"/>
      <w:pStyle w:val="Indent7"/>
      <w:suff w:val="nothing"/>
      <w:lvlText w:val=""/>
      <w:lvlJc w:val="left"/>
      <w:pPr>
        <w:ind w:left="1988" w:firstLine="0"/>
      </w:pPr>
      <w:rPr>
        <w:rFonts w:hint="default"/>
      </w:rPr>
    </w:lvl>
    <w:lvl w:ilvl="8">
      <w:start w:val="1"/>
      <w:numFmt w:val="none"/>
      <w:pStyle w:val="Indent8"/>
      <w:suff w:val="nothing"/>
      <w:lvlText w:val=""/>
      <w:lvlJc w:val="left"/>
      <w:pPr>
        <w:ind w:left="2272" w:firstLine="0"/>
      </w:pPr>
      <w:rPr>
        <w:rFonts w:hint="default"/>
      </w:rPr>
    </w:lvl>
  </w:abstractNum>
  <w:abstractNum w:abstractNumId="34" w15:restartNumberingAfterBreak="0">
    <w:nsid w:val="65651E35"/>
    <w:multiLevelType w:val="hybridMultilevel"/>
    <w:tmpl w:val="33721732"/>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35" w15:restartNumberingAfterBreak="0">
    <w:nsid w:val="6C8A32D2"/>
    <w:multiLevelType w:val="multilevel"/>
    <w:tmpl w:val="25800BE4"/>
    <w:styleLink w:val="TableBulletNormalList"/>
    <w:lvl w:ilvl="0">
      <w:start w:val="1"/>
      <w:numFmt w:val="bullet"/>
      <w:lvlRestart w:val="0"/>
      <w:lvlText w:val=""/>
      <w:lvlJc w:val="left"/>
      <w:pPr>
        <w:tabs>
          <w:tab w:val="num" w:pos="283"/>
        </w:tabs>
        <w:ind w:left="283" w:hanging="283"/>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szCs w:val="10"/>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num w:numId="1">
    <w:abstractNumId w:val="20"/>
  </w:num>
  <w:num w:numId="2">
    <w:abstractNumId w:val="28"/>
  </w:num>
  <w:num w:numId="3">
    <w:abstractNumId w:val="34"/>
  </w:num>
  <w:num w:numId="4">
    <w:abstractNumId w:val="10"/>
  </w:num>
  <w:num w:numId="5">
    <w:abstractNumId w:val="12"/>
  </w:num>
  <w:num w:numId="6">
    <w:abstractNumId w:val="0"/>
  </w:num>
  <w:num w:numId="7">
    <w:abstractNumId w:val="18"/>
  </w:num>
  <w:num w:numId="8">
    <w:abstractNumId w:val="14"/>
  </w:num>
  <w:num w:numId="9">
    <w:abstractNumId w:val="2"/>
  </w:num>
  <w:num w:numId="10">
    <w:abstractNumId w:val="18"/>
  </w:num>
  <w:num w:numId="11">
    <w:abstractNumId w:val="3"/>
  </w:num>
  <w:num w:numId="12">
    <w:abstractNumId w:val="24"/>
  </w:num>
  <w:num w:numId="13">
    <w:abstractNumId w:val="22"/>
  </w:num>
  <w:num w:numId="14">
    <w:abstractNumId w:val="4"/>
  </w:num>
  <w:num w:numId="15">
    <w:abstractNumId w:val="19"/>
  </w:num>
  <w:num w:numId="16">
    <w:abstractNumId w:val="8"/>
  </w:num>
  <w:num w:numId="17">
    <w:abstractNumId w:val="1"/>
  </w:num>
  <w:num w:numId="18">
    <w:abstractNumId w:val="32"/>
  </w:num>
  <w:num w:numId="19">
    <w:abstractNumId w:val="7"/>
  </w:num>
  <w:num w:numId="20">
    <w:abstractNumId w:val="27"/>
  </w:num>
  <w:num w:numId="21">
    <w:abstractNumId w:val="6"/>
  </w:num>
  <w:num w:numId="22">
    <w:abstractNumId w:val="11"/>
  </w:num>
  <w:num w:numId="23">
    <w:abstractNumId w:val="23"/>
  </w:num>
  <w:num w:numId="24">
    <w:abstractNumId w:val="5"/>
  </w:num>
  <w:num w:numId="25">
    <w:abstractNumId w:val="31"/>
  </w:num>
  <w:num w:numId="26">
    <w:abstractNumId w:val="29"/>
  </w:num>
  <w:num w:numId="27">
    <w:abstractNumId w:val="17"/>
  </w:num>
  <w:num w:numId="28">
    <w:abstractNumId w:val="35"/>
  </w:num>
  <w:num w:numId="29">
    <w:abstractNumId w:val="25"/>
  </w:num>
  <w:num w:numId="30">
    <w:abstractNumId w:val="13"/>
  </w:num>
  <w:num w:numId="31">
    <w:abstractNumId w:val="16"/>
  </w:num>
  <w:num w:numId="32">
    <w:abstractNumId w:val="9"/>
  </w:num>
  <w:num w:numId="33">
    <w:abstractNumId w:val="15"/>
  </w:num>
  <w:num w:numId="34">
    <w:abstractNumId w:val="30"/>
  </w:num>
  <w:num w:numId="35">
    <w:abstractNumId w:val="26"/>
  </w:num>
  <w:num w:numId="36">
    <w:abstractNumId w:val="33"/>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2"/>
    </w:lvlOverride>
    <w:lvlOverride w:ilvl="1">
      <w:startOverride w:val="1"/>
    </w:lvlOverride>
    <w:lvlOverride w:ilvl="2">
      <w:startOverride w:val="1"/>
    </w:lvlOverride>
  </w:num>
  <w:num w:numId="39">
    <w:abstractNumId w:val="26"/>
    <w:lvlOverride w:ilvl="0">
      <w:startOverride w:val="3"/>
    </w:lvlOverride>
    <w:lvlOverride w:ilvl="1">
      <w:startOverride w:val="1"/>
    </w:lvlOverride>
    <w:lvlOverride w:ilvl="2">
      <w:startOverride w:val="1"/>
    </w:lvlOverride>
  </w:num>
  <w:num w:numId="40">
    <w:abstractNumId w:val="26"/>
    <w:lvlOverride w:ilvl="0">
      <w:startOverride w:val="3"/>
    </w:lvlOverride>
    <w:lvlOverride w:ilvl="1">
      <w:startOverride w:val="1"/>
    </w:lvlOverride>
    <w:lvlOverride w:ilvl="2">
      <w:startOverride w:val="1"/>
    </w:lvlOverride>
  </w:num>
  <w:num w:numId="41">
    <w:abstractNumId w:val="26"/>
    <w:lvlOverride w:ilvl="0">
      <w:startOverride w:val="3"/>
    </w:lvlOverride>
    <w:lvlOverride w:ilvl="1">
      <w:startOverride w:val="4"/>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6"/>
    </w:lvlOverride>
  </w:num>
  <w:num w:numId="43">
    <w:abstractNumId w:val="26"/>
    <w:lvlOverride w:ilvl="0">
      <w:startOverride w:val="3"/>
    </w:lvlOverride>
    <w:lvlOverride w:ilvl="1">
      <w:startOverride w:val="6"/>
    </w:lvlOverride>
    <w:lvlOverride w:ilvl="2">
      <w:startOverride w:val="3"/>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ocumentProtection w:edit="readOnly" w:enforcement="1" w:spinCount="100000" w:hashValue="m89RtAIcgcLw+xuGa7vA6YN6m0TckVe/Z8YQA5OW/H12OX/FJ5mq+SlfM3scunI0c3t2ZiI5I+Ys1XbKR8e4Ag==" w:saltValue="U4B9LYzlVMP9TM3L66Nh4Q==" w:algorithmName="SHA-512"/>
  <w:defaultTabStop w:val="720"/>
  <w:drawingGridHorizontalSpacing w:val="100"/>
  <w:displayHorizontalDrawingGridEvery w:val="2"/>
  <w:characterSpacingControl w:val="doNotCompress"/>
  <w:hdrShapeDefaults>
    <o:shapedefaults v:ext="edit" spidmax="24577" fillcolor="none [3215]" stroke="f">
      <v:fill color="none [3215]"/>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847"/>
    <w:rsid w:val="000001A9"/>
    <w:rsid w:val="00000267"/>
    <w:rsid w:val="00000E07"/>
    <w:rsid w:val="000010DC"/>
    <w:rsid w:val="00001404"/>
    <w:rsid w:val="00001893"/>
    <w:rsid w:val="00002174"/>
    <w:rsid w:val="00002F7F"/>
    <w:rsid w:val="00002F85"/>
    <w:rsid w:val="00003B7D"/>
    <w:rsid w:val="00003E59"/>
    <w:rsid w:val="000046CA"/>
    <w:rsid w:val="0000588F"/>
    <w:rsid w:val="00005CEB"/>
    <w:rsid w:val="00006074"/>
    <w:rsid w:val="00006B9F"/>
    <w:rsid w:val="00006DC6"/>
    <w:rsid w:val="00007406"/>
    <w:rsid w:val="000074EC"/>
    <w:rsid w:val="000075E6"/>
    <w:rsid w:val="00007EFD"/>
    <w:rsid w:val="00010159"/>
    <w:rsid w:val="00010DDA"/>
    <w:rsid w:val="0001103D"/>
    <w:rsid w:val="00011B56"/>
    <w:rsid w:val="00012408"/>
    <w:rsid w:val="00012CAB"/>
    <w:rsid w:val="000145C9"/>
    <w:rsid w:val="000148A7"/>
    <w:rsid w:val="00015243"/>
    <w:rsid w:val="00015271"/>
    <w:rsid w:val="00015598"/>
    <w:rsid w:val="00015F3F"/>
    <w:rsid w:val="000165FF"/>
    <w:rsid w:val="000203C2"/>
    <w:rsid w:val="00020F7F"/>
    <w:rsid w:val="00020F8D"/>
    <w:rsid w:val="000219D0"/>
    <w:rsid w:val="000220CB"/>
    <w:rsid w:val="000228C6"/>
    <w:rsid w:val="00023712"/>
    <w:rsid w:val="00023BEF"/>
    <w:rsid w:val="0002400B"/>
    <w:rsid w:val="00025387"/>
    <w:rsid w:val="00025589"/>
    <w:rsid w:val="000256AC"/>
    <w:rsid w:val="00027B5F"/>
    <w:rsid w:val="0003004A"/>
    <w:rsid w:val="000300E6"/>
    <w:rsid w:val="000308DC"/>
    <w:rsid w:val="00030CC9"/>
    <w:rsid w:val="00031309"/>
    <w:rsid w:val="000317A6"/>
    <w:rsid w:val="000324F8"/>
    <w:rsid w:val="00033E5E"/>
    <w:rsid w:val="00035288"/>
    <w:rsid w:val="0003687B"/>
    <w:rsid w:val="000368E1"/>
    <w:rsid w:val="000377D1"/>
    <w:rsid w:val="000379C5"/>
    <w:rsid w:val="00040217"/>
    <w:rsid w:val="000405BB"/>
    <w:rsid w:val="00040BC7"/>
    <w:rsid w:val="00040D93"/>
    <w:rsid w:val="00041578"/>
    <w:rsid w:val="00041787"/>
    <w:rsid w:val="00041E14"/>
    <w:rsid w:val="00042109"/>
    <w:rsid w:val="00043650"/>
    <w:rsid w:val="00044237"/>
    <w:rsid w:val="000444FF"/>
    <w:rsid w:val="000448B1"/>
    <w:rsid w:val="000455A4"/>
    <w:rsid w:val="00045A3B"/>
    <w:rsid w:val="000465DB"/>
    <w:rsid w:val="000473AE"/>
    <w:rsid w:val="00047714"/>
    <w:rsid w:val="000504EC"/>
    <w:rsid w:val="000506A5"/>
    <w:rsid w:val="00050ACB"/>
    <w:rsid w:val="00051862"/>
    <w:rsid w:val="0005222A"/>
    <w:rsid w:val="000530B1"/>
    <w:rsid w:val="00053B82"/>
    <w:rsid w:val="000541B7"/>
    <w:rsid w:val="00054C40"/>
    <w:rsid w:val="00055A6A"/>
    <w:rsid w:val="00055BAE"/>
    <w:rsid w:val="00055E4A"/>
    <w:rsid w:val="0005674C"/>
    <w:rsid w:val="0006012B"/>
    <w:rsid w:val="000606D1"/>
    <w:rsid w:val="00061068"/>
    <w:rsid w:val="000619A2"/>
    <w:rsid w:val="000619DD"/>
    <w:rsid w:val="00061DA1"/>
    <w:rsid w:val="00063503"/>
    <w:rsid w:val="00063BE4"/>
    <w:rsid w:val="00063E3F"/>
    <w:rsid w:val="00064A4C"/>
    <w:rsid w:val="00064A67"/>
    <w:rsid w:val="00064B40"/>
    <w:rsid w:val="00064EB8"/>
    <w:rsid w:val="0006530A"/>
    <w:rsid w:val="00066D4B"/>
    <w:rsid w:val="000679F1"/>
    <w:rsid w:val="00067EC5"/>
    <w:rsid w:val="00070164"/>
    <w:rsid w:val="00070486"/>
    <w:rsid w:val="00070875"/>
    <w:rsid w:val="000713BA"/>
    <w:rsid w:val="00071825"/>
    <w:rsid w:val="00072AE3"/>
    <w:rsid w:val="000744E9"/>
    <w:rsid w:val="000748D8"/>
    <w:rsid w:val="00076C97"/>
    <w:rsid w:val="000778D4"/>
    <w:rsid w:val="00077EB6"/>
    <w:rsid w:val="00077EBF"/>
    <w:rsid w:val="000803B7"/>
    <w:rsid w:val="00080AF8"/>
    <w:rsid w:val="0008139D"/>
    <w:rsid w:val="00081A58"/>
    <w:rsid w:val="00081E75"/>
    <w:rsid w:val="00082CD9"/>
    <w:rsid w:val="00083051"/>
    <w:rsid w:val="00083B65"/>
    <w:rsid w:val="00084311"/>
    <w:rsid w:val="000847B3"/>
    <w:rsid w:val="00084F75"/>
    <w:rsid w:val="00087C5B"/>
    <w:rsid w:val="000905BA"/>
    <w:rsid w:val="00090659"/>
    <w:rsid w:val="00090AAB"/>
    <w:rsid w:val="00091458"/>
    <w:rsid w:val="00092746"/>
    <w:rsid w:val="0009340E"/>
    <w:rsid w:val="00094408"/>
    <w:rsid w:val="00095FDF"/>
    <w:rsid w:val="00096B80"/>
    <w:rsid w:val="00096C3D"/>
    <w:rsid w:val="00096CE6"/>
    <w:rsid w:val="00096F31"/>
    <w:rsid w:val="000A0570"/>
    <w:rsid w:val="000A0836"/>
    <w:rsid w:val="000A1F3F"/>
    <w:rsid w:val="000A2486"/>
    <w:rsid w:val="000A38AA"/>
    <w:rsid w:val="000A4154"/>
    <w:rsid w:val="000A4352"/>
    <w:rsid w:val="000A45C2"/>
    <w:rsid w:val="000A51EE"/>
    <w:rsid w:val="000A6014"/>
    <w:rsid w:val="000A6204"/>
    <w:rsid w:val="000A6712"/>
    <w:rsid w:val="000A6F12"/>
    <w:rsid w:val="000A744F"/>
    <w:rsid w:val="000A7628"/>
    <w:rsid w:val="000B0862"/>
    <w:rsid w:val="000B0990"/>
    <w:rsid w:val="000B1068"/>
    <w:rsid w:val="000B154E"/>
    <w:rsid w:val="000B319E"/>
    <w:rsid w:val="000B354D"/>
    <w:rsid w:val="000B4EBC"/>
    <w:rsid w:val="000B510F"/>
    <w:rsid w:val="000B5AFD"/>
    <w:rsid w:val="000B61EE"/>
    <w:rsid w:val="000B62A0"/>
    <w:rsid w:val="000B65CE"/>
    <w:rsid w:val="000B7367"/>
    <w:rsid w:val="000B741C"/>
    <w:rsid w:val="000B7AC9"/>
    <w:rsid w:val="000B7E22"/>
    <w:rsid w:val="000C009C"/>
    <w:rsid w:val="000C0818"/>
    <w:rsid w:val="000C09ED"/>
    <w:rsid w:val="000C0DC8"/>
    <w:rsid w:val="000C10E3"/>
    <w:rsid w:val="000C312A"/>
    <w:rsid w:val="000C3423"/>
    <w:rsid w:val="000C37D7"/>
    <w:rsid w:val="000C4821"/>
    <w:rsid w:val="000C56BD"/>
    <w:rsid w:val="000C5D73"/>
    <w:rsid w:val="000C5EEC"/>
    <w:rsid w:val="000C6AA3"/>
    <w:rsid w:val="000C6ECB"/>
    <w:rsid w:val="000C6F10"/>
    <w:rsid w:val="000C7305"/>
    <w:rsid w:val="000D0E57"/>
    <w:rsid w:val="000D21C3"/>
    <w:rsid w:val="000D3B7B"/>
    <w:rsid w:val="000D3C42"/>
    <w:rsid w:val="000D3C62"/>
    <w:rsid w:val="000D3D2A"/>
    <w:rsid w:val="000D4527"/>
    <w:rsid w:val="000D4A96"/>
    <w:rsid w:val="000D4C80"/>
    <w:rsid w:val="000D558C"/>
    <w:rsid w:val="000D5997"/>
    <w:rsid w:val="000E0E16"/>
    <w:rsid w:val="000E126D"/>
    <w:rsid w:val="000E14AD"/>
    <w:rsid w:val="000E2B3F"/>
    <w:rsid w:val="000E2F96"/>
    <w:rsid w:val="000E3802"/>
    <w:rsid w:val="000E4BFD"/>
    <w:rsid w:val="000E534D"/>
    <w:rsid w:val="000E55A6"/>
    <w:rsid w:val="000E5D59"/>
    <w:rsid w:val="000E6325"/>
    <w:rsid w:val="000E6525"/>
    <w:rsid w:val="000E65B2"/>
    <w:rsid w:val="000E751E"/>
    <w:rsid w:val="000E7917"/>
    <w:rsid w:val="000E7BB5"/>
    <w:rsid w:val="000F118B"/>
    <w:rsid w:val="000F13E8"/>
    <w:rsid w:val="000F2B96"/>
    <w:rsid w:val="000F33A0"/>
    <w:rsid w:val="000F40E2"/>
    <w:rsid w:val="000F4700"/>
    <w:rsid w:val="000F4EB8"/>
    <w:rsid w:val="000F59FD"/>
    <w:rsid w:val="000F5BBE"/>
    <w:rsid w:val="000F76FF"/>
    <w:rsid w:val="000F77C6"/>
    <w:rsid w:val="000F7C5A"/>
    <w:rsid w:val="001002E4"/>
    <w:rsid w:val="00100513"/>
    <w:rsid w:val="00100753"/>
    <w:rsid w:val="001013F4"/>
    <w:rsid w:val="001015D1"/>
    <w:rsid w:val="00101E7E"/>
    <w:rsid w:val="001026F1"/>
    <w:rsid w:val="00103591"/>
    <w:rsid w:val="00104992"/>
    <w:rsid w:val="0010523F"/>
    <w:rsid w:val="00105AA9"/>
    <w:rsid w:val="00106911"/>
    <w:rsid w:val="00110553"/>
    <w:rsid w:val="001108D8"/>
    <w:rsid w:val="00111324"/>
    <w:rsid w:val="00111544"/>
    <w:rsid w:val="00112A1C"/>
    <w:rsid w:val="00112E94"/>
    <w:rsid w:val="00113D7F"/>
    <w:rsid w:val="00113E97"/>
    <w:rsid w:val="0011421B"/>
    <w:rsid w:val="001145FC"/>
    <w:rsid w:val="00115B96"/>
    <w:rsid w:val="00116C85"/>
    <w:rsid w:val="0011700C"/>
    <w:rsid w:val="001179B7"/>
    <w:rsid w:val="00117D9C"/>
    <w:rsid w:val="0012136C"/>
    <w:rsid w:val="001226BE"/>
    <w:rsid w:val="001227E2"/>
    <w:rsid w:val="00123EF1"/>
    <w:rsid w:val="00124BB7"/>
    <w:rsid w:val="00124E9B"/>
    <w:rsid w:val="00125AFC"/>
    <w:rsid w:val="00125D74"/>
    <w:rsid w:val="00126AFF"/>
    <w:rsid w:val="00126DC3"/>
    <w:rsid w:val="00127187"/>
    <w:rsid w:val="00127829"/>
    <w:rsid w:val="00130007"/>
    <w:rsid w:val="00130434"/>
    <w:rsid w:val="00130727"/>
    <w:rsid w:val="00130745"/>
    <w:rsid w:val="00132EED"/>
    <w:rsid w:val="00134110"/>
    <w:rsid w:val="00134234"/>
    <w:rsid w:val="00135018"/>
    <w:rsid w:val="00135200"/>
    <w:rsid w:val="00135AE9"/>
    <w:rsid w:val="00135BD1"/>
    <w:rsid w:val="0013670B"/>
    <w:rsid w:val="00137B03"/>
    <w:rsid w:val="0014062F"/>
    <w:rsid w:val="00141457"/>
    <w:rsid w:val="001415DD"/>
    <w:rsid w:val="001420B0"/>
    <w:rsid w:val="00142F9D"/>
    <w:rsid w:val="001436B6"/>
    <w:rsid w:val="00143E8A"/>
    <w:rsid w:val="00144864"/>
    <w:rsid w:val="00145900"/>
    <w:rsid w:val="001469D4"/>
    <w:rsid w:val="00146AC9"/>
    <w:rsid w:val="00146E85"/>
    <w:rsid w:val="0014703A"/>
    <w:rsid w:val="00147054"/>
    <w:rsid w:val="001476BD"/>
    <w:rsid w:val="001476BE"/>
    <w:rsid w:val="00147A6F"/>
    <w:rsid w:val="0015001A"/>
    <w:rsid w:val="00152794"/>
    <w:rsid w:val="0015303F"/>
    <w:rsid w:val="00153819"/>
    <w:rsid w:val="00155453"/>
    <w:rsid w:val="00155FE3"/>
    <w:rsid w:val="00156CB1"/>
    <w:rsid w:val="00157444"/>
    <w:rsid w:val="0016045C"/>
    <w:rsid w:val="001604B6"/>
    <w:rsid w:val="0016243E"/>
    <w:rsid w:val="00162D62"/>
    <w:rsid w:val="001630DF"/>
    <w:rsid w:val="00164318"/>
    <w:rsid w:val="001644B8"/>
    <w:rsid w:val="0016454D"/>
    <w:rsid w:val="00164A8D"/>
    <w:rsid w:val="00165A5E"/>
    <w:rsid w:val="00165AC0"/>
    <w:rsid w:val="00166AE4"/>
    <w:rsid w:val="00166F4F"/>
    <w:rsid w:val="00167EE0"/>
    <w:rsid w:val="00167F7E"/>
    <w:rsid w:val="001700E5"/>
    <w:rsid w:val="00170238"/>
    <w:rsid w:val="001708CB"/>
    <w:rsid w:val="00170DF6"/>
    <w:rsid w:val="0017336E"/>
    <w:rsid w:val="00174043"/>
    <w:rsid w:val="00176D38"/>
    <w:rsid w:val="00177318"/>
    <w:rsid w:val="001775A8"/>
    <w:rsid w:val="0018064C"/>
    <w:rsid w:val="00180895"/>
    <w:rsid w:val="001809A5"/>
    <w:rsid w:val="0018130C"/>
    <w:rsid w:val="00181EAE"/>
    <w:rsid w:val="001824CB"/>
    <w:rsid w:val="00182598"/>
    <w:rsid w:val="001827F1"/>
    <w:rsid w:val="00184855"/>
    <w:rsid w:val="00185379"/>
    <w:rsid w:val="001856FB"/>
    <w:rsid w:val="00185720"/>
    <w:rsid w:val="00185E01"/>
    <w:rsid w:val="00185F0F"/>
    <w:rsid w:val="00185F6F"/>
    <w:rsid w:val="001861C1"/>
    <w:rsid w:val="00187218"/>
    <w:rsid w:val="001875ED"/>
    <w:rsid w:val="00190483"/>
    <w:rsid w:val="00190526"/>
    <w:rsid w:val="00190684"/>
    <w:rsid w:val="00192241"/>
    <w:rsid w:val="001927CD"/>
    <w:rsid w:val="00192A42"/>
    <w:rsid w:val="00192F51"/>
    <w:rsid w:val="00193397"/>
    <w:rsid w:val="00193BF6"/>
    <w:rsid w:val="0019461B"/>
    <w:rsid w:val="00194E19"/>
    <w:rsid w:val="00195ACB"/>
    <w:rsid w:val="00196D9D"/>
    <w:rsid w:val="00197937"/>
    <w:rsid w:val="00197B6F"/>
    <w:rsid w:val="00197C7A"/>
    <w:rsid w:val="001A01CF"/>
    <w:rsid w:val="001A0600"/>
    <w:rsid w:val="001A129B"/>
    <w:rsid w:val="001A1C17"/>
    <w:rsid w:val="001A2354"/>
    <w:rsid w:val="001A24EE"/>
    <w:rsid w:val="001A2696"/>
    <w:rsid w:val="001A27B3"/>
    <w:rsid w:val="001A2FDC"/>
    <w:rsid w:val="001A30CD"/>
    <w:rsid w:val="001A40A0"/>
    <w:rsid w:val="001A529E"/>
    <w:rsid w:val="001A53AF"/>
    <w:rsid w:val="001A59EB"/>
    <w:rsid w:val="001A6378"/>
    <w:rsid w:val="001A69B0"/>
    <w:rsid w:val="001A6AAE"/>
    <w:rsid w:val="001A6F98"/>
    <w:rsid w:val="001A7A0D"/>
    <w:rsid w:val="001B0CD5"/>
    <w:rsid w:val="001B154C"/>
    <w:rsid w:val="001B1E72"/>
    <w:rsid w:val="001B2382"/>
    <w:rsid w:val="001B2870"/>
    <w:rsid w:val="001B3327"/>
    <w:rsid w:val="001B34FF"/>
    <w:rsid w:val="001B3C7F"/>
    <w:rsid w:val="001B3E0A"/>
    <w:rsid w:val="001B58F2"/>
    <w:rsid w:val="001B63C7"/>
    <w:rsid w:val="001B678D"/>
    <w:rsid w:val="001B7A6C"/>
    <w:rsid w:val="001C2061"/>
    <w:rsid w:val="001C2851"/>
    <w:rsid w:val="001C28BE"/>
    <w:rsid w:val="001C32F9"/>
    <w:rsid w:val="001C3E6F"/>
    <w:rsid w:val="001C447B"/>
    <w:rsid w:val="001C47A5"/>
    <w:rsid w:val="001C4FE3"/>
    <w:rsid w:val="001C5410"/>
    <w:rsid w:val="001C5F00"/>
    <w:rsid w:val="001C6506"/>
    <w:rsid w:val="001C6C6B"/>
    <w:rsid w:val="001C6D16"/>
    <w:rsid w:val="001D11DC"/>
    <w:rsid w:val="001D1463"/>
    <w:rsid w:val="001D147D"/>
    <w:rsid w:val="001D1AF5"/>
    <w:rsid w:val="001D2237"/>
    <w:rsid w:val="001D29AE"/>
    <w:rsid w:val="001D2B03"/>
    <w:rsid w:val="001D3AF2"/>
    <w:rsid w:val="001D3DD1"/>
    <w:rsid w:val="001D4D60"/>
    <w:rsid w:val="001D65CA"/>
    <w:rsid w:val="001D6DE8"/>
    <w:rsid w:val="001E042D"/>
    <w:rsid w:val="001E06FE"/>
    <w:rsid w:val="001E2270"/>
    <w:rsid w:val="001E2F91"/>
    <w:rsid w:val="001E31A4"/>
    <w:rsid w:val="001E3EA7"/>
    <w:rsid w:val="001E41D9"/>
    <w:rsid w:val="001E47D7"/>
    <w:rsid w:val="001E5304"/>
    <w:rsid w:val="001E5650"/>
    <w:rsid w:val="001E5B4E"/>
    <w:rsid w:val="001E620F"/>
    <w:rsid w:val="001E62C4"/>
    <w:rsid w:val="001E6A5E"/>
    <w:rsid w:val="001E6CE0"/>
    <w:rsid w:val="001E6CFB"/>
    <w:rsid w:val="001E725C"/>
    <w:rsid w:val="001E72E8"/>
    <w:rsid w:val="001E7FAA"/>
    <w:rsid w:val="001F0210"/>
    <w:rsid w:val="001F0793"/>
    <w:rsid w:val="001F0DAD"/>
    <w:rsid w:val="001F2BB2"/>
    <w:rsid w:val="001F2C4E"/>
    <w:rsid w:val="001F2F11"/>
    <w:rsid w:val="001F3220"/>
    <w:rsid w:val="001F55EB"/>
    <w:rsid w:val="001F6CDF"/>
    <w:rsid w:val="001F6D34"/>
    <w:rsid w:val="001F71F1"/>
    <w:rsid w:val="001F7587"/>
    <w:rsid w:val="001F765D"/>
    <w:rsid w:val="001F798F"/>
    <w:rsid w:val="002014CF"/>
    <w:rsid w:val="002015B9"/>
    <w:rsid w:val="002022EE"/>
    <w:rsid w:val="00202810"/>
    <w:rsid w:val="00202ADF"/>
    <w:rsid w:val="00202BBA"/>
    <w:rsid w:val="00202C76"/>
    <w:rsid w:val="002030A3"/>
    <w:rsid w:val="002033EE"/>
    <w:rsid w:val="00203710"/>
    <w:rsid w:val="00204437"/>
    <w:rsid w:val="002046E4"/>
    <w:rsid w:val="00204744"/>
    <w:rsid w:val="00204F10"/>
    <w:rsid w:val="00205503"/>
    <w:rsid w:val="00205D40"/>
    <w:rsid w:val="0020633B"/>
    <w:rsid w:val="00206545"/>
    <w:rsid w:val="00207E36"/>
    <w:rsid w:val="00210620"/>
    <w:rsid w:val="002108D1"/>
    <w:rsid w:val="0021094E"/>
    <w:rsid w:val="00210E12"/>
    <w:rsid w:val="00211991"/>
    <w:rsid w:val="002129E1"/>
    <w:rsid w:val="00213711"/>
    <w:rsid w:val="00213C42"/>
    <w:rsid w:val="00214D74"/>
    <w:rsid w:val="0021543C"/>
    <w:rsid w:val="00215977"/>
    <w:rsid w:val="00215D7C"/>
    <w:rsid w:val="00215E7D"/>
    <w:rsid w:val="00217154"/>
    <w:rsid w:val="0021719F"/>
    <w:rsid w:val="00217A14"/>
    <w:rsid w:val="002206C9"/>
    <w:rsid w:val="002219F5"/>
    <w:rsid w:val="00221B74"/>
    <w:rsid w:val="0022205C"/>
    <w:rsid w:val="00222133"/>
    <w:rsid w:val="002228B6"/>
    <w:rsid w:val="00222B08"/>
    <w:rsid w:val="00222EC0"/>
    <w:rsid w:val="00222FFB"/>
    <w:rsid w:val="0022438C"/>
    <w:rsid w:val="00224BA5"/>
    <w:rsid w:val="00225950"/>
    <w:rsid w:val="00230266"/>
    <w:rsid w:val="00230DA1"/>
    <w:rsid w:val="00231135"/>
    <w:rsid w:val="002321EB"/>
    <w:rsid w:val="00232DCA"/>
    <w:rsid w:val="002330A0"/>
    <w:rsid w:val="0023354B"/>
    <w:rsid w:val="00233CF7"/>
    <w:rsid w:val="00234835"/>
    <w:rsid w:val="00234F3A"/>
    <w:rsid w:val="00235251"/>
    <w:rsid w:val="002353A9"/>
    <w:rsid w:val="00235653"/>
    <w:rsid w:val="002356E8"/>
    <w:rsid w:val="0023597B"/>
    <w:rsid w:val="00235E6E"/>
    <w:rsid w:val="00236445"/>
    <w:rsid w:val="002375DF"/>
    <w:rsid w:val="00237BCC"/>
    <w:rsid w:val="002402B0"/>
    <w:rsid w:val="002407B2"/>
    <w:rsid w:val="00240FCD"/>
    <w:rsid w:val="00241695"/>
    <w:rsid w:val="00241814"/>
    <w:rsid w:val="0024293F"/>
    <w:rsid w:val="00243319"/>
    <w:rsid w:val="00243466"/>
    <w:rsid w:val="00243644"/>
    <w:rsid w:val="002445FF"/>
    <w:rsid w:val="0024482C"/>
    <w:rsid w:val="00245400"/>
    <w:rsid w:val="00245C02"/>
    <w:rsid w:val="00247067"/>
    <w:rsid w:val="00247630"/>
    <w:rsid w:val="00247954"/>
    <w:rsid w:val="002504DF"/>
    <w:rsid w:val="00252C90"/>
    <w:rsid w:val="00252DA9"/>
    <w:rsid w:val="002534B3"/>
    <w:rsid w:val="002542AB"/>
    <w:rsid w:val="0025481F"/>
    <w:rsid w:val="00255ECC"/>
    <w:rsid w:val="00256B17"/>
    <w:rsid w:val="00257062"/>
    <w:rsid w:val="002570A9"/>
    <w:rsid w:val="00257526"/>
    <w:rsid w:val="00257794"/>
    <w:rsid w:val="00260B1B"/>
    <w:rsid w:val="00260CA3"/>
    <w:rsid w:val="00260D53"/>
    <w:rsid w:val="002627A5"/>
    <w:rsid w:val="002628D1"/>
    <w:rsid w:val="002639CC"/>
    <w:rsid w:val="00263AE9"/>
    <w:rsid w:val="00264141"/>
    <w:rsid w:val="0026608B"/>
    <w:rsid w:val="00266A04"/>
    <w:rsid w:val="00267328"/>
    <w:rsid w:val="00270109"/>
    <w:rsid w:val="00270144"/>
    <w:rsid w:val="002709D2"/>
    <w:rsid w:val="00270E69"/>
    <w:rsid w:val="0027322A"/>
    <w:rsid w:val="00273234"/>
    <w:rsid w:val="002736C6"/>
    <w:rsid w:val="00273753"/>
    <w:rsid w:val="00273D52"/>
    <w:rsid w:val="002745E9"/>
    <w:rsid w:val="0027472A"/>
    <w:rsid w:val="00274F23"/>
    <w:rsid w:val="00275248"/>
    <w:rsid w:val="00275813"/>
    <w:rsid w:val="00275C36"/>
    <w:rsid w:val="00276748"/>
    <w:rsid w:val="00276DF5"/>
    <w:rsid w:val="002771A2"/>
    <w:rsid w:val="00277441"/>
    <w:rsid w:val="00277817"/>
    <w:rsid w:val="00280476"/>
    <w:rsid w:val="00281EAB"/>
    <w:rsid w:val="00281F92"/>
    <w:rsid w:val="002825BF"/>
    <w:rsid w:val="00282915"/>
    <w:rsid w:val="0028295D"/>
    <w:rsid w:val="00282F45"/>
    <w:rsid w:val="00283175"/>
    <w:rsid w:val="002833F5"/>
    <w:rsid w:val="002850FC"/>
    <w:rsid w:val="0028516D"/>
    <w:rsid w:val="00285547"/>
    <w:rsid w:val="0028561C"/>
    <w:rsid w:val="00285AAD"/>
    <w:rsid w:val="0028639C"/>
    <w:rsid w:val="002871F1"/>
    <w:rsid w:val="00287BBC"/>
    <w:rsid w:val="002908C9"/>
    <w:rsid w:val="00292BF1"/>
    <w:rsid w:val="002960CE"/>
    <w:rsid w:val="00296433"/>
    <w:rsid w:val="00296814"/>
    <w:rsid w:val="00297CF4"/>
    <w:rsid w:val="002A07D8"/>
    <w:rsid w:val="002A0C42"/>
    <w:rsid w:val="002A1B5B"/>
    <w:rsid w:val="002A4114"/>
    <w:rsid w:val="002A4E44"/>
    <w:rsid w:val="002A5354"/>
    <w:rsid w:val="002A7864"/>
    <w:rsid w:val="002B10D1"/>
    <w:rsid w:val="002B10EB"/>
    <w:rsid w:val="002B1624"/>
    <w:rsid w:val="002B1CD2"/>
    <w:rsid w:val="002B2426"/>
    <w:rsid w:val="002B27CC"/>
    <w:rsid w:val="002B298D"/>
    <w:rsid w:val="002B2B05"/>
    <w:rsid w:val="002B3373"/>
    <w:rsid w:val="002B4C2E"/>
    <w:rsid w:val="002B4C86"/>
    <w:rsid w:val="002B5288"/>
    <w:rsid w:val="002B60B6"/>
    <w:rsid w:val="002B733E"/>
    <w:rsid w:val="002B7A82"/>
    <w:rsid w:val="002B7C8E"/>
    <w:rsid w:val="002C0004"/>
    <w:rsid w:val="002C016F"/>
    <w:rsid w:val="002C0256"/>
    <w:rsid w:val="002C0347"/>
    <w:rsid w:val="002C29F8"/>
    <w:rsid w:val="002C3ABA"/>
    <w:rsid w:val="002C4763"/>
    <w:rsid w:val="002C64ED"/>
    <w:rsid w:val="002C6FB3"/>
    <w:rsid w:val="002D0A6D"/>
    <w:rsid w:val="002D0CE6"/>
    <w:rsid w:val="002D11DA"/>
    <w:rsid w:val="002D1B11"/>
    <w:rsid w:val="002D1E6D"/>
    <w:rsid w:val="002D1EEC"/>
    <w:rsid w:val="002D2514"/>
    <w:rsid w:val="002D3113"/>
    <w:rsid w:val="002D38DD"/>
    <w:rsid w:val="002D4294"/>
    <w:rsid w:val="002D4A21"/>
    <w:rsid w:val="002D4F4C"/>
    <w:rsid w:val="002D56B1"/>
    <w:rsid w:val="002D5CE4"/>
    <w:rsid w:val="002D5DC3"/>
    <w:rsid w:val="002D6358"/>
    <w:rsid w:val="002D6616"/>
    <w:rsid w:val="002D6FED"/>
    <w:rsid w:val="002D7769"/>
    <w:rsid w:val="002E041A"/>
    <w:rsid w:val="002E1184"/>
    <w:rsid w:val="002E11FC"/>
    <w:rsid w:val="002E1D55"/>
    <w:rsid w:val="002E1E04"/>
    <w:rsid w:val="002E2AA4"/>
    <w:rsid w:val="002E481F"/>
    <w:rsid w:val="002E4B69"/>
    <w:rsid w:val="002E5B95"/>
    <w:rsid w:val="002E6586"/>
    <w:rsid w:val="002E6590"/>
    <w:rsid w:val="002E6B56"/>
    <w:rsid w:val="002E7455"/>
    <w:rsid w:val="002F02A4"/>
    <w:rsid w:val="002F0392"/>
    <w:rsid w:val="002F1DBC"/>
    <w:rsid w:val="002F30B9"/>
    <w:rsid w:val="002F323F"/>
    <w:rsid w:val="002F3B91"/>
    <w:rsid w:val="002F3FDE"/>
    <w:rsid w:val="002F4849"/>
    <w:rsid w:val="002F523C"/>
    <w:rsid w:val="002F5BB2"/>
    <w:rsid w:val="002F6082"/>
    <w:rsid w:val="002F67F3"/>
    <w:rsid w:val="002F69FC"/>
    <w:rsid w:val="002F6BF5"/>
    <w:rsid w:val="002F7A8E"/>
    <w:rsid w:val="0030011D"/>
    <w:rsid w:val="0030070F"/>
    <w:rsid w:val="00301999"/>
    <w:rsid w:val="00302BCF"/>
    <w:rsid w:val="00303067"/>
    <w:rsid w:val="00303D5B"/>
    <w:rsid w:val="00304820"/>
    <w:rsid w:val="00306F4B"/>
    <w:rsid w:val="00310381"/>
    <w:rsid w:val="003103E1"/>
    <w:rsid w:val="0031041F"/>
    <w:rsid w:val="0031090D"/>
    <w:rsid w:val="00310A9D"/>
    <w:rsid w:val="00310CB2"/>
    <w:rsid w:val="00313FD9"/>
    <w:rsid w:val="003146EB"/>
    <w:rsid w:val="003148F0"/>
    <w:rsid w:val="00314F18"/>
    <w:rsid w:val="00315481"/>
    <w:rsid w:val="00315CD9"/>
    <w:rsid w:val="00317231"/>
    <w:rsid w:val="0031743E"/>
    <w:rsid w:val="00317710"/>
    <w:rsid w:val="00320B12"/>
    <w:rsid w:val="00322B25"/>
    <w:rsid w:val="0032303F"/>
    <w:rsid w:val="00324E04"/>
    <w:rsid w:val="00324F7E"/>
    <w:rsid w:val="003250F7"/>
    <w:rsid w:val="00325598"/>
    <w:rsid w:val="00325697"/>
    <w:rsid w:val="00325864"/>
    <w:rsid w:val="00325C37"/>
    <w:rsid w:val="00325FD3"/>
    <w:rsid w:val="0032654B"/>
    <w:rsid w:val="003270A5"/>
    <w:rsid w:val="00327C6B"/>
    <w:rsid w:val="00330E09"/>
    <w:rsid w:val="00330EAA"/>
    <w:rsid w:val="00330FFA"/>
    <w:rsid w:val="00331299"/>
    <w:rsid w:val="003316DD"/>
    <w:rsid w:val="00331849"/>
    <w:rsid w:val="003318BA"/>
    <w:rsid w:val="00331DAA"/>
    <w:rsid w:val="003333C5"/>
    <w:rsid w:val="00333A52"/>
    <w:rsid w:val="003343D7"/>
    <w:rsid w:val="00334CDC"/>
    <w:rsid w:val="003364E5"/>
    <w:rsid w:val="00336F07"/>
    <w:rsid w:val="003378C0"/>
    <w:rsid w:val="00340208"/>
    <w:rsid w:val="00340545"/>
    <w:rsid w:val="00340549"/>
    <w:rsid w:val="00340CB0"/>
    <w:rsid w:val="003414D1"/>
    <w:rsid w:val="0034289D"/>
    <w:rsid w:val="00342966"/>
    <w:rsid w:val="00343E12"/>
    <w:rsid w:val="00343FB9"/>
    <w:rsid w:val="003445FC"/>
    <w:rsid w:val="00344A83"/>
    <w:rsid w:val="00345988"/>
    <w:rsid w:val="00346235"/>
    <w:rsid w:val="00346E27"/>
    <w:rsid w:val="00347D09"/>
    <w:rsid w:val="00350527"/>
    <w:rsid w:val="00350B99"/>
    <w:rsid w:val="00350CFA"/>
    <w:rsid w:val="00351241"/>
    <w:rsid w:val="00351DE1"/>
    <w:rsid w:val="00351FA6"/>
    <w:rsid w:val="003522D8"/>
    <w:rsid w:val="00352966"/>
    <w:rsid w:val="0035350F"/>
    <w:rsid w:val="00353D16"/>
    <w:rsid w:val="0035429F"/>
    <w:rsid w:val="00354ADA"/>
    <w:rsid w:val="0035510A"/>
    <w:rsid w:val="0035536A"/>
    <w:rsid w:val="00355FA8"/>
    <w:rsid w:val="0035702D"/>
    <w:rsid w:val="00357046"/>
    <w:rsid w:val="00357088"/>
    <w:rsid w:val="003572AC"/>
    <w:rsid w:val="00360109"/>
    <w:rsid w:val="00360615"/>
    <w:rsid w:val="0036073B"/>
    <w:rsid w:val="00360EAA"/>
    <w:rsid w:val="003613F0"/>
    <w:rsid w:val="00362413"/>
    <w:rsid w:val="003629E2"/>
    <w:rsid w:val="00366205"/>
    <w:rsid w:val="00367142"/>
    <w:rsid w:val="00367462"/>
    <w:rsid w:val="00367555"/>
    <w:rsid w:val="00367708"/>
    <w:rsid w:val="00367859"/>
    <w:rsid w:val="00367B4D"/>
    <w:rsid w:val="00367B96"/>
    <w:rsid w:val="00370822"/>
    <w:rsid w:val="00373A72"/>
    <w:rsid w:val="00373B4F"/>
    <w:rsid w:val="00375489"/>
    <w:rsid w:val="0037694D"/>
    <w:rsid w:val="0037696F"/>
    <w:rsid w:val="003769C7"/>
    <w:rsid w:val="00377556"/>
    <w:rsid w:val="003779E0"/>
    <w:rsid w:val="00377EEE"/>
    <w:rsid w:val="0038008F"/>
    <w:rsid w:val="0038033A"/>
    <w:rsid w:val="00380F77"/>
    <w:rsid w:val="00381350"/>
    <w:rsid w:val="00381B36"/>
    <w:rsid w:val="0038213B"/>
    <w:rsid w:val="00382A9D"/>
    <w:rsid w:val="00382CFA"/>
    <w:rsid w:val="00382FCE"/>
    <w:rsid w:val="00384AB2"/>
    <w:rsid w:val="003854AB"/>
    <w:rsid w:val="00385998"/>
    <w:rsid w:val="00385AB0"/>
    <w:rsid w:val="00385B5F"/>
    <w:rsid w:val="0039154F"/>
    <w:rsid w:val="00392372"/>
    <w:rsid w:val="00392564"/>
    <w:rsid w:val="003929DD"/>
    <w:rsid w:val="003955B3"/>
    <w:rsid w:val="00395F73"/>
    <w:rsid w:val="00396422"/>
    <w:rsid w:val="003A046D"/>
    <w:rsid w:val="003A0783"/>
    <w:rsid w:val="003A0F68"/>
    <w:rsid w:val="003A10D3"/>
    <w:rsid w:val="003A1137"/>
    <w:rsid w:val="003A1DD5"/>
    <w:rsid w:val="003A2DEC"/>
    <w:rsid w:val="003A2E2A"/>
    <w:rsid w:val="003A3C92"/>
    <w:rsid w:val="003A4A6F"/>
    <w:rsid w:val="003A797E"/>
    <w:rsid w:val="003B0D5C"/>
    <w:rsid w:val="003B1871"/>
    <w:rsid w:val="003B1B8B"/>
    <w:rsid w:val="003B326B"/>
    <w:rsid w:val="003B3758"/>
    <w:rsid w:val="003B429A"/>
    <w:rsid w:val="003B5733"/>
    <w:rsid w:val="003B5AAE"/>
    <w:rsid w:val="003B5C06"/>
    <w:rsid w:val="003B698D"/>
    <w:rsid w:val="003B6AA0"/>
    <w:rsid w:val="003B752C"/>
    <w:rsid w:val="003B7938"/>
    <w:rsid w:val="003C08A5"/>
    <w:rsid w:val="003C0EFE"/>
    <w:rsid w:val="003C1B0D"/>
    <w:rsid w:val="003C21B6"/>
    <w:rsid w:val="003C2764"/>
    <w:rsid w:val="003C3D9B"/>
    <w:rsid w:val="003C3DCD"/>
    <w:rsid w:val="003C42CF"/>
    <w:rsid w:val="003C49F1"/>
    <w:rsid w:val="003C52DC"/>
    <w:rsid w:val="003C544C"/>
    <w:rsid w:val="003C64CC"/>
    <w:rsid w:val="003C6ECF"/>
    <w:rsid w:val="003C71A5"/>
    <w:rsid w:val="003C7E3E"/>
    <w:rsid w:val="003D06E6"/>
    <w:rsid w:val="003D20AF"/>
    <w:rsid w:val="003D28AE"/>
    <w:rsid w:val="003D296E"/>
    <w:rsid w:val="003D2FDF"/>
    <w:rsid w:val="003D3282"/>
    <w:rsid w:val="003D3A47"/>
    <w:rsid w:val="003D41CD"/>
    <w:rsid w:val="003D429E"/>
    <w:rsid w:val="003D51A5"/>
    <w:rsid w:val="003D5331"/>
    <w:rsid w:val="003D54AD"/>
    <w:rsid w:val="003D708E"/>
    <w:rsid w:val="003E06E5"/>
    <w:rsid w:val="003E0A22"/>
    <w:rsid w:val="003E1C8C"/>
    <w:rsid w:val="003E1EAF"/>
    <w:rsid w:val="003E2E77"/>
    <w:rsid w:val="003E4707"/>
    <w:rsid w:val="003E4C31"/>
    <w:rsid w:val="003E4C68"/>
    <w:rsid w:val="003E6FC9"/>
    <w:rsid w:val="003F006D"/>
    <w:rsid w:val="003F0189"/>
    <w:rsid w:val="003F1BDC"/>
    <w:rsid w:val="003F276A"/>
    <w:rsid w:val="003F2926"/>
    <w:rsid w:val="003F2A12"/>
    <w:rsid w:val="003F2D45"/>
    <w:rsid w:val="003F4C35"/>
    <w:rsid w:val="003F5610"/>
    <w:rsid w:val="003F56F2"/>
    <w:rsid w:val="003F70F7"/>
    <w:rsid w:val="003F7436"/>
    <w:rsid w:val="003F7BFF"/>
    <w:rsid w:val="004007E3"/>
    <w:rsid w:val="00400BD9"/>
    <w:rsid w:val="00400C40"/>
    <w:rsid w:val="00400C5B"/>
    <w:rsid w:val="00400D4D"/>
    <w:rsid w:val="00401D5D"/>
    <w:rsid w:val="00402A5B"/>
    <w:rsid w:val="00402D6D"/>
    <w:rsid w:val="00403848"/>
    <w:rsid w:val="0040384E"/>
    <w:rsid w:val="004038BD"/>
    <w:rsid w:val="00404399"/>
    <w:rsid w:val="00404528"/>
    <w:rsid w:val="00405689"/>
    <w:rsid w:val="004059BA"/>
    <w:rsid w:val="00405C3C"/>
    <w:rsid w:val="0040648C"/>
    <w:rsid w:val="00406669"/>
    <w:rsid w:val="00406928"/>
    <w:rsid w:val="00406BD8"/>
    <w:rsid w:val="00407996"/>
    <w:rsid w:val="00407E1F"/>
    <w:rsid w:val="00410435"/>
    <w:rsid w:val="00410D4B"/>
    <w:rsid w:val="00410FEA"/>
    <w:rsid w:val="00411104"/>
    <w:rsid w:val="00412140"/>
    <w:rsid w:val="00412358"/>
    <w:rsid w:val="0041353F"/>
    <w:rsid w:val="004138E6"/>
    <w:rsid w:val="00413A09"/>
    <w:rsid w:val="00413D5E"/>
    <w:rsid w:val="00414885"/>
    <w:rsid w:val="0041517E"/>
    <w:rsid w:val="00415D8B"/>
    <w:rsid w:val="00416280"/>
    <w:rsid w:val="00416B9F"/>
    <w:rsid w:val="004172DA"/>
    <w:rsid w:val="0041762D"/>
    <w:rsid w:val="00417CA1"/>
    <w:rsid w:val="00420484"/>
    <w:rsid w:val="0042103E"/>
    <w:rsid w:val="00421714"/>
    <w:rsid w:val="00422095"/>
    <w:rsid w:val="00423054"/>
    <w:rsid w:val="00424DA3"/>
    <w:rsid w:val="004256E9"/>
    <w:rsid w:val="00425FC5"/>
    <w:rsid w:val="0043036F"/>
    <w:rsid w:val="00432309"/>
    <w:rsid w:val="00432A28"/>
    <w:rsid w:val="00433033"/>
    <w:rsid w:val="0043308B"/>
    <w:rsid w:val="004343B3"/>
    <w:rsid w:val="004346D6"/>
    <w:rsid w:val="004348F0"/>
    <w:rsid w:val="00435286"/>
    <w:rsid w:val="00435F36"/>
    <w:rsid w:val="00436418"/>
    <w:rsid w:val="00437AE6"/>
    <w:rsid w:val="00437DC1"/>
    <w:rsid w:val="004400EB"/>
    <w:rsid w:val="00440A64"/>
    <w:rsid w:val="0044104E"/>
    <w:rsid w:val="0044108D"/>
    <w:rsid w:val="00441864"/>
    <w:rsid w:val="00441F99"/>
    <w:rsid w:val="00442273"/>
    <w:rsid w:val="004425FD"/>
    <w:rsid w:val="00442DFE"/>
    <w:rsid w:val="00442F25"/>
    <w:rsid w:val="004435DF"/>
    <w:rsid w:val="004438FA"/>
    <w:rsid w:val="00445214"/>
    <w:rsid w:val="004465CA"/>
    <w:rsid w:val="00446AAF"/>
    <w:rsid w:val="00450038"/>
    <w:rsid w:val="00450840"/>
    <w:rsid w:val="00450E38"/>
    <w:rsid w:val="004514AE"/>
    <w:rsid w:val="00452188"/>
    <w:rsid w:val="004521EC"/>
    <w:rsid w:val="00453A75"/>
    <w:rsid w:val="00454225"/>
    <w:rsid w:val="0045427F"/>
    <w:rsid w:val="0045450B"/>
    <w:rsid w:val="004546E4"/>
    <w:rsid w:val="00455681"/>
    <w:rsid w:val="004556A7"/>
    <w:rsid w:val="00455C8F"/>
    <w:rsid w:val="00455DC1"/>
    <w:rsid w:val="00455EDD"/>
    <w:rsid w:val="004563B5"/>
    <w:rsid w:val="00456E8B"/>
    <w:rsid w:val="004574EC"/>
    <w:rsid w:val="00460052"/>
    <w:rsid w:val="00461A87"/>
    <w:rsid w:val="00461AF8"/>
    <w:rsid w:val="00462400"/>
    <w:rsid w:val="0046265A"/>
    <w:rsid w:val="00463277"/>
    <w:rsid w:val="00464AC3"/>
    <w:rsid w:val="0046540E"/>
    <w:rsid w:val="00465A6D"/>
    <w:rsid w:val="00465D73"/>
    <w:rsid w:val="00465E96"/>
    <w:rsid w:val="00466191"/>
    <w:rsid w:val="00466BAF"/>
    <w:rsid w:val="00466C53"/>
    <w:rsid w:val="00466EE6"/>
    <w:rsid w:val="0047003F"/>
    <w:rsid w:val="0047015C"/>
    <w:rsid w:val="00470697"/>
    <w:rsid w:val="00471E7F"/>
    <w:rsid w:val="00471E95"/>
    <w:rsid w:val="004726F1"/>
    <w:rsid w:val="0047382B"/>
    <w:rsid w:val="00474A08"/>
    <w:rsid w:val="00475CE4"/>
    <w:rsid w:val="00476841"/>
    <w:rsid w:val="0047719A"/>
    <w:rsid w:val="00477D62"/>
    <w:rsid w:val="004806C1"/>
    <w:rsid w:val="004806E1"/>
    <w:rsid w:val="00480BDE"/>
    <w:rsid w:val="00480C7A"/>
    <w:rsid w:val="00482B86"/>
    <w:rsid w:val="00482C26"/>
    <w:rsid w:val="00483E95"/>
    <w:rsid w:val="0048436D"/>
    <w:rsid w:val="0048504B"/>
    <w:rsid w:val="004853A7"/>
    <w:rsid w:val="0048601D"/>
    <w:rsid w:val="004860A4"/>
    <w:rsid w:val="00486253"/>
    <w:rsid w:val="00486EB0"/>
    <w:rsid w:val="0048701E"/>
    <w:rsid w:val="004878C4"/>
    <w:rsid w:val="00487907"/>
    <w:rsid w:val="004900D7"/>
    <w:rsid w:val="00490157"/>
    <w:rsid w:val="0049074E"/>
    <w:rsid w:val="004919E3"/>
    <w:rsid w:val="004938B4"/>
    <w:rsid w:val="00494530"/>
    <w:rsid w:val="00494A47"/>
    <w:rsid w:val="00494C5D"/>
    <w:rsid w:val="004954CF"/>
    <w:rsid w:val="00496610"/>
    <w:rsid w:val="004977E5"/>
    <w:rsid w:val="00497C68"/>
    <w:rsid w:val="004A04B3"/>
    <w:rsid w:val="004A0652"/>
    <w:rsid w:val="004A0693"/>
    <w:rsid w:val="004A0AF2"/>
    <w:rsid w:val="004A1CC0"/>
    <w:rsid w:val="004A1E00"/>
    <w:rsid w:val="004A3749"/>
    <w:rsid w:val="004A4C81"/>
    <w:rsid w:val="004A5FE8"/>
    <w:rsid w:val="004A766A"/>
    <w:rsid w:val="004A7D50"/>
    <w:rsid w:val="004B02C4"/>
    <w:rsid w:val="004B0AC8"/>
    <w:rsid w:val="004B1012"/>
    <w:rsid w:val="004B1E27"/>
    <w:rsid w:val="004B24C5"/>
    <w:rsid w:val="004B3325"/>
    <w:rsid w:val="004B3E89"/>
    <w:rsid w:val="004B40D9"/>
    <w:rsid w:val="004B43A5"/>
    <w:rsid w:val="004B4B04"/>
    <w:rsid w:val="004B5E6B"/>
    <w:rsid w:val="004B7602"/>
    <w:rsid w:val="004B7C65"/>
    <w:rsid w:val="004B7D70"/>
    <w:rsid w:val="004B7E73"/>
    <w:rsid w:val="004C0237"/>
    <w:rsid w:val="004C0466"/>
    <w:rsid w:val="004C09AF"/>
    <w:rsid w:val="004C0CAB"/>
    <w:rsid w:val="004C1059"/>
    <w:rsid w:val="004C165A"/>
    <w:rsid w:val="004C1A4E"/>
    <w:rsid w:val="004C1F04"/>
    <w:rsid w:val="004C2951"/>
    <w:rsid w:val="004C315F"/>
    <w:rsid w:val="004C3B2E"/>
    <w:rsid w:val="004C4433"/>
    <w:rsid w:val="004C487C"/>
    <w:rsid w:val="004C5873"/>
    <w:rsid w:val="004C5B61"/>
    <w:rsid w:val="004C5FE6"/>
    <w:rsid w:val="004C7035"/>
    <w:rsid w:val="004C7A29"/>
    <w:rsid w:val="004D01E2"/>
    <w:rsid w:val="004D03AF"/>
    <w:rsid w:val="004D10AA"/>
    <w:rsid w:val="004D16C3"/>
    <w:rsid w:val="004D2088"/>
    <w:rsid w:val="004D2580"/>
    <w:rsid w:val="004D2632"/>
    <w:rsid w:val="004D2DC0"/>
    <w:rsid w:val="004D3CB2"/>
    <w:rsid w:val="004D430E"/>
    <w:rsid w:val="004D5241"/>
    <w:rsid w:val="004D5450"/>
    <w:rsid w:val="004D59B5"/>
    <w:rsid w:val="004D6172"/>
    <w:rsid w:val="004D69DD"/>
    <w:rsid w:val="004D73E5"/>
    <w:rsid w:val="004D7798"/>
    <w:rsid w:val="004E0327"/>
    <w:rsid w:val="004E0593"/>
    <w:rsid w:val="004E0740"/>
    <w:rsid w:val="004E0B72"/>
    <w:rsid w:val="004E0C83"/>
    <w:rsid w:val="004E1EAE"/>
    <w:rsid w:val="004E21CD"/>
    <w:rsid w:val="004E2AE8"/>
    <w:rsid w:val="004E33C4"/>
    <w:rsid w:val="004E35A7"/>
    <w:rsid w:val="004E41EF"/>
    <w:rsid w:val="004E428B"/>
    <w:rsid w:val="004E42F0"/>
    <w:rsid w:val="004E623E"/>
    <w:rsid w:val="004F0878"/>
    <w:rsid w:val="004F0B10"/>
    <w:rsid w:val="004F261E"/>
    <w:rsid w:val="004F263E"/>
    <w:rsid w:val="004F28E6"/>
    <w:rsid w:val="004F3702"/>
    <w:rsid w:val="004F417E"/>
    <w:rsid w:val="004F4C9D"/>
    <w:rsid w:val="004F582C"/>
    <w:rsid w:val="004F78E9"/>
    <w:rsid w:val="00500F31"/>
    <w:rsid w:val="00501B3D"/>
    <w:rsid w:val="00502213"/>
    <w:rsid w:val="00503844"/>
    <w:rsid w:val="00503A1D"/>
    <w:rsid w:val="00505891"/>
    <w:rsid w:val="00505A11"/>
    <w:rsid w:val="00505D26"/>
    <w:rsid w:val="00506ECB"/>
    <w:rsid w:val="0050706C"/>
    <w:rsid w:val="005100C0"/>
    <w:rsid w:val="00510814"/>
    <w:rsid w:val="00510B83"/>
    <w:rsid w:val="0051141E"/>
    <w:rsid w:val="00511B4C"/>
    <w:rsid w:val="005137DE"/>
    <w:rsid w:val="00513FA4"/>
    <w:rsid w:val="00514109"/>
    <w:rsid w:val="00515625"/>
    <w:rsid w:val="00515FCA"/>
    <w:rsid w:val="00516747"/>
    <w:rsid w:val="00517B08"/>
    <w:rsid w:val="00520519"/>
    <w:rsid w:val="00520F1E"/>
    <w:rsid w:val="0052254D"/>
    <w:rsid w:val="005228B8"/>
    <w:rsid w:val="005236F7"/>
    <w:rsid w:val="00524384"/>
    <w:rsid w:val="00524531"/>
    <w:rsid w:val="00524862"/>
    <w:rsid w:val="0052509C"/>
    <w:rsid w:val="00527F99"/>
    <w:rsid w:val="005302CD"/>
    <w:rsid w:val="0053039A"/>
    <w:rsid w:val="00530A80"/>
    <w:rsid w:val="00531214"/>
    <w:rsid w:val="00531957"/>
    <w:rsid w:val="00532009"/>
    <w:rsid w:val="00532A90"/>
    <w:rsid w:val="00533E34"/>
    <w:rsid w:val="005341BE"/>
    <w:rsid w:val="00535AE8"/>
    <w:rsid w:val="00535CEA"/>
    <w:rsid w:val="005360DD"/>
    <w:rsid w:val="00536994"/>
    <w:rsid w:val="00537FB3"/>
    <w:rsid w:val="00540A4C"/>
    <w:rsid w:val="005414DA"/>
    <w:rsid w:val="00541DC0"/>
    <w:rsid w:val="00542596"/>
    <w:rsid w:val="005428AF"/>
    <w:rsid w:val="0054392C"/>
    <w:rsid w:val="00544D91"/>
    <w:rsid w:val="00544EFD"/>
    <w:rsid w:val="0054511C"/>
    <w:rsid w:val="00545376"/>
    <w:rsid w:val="005454EC"/>
    <w:rsid w:val="005478F4"/>
    <w:rsid w:val="00547AE6"/>
    <w:rsid w:val="00550B3B"/>
    <w:rsid w:val="00551578"/>
    <w:rsid w:val="00551B85"/>
    <w:rsid w:val="0055267F"/>
    <w:rsid w:val="00552D1C"/>
    <w:rsid w:val="00553010"/>
    <w:rsid w:val="00553472"/>
    <w:rsid w:val="0055347D"/>
    <w:rsid w:val="0055372B"/>
    <w:rsid w:val="0055383C"/>
    <w:rsid w:val="00554C90"/>
    <w:rsid w:val="00555705"/>
    <w:rsid w:val="005570A4"/>
    <w:rsid w:val="00557F4A"/>
    <w:rsid w:val="0056000D"/>
    <w:rsid w:val="005619AF"/>
    <w:rsid w:val="00561A2D"/>
    <w:rsid w:val="00561DDC"/>
    <w:rsid w:val="00561E91"/>
    <w:rsid w:val="005627BE"/>
    <w:rsid w:val="005628A2"/>
    <w:rsid w:val="00562C36"/>
    <w:rsid w:val="00562DFA"/>
    <w:rsid w:val="005632D1"/>
    <w:rsid w:val="005633D2"/>
    <w:rsid w:val="00563609"/>
    <w:rsid w:val="00563649"/>
    <w:rsid w:val="005644B1"/>
    <w:rsid w:val="005661C8"/>
    <w:rsid w:val="00567009"/>
    <w:rsid w:val="005700DB"/>
    <w:rsid w:val="00570AA9"/>
    <w:rsid w:val="00570B39"/>
    <w:rsid w:val="00570C99"/>
    <w:rsid w:val="00571AAD"/>
    <w:rsid w:val="00571EAB"/>
    <w:rsid w:val="00572B9E"/>
    <w:rsid w:val="00573029"/>
    <w:rsid w:val="00573518"/>
    <w:rsid w:val="00573529"/>
    <w:rsid w:val="00574287"/>
    <w:rsid w:val="00574A5D"/>
    <w:rsid w:val="0057523A"/>
    <w:rsid w:val="00575533"/>
    <w:rsid w:val="005800CD"/>
    <w:rsid w:val="00580BD3"/>
    <w:rsid w:val="00582B60"/>
    <w:rsid w:val="00582FBF"/>
    <w:rsid w:val="0058390B"/>
    <w:rsid w:val="00583EE8"/>
    <w:rsid w:val="0058498E"/>
    <w:rsid w:val="005853B7"/>
    <w:rsid w:val="005861D4"/>
    <w:rsid w:val="00586946"/>
    <w:rsid w:val="005869A1"/>
    <w:rsid w:val="00587615"/>
    <w:rsid w:val="00587A84"/>
    <w:rsid w:val="00590F1A"/>
    <w:rsid w:val="00591FCE"/>
    <w:rsid w:val="0059442D"/>
    <w:rsid w:val="00594876"/>
    <w:rsid w:val="005948E6"/>
    <w:rsid w:val="00594D4F"/>
    <w:rsid w:val="00595141"/>
    <w:rsid w:val="0059630D"/>
    <w:rsid w:val="00596311"/>
    <w:rsid w:val="00596893"/>
    <w:rsid w:val="005970F9"/>
    <w:rsid w:val="005974CD"/>
    <w:rsid w:val="0059785F"/>
    <w:rsid w:val="00597984"/>
    <w:rsid w:val="005A055F"/>
    <w:rsid w:val="005A0E0F"/>
    <w:rsid w:val="005A1A22"/>
    <w:rsid w:val="005A2566"/>
    <w:rsid w:val="005A2ADD"/>
    <w:rsid w:val="005A3234"/>
    <w:rsid w:val="005A3A30"/>
    <w:rsid w:val="005A3BE1"/>
    <w:rsid w:val="005A47B9"/>
    <w:rsid w:val="005A500A"/>
    <w:rsid w:val="005A69E4"/>
    <w:rsid w:val="005A6ABA"/>
    <w:rsid w:val="005A6E4D"/>
    <w:rsid w:val="005A7DCB"/>
    <w:rsid w:val="005B0B5E"/>
    <w:rsid w:val="005B176D"/>
    <w:rsid w:val="005B1EB0"/>
    <w:rsid w:val="005B2536"/>
    <w:rsid w:val="005B25AF"/>
    <w:rsid w:val="005B3113"/>
    <w:rsid w:val="005B4BF3"/>
    <w:rsid w:val="005B5009"/>
    <w:rsid w:val="005B53E2"/>
    <w:rsid w:val="005B5B0D"/>
    <w:rsid w:val="005B6E0E"/>
    <w:rsid w:val="005B76A2"/>
    <w:rsid w:val="005B7998"/>
    <w:rsid w:val="005B7FDD"/>
    <w:rsid w:val="005C0346"/>
    <w:rsid w:val="005C16A0"/>
    <w:rsid w:val="005C1925"/>
    <w:rsid w:val="005C1F7F"/>
    <w:rsid w:val="005C25D5"/>
    <w:rsid w:val="005C2EC6"/>
    <w:rsid w:val="005C5124"/>
    <w:rsid w:val="005C5F81"/>
    <w:rsid w:val="005C6197"/>
    <w:rsid w:val="005C68B4"/>
    <w:rsid w:val="005C6E53"/>
    <w:rsid w:val="005C6ECC"/>
    <w:rsid w:val="005C7AB1"/>
    <w:rsid w:val="005D032E"/>
    <w:rsid w:val="005D0331"/>
    <w:rsid w:val="005D0C51"/>
    <w:rsid w:val="005D160B"/>
    <w:rsid w:val="005D1FC6"/>
    <w:rsid w:val="005D240F"/>
    <w:rsid w:val="005D2E8C"/>
    <w:rsid w:val="005D32B6"/>
    <w:rsid w:val="005D3EA4"/>
    <w:rsid w:val="005D4F9D"/>
    <w:rsid w:val="005D5AF6"/>
    <w:rsid w:val="005D6424"/>
    <w:rsid w:val="005E01D6"/>
    <w:rsid w:val="005E08F2"/>
    <w:rsid w:val="005E1254"/>
    <w:rsid w:val="005E146A"/>
    <w:rsid w:val="005E2106"/>
    <w:rsid w:val="005E2460"/>
    <w:rsid w:val="005E2807"/>
    <w:rsid w:val="005E2C36"/>
    <w:rsid w:val="005E301D"/>
    <w:rsid w:val="005E3034"/>
    <w:rsid w:val="005E3821"/>
    <w:rsid w:val="005E3B2E"/>
    <w:rsid w:val="005E3C65"/>
    <w:rsid w:val="005E3E42"/>
    <w:rsid w:val="005E446F"/>
    <w:rsid w:val="005E5650"/>
    <w:rsid w:val="005E58A5"/>
    <w:rsid w:val="005E70C2"/>
    <w:rsid w:val="005E75AE"/>
    <w:rsid w:val="005F018B"/>
    <w:rsid w:val="005F07CE"/>
    <w:rsid w:val="005F0CA2"/>
    <w:rsid w:val="005F11E9"/>
    <w:rsid w:val="005F1607"/>
    <w:rsid w:val="005F16AA"/>
    <w:rsid w:val="005F3743"/>
    <w:rsid w:val="005F5001"/>
    <w:rsid w:val="005F7794"/>
    <w:rsid w:val="00600778"/>
    <w:rsid w:val="00600A51"/>
    <w:rsid w:val="006028C4"/>
    <w:rsid w:val="00603F80"/>
    <w:rsid w:val="00605054"/>
    <w:rsid w:val="006050E2"/>
    <w:rsid w:val="00605EAB"/>
    <w:rsid w:val="0060612D"/>
    <w:rsid w:val="00606BE8"/>
    <w:rsid w:val="00606D96"/>
    <w:rsid w:val="00606DFC"/>
    <w:rsid w:val="00606ED7"/>
    <w:rsid w:val="00606F43"/>
    <w:rsid w:val="00606FC1"/>
    <w:rsid w:val="00607B15"/>
    <w:rsid w:val="00610A70"/>
    <w:rsid w:val="00611D63"/>
    <w:rsid w:val="006122B8"/>
    <w:rsid w:val="0061276C"/>
    <w:rsid w:val="00612D4D"/>
    <w:rsid w:val="00613D97"/>
    <w:rsid w:val="006147B5"/>
    <w:rsid w:val="00616933"/>
    <w:rsid w:val="006170EB"/>
    <w:rsid w:val="00617108"/>
    <w:rsid w:val="00617CBF"/>
    <w:rsid w:val="0062023F"/>
    <w:rsid w:val="006202BB"/>
    <w:rsid w:val="00620A4C"/>
    <w:rsid w:val="00620DC8"/>
    <w:rsid w:val="00621F91"/>
    <w:rsid w:val="006223CF"/>
    <w:rsid w:val="00623025"/>
    <w:rsid w:val="00623B12"/>
    <w:rsid w:val="00623EBB"/>
    <w:rsid w:val="0062453E"/>
    <w:rsid w:val="006245CA"/>
    <w:rsid w:val="00624AF1"/>
    <w:rsid w:val="00624DFB"/>
    <w:rsid w:val="006251AB"/>
    <w:rsid w:val="00625515"/>
    <w:rsid w:val="00625689"/>
    <w:rsid w:val="00626157"/>
    <w:rsid w:val="00626A34"/>
    <w:rsid w:val="00627214"/>
    <w:rsid w:val="006304C7"/>
    <w:rsid w:val="0063061F"/>
    <w:rsid w:val="00632311"/>
    <w:rsid w:val="006325C7"/>
    <w:rsid w:val="00632677"/>
    <w:rsid w:val="00633B33"/>
    <w:rsid w:val="00633B9B"/>
    <w:rsid w:val="006340DF"/>
    <w:rsid w:val="006344C3"/>
    <w:rsid w:val="006357F1"/>
    <w:rsid w:val="00635C31"/>
    <w:rsid w:val="00635CCF"/>
    <w:rsid w:val="00635F94"/>
    <w:rsid w:val="00640B2D"/>
    <w:rsid w:val="00640F80"/>
    <w:rsid w:val="00641465"/>
    <w:rsid w:val="006415CB"/>
    <w:rsid w:val="00641D31"/>
    <w:rsid w:val="0064358E"/>
    <w:rsid w:val="00643A8A"/>
    <w:rsid w:val="006446F3"/>
    <w:rsid w:val="0064516F"/>
    <w:rsid w:val="006462AA"/>
    <w:rsid w:val="00646809"/>
    <w:rsid w:val="00646965"/>
    <w:rsid w:val="006476D4"/>
    <w:rsid w:val="00650CCD"/>
    <w:rsid w:val="00652397"/>
    <w:rsid w:val="00652921"/>
    <w:rsid w:val="00652A42"/>
    <w:rsid w:val="00655490"/>
    <w:rsid w:val="006572A1"/>
    <w:rsid w:val="00657D5F"/>
    <w:rsid w:val="00657E4D"/>
    <w:rsid w:val="00660236"/>
    <w:rsid w:val="006602A7"/>
    <w:rsid w:val="0066079A"/>
    <w:rsid w:val="00660DAC"/>
    <w:rsid w:val="00662F50"/>
    <w:rsid w:val="00663B5E"/>
    <w:rsid w:val="00663CDB"/>
    <w:rsid w:val="00663FE2"/>
    <w:rsid w:val="00664768"/>
    <w:rsid w:val="006650EF"/>
    <w:rsid w:val="0066525F"/>
    <w:rsid w:val="006654D8"/>
    <w:rsid w:val="006656F3"/>
    <w:rsid w:val="006657FB"/>
    <w:rsid w:val="00665B9D"/>
    <w:rsid w:val="00665BD6"/>
    <w:rsid w:val="006673A9"/>
    <w:rsid w:val="00670780"/>
    <w:rsid w:val="006715D5"/>
    <w:rsid w:val="00671F4A"/>
    <w:rsid w:val="006721E0"/>
    <w:rsid w:val="0067238C"/>
    <w:rsid w:val="00672657"/>
    <w:rsid w:val="00673894"/>
    <w:rsid w:val="006742E0"/>
    <w:rsid w:val="00674C02"/>
    <w:rsid w:val="0067697D"/>
    <w:rsid w:val="00676D42"/>
    <w:rsid w:val="00680CB0"/>
    <w:rsid w:val="00680F21"/>
    <w:rsid w:val="006818CB"/>
    <w:rsid w:val="006819C0"/>
    <w:rsid w:val="0068249B"/>
    <w:rsid w:val="006841F4"/>
    <w:rsid w:val="00684307"/>
    <w:rsid w:val="00684846"/>
    <w:rsid w:val="006848AB"/>
    <w:rsid w:val="00684FAE"/>
    <w:rsid w:val="00685194"/>
    <w:rsid w:val="0068553A"/>
    <w:rsid w:val="00687829"/>
    <w:rsid w:val="006879D0"/>
    <w:rsid w:val="006879EC"/>
    <w:rsid w:val="00687B54"/>
    <w:rsid w:val="00690E12"/>
    <w:rsid w:val="00690E62"/>
    <w:rsid w:val="006913FC"/>
    <w:rsid w:val="00691D03"/>
    <w:rsid w:val="00692BD3"/>
    <w:rsid w:val="00692E57"/>
    <w:rsid w:val="00693594"/>
    <w:rsid w:val="006940D9"/>
    <w:rsid w:val="006943F9"/>
    <w:rsid w:val="00694ED0"/>
    <w:rsid w:val="00695447"/>
    <w:rsid w:val="00695761"/>
    <w:rsid w:val="00695B02"/>
    <w:rsid w:val="00696937"/>
    <w:rsid w:val="0069728F"/>
    <w:rsid w:val="006A011A"/>
    <w:rsid w:val="006A0244"/>
    <w:rsid w:val="006A0DC9"/>
    <w:rsid w:val="006A112C"/>
    <w:rsid w:val="006A1461"/>
    <w:rsid w:val="006A21BB"/>
    <w:rsid w:val="006A2923"/>
    <w:rsid w:val="006A3160"/>
    <w:rsid w:val="006A36F2"/>
    <w:rsid w:val="006A3CC0"/>
    <w:rsid w:val="006A4C35"/>
    <w:rsid w:val="006A58A3"/>
    <w:rsid w:val="006A699F"/>
    <w:rsid w:val="006A70C0"/>
    <w:rsid w:val="006A773D"/>
    <w:rsid w:val="006B02C1"/>
    <w:rsid w:val="006B0B8B"/>
    <w:rsid w:val="006B0F21"/>
    <w:rsid w:val="006B1B51"/>
    <w:rsid w:val="006B2636"/>
    <w:rsid w:val="006B2B5A"/>
    <w:rsid w:val="006B31BE"/>
    <w:rsid w:val="006B38CA"/>
    <w:rsid w:val="006B4002"/>
    <w:rsid w:val="006B4937"/>
    <w:rsid w:val="006B4C88"/>
    <w:rsid w:val="006B51D0"/>
    <w:rsid w:val="006B7CA5"/>
    <w:rsid w:val="006C146F"/>
    <w:rsid w:val="006C1783"/>
    <w:rsid w:val="006C1EC2"/>
    <w:rsid w:val="006C1EE6"/>
    <w:rsid w:val="006C21B8"/>
    <w:rsid w:val="006C2A0E"/>
    <w:rsid w:val="006C2FAD"/>
    <w:rsid w:val="006C3EB1"/>
    <w:rsid w:val="006C432C"/>
    <w:rsid w:val="006C50A2"/>
    <w:rsid w:val="006C5E97"/>
    <w:rsid w:val="006C6200"/>
    <w:rsid w:val="006C69AC"/>
    <w:rsid w:val="006C72C4"/>
    <w:rsid w:val="006D0491"/>
    <w:rsid w:val="006D0650"/>
    <w:rsid w:val="006D08BB"/>
    <w:rsid w:val="006D1BE3"/>
    <w:rsid w:val="006D22E1"/>
    <w:rsid w:val="006D22EE"/>
    <w:rsid w:val="006D349E"/>
    <w:rsid w:val="006D38C0"/>
    <w:rsid w:val="006D5A37"/>
    <w:rsid w:val="006D63A0"/>
    <w:rsid w:val="006D709A"/>
    <w:rsid w:val="006D70E7"/>
    <w:rsid w:val="006D7201"/>
    <w:rsid w:val="006D7659"/>
    <w:rsid w:val="006D7752"/>
    <w:rsid w:val="006D7E83"/>
    <w:rsid w:val="006D7FC4"/>
    <w:rsid w:val="006E1446"/>
    <w:rsid w:val="006E2235"/>
    <w:rsid w:val="006E2523"/>
    <w:rsid w:val="006E282F"/>
    <w:rsid w:val="006E32DA"/>
    <w:rsid w:val="006E35E8"/>
    <w:rsid w:val="006E3FB3"/>
    <w:rsid w:val="006E5264"/>
    <w:rsid w:val="006E5F5F"/>
    <w:rsid w:val="006F057B"/>
    <w:rsid w:val="006F0B66"/>
    <w:rsid w:val="006F110A"/>
    <w:rsid w:val="006F22CE"/>
    <w:rsid w:val="006F2D7B"/>
    <w:rsid w:val="006F32AA"/>
    <w:rsid w:val="006F4130"/>
    <w:rsid w:val="006F4902"/>
    <w:rsid w:val="006F5984"/>
    <w:rsid w:val="006F5C81"/>
    <w:rsid w:val="006F62BF"/>
    <w:rsid w:val="006F70BE"/>
    <w:rsid w:val="006F771E"/>
    <w:rsid w:val="007006DB"/>
    <w:rsid w:val="00703CFD"/>
    <w:rsid w:val="0070440C"/>
    <w:rsid w:val="007045FC"/>
    <w:rsid w:val="007048BB"/>
    <w:rsid w:val="00705CF4"/>
    <w:rsid w:val="00705DF9"/>
    <w:rsid w:val="00706579"/>
    <w:rsid w:val="0070673A"/>
    <w:rsid w:val="00706D0D"/>
    <w:rsid w:val="00706D9E"/>
    <w:rsid w:val="0070717F"/>
    <w:rsid w:val="007102B9"/>
    <w:rsid w:val="007103FF"/>
    <w:rsid w:val="00710980"/>
    <w:rsid w:val="007115C7"/>
    <w:rsid w:val="0071186F"/>
    <w:rsid w:val="00711E1A"/>
    <w:rsid w:val="00712BC5"/>
    <w:rsid w:val="00713A51"/>
    <w:rsid w:val="00713FDF"/>
    <w:rsid w:val="007141F6"/>
    <w:rsid w:val="00714AF5"/>
    <w:rsid w:val="00714B21"/>
    <w:rsid w:val="00714BC1"/>
    <w:rsid w:val="00715364"/>
    <w:rsid w:val="007153A2"/>
    <w:rsid w:val="00716535"/>
    <w:rsid w:val="007167DF"/>
    <w:rsid w:val="00716B1D"/>
    <w:rsid w:val="00716C29"/>
    <w:rsid w:val="00717275"/>
    <w:rsid w:val="00717D4B"/>
    <w:rsid w:val="0072031A"/>
    <w:rsid w:val="0072032D"/>
    <w:rsid w:val="00721133"/>
    <w:rsid w:val="007215FA"/>
    <w:rsid w:val="00721C39"/>
    <w:rsid w:val="0072247C"/>
    <w:rsid w:val="00722A0D"/>
    <w:rsid w:val="00722C67"/>
    <w:rsid w:val="007230B2"/>
    <w:rsid w:val="00723595"/>
    <w:rsid w:val="00723D32"/>
    <w:rsid w:val="00723E48"/>
    <w:rsid w:val="00724332"/>
    <w:rsid w:val="00724D30"/>
    <w:rsid w:val="007261FA"/>
    <w:rsid w:val="00726AB8"/>
    <w:rsid w:val="00726D14"/>
    <w:rsid w:val="00727742"/>
    <w:rsid w:val="00727CE0"/>
    <w:rsid w:val="00730779"/>
    <w:rsid w:val="00730A5F"/>
    <w:rsid w:val="00731184"/>
    <w:rsid w:val="00732353"/>
    <w:rsid w:val="00733F9A"/>
    <w:rsid w:val="00734043"/>
    <w:rsid w:val="00734EFF"/>
    <w:rsid w:val="00735084"/>
    <w:rsid w:val="00735194"/>
    <w:rsid w:val="0073539F"/>
    <w:rsid w:val="00736A73"/>
    <w:rsid w:val="00736D44"/>
    <w:rsid w:val="007370E1"/>
    <w:rsid w:val="00737873"/>
    <w:rsid w:val="0074002B"/>
    <w:rsid w:val="007404FC"/>
    <w:rsid w:val="00740973"/>
    <w:rsid w:val="0074171B"/>
    <w:rsid w:val="00741AF4"/>
    <w:rsid w:val="00742017"/>
    <w:rsid w:val="00742386"/>
    <w:rsid w:val="00742423"/>
    <w:rsid w:val="007429AF"/>
    <w:rsid w:val="007430E3"/>
    <w:rsid w:val="00743679"/>
    <w:rsid w:val="00743DD2"/>
    <w:rsid w:val="00744AAF"/>
    <w:rsid w:val="007451EC"/>
    <w:rsid w:val="00745455"/>
    <w:rsid w:val="0074577D"/>
    <w:rsid w:val="007457FA"/>
    <w:rsid w:val="00745E26"/>
    <w:rsid w:val="007461ED"/>
    <w:rsid w:val="00746993"/>
    <w:rsid w:val="00746A19"/>
    <w:rsid w:val="00746FC9"/>
    <w:rsid w:val="00747B8A"/>
    <w:rsid w:val="00747F87"/>
    <w:rsid w:val="00750082"/>
    <w:rsid w:val="0075024A"/>
    <w:rsid w:val="00750782"/>
    <w:rsid w:val="00750A07"/>
    <w:rsid w:val="00750FE3"/>
    <w:rsid w:val="00751215"/>
    <w:rsid w:val="00751797"/>
    <w:rsid w:val="00751C1F"/>
    <w:rsid w:val="00751EF4"/>
    <w:rsid w:val="00752F03"/>
    <w:rsid w:val="00753220"/>
    <w:rsid w:val="0075490D"/>
    <w:rsid w:val="00754EBA"/>
    <w:rsid w:val="007554D6"/>
    <w:rsid w:val="00755627"/>
    <w:rsid w:val="007560B3"/>
    <w:rsid w:val="00757056"/>
    <w:rsid w:val="00760610"/>
    <w:rsid w:val="00760EDA"/>
    <w:rsid w:val="00761705"/>
    <w:rsid w:val="007625E6"/>
    <w:rsid w:val="00762854"/>
    <w:rsid w:val="007628A0"/>
    <w:rsid w:val="00762FD7"/>
    <w:rsid w:val="00763662"/>
    <w:rsid w:val="0076395D"/>
    <w:rsid w:val="007641CF"/>
    <w:rsid w:val="007655DE"/>
    <w:rsid w:val="0076634F"/>
    <w:rsid w:val="00766DE8"/>
    <w:rsid w:val="00767D27"/>
    <w:rsid w:val="00770178"/>
    <w:rsid w:val="00770598"/>
    <w:rsid w:val="00771DD4"/>
    <w:rsid w:val="00771FB0"/>
    <w:rsid w:val="00772421"/>
    <w:rsid w:val="007724AC"/>
    <w:rsid w:val="00773C53"/>
    <w:rsid w:val="00773D15"/>
    <w:rsid w:val="007740DD"/>
    <w:rsid w:val="0077416A"/>
    <w:rsid w:val="0077432E"/>
    <w:rsid w:val="007743C0"/>
    <w:rsid w:val="00775091"/>
    <w:rsid w:val="00775137"/>
    <w:rsid w:val="00775B7B"/>
    <w:rsid w:val="00777019"/>
    <w:rsid w:val="00777852"/>
    <w:rsid w:val="007778C7"/>
    <w:rsid w:val="00777C3A"/>
    <w:rsid w:val="0078047A"/>
    <w:rsid w:val="007823D9"/>
    <w:rsid w:val="00782807"/>
    <w:rsid w:val="00783AC3"/>
    <w:rsid w:val="007840E3"/>
    <w:rsid w:val="007844EB"/>
    <w:rsid w:val="00785790"/>
    <w:rsid w:val="00785859"/>
    <w:rsid w:val="00786363"/>
    <w:rsid w:val="00786DC1"/>
    <w:rsid w:val="00787364"/>
    <w:rsid w:val="00787692"/>
    <w:rsid w:val="0079053E"/>
    <w:rsid w:val="007905D9"/>
    <w:rsid w:val="00790E5F"/>
    <w:rsid w:val="00790F72"/>
    <w:rsid w:val="00792BBE"/>
    <w:rsid w:val="00792CC0"/>
    <w:rsid w:val="007930CE"/>
    <w:rsid w:val="00793E5A"/>
    <w:rsid w:val="00794483"/>
    <w:rsid w:val="00794E6F"/>
    <w:rsid w:val="00795B27"/>
    <w:rsid w:val="00795C7A"/>
    <w:rsid w:val="007961D1"/>
    <w:rsid w:val="00796ABF"/>
    <w:rsid w:val="00797BD0"/>
    <w:rsid w:val="00797CF4"/>
    <w:rsid w:val="007A11FB"/>
    <w:rsid w:val="007A1B38"/>
    <w:rsid w:val="007A37B8"/>
    <w:rsid w:val="007A3D2A"/>
    <w:rsid w:val="007A4F13"/>
    <w:rsid w:val="007A58B7"/>
    <w:rsid w:val="007A6102"/>
    <w:rsid w:val="007A6CEF"/>
    <w:rsid w:val="007A6EC6"/>
    <w:rsid w:val="007B0FF0"/>
    <w:rsid w:val="007B1C12"/>
    <w:rsid w:val="007B2B8C"/>
    <w:rsid w:val="007B3269"/>
    <w:rsid w:val="007B43DA"/>
    <w:rsid w:val="007B4628"/>
    <w:rsid w:val="007B4E70"/>
    <w:rsid w:val="007B50FC"/>
    <w:rsid w:val="007B53EB"/>
    <w:rsid w:val="007B56AA"/>
    <w:rsid w:val="007B6743"/>
    <w:rsid w:val="007B692F"/>
    <w:rsid w:val="007B6F19"/>
    <w:rsid w:val="007B700B"/>
    <w:rsid w:val="007B793C"/>
    <w:rsid w:val="007B7E8B"/>
    <w:rsid w:val="007C029F"/>
    <w:rsid w:val="007C0BC8"/>
    <w:rsid w:val="007C1C41"/>
    <w:rsid w:val="007C2FE8"/>
    <w:rsid w:val="007C30DF"/>
    <w:rsid w:val="007C38BF"/>
    <w:rsid w:val="007C3AA1"/>
    <w:rsid w:val="007C491E"/>
    <w:rsid w:val="007C519D"/>
    <w:rsid w:val="007C5CDF"/>
    <w:rsid w:val="007C649B"/>
    <w:rsid w:val="007D04AC"/>
    <w:rsid w:val="007D0619"/>
    <w:rsid w:val="007D0A4B"/>
    <w:rsid w:val="007D0D57"/>
    <w:rsid w:val="007D13B6"/>
    <w:rsid w:val="007D1686"/>
    <w:rsid w:val="007D1C0E"/>
    <w:rsid w:val="007D1C4E"/>
    <w:rsid w:val="007D216A"/>
    <w:rsid w:val="007D2644"/>
    <w:rsid w:val="007D29C4"/>
    <w:rsid w:val="007D33E0"/>
    <w:rsid w:val="007D35EF"/>
    <w:rsid w:val="007D3CB6"/>
    <w:rsid w:val="007D44AB"/>
    <w:rsid w:val="007D51DB"/>
    <w:rsid w:val="007D65B4"/>
    <w:rsid w:val="007D68D6"/>
    <w:rsid w:val="007D7270"/>
    <w:rsid w:val="007E0B9A"/>
    <w:rsid w:val="007E0D5C"/>
    <w:rsid w:val="007E3953"/>
    <w:rsid w:val="007E3A75"/>
    <w:rsid w:val="007E5215"/>
    <w:rsid w:val="007E5EA3"/>
    <w:rsid w:val="007E714D"/>
    <w:rsid w:val="007E78AB"/>
    <w:rsid w:val="007F1118"/>
    <w:rsid w:val="007F15AA"/>
    <w:rsid w:val="007F1A06"/>
    <w:rsid w:val="007F1B0D"/>
    <w:rsid w:val="007F2123"/>
    <w:rsid w:val="007F32C3"/>
    <w:rsid w:val="007F3813"/>
    <w:rsid w:val="007F4132"/>
    <w:rsid w:val="007F4D8D"/>
    <w:rsid w:val="007F5257"/>
    <w:rsid w:val="007F62CC"/>
    <w:rsid w:val="007F6AAF"/>
    <w:rsid w:val="007F7C45"/>
    <w:rsid w:val="00800B21"/>
    <w:rsid w:val="00800E9E"/>
    <w:rsid w:val="00801B32"/>
    <w:rsid w:val="008032CF"/>
    <w:rsid w:val="00803E6C"/>
    <w:rsid w:val="00804FBB"/>
    <w:rsid w:val="00805111"/>
    <w:rsid w:val="00805373"/>
    <w:rsid w:val="00805857"/>
    <w:rsid w:val="00805A20"/>
    <w:rsid w:val="008073A9"/>
    <w:rsid w:val="008076CB"/>
    <w:rsid w:val="00807B4A"/>
    <w:rsid w:val="00807BE9"/>
    <w:rsid w:val="00807D20"/>
    <w:rsid w:val="00810280"/>
    <w:rsid w:val="008105AA"/>
    <w:rsid w:val="008109E4"/>
    <w:rsid w:val="00811184"/>
    <w:rsid w:val="00811B00"/>
    <w:rsid w:val="0081232E"/>
    <w:rsid w:val="00812CCA"/>
    <w:rsid w:val="00812F72"/>
    <w:rsid w:val="00813172"/>
    <w:rsid w:val="00814B23"/>
    <w:rsid w:val="00814E7B"/>
    <w:rsid w:val="00816C60"/>
    <w:rsid w:val="0081708F"/>
    <w:rsid w:val="00817B19"/>
    <w:rsid w:val="00817DE6"/>
    <w:rsid w:val="0082097A"/>
    <w:rsid w:val="008225A9"/>
    <w:rsid w:val="00822702"/>
    <w:rsid w:val="008245A0"/>
    <w:rsid w:val="00824A3F"/>
    <w:rsid w:val="00824D72"/>
    <w:rsid w:val="008258FE"/>
    <w:rsid w:val="00826AAF"/>
    <w:rsid w:val="0082744D"/>
    <w:rsid w:val="00827BD0"/>
    <w:rsid w:val="00830810"/>
    <w:rsid w:val="00830E46"/>
    <w:rsid w:val="00831962"/>
    <w:rsid w:val="00831B25"/>
    <w:rsid w:val="00831B3B"/>
    <w:rsid w:val="00831EAF"/>
    <w:rsid w:val="00831FAE"/>
    <w:rsid w:val="0083203A"/>
    <w:rsid w:val="008320B1"/>
    <w:rsid w:val="00832B42"/>
    <w:rsid w:val="00834B39"/>
    <w:rsid w:val="0083547C"/>
    <w:rsid w:val="0083579F"/>
    <w:rsid w:val="00835803"/>
    <w:rsid w:val="0083596F"/>
    <w:rsid w:val="00835DA2"/>
    <w:rsid w:val="008371DC"/>
    <w:rsid w:val="008401A8"/>
    <w:rsid w:val="0084022E"/>
    <w:rsid w:val="0084080C"/>
    <w:rsid w:val="00840A75"/>
    <w:rsid w:val="008411BC"/>
    <w:rsid w:val="00841521"/>
    <w:rsid w:val="00842371"/>
    <w:rsid w:val="008426CF"/>
    <w:rsid w:val="008433EE"/>
    <w:rsid w:val="00843A95"/>
    <w:rsid w:val="00844394"/>
    <w:rsid w:val="00845250"/>
    <w:rsid w:val="0084536C"/>
    <w:rsid w:val="00846702"/>
    <w:rsid w:val="008471B8"/>
    <w:rsid w:val="0084748B"/>
    <w:rsid w:val="0085029E"/>
    <w:rsid w:val="008505A9"/>
    <w:rsid w:val="00850FEE"/>
    <w:rsid w:val="0085286B"/>
    <w:rsid w:val="008532E1"/>
    <w:rsid w:val="00853630"/>
    <w:rsid w:val="00853955"/>
    <w:rsid w:val="00853F23"/>
    <w:rsid w:val="00854109"/>
    <w:rsid w:val="00854E22"/>
    <w:rsid w:val="008556C0"/>
    <w:rsid w:val="008568D8"/>
    <w:rsid w:val="00856A5B"/>
    <w:rsid w:val="008576BD"/>
    <w:rsid w:val="00857984"/>
    <w:rsid w:val="00857D9D"/>
    <w:rsid w:val="00861774"/>
    <w:rsid w:val="00861BBA"/>
    <w:rsid w:val="0086272C"/>
    <w:rsid w:val="0086277E"/>
    <w:rsid w:val="008635CD"/>
    <w:rsid w:val="00863B6B"/>
    <w:rsid w:val="00865063"/>
    <w:rsid w:val="00865664"/>
    <w:rsid w:val="00866A66"/>
    <w:rsid w:val="008679A5"/>
    <w:rsid w:val="00867F7B"/>
    <w:rsid w:val="00870239"/>
    <w:rsid w:val="00870376"/>
    <w:rsid w:val="00870825"/>
    <w:rsid w:val="0087094B"/>
    <w:rsid w:val="00870C3C"/>
    <w:rsid w:val="00870C81"/>
    <w:rsid w:val="00871054"/>
    <w:rsid w:val="008728B4"/>
    <w:rsid w:val="008729A7"/>
    <w:rsid w:val="008737B1"/>
    <w:rsid w:val="00873DF2"/>
    <w:rsid w:val="00875144"/>
    <w:rsid w:val="00875A88"/>
    <w:rsid w:val="00875C24"/>
    <w:rsid w:val="00876814"/>
    <w:rsid w:val="00876B12"/>
    <w:rsid w:val="008775F4"/>
    <w:rsid w:val="00877B2F"/>
    <w:rsid w:val="00877E93"/>
    <w:rsid w:val="0088117E"/>
    <w:rsid w:val="0088171A"/>
    <w:rsid w:val="0088304B"/>
    <w:rsid w:val="0088409F"/>
    <w:rsid w:val="00884696"/>
    <w:rsid w:val="00884855"/>
    <w:rsid w:val="0088486A"/>
    <w:rsid w:val="00884D54"/>
    <w:rsid w:val="00884E4A"/>
    <w:rsid w:val="0088594C"/>
    <w:rsid w:val="00886058"/>
    <w:rsid w:val="00887535"/>
    <w:rsid w:val="00887B99"/>
    <w:rsid w:val="008901BA"/>
    <w:rsid w:val="00890248"/>
    <w:rsid w:val="00890CE2"/>
    <w:rsid w:val="00890FB4"/>
    <w:rsid w:val="00891766"/>
    <w:rsid w:val="008922C6"/>
    <w:rsid w:val="00893F62"/>
    <w:rsid w:val="0089463B"/>
    <w:rsid w:val="00894BD4"/>
    <w:rsid w:val="008951AE"/>
    <w:rsid w:val="008951E1"/>
    <w:rsid w:val="00895447"/>
    <w:rsid w:val="0089579C"/>
    <w:rsid w:val="00895CCF"/>
    <w:rsid w:val="008968DB"/>
    <w:rsid w:val="008A00F2"/>
    <w:rsid w:val="008A0B31"/>
    <w:rsid w:val="008A0B4C"/>
    <w:rsid w:val="008A0C5A"/>
    <w:rsid w:val="008A16CC"/>
    <w:rsid w:val="008A1AF9"/>
    <w:rsid w:val="008A238F"/>
    <w:rsid w:val="008A239E"/>
    <w:rsid w:val="008A2638"/>
    <w:rsid w:val="008A3C08"/>
    <w:rsid w:val="008A3D59"/>
    <w:rsid w:val="008A425D"/>
    <w:rsid w:val="008A46E9"/>
    <w:rsid w:val="008A4CCC"/>
    <w:rsid w:val="008A4F4E"/>
    <w:rsid w:val="008A504A"/>
    <w:rsid w:val="008A5295"/>
    <w:rsid w:val="008A5EFA"/>
    <w:rsid w:val="008A630A"/>
    <w:rsid w:val="008A6A78"/>
    <w:rsid w:val="008A6C5C"/>
    <w:rsid w:val="008A70D3"/>
    <w:rsid w:val="008A737F"/>
    <w:rsid w:val="008B0EF8"/>
    <w:rsid w:val="008B1125"/>
    <w:rsid w:val="008B1250"/>
    <w:rsid w:val="008B161E"/>
    <w:rsid w:val="008B1EA5"/>
    <w:rsid w:val="008B25B5"/>
    <w:rsid w:val="008B3558"/>
    <w:rsid w:val="008B3819"/>
    <w:rsid w:val="008B3F6B"/>
    <w:rsid w:val="008B4032"/>
    <w:rsid w:val="008B40AA"/>
    <w:rsid w:val="008B53FB"/>
    <w:rsid w:val="008B588F"/>
    <w:rsid w:val="008B5C64"/>
    <w:rsid w:val="008B60A8"/>
    <w:rsid w:val="008B61D6"/>
    <w:rsid w:val="008B6397"/>
    <w:rsid w:val="008B6401"/>
    <w:rsid w:val="008B6D2B"/>
    <w:rsid w:val="008B6F9F"/>
    <w:rsid w:val="008B7110"/>
    <w:rsid w:val="008B77E3"/>
    <w:rsid w:val="008C09A6"/>
    <w:rsid w:val="008C0F2E"/>
    <w:rsid w:val="008C1B15"/>
    <w:rsid w:val="008C2296"/>
    <w:rsid w:val="008C2B6C"/>
    <w:rsid w:val="008C2B82"/>
    <w:rsid w:val="008C2D4F"/>
    <w:rsid w:val="008C2F3F"/>
    <w:rsid w:val="008C52D3"/>
    <w:rsid w:val="008C575A"/>
    <w:rsid w:val="008C5A39"/>
    <w:rsid w:val="008C5F44"/>
    <w:rsid w:val="008C6722"/>
    <w:rsid w:val="008C6ADB"/>
    <w:rsid w:val="008C7B0F"/>
    <w:rsid w:val="008D19C4"/>
    <w:rsid w:val="008D1B43"/>
    <w:rsid w:val="008D3914"/>
    <w:rsid w:val="008D4477"/>
    <w:rsid w:val="008D4B93"/>
    <w:rsid w:val="008D4DF1"/>
    <w:rsid w:val="008D4EBC"/>
    <w:rsid w:val="008D4EEE"/>
    <w:rsid w:val="008D562C"/>
    <w:rsid w:val="008D6357"/>
    <w:rsid w:val="008D7BC4"/>
    <w:rsid w:val="008E024C"/>
    <w:rsid w:val="008E23D6"/>
    <w:rsid w:val="008E2612"/>
    <w:rsid w:val="008E3858"/>
    <w:rsid w:val="008E3A9E"/>
    <w:rsid w:val="008E5497"/>
    <w:rsid w:val="008E64F8"/>
    <w:rsid w:val="008E66E8"/>
    <w:rsid w:val="008E7013"/>
    <w:rsid w:val="008E710D"/>
    <w:rsid w:val="008E71A1"/>
    <w:rsid w:val="008E731C"/>
    <w:rsid w:val="008E75A3"/>
    <w:rsid w:val="008E7DF3"/>
    <w:rsid w:val="008E7FB6"/>
    <w:rsid w:val="008F0566"/>
    <w:rsid w:val="008F1823"/>
    <w:rsid w:val="008F1C71"/>
    <w:rsid w:val="008F2610"/>
    <w:rsid w:val="008F2C41"/>
    <w:rsid w:val="008F3402"/>
    <w:rsid w:val="008F3976"/>
    <w:rsid w:val="008F3B97"/>
    <w:rsid w:val="008F46CE"/>
    <w:rsid w:val="008F4B89"/>
    <w:rsid w:val="008F4F1A"/>
    <w:rsid w:val="008F5A63"/>
    <w:rsid w:val="008F5BF8"/>
    <w:rsid w:val="008F6E81"/>
    <w:rsid w:val="008F73A2"/>
    <w:rsid w:val="00900071"/>
    <w:rsid w:val="009001A9"/>
    <w:rsid w:val="00900ACE"/>
    <w:rsid w:val="00901CCB"/>
    <w:rsid w:val="00901DED"/>
    <w:rsid w:val="00902462"/>
    <w:rsid w:val="009025BF"/>
    <w:rsid w:val="00902BCE"/>
    <w:rsid w:val="009031F7"/>
    <w:rsid w:val="00903479"/>
    <w:rsid w:val="00903C14"/>
    <w:rsid w:val="00904C82"/>
    <w:rsid w:val="00904E74"/>
    <w:rsid w:val="009052DE"/>
    <w:rsid w:val="0090634D"/>
    <w:rsid w:val="0090724C"/>
    <w:rsid w:val="0091050E"/>
    <w:rsid w:val="009108B3"/>
    <w:rsid w:val="00910D94"/>
    <w:rsid w:val="00910E80"/>
    <w:rsid w:val="009111B1"/>
    <w:rsid w:val="00911D6C"/>
    <w:rsid w:val="00912318"/>
    <w:rsid w:val="00912CB8"/>
    <w:rsid w:val="00913136"/>
    <w:rsid w:val="00914F3F"/>
    <w:rsid w:val="00915208"/>
    <w:rsid w:val="009153C4"/>
    <w:rsid w:val="00915BA0"/>
    <w:rsid w:val="00915F2F"/>
    <w:rsid w:val="00916189"/>
    <w:rsid w:val="00917F29"/>
    <w:rsid w:val="009225A4"/>
    <w:rsid w:val="009227BD"/>
    <w:rsid w:val="009231BC"/>
    <w:rsid w:val="009235C1"/>
    <w:rsid w:val="009237CA"/>
    <w:rsid w:val="00923A80"/>
    <w:rsid w:val="00924B39"/>
    <w:rsid w:val="00924CA6"/>
    <w:rsid w:val="009254FD"/>
    <w:rsid w:val="009273B8"/>
    <w:rsid w:val="009277FC"/>
    <w:rsid w:val="009278D4"/>
    <w:rsid w:val="00927EEB"/>
    <w:rsid w:val="00927EFC"/>
    <w:rsid w:val="0093015E"/>
    <w:rsid w:val="009301DC"/>
    <w:rsid w:val="00930277"/>
    <w:rsid w:val="00930AB8"/>
    <w:rsid w:val="00930D3B"/>
    <w:rsid w:val="00931257"/>
    <w:rsid w:val="009312BB"/>
    <w:rsid w:val="009315A4"/>
    <w:rsid w:val="00931F8A"/>
    <w:rsid w:val="009328F3"/>
    <w:rsid w:val="00933433"/>
    <w:rsid w:val="009339DA"/>
    <w:rsid w:val="00934425"/>
    <w:rsid w:val="00935358"/>
    <w:rsid w:val="00936DC8"/>
    <w:rsid w:val="00936FB8"/>
    <w:rsid w:val="00937568"/>
    <w:rsid w:val="009379DE"/>
    <w:rsid w:val="00940040"/>
    <w:rsid w:val="009407B8"/>
    <w:rsid w:val="009419A4"/>
    <w:rsid w:val="009422F7"/>
    <w:rsid w:val="00943813"/>
    <w:rsid w:val="00943B19"/>
    <w:rsid w:val="00943BA1"/>
    <w:rsid w:val="009452AD"/>
    <w:rsid w:val="009471D4"/>
    <w:rsid w:val="00947BDB"/>
    <w:rsid w:val="00947D69"/>
    <w:rsid w:val="00951E49"/>
    <w:rsid w:val="009526F9"/>
    <w:rsid w:val="0095290F"/>
    <w:rsid w:val="00954713"/>
    <w:rsid w:val="00954923"/>
    <w:rsid w:val="00954AF7"/>
    <w:rsid w:val="00955216"/>
    <w:rsid w:val="00956CF1"/>
    <w:rsid w:val="00956CFA"/>
    <w:rsid w:val="00960746"/>
    <w:rsid w:val="00960A66"/>
    <w:rsid w:val="009615E0"/>
    <w:rsid w:val="00961AD6"/>
    <w:rsid w:val="00961CB3"/>
    <w:rsid w:val="00962770"/>
    <w:rsid w:val="00962D16"/>
    <w:rsid w:val="009672F6"/>
    <w:rsid w:val="00967C0A"/>
    <w:rsid w:val="00971CD3"/>
    <w:rsid w:val="00972C26"/>
    <w:rsid w:val="00972D54"/>
    <w:rsid w:val="00973277"/>
    <w:rsid w:val="00974610"/>
    <w:rsid w:val="009747DF"/>
    <w:rsid w:val="00974A4D"/>
    <w:rsid w:val="00975188"/>
    <w:rsid w:val="00975419"/>
    <w:rsid w:val="009760EC"/>
    <w:rsid w:val="00976504"/>
    <w:rsid w:val="00976A4E"/>
    <w:rsid w:val="00976B45"/>
    <w:rsid w:val="00976D38"/>
    <w:rsid w:val="0097760A"/>
    <w:rsid w:val="00977D67"/>
    <w:rsid w:val="0098057D"/>
    <w:rsid w:val="009817EC"/>
    <w:rsid w:val="00981F00"/>
    <w:rsid w:val="00982024"/>
    <w:rsid w:val="00982793"/>
    <w:rsid w:val="00982C1A"/>
    <w:rsid w:val="0098375F"/>
    <w:rsid w:val="0098403B"/>
    <w:rsid w:val="009848C9"/>
    <w:rsid w:val="00984F02"/>
    <w:rsid w:val="0098524A"/>
    <w:rsid w:val="0098582F"/>
    <w:rsid w:val="00985C82"/>
    <w:rsid w:val="00985D2F"/>
    <w:rsid w:val="00985DA3"/>
    <w:rsid w:val="00985DC0"/>
    <w:rsid w:val="00986DF4"/>
    <w:rsid w:val="009916AF"/>
    <w:rsid w:val="00991BCC"/>
    <w:rsid w:val="0099241C"/>
    <w:rsid w:val="009924D4"/>
    <w:rsid w:val="00992B0A"/>
    <w:rsid w:val="009938FE"/>
    <w:rsid w:val="00993DBB"/>
    <w:rsid w:val="00993F9C"/>
    <w:rsid w:val="00994402"/>
    <w:rsid w:val="00994A0F"/>
    <w:rsid w:val="00994AC8"/>
    <w:rsid w:val="009967DB"/>
    <w:rsid w:val="00996980"/>
    <w:rsid w:val="00997028"/>
    <w:rsid w:val="009A0CB3"/>
    <w:rsid w:val="009A17B2"/>
    <w:rsid w:val="009A2E69"/>
    <w:rsid w:val="009A3B2E"/>
    <w:rsid w:val="009A4DEF"/>
    <w:rsid w:val="009A4F76"/>
    <w:rsid w:val="009A577D"/>
    <w:rsid w:val="009A5C1D"/>
    <w:rsid w:val="009A6391"/>
    <w:rsid w:val="009A646C"/>
    <w:rsid w:val="009A7A6E"/>
    <w:rsid w:val="009B0527"/>
    <w:rsid w:val="009B05E3"/>
    <w:rsid w:val="009B09DB"/>
    <w:rsid w:val="009B0D8E"/>
    <w:rsid w:val="009B162F"/>
    <w:rsid w:val="009B3D70"/>
    <w:rsid w:val="009B3E02"/>
    <w:rsid w:val="009B4ED6"/>
    <w:rsid w:val="009B5164"/>
    <w:rsid w:val="009B52FE"/>
    <w:rsid w:val="009B5867"/>
    <w:rsid w:val="009B5A13"/>
    <w:rsid w:val="009B69BD"/>
    <w:rsid w:val="009B6C17"/>
    <w:rsid w:val="009B77D4"/>
    <w:rsid w:val="009B7EA9"/>
    <w:rsid w:val="009C097B"/>
    <w:rsid w:val="009C307C"/>
    <w:rsid w:val="009C372F"/>
    <w:rsid w:val="009C3BE3"/>
    <w:rsid w:val="009C3D5C"/>
    <w:rsid w:val="009C40DB"/>
    <w:rsid w:val="009C447B"/>
    <w:rsid w:val="009C475F"/>
    <w:rsid w:val="009C554A"/>
    <w:rsid w:val="009C60B9"/>
    <w:rsid w:val="009C65E6"/>
    <w:rsid w:val="009C7186"/>
    <w:rsid w:val="009C76E0"/>
    <w:rsid w:val="009D1354"/>
    <w:rsid w:val="009D1655"/>
    <w:rsid w:val="009D18AB"/>
    <w:rsid w:val="009D213A"/>
    <w:rsid w:val="009D2710"/>
    <w:rsid w:val="009D3AAD"/>
    <w:rsid w:val="009D42CA"/>
    <w:rsid w:val="009D4C62"/>
    <w:rsid w:val="009D55F1"/>
    <w:rsid w:val="009D688A"/>
    <w:rsid w:val="009D7202"/>
    <w:rsid w:val="009D7FB9"/>
    <w:rsid w:val="009E0C12"/>
    <w:rsid w:val="009E19C8"/>
    <w:rsid w:val="009E1AC2"/>
    <w:rsid w:val="009E3B43"/>
    <w:rsid w:val="009E4832"/>
    <w:rsid w:val="009E4CEE"/>
    <w:rsid w:val="009E5218"/>
    <w:rsid w:val="009E54C5"/>
    <w:rsid w:val="009E5A0D"/>
    <w:rsid w:val="009E79D7"/>
    <w:rsid w:val="009E7A38"/>
    <w:rsid w:val="009E7FD0"/>
    <w:rsid w:val="009F0243"/>
    <w:rsid w:val="009F0715"/>
    <w:rsid w:val="009F16D4"/>
    <w:rsid w:val="009F1CBC"/>
    <w:rsid w:val="009F2BEA"/>
    <w:rsid w:val="009F2D50"/>
    <w:rsid w:val="009F30BD"/>
    <w:rsid w:val="009F36D7"/>
    <w:rsid w:val="009F3753"/>
    <w:rsid w:val="009F37FC"/>
    <w:rsid w:val="009F38AA"/>
    <w:rsid w:val="009F3E4A"/>
    <w:rsid w:val="009F4786"/>
    <w:rsid w:val="009F574D"/>
    <w:rsid w:val="009F5B9F"/>
    <w:rsid w:val="009F6109"/>
    <w:rsid w:val="009F771D"/>
    <w:rsid w:val="009F7A49"/>
    <w:rsid w:val="00A0089B"/>
    <w:rsid w:val="00A00DC8"/>
    <w:rsid w:val="00A01229"/>
    <w:rsid w:val="00A01E30"/>
    <w:rsid w:val="00A027BF"/>
    <w:rsid w:val="00A02B3B"/>
    <w:rsid w:val="00A02B62"/>
    <w:rsid w:val="00A034F7"/>
    <w:rsid w:val="00A05B67"/>
    <w:rsid w:val="00A0655E"/>
    <w:rsid w:val="00A06851"/>
    <w:rsid w:val="00A06B9E"/>
    <w:rsid w:val="00A071B1"/>
    <w:rsid w:val="00A07C5F"/>
    <w:rsid w:val="00A11BE0"/>
    <w:rsid w:val="00A137E4"/>
    <w:rsid w:val="00A145DF"/>
    <w:rsid w:val="00A14944"/>
    <w:rsid w:val="00A15641"/>
    <w:rsid w:val="00A1642B"/>
    <w:rsid w:val="00A16BB8"/>
    <w:rsid w:val="00A174F6"/>
    <w:rsid w:val="00A17B93"/>
    <w:rsid w:val="00A22386"/>
    <w:rsid w:val="00A22822"/>
    <w:rsid w:val="00A2289D"/>
    <w:rsid w:val="00A22CA5"/>
    <w:rsid w:val="00A23BBC"/>
    <w:rsid w:val="00A2407E"/>
    <w:rsid w:val="00A2469A"/>
    <w:rsid w:val="00A24B44"/>
    <w:rsid w:val="00A24C3E"/>
    <w:rsid w:val="00A255CB"/>
    <w:rsid w:val="00A25AE2"/>
    <w:rsid w:val="00A26023"/>
    <w:rsid w:val="00A2666A"/>
    <w:rsid w:val="00A269DD"/>
    <w:rsid w:val="00A3114C"/>
    <w:rsid w:val="00A3210B"/>
    <w:rsid w:val="00A3213F"/>
    <w:rsid w:val="00A322DD"/>
    <w:rsid w:val="00A327F2"/>
    <w:rsid w:val="00A32A28"/>
    <w:rsid w:val="00A33A53"/>
    <w:rsid w:val="00A34A9D"/>
    <w:rsid w:val="00A3584A"/>
    <w:rsid w:val="00A36255"/>
    <w:rsid w:val="00A36821"/>
    <w:rsid w:val="00A36B43"/>
    <w:rsid w:val="00A3701E"/>
    <w:rsid w:val="00A37082"/>
    <w:rsid w:val="00A411E7"/>
    <w:rsid w:val="00A41280"/>
    <w:rsid w:val="00A427B0"/>
    <w:rsid w:val="00A436FB"/>
    <w:rsid w:val="00A44D17"/>
    <w:rsid w:val="00A45668"/>
    <w:rsid w:val="00A46474"/>
    <w:rsid w:val="00A46EF5"/>
    <w:rsid w:val="00A47BC7"/>
    <w:rsid w:val="00A50960"/>
    <w:rsid w:val="00A51793"/>
    <w:rsid w:val="00A51892"/>
    <w:rsid w:val="00A51D36"/>
    <w:rsid w:val="00A52234"/>
    <w:rsid w:val="00A523D9"/>
    <w:rsid w:val="00A52B3A"/>
    <w:rsid w:val="00A530C1"/>
    <w:rsid w:val="00A53E19"/>
    <w:rsid w:val="00A54549"/>
    <w:rsid w:val="00A54EF1"/>
    <w:rsid w:val="00A54F36"/>
    <w:rsid w:val="00A55654"/>
    <w:rsid w:val="00A5691A"/>
    <w:rsid w:val="00A56FCC"/>
    <w:rsid w:val="00A578F3"/>
    <w:rsid w:val="00A57C2A"/>
    <w:rsid w:val="00A60E2A"/>
    <w:rsid w:val="00A61674"/>
    <w:rsid w:val="00A61A20"/>
    <w:rsid w:val="00A623ED"/>
    <w:rsid w:val="00A636F3"/>
    <w:rsid w:val="00A63E2F"/>
    <w:rsid w:val="00A6668E"/>
    <w:rsid w:val="00A67450"/>
    <w:rsid w:val="00A674A3"/>
    <w:rsid w:val="00A674BE"/>
    <w:rsid w:val="00A67953"/>
    <w:rsid w:val="00A70238"/>
    <w:rsid w:val="00A70291"/>
    <w:rsid w:val="00A703B9"/>
    <w:rsid w:val="00A70713"/>
    <w:rsid w:val="00A70C5D"/>
    <w:rsid w:val="00A70DFF"/>
    <w:rsid w:val="00A7277F"/>
    <w:rsid w:val="00A72EA4"/>
    <w:rsid w:val="00A734B5"/>
    <w:rsid w:val="00A74899"/>
    <w:rsid w:val="00A749B8"/>
    <w:rsid w:val="00A74B4B"/>
    <w:rsid w:val="00A74D02"/>
    <w:rsid w:val="00A75772"/>
    <w:rsid w:val="00A75868"/>
    <w:rsid w:val="00A75DBD"/>
    <w:rsid w:val="00A769BD"/>
    <w:rsid w:val="00A76ED7"/>
    <w:rsid w:val="00A773AE"/>
    <w:rsid w:val="00A816DB"/>
    <w:rsid w:val="00A81767"/>
    <w:rsid w:val="00A81C28"/>
    <w:rsid w:val="00A822C2"/>
    <w:rsid w:val="00A824C3"/>
    <w:rsid w:val="00A84ADF"/>
    <w:rsid w:val="00A861AF"/>
    <w:rsid w:val="00A863ED"/>
    <w:rsid w:val="00A8670D"/>
    <w:rsid w:val="00A86844"/>
    <w:rsid w:val="00A87097"/>
    <w:rsid w:val="00A870DA"/>
    <w:rsid w:val="00A8729E"/>
    <w:rsid w:val="00A87938"/>
    <w:rsid w:val="00A87947"/>
    <w:rsid w:val="00A879EE"/>
    <w:rsid w:val="00A911F9"/>
    <w:rsid w:val="00A91A7F"/>
    <w:rsid w:val="00A924AD"/>
    <w:rsid w:val="00A92563"/>
    <w:rsid w:val="00A925C6"/>
    <w:rsid w:val="00A92E4E"/>
    <w:rsid w:val="00A931EF"/>
    <w:rsid w:val="00A935A3"/>
    <w:rsid w:val="00A9383A"/>
    <w:rsid w:val="00A93A45"/>
    <w:rsid w:val="00A93A63"/>
    <w:rsid w:val="00A93C35"/>
    <w:rsid w:val="00A93DA8"/>
    <w:rsid w:val="00A95D65"/>
    <w:rsid w:val="00A96196"/>
    <w:rsid w:val="00A96D1E"/>
    <w:rsid w:val="00A974C7"/>
    <w:rsid w:val="00AA07F6"/>
    <w:rsid w:val="00AA13BD"/>
    <w:rsid w:val="00AA4431"/>
    <w:rsid w:val="00AA498E"/>
    <w:rsid w:val="00AA58CF"/>
    <w:rsid w:val="00AA59E7"/>
    <w:rsid w:val="00AA6C59"/>
    <w:rsid w:val="00AA755C"/>
    <w:rsid w:val="00AA787D"/>
    <w:rsid w:val="00AA7F48"/>
    <w:rsid w:val="00AB03A9"/>
    <w:rsid w:val="00AB0550"/>
    <w:rsid w:val="00AB2036"/>
    <w:rsid w:val="00AB2C3B"/>
    <w:rsid w:val="00AB2FAD"/>
    <w:rsid w:val="00AB2FB2"/>
    <w:rsid w:val="00AB394F"/>
    <w:rsid w:val="00AB3E0C"/>
    <w:rsid w:val="00AB5DA2"/>
    <w:rsid w:val="00AB7368"/>
    <w:rsid w:val="00AC0D40"/>
    <w:rsid w:val="00AC17DE"/>
    <w:rsid w:val="00AC1E05"/>
    <w:rsid w:val="00AC26E4"/>
    <w:rsid w:val="00AC3274"/>
    <w:rsid w:val="00AC327F"/>
    <w:rsid w:val="00AC349E"/>
    <w:rsid w:val="00AC4AC4"/>
    <w:rsid w:val="00AC4E79"/>
    <w:rsid w:val="00AC55A3"/>
    <w:rsid w:val="00AC582A"/>
    <w:rsid w:val="00AC6681"/>
    <w:rsid w:val="00AC697E"/>
    <w:rsid w:val="00AC69AA"/>
    <w:rsid w:val="00AC7862"/>
    <w:rsid w:val="00AC7A97"/>
    <w:rsid w:val="00AC7CC5"/>
    <w:rsid w:val="00AD01A3"/>
    <w:rsid w:val="00AD0ABC"/>
    <w:rsid w:val="00AD0EE6"/>
    <w:rsid w:val="00AD1549"/>
    <w:rsid w:val="00AD1CCC"/>
    <w:rsid w:val="00AD1D71"/>
    <w:rsid w:val="00AD3762"/>
    <w:rsid w:val="00AD378B"/>
    <w:rsid w:val="00AD470A"/>
    <w:rsid w:val="00AD49F4"/>
    <w:rsid w:val="00AD5112"/>
    <w:rsid w:val="00AD5699"/>
    <w:rsid w:val="00AD5726"/>
    <w:rsid w:val="00AD5890"/>
    <w:rsid w:val="00AD63D8"/>
    <w:rsid w:val="00AD73AE"/>
    <w:rsid w:val="00AD767C"/>
    <w:rsid w:val="00AE0173"/>
    <w:rsid w:val="00AE0ACE"/>
    <w:rsid w:val="00AE0F97"/>
    <w:rsid w:val="00AE12E7"/>
    <w:rsid w:val="00AE250B"/>
    <w:rsid w:val="00AE30C1"/>
    <w:rsid w:val="00AE35FE"/>
    <w:rsid w:val="00AE419C"/>
    <w:rsid w:val="00AE506B"/>
    <w:rsid w:val="00AE5AFB"/>
    <w:rsid w:val="00AE62CC"/>
    <w:rsid w:val="00AE63B5"/>
    <w:rsid w:val="00AE6422"/>
    <w:rsid w:val="00AE65B6"/>
    <w:rsid w:val="00AE71B1"/>
    <w:rsid w:val="00AE7740"/>
    <w:rsid w:val="00AE7F7F"/>
    <w:rsid w:val="00AF0305"/>
    <w:rsid w:val="00AF04DB"/>
    <w:rsid w:val="00AF1326"/>
    <w:rsid w:val="00AF175C"/>
    <w:rsid w:val="00AF1A70"/>
    <w:rsid w:val="00AF21C9"/>
    <w:rsid w:val="00AF25CC"/>
    <w:rsid w:val="00AF56C1"/>
    <w:rsid w:val="00AF6069"/>
    <w:rsid w:val="00AF690C"/>
    <w:rsid w:val="00AF6E0B"/>
    <w:rsid w:val="00B0094C"/>
    <w:rsid w:val="00B00B47"/>
    <w:rsid w:val="00B00B8D"/>
    <w:rsid w:val="00B0168C"/>
    <w:rsid w:val="00B01D18"/>
    <w:rsid w:val="00B0235B"/>
    <w:rsid w:val="00B03AF8"/>
    <w:rsid w:val="00B06B54"/>
    <w:rsid w:val="00B06E1E"/>
    <w:rsid w:val="00B06FD8"/>
    <w:rsid w:val="00B07965"/>
    <w:rsid w:val="00B07F76"/>
    <w:rsid w:val="00B11003"/>
    <w:rsid w:val="00B11491"/>
    <w:rsid w:val="00B11799"/>
    <w:rsid w:val="00B11C5E"/>
    <w:rsid w:val="00B126D9"/>
    <w:rsid w:val="00B13312"/>
    <w:rsid w:val="00B14943"/>
    <w:rsid w:val="00B14B8B"/>
    <w:rsid w:val="00B21166"/>
    <w:rsid w:val="00B229CC"/>
    <w:rsid w:val="00B22A98"/>
    <w:rsid w:val="00B22CAB"/>
    <w:rsid w:val="00B23C38"/>
    <w:rsid w:val="00B23E6D"/>
    <w:rsid w:val="00B25504"/>
    <w:rsid w:val="00B25DDE"/>
    <w:rsid w:val="00B2669E"/>
    <w:rsid w:val="00B26DF1"/>
    <w:rsid w:val="00B270EF"/>
    <w:rsid w:val="00B27285"/>
    <w:rsid w:val="00B27C47"/>
    <w:rsid w:val="00B3013A"/>
    <w:rsid w:val="00B307AE"/>
    <w:rsid w:val="00B308A1"/>
    <w:rsid w:val="00B32CE2"/>
    <w:rsid w:val="00B339AC"/>
    <w:rsid w:val="00B3665D"/>
    <w:rsid w:val="00B3701B"/>
    <w:rsid w:val="00B376A6"/>
    <w:rsid w:val="00B40369"/>
    <w:rsid w:val="00B40562"/>
    <w:rsid w:val="00B407BE"/>
    <w:rsid w:val="00B40BC2"/>
    <w:rsid w:val="00B41847"/>
    <w:rsid w:val="00B42303"/>
    <w:rsid w:val="00B42A7C"/>
    <w:rsid w:val="00B42F10"/>
    <w:rsid w:val="00B43591"/>
    <w:rsid w:val="00B43929"/>
    <w:rsid w:val="00B44799"/>
    <w:rsid w:val="00B45771"/>
    <w:rsid w:val="00B45C34"/>
    <w:rsid w:val="00B45EB8"/>
    <w:rsid w:val="00B471DA"/>
    <w:rsid w:val="00B512C1"/>
    <w:rsid w:val="00B51CCB"/>
    <w:rsid w:val="00B528C6"/>
    <w:rsid w:val="00B52FCD"/>
    <w:rsid w:val="00B53964"/>
    <w:rsid w:val="00B54C20"/>
    <w:rsid w:val="00B54F85"/>
    <w:rsid w:val="00B5502A"/>
    <w:rsid w:val="00B560B7"/>
    <w:rsid w:val="00B56F49"/>
    <w:rsid w:val="00B57854"/>
    <w:rsid w:val="00B57E21"/>
    <w:rsid w:val="00B603A6"/>
    <w:rsid w:val="00B60541"/>
    <w:rsid w:val="00B61105"/>
    <w:rsid w:val="00B616D8"/>
    <w:rsid w:val="00B62683"/>
    <w:rsid w:val="00B62B6B"/>
    <w:rsid w:val="00B62F89"/>
    <w:rsid w:val="00B6335A"/>
    <w:rsid w:val="00B6427D"/>
    <w:rsid w:val="00B65735"/>
    <w:rsid w:val="00B66538"/>
    <w:rsid w:val="00B66542"/>
    <w:rsid w:val="00B669F4"/>
    <w:rsid w:val="00B67258"/>
    <w:rsid w:val="00B70AEF"/>
    <w:rsid w:val="00B70D7D"/>
    <w:rsid w:val="00B71067"/>
    <w:rsid w:val="00B72649"/>
    <w:rsid w:val="00B73DF4"/>
    <w:rsid w:val="00B75AF5"/>
    <w:rsid w:val="00B764CF"/>
    <w:rsid w:val="00B76797"/>
    <w:rsid w:val="00B76A14"/>
    <w:rsid w:val="00B76D24"/>
    <w:rsid w:val="00B77B4E"/>
    <w:rsid w:val="00B77F80"/>
    <w:rsid w:val="00B77FBE"/>
    <w:rsid w:val="00B8056A"/>
    <w:rsid w:val="00B81331"/>
    <w:rsid w:val="00B81FED"/>
    <w:rsid w:val="00B82196"/>
    <w:rsid w:val="00B829EC"/>
    <w:rsid w:val="00B82CDD"/>
    <w:rsid w:val="00B86C41"/>
    <w:rsid w:val="00B87145"/>
    <w:rsid w:val="00B87E35"/>
    <w:rsid w:val="00B902D7"/>
    <w:rsid w:val="00B92A80"/>
    <w:rsid w:val="00B9401B"/>
    <w:rsid w:val="00B94892"/>
    <w:rsid w:val="00B94DDF"/>
    <w:rsid w:val="00B94F86"/>
    <w:rsid w:val="00B95011"/>
    <w:rsid w:val="00B97163"/>
    <w:rsid w:val="00BA2614"/>
    <w:rsid w:val="00BA3C6B"/>
    <w:rsid w:val="00BA459F"/>
    <w:rsid w:val="00BA4CF7"/>
    <w:rsid w:val="00BA58B0"/>
    <w:rsid w:val="00BA596E"/>
    <w:rsid w:val="00BA66E6"/>
    <w:rsid w:val="00BA6B01"/>
    <w:rsid w:val="00BA7651"/>
    <w:rsid w:val="00BA7B87"/>
    <w:rsid w:val="00BA7FEF"/>
    <w:rsid w:val="00BB0138"/>
    <w:rsid w:val="00BB02E7"/>
    <w:rsid w:val="00BB1AE0"/>
    <w:rsid w:val="00BB1B02"/>
    <w:rsid w:val="00BB1DD4"/>
    <w:rsid w:val="00BB21B4"/>
    <w:rsid w:val="00BB253E"/>
    <w:rsid w:val="00BB2A0E"/>
    <w:rsid w:val="00BB33DD"/>
    <w:rsid w:val="00BB3968"/>
    <w:rsid w:val="00BB3BF2"/>
    <w:rsid w:val="00BB3CA7"/>
    <w:rsid w:val="00BB4286"/>
    <w:rsid w:val="00BB5222"/>
    <w:rsid w:val="00BB5CD3"/>
    <w:rsid w:val="00BB5FEE"/>
    <w:rsid w:val="00BB6489"/>
    <w:rsid w:val="00BB6866"/>
    <w:rsid w:val="00BB700E"/>
    <w:rsid w:val="00BB74EB"/>
    <w:rsid w:val="00BB754E"/>
    <w:rsid w:val="00BB7806"/>
    <w:rsid w:val="00BC006D"/>
    <w:rsid w:val="00BC0260"/>
    <w:rsid w:val="00BC086C"/>
    <w:rsid w:val="00BC0A43"/>
    <w:rsid w:val="00BC1DBF"/>
    <w:rsid w:val="00BC407A"/>
    <w:rsid w:val="00BC447F"/>
    <w:rsid w:val="00BC4C41"/>
    <w:rsid w:val="00BC51A5"/>
    <w:rsid w:val="00BC5284"/>
    <w:rsid w:val="00BC5546"/>
    <w:rsid w:val="00BC7251"/>
    <w:rsid w:val="00BC733E"/>
    <w:rsid w:val="00BC757F"/>
    <w:rsid w:val="00BD03B8"/>
    <w:rsid w:val="00BD153D"/>
    <w:rsid w:val="00BD1A3A"/>
    <w:rsid w:val="00BD1F5F"/>
    <w:rsid w:val="00BD2651"/>
    <w:rsid w:val="00BD2CB4"/>
    <w:rsid w:val="00BD3372"/>
    <w:rsid w:val="00BD3F27"/>
    <w:rsid w:val="00BD4C98"/>
    <w:rsid w:val="00BD5ECE"/>
    <w:rsid w:val="00BD7021"/>
    <w:rsid w:val="00BD7971"/>
    <w:rsid w:val="00BD7A99"/>
    <w:rsid w:val="00BE0261"/>
    <w:rsid w:val="00BE058E"/>
    <w:rsid w:val="00BE0FC7"/>
    <w:rsid w:val="00BE1162"/>
    <w:rsid w:val="00BE12F3"/>
    <w:rsid w:val="00BE13A6"/>
    <w:rsid w:val="00BE14C5"/>
    <w:rsid w:val="00BE1E66"/>
    <w:rsid w:val="00BE3841"/>
    <w:rsid w:val="00BE3CDF"/>
    <w:rsid w:val="00BE4533"/>
    <w:rsid w:val="00BE4F03"/>
    <w:rsid w:val="00BE5D6B"/>
    <w:rsid w:val="00BE601B"/>
    <w:rsid w:val="00BF046D"/>
    <w:rsid w:val="00BF0598"/>
    <w:rsid w:val="00BF0860"/>
    <w:rsid w:val="00BF1834"/>
    <w:rsid w:val="00BF1B55"/>
    <w:rsid w:val="00BF28BF"/>
    <w:rsid w:val="00BF2CD7"/>
    <w:rsid w:val="00BF2F78"/>
    <w:rsid w:val="00BF30A4"/>
    <w:rsid w:val="00BF30F3"/>
    <w:rsid w:val="00BF3EEB"/>
    <w:rsid w:val="00BF4F00"/>
    <w:rsid w:val="00BF5C7E"/>
    <w:rsid w:val="00BF5D14"/>
    <w:rsid w:val="00BF721C"/>
    <w:rsid w:val="00C002DD"/>
    <w:rsid w:val="00C00578"/>
    <w:rsid w:val="00C005CB"/>
    <w:rsid w:val="00C00A66"/>
    <w:rsid w:val="00C00B62"/>
    <w:rsid w:val="00C02AF3"/>
    <w:rsid w:val="00C035FF"/>
    <w:rsid w:val="00C039AD"/>
    <w:rsid w:val="00C03B93"/>
    <w:rsid w:val="00C04E7A"/>
    <w:rsid w:val="00C053C1"/>
    <w:rsid w:val="00C07249"/>
    <w:rsid w:val="00C07926"/>
    <w:rsid w:val="00C1076E"/>
    <w:rsid w:val="00C119FC"/>
    <w:rsid w:val="00C11A48"/>
    <w:rsid w:val="00C14118"/>
    <w:rsid w:val="00C14FC5"/>
    <w:rsid w:val="00C15D61"/>
    <w:rsid w:val="00C15FEC"/>
    <w:rsid w:val="00C16A48"/>
    <w:rsid w:val="00C17341"/>
    <w:rsid w:val="00C17867"/>
    <w:rsid w:val="00C20F96"/>
    <w:rsid w:val="00C214A3"/>
    <w:rsid w:val="00C220C3"/>
    <w:rsid w:val="00C2257E"/>
    <w:rsid w:val="00C225CC"/>
    <w:rsid w:val="00C22724"/>
    <w:rsid w:val="00C231EB"/>
    <w:rsid w:val="00C23202"/>
    <w:rsid w:val="00C23A81"/>
    <w:rsid w:val="00C24185"/>
    <w:rsid w:val="00C2496A"/>
    <w:rsid w:val="00C25906"/>
    <w:rsid w:val="00C25DC4"/>
    <w:rsid w:val="00C25EBB"/>
    <w:rsid w:val="00C267F9"/>
    <w:rsid w:val="00C26982"/>
    <w:rsid w:val="00C26E10"/>
    <w:rsid w:val="00C270FB"/>
    <w:rsid w:val="00C27113"/>
    <w:rsid w:val="00C30222"/>
    <w:rsid w:val="00C3063B"/>
    <w:rsid w:val="00C3184A"/>
    <w:rsid w:val="00C3527B"/>
    <w:rsid w:val="00C36345"/>
    <w:rsid w:val="00C364B2"/>
    <w:rsid w:val="00C36814"/>
    <w:rsid w:val="00C36D61"/>
    <w:rsid w:val="00C37975"/>
    <w:rsid w:val="00C40293"/>
    <w:rsid w:val="00C40AAE"/>
    <w:rsid w:val="00C40BCC"/>
    <w:rsid w:val="00C4108A"/>
    <w:rsid w:val="00C42722"/>
    <w:rsid w:val="00C42C32"/>
    <w:rsid w:val="00C42E7D"/>
    <w:rsid w:val="00C44032"/>
    <w:rsid w:val="00C443B8"/>
    <w:rsid w:val="00C44537"/>
    <w:rsid w:val="00C448ED"/>
    <w:rsid w:val="00C462DA"/>
    <w:rsid w:val="00C47680"/>
    <w:rsid w:val="00C478B4"/>
    <w:rsid w:val="00C47F52"/>
    <w:rsid w:val="00C519E5"/>
    <w:rsid w:val="00C51ECF"/>
    <w:rsid w:val="00C51FCA"/>
    <w:rsid w:val="00C520E1"/>
    <w:rsid w:val="00C5210F"/>
    <w:rsid w:val="00C52D4A"/>
    <w:rsid w:val="00C530ED"/>
    <w:rsid w:val="00C54F7B"/>
    <w:rsid w:val="00C5540D"/>
    <w:rsid w:val="00C55BBE"/>
    <w:rsid w:val="00C563C1"/>
    <w:rsid w:val="00C5685A"/>
    <w:rsid w:val="00C57CA2"/>
    <w:rsid w:val="00C611CF"/>
    <w:rsid w:val="00C61263"/>
    <w:rsid w:val="00C6263C"/>
    <w:rsid w:val="00C62691"/>
    <w:rsid w:val="00C62F52"/>
    <w:rsid w:val="00C64042"/>
    <w:rsid w:val="00C642A4"/>
    <w:rsid w:val="00C649E1"/>
    <w:rsid w:val="00C664E5"/>
    <w:rsid w:val="00C66EAD"/>
    <w:rsid w:val="00C67213"/>
    <w:rsid w:val="00C700BA"/>
    <w:rsid w:val="00C70697"/>
    <w:rsid w:val="00C7091D"/>
    <w:rsid w:val="00C70AB2"/>
    <w:rsid w:val="00C72147"/>
    <w:rsid w:val="00C7246A"/>
    <w:rsid w:val="00C72F31"/>
    <w:rsid w:val="00C730AC"/>
    <w:rsid w:val="00C732FF"/>
    <w:rsid w:val="00C74DD5"/>
    <w:rsid w:val="00C74EBE"/>
    <w:rsid w:val="00C75673"/>
    <w:rsid w:val="00C75E30"/>
    <w:rsid w:val="00C75F36"/>
    <w:rsid w:val="00C76325"/>
    <w:rsid w:val="00C76457"/>
    <w:rsid w:val="00C7673F"/>
    <w:rsid w:val="00C76EFE"/>
    <w:rsid w:val="00C77671"/>
    <w:rsid w:val="00C77882"/>
    <w:rsid w:val="00C77BCF"/>
    <w:rsid w:val="00C80616"/>
    <w:rsid w:val="00C806F3"/>
    <w:rsid w:val="00C80C01"/>
    <w:rsid w:val="00C80D60"/>
    <w:rsid w:val="00C83065"/>
    <w:rsid w:val="00C83536"/>
    <w:rsid w:val="00C8386C"/>
    <w:rsid w:val="00C838A9"/>
    <w:rsid w:val="00C83991"/>
    <w:rsid w:val="00C83D50"/>
    <w:rsid w:val="00C8539F"/>
    <w:rsid w:val="00C85870"/>
    <w:rsid w:val="00C86F84"/>
    <w:rsid w:val="00C872E1"/>
    <w:rsid w:val="00C87C70"/>
    <w:rsid w:val="00C903B5"/>
    <w:rsid w:val="00C90C26"/>
    <w:rsid w:val="00C90DE6"/>
    <w:rsid w:val="00C92BDC"/>
    <w:rsid w:val="00C92C8E"/>
    <w:rsid w:val="00C933FC"/>
    <w:rsid w:val="00C93E58"/>
    <w:rsid w:val="00C94668"/>
    <w:rsid w:val="00C9488F"/>
    <w:rsid w:val="00C94F1E"/>
    <w:rsid w:val="00C9513A"/>
    <w:rsid w:val="00C955A4"/>
    <w:rsid w:val="00C959A0"/>
    <w:rsid w:val="00C96512"/>
    <w:rsid w:val="00C96642"/>
    <w:rsid w:val="00C97F60"/>
    <w:rsid w:val="00CA008D"/>
    <w:rsid w:val="00CA05B1"/>
    <w:rsid w:val="00CA1651"/>
    <w:rsid w:val="00CA1A2B"/>
    <w:rsid w:val="00CA288D"/>
    <w:rsid w:val="00CA36B5"/>
    <w:rsid w:val="00CA3A41"/>
    <w:rsid w:val="00CA3DFB"/>
    <w:rsid w:val="00CA4A00"/>
    <w:rsid w:val="00CA4E32"/>
    <w:rsid w:val="00CA53E8"/>
    <w:rsid w:val="00CA5CB2"/>
    <w:rsid w:val="00CA6447"/>
    <w:rsid w:val="00CA650C"/>
    <w:rsid w:val="00CA65EC"/>
    <w:rsid w:val="00CA758E"/>
    <w:rsid w:val="00CA7B4B"/>
    <w:rsid w:val="00CA7B93"/>
    <w:rsid w:val="00CA7DCA"/>
    <w:rsid w:val="00CB06FA"/>
    <w:rsid w:val="00CB07FA"/>
    <w:rsid w:val="00CB2055"/>
    <w:rsid w:val="00CB24D4"/>
    <w:rsid w:val="00CB2B90"/>
    <w:rsid w:val="00CB329C"/>
    <w:rsid w:val="00CB3489"/>
    <w:rsid w:val="00CB3939"/>
    <w:rsid w:val="00CB396C"/>
    <w:rsid w:val="00CB3ABF"/>
    <w:rsid w:val="00CB3F65"/>
    <w:rsid w:val="00CB4088"/>
    <w:rsid w:val="00CB5159"/>
    <w:rsid w:val="00CB5B9C"/>
    <w:rsid w:val="00CB62A4"/>
    <w:rsid w:val="00CB6B80"/>
    <w:rsid w:val="00CB73C3"/>
    <w:rsid w:val="00CB7603"/>
    <w:rsid w:val="00CB7FB8"/>
    <w:rsid w:val="00CC0465"/>
    <w:rsid w:val="00CC0597"/>
    <w:rsid w:val="00CC0FEB"/>
    <w:rsid w:val="00CC15CB"/>
    <w:rsid w:val="00CC1C89"/>
    <w:rsid w:val="00CC1D52"/>
    <w:rsid w:val="00CC25DA"/>
    <w:rsid w:val="00CC28E8"/>
    <w:rsid w:val="00CC3934"/>
    <w:rsid w:val="00CC5FC2"/>
    <w:rsid w:val="00CC6D1D"/>
    <w:rsid w:val="00CC729C"/>
    <w:rsid w:val="00CC7C76"/>
    <w:rsid w:val="00CD0396"/>
    <w:rsid w:val="00CD090E"/>
    <w:rsid w:val="00CD1548"/>
    <w:rsid w:val="00CD17C4"/>
    <w:rsid w:val="00CD28D1"/>
    <w:rsid w:val="00CD3243"/>
    <w:rsid w:val="00CD4642"/>
    <w:rsid w:val="00CD4B8E"/>
    <w:rsid w:val="00CD4C15"/>
    <w:rsid w:val="00CD4FCB"/>
    <w:rsid w:val="00CD564E"/>
    <w:rsid w:val="00CD56CF"/>
    <w:rsid w:val="00CD63D5"/>
    <w:rsid w:val="00CD6A66"/>
    <w:rsid w:val="00CD7958"/>
    <w:rsid w:val="00CD7B07"/>
    <w:rsid w:val="00CE05D6"/>
    <w:rsid w:val="00CE2493"/>
    <w:rsid w:val="00CE2E34"/>
    <w:rsid w:val="00CE3996"/>
    <w:rsid w:val="00CE3CFA"/>
    <w:rsid w:val="00CE45AE"/>
    <w:rsid w:val="00CE4910"/>
    <w:rsid w:val="00CE5275"/>
    <w:rsid w:val="00CE65FD"/>
    <w:rsid w:val="00CE733E"/>
    <w:rsid w:val="00CE7C32"/>
    <w:rsid w:val="00CE7F6F"/>
    <w:rsid w:val="00CF0347"/>
    <w:rsid w:val="00CF0484"/>
    <w:rsid w:val="00CF0842"/>
    <w:rsid w:val="00CF1288"/>
    <w:rsid w:val="00CF229B"/>
    <w:rsid w:val="00CF277A"/>
    <w:rsid w:val="00CF28FE"/>
    <w:rsid w:val="00CF2C63"/>
    <w:rsid w:val="00CF306E"/>
    <w:rsid w:val="00CF30A5"/>
    <w:rsid w:val="00CF3273"/>
    <w:rsid w:val="00CF3743"/>
    <w:rsid w:val="00CF47FA"/>
    <w:rsid w:val="00CF59FA"/>
    <w:rsid w:val="00CF5AC7"/>
    <w:rsid w:val="00CF625E"/>
    <w:rsid w:val="00CF626F"/>
    <w:rsid w:val="00CF7070"/>
    <w:rsid w:val="00CF7B67"/>
    <w:rsid w:val="00D004ED"/>
    <w:rsid w:val="00D00FAE"/>
    <w:rsid w:val="00D012BD"/>
    <w:rsid w:val="00D02678"/>
    <w:rsid w:val="00D02811"/>
    <w:rsid w:val="00D02A8A"/>
    <w:rsid w:val="00D03F29"/>
    <w:rsid w:val="00D04AA5"/>
    <w:rsid w:val="00D05C06"/>
    <w:rsid w:val="00D061F4"/>
    <w:rsid w:val="00D065E0"/>
    <w:rsid w:val="00D0686B"/>
    <w:rsid w:val="00D06EF9"/>
    <w:rsid w:val="00D07806"/>
    <w:rsid w:val="00D0797A"/>
    <w:rsid w:val="00D10C92"/>
    <w:rsid w:val="00D11473"/>
    <w:rsid w:val="00D11EFB"/>
    <w:rsid w:val="00D12175"/>
    <w:rsid w:val="00D12532"/>
    <w:rsid w:val="00D12A1C"/>
    <w:rsid w:val="00D12AA0"/>
    <w:rsid w:val="00D12E28"/>
    <w:rsid w:val="00D1444E"/>
    <w:rsid w:val="00D14C5A"/>
    <w:rsid w:val="00D15477"/>
    <w:rsid w:val="00D16EDA"/>
    <w:rsid w:val="00D21F29"/>
    <w:rsid w:val="00D22D75"/>
    <w:rsid w:val="00D233C0"/>
    <w:rsid w:val="00D234B5"/>
    <w:rsid w:val="00D235CC"/>
    <w:rsid w:val="00D24714"/>
    <w:rsid w:val="00D24C10"/>
    <w:rsid w:val="00D261E9"/>
    <w:rsid w:val="00D27372"/>
    <w:rsid w:val="00D2756F"/>
    <w:rsid w:val="00D279F9"/>
    <w:rsid w:val="00D27B44"/>
    <w:rsid w:val="00D27D1D"/>
    <w:rsid w:val="00D27DA9"/>
    <w:rsid w:val="00D27DE3"/>
    <w:rsid w:val="00D31A77"/>
    <w:rsid w:val="00D320E3"/>
    <w:rsid w:val="00D32A87"/>
    <w:rsid w:val="00D32D19"/>
    <w:rsid w:val="00D332A1"/>
    <w:rsid w:val="00D334A9"/>
    <w:rsid w:val="00D34095"/>
    <w:rsid w:val="00D343B5"/>
    <w:rsid w:val="00D345E9"/>
    <w:rsid w:val="00D34A7A"/>
    <w:rsid w:val="00D36C6A"/>
    <w:rsid w:val="00D36CBB"/>
    <w:rsid w:val="00D41860"/>
    <w:rsid w:val="00D424C7"/>
    <w:rsid w:val="00D42603"/>
    <w:rsid w:val="00D42687"/>
    <w:rsid w:val="00D42991"/>
    <w:rsid w:val="00D42A51"/>
    <w:rsid w:val="00D4356D"/>
    <w:rsid w:val="00D43991"/>
    <w:rsid w:val="00D442FA"/>
    <w:rsid w:val="00D44475"/>
    <w:rsid w:val="00D447EE"/>
    <w:rsid w:val="00D45D16"/>
    <w:rsid w:val="00D46609"/>
    <w:rsid w:val="00D479C7"/>
    <w:rsid w:val="00D47A9C"/>
    <w:rsid w:val="00D47D4E"/>
    <w:rsid w:val="00D508F8"/>
    <w:rsid w:val="00D51470"/>
    <w:rsid w:val="00D522D7"/>
    <w:rsid w:val="00D53647"/>
    <w:rsid w:val="00D54457"/>
    <w:rsid w:val="00D545D1"/>
    <w:rsid w:val="00D56C89"/>
    <w:rsid w:val="00D57D96"/>
    <w:rsid w:val="00D601B4"/>
    <w:rsid w:val="00D617C4"/>
    <w:rsid w:val="00D61B32"/>
    <w:rsid w:val="00D61BF2"/>
    <w:rsid w:val="00D61C6A"/>
    <w:rsid w:val="00D62286"/>
    <w:rsid w:val="00D636BB"/>
    <w:rsid w:val="00D64DE8"/>
    <w:rsid w:val="00D652FE"/>
    <w:rsid w:val="00D6534D"/>
    <w:rsid w:val="00D656C7"/>
    <w:rsid w:val="00D657FC"/>
    <w:rsid w:val="00D66052"/>
    <w:rsid w:val="00D668FE"/>
    <w:rsid w:val="00D669EA"/>
    <w:rsid w:val="00D67083"/>
    <w:rsid w:val="00D672B5"/>
    <w:rsid w:val="00D703B8"/>
    <w:rsid w:val="00D70589"/>
    <w:rsid w:val="00D71044"/>
    <w:rsid w:val="00D719A5"/>
    <w:rsid w:val="00D7247D"/>
    <w:rsid w:val="00D7404C"/>
    <w:rsid w:val="00D74936"/>
    <w:rsid w:val="00D75056"/>
    <w:rsid w:val="00D7555E"/>
    <w:rsid w:val="00D75B15"/>
    <w:rsid w:val="00D75BD5"/>
    <w:rsid w:val="00D75FFF"/>
    <w:rsid w:val="00D76CDA"/>
    <w:rsid w:val="00D76E4F"/>
    <w:rsid w:val="00D77EAF"/>
    <w:rsid w:val="00D77EE9"/>
    <w:rsid w:val="00D80370"/>
    <w:rsid w:val="00D80BCF"/>
    <w:rsid w:val="00D80E0B"/>
    <w:rsid w:val="00D815AD"/>
    <w:rsid w:val="00D820AC"/>
    <w:rsid w:val="00D82A82"/>
    <w:rsid w:val="00D83186"/>
    <w:rsid w:val="00D8473D"/>
    <w:rsid w:val="00D856CC"/>
    <w:rsid w:val="00D85F9C"/>
    <w:rsid w:val="00D8766E"/>
    <w:rsid w:val="00D90FCE"/>
    <w:rsid w:val="00D9156D"/>
    <w:rsid w:val="00D9350A"/>
    <w:rsid w:val="00D938A7"/>
    <w:rsid w:val="00D93BF7"/>
    <w:rsid w:val="00D9410F"/>
    <w:rsid w:val="00D941FA"/>
    <w:rsid w:val="00D962AC"/>
    <w:rsid w:val="00D97179"/>
    <w:rsid w:val="00D977F0"/>
    <w:rsid w:val="00D97F5B"/>
    <w:rsid w:val="00DA1347"/>
    <w:rsid w:val="00DA247F"/>
    <w:rsid w:val="00DA24F0"/>
    <w:rsid w:val="00DA2611"/>
    <w:rsid w:val="00DA4090"/>
    <w:rsid w:val="00DA49F7"/>
    <w:rsid w:val="00DA4D95"/>
    <w:rsid w:val="00DA5507"/>
    <w:rsid w:val="00DA64EE"/>
    <w:rsid w:val="00DA6E19"/>
    <w:rsid w:val="00DB0DD9"/>
    <w:rsid w:val="00DB1075"/>
    <w:rsid w:val="00DB1A08"/>
    <w:rsid w:val="00DB2079"/>
    <w:rsid w:val="00DB38C6"/>
    <w:rsid w:val="00DB3DF7"/>
    <w:rsid w:val="00DB42C6"/>
    <w:rsid w:val="00DB47B8"/>
    <w:rsid w:val="00DB4D00"/>
    <w:rsid w:val="00DB4F45"/>
    <w:rsid w:val="00DB5060"/>
    <w:rsid w:val="00DB5AAB"/>
    <w:rsid w:val="00DB5C54"/>
    <w:rsid w:val="00DB5FC5"/>
    <w:rsid w:val="00DB6EB5"/>
    <w:rsid w:val="00DB75E9"/>
    <w:rsid w:val="00DB769D"/>
    <w:rsid w:val="00DB7773"/>
    <w:rsid w:val="00DC048A"/>
    <w:rsid w:val="00DC209C"/>
    <w:rsid w:val="00DC271F"/>
    <w:rsid w:val="00DC2819"/>
    <w:rsid w:val="00DC3DE1"/>
    <w:rsid w:val="00DC4649"/>
    <w:rsid w:val="00DC5060"/>
    <w:rsid w:val="00DC5E24"/>
    <w:rsid w:val="00DC7677"/>
    <w:rsid w:val="00DC7BC8"/>
    <w:rsid w:val="00DD0976"/>
    <w:rsid w:val="00DD1831"/>
    <w:rsid w:val="00DD310D"/>
    <w:rsid w:val="00DD3585"/>
    <w:rsid w:val="00DD3E96"/>
    <w:rsid w:val="00DD5BED"/>
    <w:rsid w:val="00DD6121"/>
    <w:rsid w:val="00DD6697"/>
    <w:rsid w:val="00DD67BC"/>
    <w:rsid w:val="00DD7896"/>
    <w:rsid w:val="00DD79B9"/>
    <w:rsid w:val="00DD7DEC"/>
    <w:rsid w:val="00DE139A"/>
    <w:rsid w:val="00DE1B6F"/>
    <w:rsid w:val="00DE1E70"/>
    <w:rsid w:val="00DE2844"/>
    <w:rsid w:val="00DE2A83"/>
    <w:rsid w:val="00DE2A95"/>
    <w:rsid w:val="00DE2F87"/>
    <w:rsid w:val="00DE4492"/>
    <w:rsid w:val="00DE4D3F"/>
    <w:rsid w:val="00DE6DB9"/>
    <w:rsid w:val="00DE7003"/>
    <w:rsid w:val="00DE7083"/>
    <w:rsid w:val="00DE763A"/>
    <w:rsid w:val="00DE7AF3"/>
    <w:rsid w:val="00DF0232"/>
    <w:rsid w:val="00DF0CD9"/>
    <w:rsid w:val="00DF0CF6"/>
    <w:rsid w:val="00DF1AF8"/>
    <w:rsid w:val="00DF22D7"/>
    <w:rsid w:val="00DF3394"/>
    <w:rsid w:val="00DF348D"/>
    <w:rsid w:val="00DF34EB"/>
    <w:rsid w:val="00DF67D0"/>
    <w:rsid w:val="00DF7050"/>
    <w:rsid w:val="00DF7ED4"/>
    <w:rsid w:val="00E022B7"/>
    <w:rsid w:val="00E0353D"/>
    <w:rsid w:val="00E0423F"/>
    <w:rsid w:val="00E042D7"/>
    <w:rsid w:val="00E0433F"/>
    <w:rsid w:val="00E04C16"/>
    <w:rsid w:val="00E054F1"/>
    <w:rsid w:val="00E056A6"/>
    <w:rsid w:val="00E061E9"/>
    <w:rsid w:val="00E07663"/>
    <w:rsid w:val="00E07721"/>
    <w:rsid w:val="00E119D9"/>
    <w:rsid w:val="00E137DC"/>
    <w:rsid w:val="00E138FC"/>
    <w:rsid w:val="00E141E6"/>
    <w:rsid w:val="00E1467B"/>
    <w:rsid w:val="00E1529F"/>
    <w:rsid w:val="00E1581D"/>
    <w:rsid w:val="00E15B91"/>
    <w:rsid w:val="00E15E91"/>
    <w:rsid w:val="00E17274"/>
    <w:rsid w:val="00E179E1"/>
    <w:rsid w:val="00E17BC7"/>
    <w:rsid w:val="00E205FB"/>
    <w:rsid w:val="00E20D69"/>
    <w:rsid w:val="00E20DA0"/>
    <w:rsid w:val="00E225F2"/>
    <w:rsid w:val="00E22A14"/>
    <w:rsid w:val="00E23CF1"/>
    <w:rsid w:val="00E23FE2"/>
    <w:rsid w:val="00E2438D"/>
    <w:rsid w:val="00E24974"/>
    <w:rsid w:val="00E24993"/>
    <w:rsid w:val="00E249ED"/>
    <w:rsid w:val="00E25646"/>
    <w:rsid w:val="00E25AE4"/>
    <w:rsid w:val="00E25DD0"/>
    <w:rsid w:val="00E25F2D"/>
    <w:rsid w:val="00E27E5B"/>
    <w:rsid w:val="00E30067"/>
    <w:rsid w:val="00E30580"/>
    <w:rsid w:val="00E3102F"/>
    <w:rsid w:val="00E31137"/>
    <w:rsid w:val="00E3242F"/>
    <w:rsid w:val="00E338DF"/>
    <w:rsid w:val="00E33AE2"/>
    <w:rsid w:val="00E3570B"/>
    <w:rsid w:val="00E35F96"/>
    <w:rsid w:val="00E369B0"/>
    <w:rsid w:val="00E36B99"/>
    <w:rsid w:val="00E36D60"/>
    <w:rsid w:val="00E36D61"/>
    <w:rsid w:val="00E36DA7"/>
    <w:rsid w:val="00E4009F"/>
    <w:rsid w:val="00E40968"/>
    <w:rsid w:val="00E410DD"/>
    <w:rsid w:val="00E41CC5"/>
    <w:rsid w:val="00E425DA"/>
    <w:rsid w:val="00E425E4"/>
    <w:rsid w:val="00E43509"/>
    <w:rsid w:val="00E45110"/>
    <w:rsid w:val="00E46C08"/>
    <w:rsid w:val="00E471BA"/>
    <w:rsid w:val="00E50488"/>
    <w:rsid w:val="00E50B8B"/>
    <w:rsid w:val="00E522F5"/>
    <w:rsid w:val="00E523EF"/>
    <w:rsid w:val="00E53C19"/>
    <w:rsid w:val="00E53F0D"/>
    <w:rsid w:val="00E55044"/>
    <w:rsid w:val="00E550EC"/>
    <w:rsid w:val="00E55EB2"/>
    <w:rsid w:val="00E60028"/>
    <w:rsid w:val="00E60152"/>
    <w:rsid w:val="00E60769"/>
    <w:rsid w:val="00E61580"/>
    <w:rsid w:val="00E6273A"/>
    <w:rsid w:val="00E62A6B"/>
    <w:rsid w:val="00E62BA9"/>
    <w:rsid w:val="00E62BFD"/>
    <w:rsid w:val="00E63434"/>
    <w:rsid w:val="00E63712"/>
    <w:rsid w:val="00E63A6A"/>
    <w:rsid w:val="00E64403"/>
    <w:rsid w:val="00E661B3"/>
    <w:rsid w:val="00E665F8"/>
    <w:rsid w:val="00E66D6A"/>
    <w:rsid w:val="00E66EF5"/>
    <w:rsid w:val="00E66FE1"/>
    <w:rsid w:val="00E67B66"/>
    <w:rsid w:val="00E67CEF"/>
    <w:rsid w:val="00E70287"/>
    <w:rsid w:val="00E71DA0"/>
    <w:rsid w:val="00E72353"/>
    <w:rsid w:val="00E72AA6"/>
    <w:rsid w:val="00E72AD1"/>
    <w:rsid w:val="00E7333F"/>
    <w:rsid w:val="00E73F9F"/>
    <w:rsid w:val="00E7403D"/>
    <w:rsid w:val="00E743E0"/>
    <w:rsid w:val="00E75A8A"/>
    <w:rsid w:val="00E76CA1"/>
    <w:rsid w:val="00E772FB"/>
    <w:rsid w:val="00E77455"/>
    <w:rsid w:val="00E774BF"/>
    <w:rsid w:val="00E80473"/>
    <w:rsid w:val="00E81DC0"/>
    <w:rsid w:val="00E82397"/>
    <w:rsid w:val="00E8295F"/>
    <w:rsid w:val="00E82B6C"/>
    <w:rsid w:val="00E82E43"/>
    <w:rsid w:val="00E8374F"/>
    <w:rsid w:val="00E83AF3"/>
    <w:rsid w:val="00E83BC5"/>
    <w:rsid w:val="00E84622"/>
    <w:rsid w:val="00E84760"/>
    <w:rsid w:val="00E84E02"/>
    <w:rsid w:val="00E85AC1"/>
    <w:rsid w:val="00E86170"/>
    <w:rsid w:val="00E86DD4"/>
    <w:rsid w:val="00E879B3"/>
    <w:rsid w:val="00E87A5F"/>
    <w:rsid w:val="00E907E0"/>
    <w:rsid w:val="00E90BFA"/>
    <w:rsid w:val="00E916DE"/>
    <w:rsid w:val="00E92094"/>
    <w:rsid w:val="00E9258A"/>
    <w:rsid w:val="00E930B7"/>
    <w:rsid w:val="00E93718"/>
    <w:rsid w:val="00E959AC"/>
    <w:rsid w:val="00E95A1E"/>
    <w:rsid w:val="00E96219"/>
    <w:rsid w:val="00E96AC0"/>
    <w:rsid w:val="00E97225"/>
    <w:rsid w:val="00EA2254"/>
    <w:rsid w:val="00EA31A4"/>
    <w:rsid w:val="00EA3D2A"/>
    <w:rsid w:val="00EA47AB"/>
    <w:rsid w:val="00EA4FB2"/>
    <w:rsid w:val="00EA56E4"/>
    <w:rsid w:val="00EA582A"/>
    <w:rsid w:val="00EA64C8"/>
    <w:rsid w:val="00EA6623"/>
    <w:rsid w:val="00EA6A76"/>
    <w:rsid w:val="00EA6C53"/>
    <w:rsid w:val="00EA7526"/>
    <w:rsid w:val="00EB0584"/>
    <w:rsid w:val="00EB0C3A"/>
    <w:rsid w:val="00EB1102"/>
    <w:rsid w:val="00EB13E8"/>
    <w:rsid w:val="00EB1EC2"/>
    <w:rsid w:val="00EB2569"/>
    <w:rsid w:val="00EB281E"/>
    <w:rsid w:val="00EB2D1E"/>
    <w:rsid w:val="00EB2EEA"/>
    <w:rsid w:val="00EB4012"/>
    <w:rsid w:val="00EB6400"/>
    <w:rsid w:val="00EB6C3B"/>
    <w:rsid w:val="00EB6EBE"/>
    <w:rsid w:val="00EB709B"/>
    <w:rsid w:val="00EC083B"/>
    <w:rsid w:val="00EC0A32"/>
    <w:rsid w:val="00EC0BBF"/>
    <w:rsid w:val="00EC0F9A"/>
    <w:rsid w:val="00EC101E"/>
    <w:rsid w:val="00EC149C"/>
    <w:rsid w:val="00EC1653"/>
    <w:rsid w:val="00EC197F"/>
    <w:rsid w:val="00EC1E7F"/>
    <w:rsid w:val="00EC2915"/>
    <w:rsid w:val="00EC2BBD"/>
    <w:rsid w:val="00EC2C3D"/>
    <w:rsid w:val="00EC4100"/>
    <w:rsid w:val="00EC4B51"/>
    <w:rsid w:val="00EC52A6"/>
    <w:rsid w:val="00ED1911"/>
    <w:rsid w:val="00ED194F"/>
    <w:rsid w:val="00ED1E8B"/>
    <w:rsid w:val="00ED2119"/>
    <w:rsid w:val="00ED225F"/>
    <w:rsid w:val="00ED27EB"/>
    <w:rsid w:val="00ED3525"/>
    <w:rsid w:val="00ED41D6"/>
    <w:rsid w:val="00ED4751"/>
    <w:rsid w:val="00ED547E"/>
    <w:rsid w:val="00ED55A4"/>
    <w:rsid w:val="00ED7079"/>
    <w:rsid w:val="00ED713C"/>
    <w:rsid w:val="00ED713D"/>
    <w:rsid w:val="00EE04CE"/>
    <w:rsid w:val="00EE0762"/>
    <w:rsid w:val="00EE0839"/>
    <w:rsid w:val="00EE088E"/>
    <w:rsid w:val="00EE1BA5"/>
    <w:rsid w:val="00EE2F14"/>
    <w:rsid w:val="00EE3858"/>
    <w:rsid w:val="00EE496B"/>
    <w:rsid w:val="00EE579C"/>
    <w:rsid w:val="00EE5C3E"/>
    <w:rsid w:val="00EE6B45"/>
    <w:rsid w:val="00EE6E40"/>
    <w:rsid w:val="00EE743C"/>
    <w:rsid w:val="00EE77EC"/>
    <w:rsid w:val="00EE7CA1"/>
    <w:rsid w:val="00EF0166"/>
    <w:rsid w:val="00EF0592"/>
    <w:rsid w:val="00EF0944"/>
    <w:rsid w:val="00EF0E49"/>
    <w:rsid w:val="00EF1825"/>
    <w:rsid w:val="00EF1FB0"/>
    <w:rsid w:val="00EF3922"/>
    <w:rsid w:val="00EF3938"/>
    <w:rsid w:val="00EF52CF"/>
    <w:rsid w:val="00EF5E5A"/>
    <w:rsid w:val="00EF5E71"/>
    <w:rsid w:val="00EF66C6"/>
    <w:rsid w:val="00EF6A6C"/>
    <w:rsid w:val="00EF71C9"/>
    <w:rsid w:val="00EF7825"/>
    <w:rsid w:val="00EF787F"/>
    <w:rsid w:val="00F0147A"/>
    <w:rsid w:val="00F0184D"/>
    <w:rsid w:val="00F02153"/>
    <w:rsid w:val="00F0228C"/>
    <w:rsid w:val="00F0231E"/>
    <w:rsid w:val="00F02747"/>
    <w:rsid w:val="00F034CF"/>
    <w:rsid w:val="00F03586"/>
    <w:rsid w:val="00F03ACC"/>
    <w:rsid w:val="00F0487D"/>
    <w:rsid w:val="00F053B9"/>
    <w:rsid w:val="00F05CE5"/>
    <w:rsid w:val="00F06130"/>
    <w:rsid w:val="00F06BAE"/>
    <w:rsid w:val="00F1093E"/>
    <w:rsid w:val="00F11132"/>
    <w:rsid w:val="00F11BB9"/>
    <w:rsid w:val="00F1274E"/>
    <w:rsid w:val="00F128AE"/>
    <w:rsid w:val="00F13726"/>
    <w:rsid w:val="00F13D27"/>
    <w:rsid w:val="00F1414F"/>
    <w:rsid w:val="00F142B3"/>
    <w:rsid w:val="00F1472B"/>
    <w:rsid w:val="00F15352"/>
    <w:rsid w:val="00F154B9"/>
    <w:rsid w:val="00F155C6"/>
    <w:rsid w:val="00F163AB"/>
    <w:rsid w:val="00F16545"/>
    <w:rsid w:val="00F17B07"/>
    <w:rsid w:val="00F20340"/>
    <w:rsid w:val="00F20B7D"/>
    <w:rsid w:val="00F20E70"/>
    <w:rsid w:val="00F21627"/>
    <w:rsid w:val="00F21799"/>
    <w:rsid w:val="00F225B7"/>
    <w:rsid w:val="00F229A4"/>
    <w:rsid w:val="00F23E70"/>
    <w:rsid w:val="00F24DE8"/>
    <w:rsid w:val="00F25125"/>
    <w:rsid w:val="00F25180"/>
    <w:rsid w:val="00F25796"/>
    <w:rsid w:val="00F25CF7"/>
    <w:rsid w:val="00F25F72"/>
    <w:rsid w:val="00F26460"/>
    <w:rsid w:val="00F273F1"/>
    <w:rsid w:val="00F27FA9"/>
    <w:rsid w:val="00F30A70"/>
    <w:rsid w:val="00F30C6E"/>
    <w:rsid w:val="00F31A22"/>
    <w:rsid w:val="00F3239E"/>
    <w:rsid w:val="00F323DC"/>
    <w:rsid w:val="00F32575"/>
    <w:rsid w:val="00F3272C"/>
    <w:rsid w:val="00F32B71"/>
    <w:rsid w:val="00F33531"/>
    <w:rsid w:val="00F339AB"/>
    <w:rsid w:val="00F33B08"/>
    <w:rsid w:val="00F33B62"/>
    <w:rsid w:val="00F3573A"/>
    <w:rsid w:val="00F35893"/>
    <w:rsid w:val="00F35A41"/>
    <w:rsid w:val="00F367AC"/>
    <w:rsid w:val="00F36806"/>
    <w:rsid w:val="00F36AA6"/>
    <w:rsid w:val="00F36AAD"/>
    <w:rsid w:val="00F40526"/>
    <w:rsid w:val="00F405F6"/>
    <w:rsid w:val="00F41452"/>
    <w:rsid w:val="00F4190E"/>
    <w:rsid w:val="00F4206B"/>
    <w:rsid w:val="00F420A1"/>
    <w:rsid w:val="00F42815"/>
    <w:rsid w:val="00F43461"/>
    <w:rsid w:val="00F4395C"/>
    <w:rsid w:val="00F444E3"/>
    <w:rsid w:val="00F4491D"/>
    <w:rsid w:val="00F4509B"/>
    <w:rsid w:val="00F45253"/>
    <w:rsid w:val="00F45C9E"/>
    <w:rsid w:val="00F45DBE"/>
    <w:rsid w:val="00F46639"/>
    <w:rsid w:val="00F468D6"/>
    <w:rsid w:val="00F5172F"/>
    <w:rsid w:val="00F51B7D"/>
    <w:rsid w:val="00F51FD3"/>
    <w:rsid w:val="00F53BF8"/>
    <w:rsid w:val="00F54775"/>
    <w:rsid w:val="00F56C9F"/>
    <w:rsid w:val="00F56D88"/>
    <w:rsid w:val="00F5724D"/>
    <w:rsid w:val="00F57799"/>
    <w:rsid w:val="00F5795D"/>
    <w:rsid w:val="00F57AB1"/>
    <w:rsid w:val="00F61130"/>
    <w:rsid w:val="00F614AA"/>
    <w:rsid w:val="00F61956"/>
    <w:rsid w:val="00F627EE"/>
    <w:rsid w:val="00F6362D"/>
    <w:rsid w:val="00F65F1B"/>
    <w:rsid w:val="00F66D6C"/>
    <w:rsid w:val="00F67248"/>
    <w:rsid w:val="00F675BC"/>
    <w:rsid w:val="00F67724"/>
    <w:rsid w:val="00F71F95"/>
    <w:rsid w:val="00F73DA8"/>
    <w:rsid w:val="00F73FB9"/>
    <w:rsid w:val="00F7411C"/>
    <w:rsid w:val="00F74386"/>
    <w:rsid w:val="00F7494B"/>
    <w:rsid w:val="00F7558F"/>
    <w:rsid w:val="00F75E43"/>
    <w:rsid w:val="00F76649"/>
    <w:rsid w:val="00F76D9E"/>
    <w:rsid w:val="00F771A0"/>
    <w:rsid w:val="00F806E4"/>
    <w:rsid w:val="00F8098F"/>
    <w:rsid w:val="00F815AF"/>
    <w:rsid w:val="00F817C8"/>
    <w:rsid w:val="00F82771"/>
    <w:rsid w:val="00F82F50"/>
    <w:rsid w:val="00F8314A"/>
    <w:rsid w:val="00F83C53"/>
    <w:rsid w:val="00F83D9C"/>
    <w:rsid w:val="00F841B0"/>
    <w:rsid w:val="00F85A30"/>
    <w:rsid w:val="00F85AE8"/>
    <w:rsid w:val="00F869D4"/>
    <w:rsid w:val="00F87DBF"/>
    <w:rsid w:val="00F90746"/>
    <w:rsid w:val="00F90FFB"/>
    <w:rsid w:val="00F911F5"/>
    <w:rsid w:val="00F92210"/>
    <w:rsid w:val="00F94430"/>
    <w:rsid w:val="00F94BE7"/>
    <w:rsid w:val="00F9567D"/>
    <w:rsid w:val="00F95695"/>
    <w:rsid w:val="00F9598E"/>
    <w:rsid w:val="00F96766"/>
    <w:rsid w:val="00F96865"/>
    <w:rsid w:val="00F96FDA"/>
    <w:rsid w:val="00F97124"/>
    <w:rsid w:val="00F973B0"/>
    <w:rsid w:val="00F977D6"/>
    <w:rsid w:val="00FA06E8"/>
    <w:rsid w:val="00FA0F8B"/>
    <w:rsid w:val="00FA1039"/>
    <w:rsid w:val="00FA2001"/>
    <w:rsid w:val="00FA2EB6"/>
    <w:rsid w:val="00FA3D3D"/>
    <w:rsid w:val="00FA3FB0"/>
    <w:rsid w:val="00FA4EF8"/>
    <w:rsid w:val="00FA58DE"/>
    <w:rsid w:val="00FA59CE"/>
    <w:rsid w:val="00FA67A4"/>
    <w:rsid w:val="00FA6878"/>
    <w:rsid w:val="00FA6A9B"/>
    <w:rsid w:val="00FA7755"/>
    <w:rsid w:val="00FA789F"/>
    <w:rsid w:val="00FB112F"/>
    <w:rsid w:val="00FB123B"/>
    <w:rsid w:val="00FB13F7"/>
    <w:rsid w:val="00FB2A91"/>
    <w:rsid w:val="00FB3D01"/>
    <w:rsid w:val="00FB4393"/>
    <w:rsid w:val="00FB53D9"/>
    <w:rsid w:val="00FB5712"/>
    <w:rsid w:val="00FB58F3"/>
    <w:rsid w:val="00FB5BEC"/>
    <w:rsid w:val="00FB6681"/>
    <w:rsid w:val="00FB679F"/>
    <w:rsid w:val="00FB6B1D"/>
    <w:rsid w:val="00FB782D"/>
    <w:rsid w:val="00FB7CEB"/>
    <w:rsid w:val="00FC088C"/>
    <w:rsid w:val="00FC0B0B"/>
    <w:rsid w:val="00FC0CAD"/>
    <w:rsid w:val="00FC1352"/>
    <w:rsid w:val="00FC27A1"/>
    <w:rsid w:val="00FC2987"/>
    <w:rsid w:val="00FC2C75"/>
    <w:rsid w:val="00FC2E26"/>
    <w:rsid w:val="00FC30AF"/>
    <w:rsid w:val="00FC3233"/>
    <w:rsid w:val="00FC465D"/>
    <w:rsid w:val="00FC57C5"/>
    <w:rsid w:val="00FC69CD"/>
    <w:rsid w:val="00FC73D9"/>
    <w:rsid w:val="00FD0BA5"/>
    <w:rsid w:val="00FD12C9"/>
    <w:rsid w:val="00FD1CA8"/>
    <w:rsid w:val="00FD2D61"/>
    <w:rsid w:val="00FD3F85"/>
    <w:rsid w:val="00FD40FA"/>
    <w:rsid w:val="00FD46A5"/>
    <w:rsid w:val="00FD48D0"/>
    <w:rsid w:val="00FD600F"/>
    <w:rsid w:val="00FD6468"/>
    <w:rsid w:val="00FD7584"/>
    <w:rsid w:val="00FE0DEC"/>
    <w:rsid w:val="00FE1B44"/>
    <w:rsid w:val="00FE33B6"/>
    <w:rsid w:val="00FE3B4F"/>
    <w:rsid w:val="00FE3D02"/>
    <w:rsid w:val="00FE3E27"/>
    <w:rsid w:val="00FE4010"/>
    <w:rsid w:val="00FE6D20"/>
    <w:rsid w:val="00FE7495"/>
    <w:rsid w:val="00FE794C"/>
    <w:rsid w:val="00FE7984"/>
    <w:rsid w:val="00FF00A0"/>
    <w:rsid w:val="00FF03BE"/>
    <w:rsid w:val="00FF12C7"/>
    <w:rsid w:val="00FF13C4"/>
    <w:rsid w:val="00FF1445"/>
    <w:rsid w:val="00FF1945"/>
    <w:rsid w:val="00FF1B92"/>
    <w:rsid w:val="00FF22EA"/>
    <w:rsid w:val="00FF2D23"/>
    <w:rsid w:val="00FF31AF"/>
    <w:rsid w:val="00FF4126"/>
    <w:rsid w:val="00FF4242"/>
    <w:rsid w:val="00FF4360"/>
    <w:rsid w:val="00FF444B"/>
    <w:rsid w:val="00FF4F0D"/>
    <w:rsid w:val="00FF4FCE"/>
    <w:rsid w:val="00FF5C61"/>
    <w:rsid w:val="00FF6A86"/>
    <w:rsid w:val="00FF707C"/>
    <w:rsid w:val="00FF77C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color="none [3215]" stroke="f">
      <v:fill color="none [3215]"/>
      <v:stroke on="f"/>
    </o:shapedefaults>
    <o:shapelayout v:ext="edit">
      <o:idmap v:ext="edit" data="1"/>
    </o:shapelayout>
  </w:shapeDefaults>
  <w:decimalSymbol w:val="."/>
  <w:listSeparator w:val=","/>
  <w14:docId w14:val="39A63E94"/>
  <w15:docId w15:val="{D23CDB26-CB77-46D8-90EE-2981A10F2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imes New Roman" w:hAnsi="Georgia" w:cs="Times New Roman"/>
        <w:lang w:val="en-AU" w:eastAsia="en-AU"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nhideWhenUsed="1"/>
    <w:lsdException w:name="toc 6" w:locked="0" w:semiHidden="1" w:uiPriority="39" w:unhideWhenUsed="1"/>
    <w:lsdException w:name="toc 7" w:locked="0" w:semiHidden="1" w:uiPriority="39" w:unhideWhenUsed="1"/>
    <w:lsdException w:name="toc 8" w:locked="0" w:semiHidden="1"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iPriority="13" w:unhideWhenUsed="1" w:qFormat="1"/>
    <w:lsdException w:name="List Number" w:semiHidden="1" w:uiPriority="13" w:qFormat="1"/>
    <w:lsdException w:name="List 2" w:semiHidden="1" w:unhideWhenUsed="1"/>
    <w:lsdException w:name="List 3" w:semiHidden="1" w:unhideWhenUsed="1"/>
    <w:lsdException w:name="List 4" w:semiHidden="1"/>
    <w:lsdException w:name="List 5" w:semiHidden="1"/>
    <w:lsdException w:name="List Bullet 2" w:semiHidden="1" w:uiPriority="13" w:unhideWhenUsed="1" w:qFormat="1"/>
    <w:lsdException w:name="List Bullet 3" w:semiHidden="1" w:uiPriority="13" w:unhideWhenUsed="1" w:qFormat="1"/>
    <w:lsdException w:name="List Bullet 4" w:semiHidden="1" w:uiPriority="13" w:unhideWhenUsed="1"/>
    <w:lsdException w:name="List Bullet 5" w:semiHidden="1" w:uiPriority="13"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locked="0" w:qFormat="1"/>
    <w:lsdException w:name="Closing" w:locked="0" w:semiHidden="1" w:unhideWhenUsed="1"/>
    <w:lsdException w:name="Signature" w:locked="0"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0" w:semiHidden="1" w:unhideWhenUsed="1"/>
    <w:lsdException w:name="Subtitle" w:locked="0" w:semiHidden="1" w:qFormat="1"/>
    <w:lsdException w:name="Salutation" w:locked="0" w:semiHidden="1" w:unhideWhenUsed="1"/>
    <w:lsdException w:name="Date" w:locked="0"/>
    <w:lsdException w:name="Body Text First Indent" w:semiHidden="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qFormat="1"/>
    <w:lsdException w:name="Hyperlink" w:locked="0" w:semiHidden="1" w:uiPriority="99" w:unhideWhenUsed="1"/>
    <w:lsdException w:name="FollowedHyperlink" w:locked="0" w:semiHidden="1" w:unhideWhenUsed="1"/>
    <w:lsdException w:name="Strong" w:locked="0" w:semiHidden="1" w:qFormat="1"/>
    <w:lsdException w:name="Emphasis" w:semiHidden="1"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locked="0" w:semiHidden="1" w:unhideWhenUsed="1"/>
    <w:lsdException w:name="Placeholder Text" w:locked="0" w:semiHidden="1" w:uiPriority="99"/>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qFormat="1"/>
    <w:lsdException w:name="Quote" w:locked="0"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next w:val="PwCNormal"/>
    <w:qFormat/>
    <w:rsid w:val="009D1655"/>
    <w:pPr>
      <w:kinsoku w:val="0"/>
      <w:overflowPunct w:val="0"/>
      <w:autoSpaceDE w:val="0"/>
      <w:autoSpaceDN w:val="0"/>
      <w:adjustRightInd w:val="0"/>
      <w:snapToGrid w:val="0"/>
    </w:pPr>
    <w:rPr>
      <w:rFonts w:cs="Arial"/>
      <w:snapToGrid w:val="0"/>
      <w:lang w:eastAsia="en-US"/>
    </w:rPr>
  </w:style>
  <w:style w:type="paragraph" w:styleId="Heading1">
    <w:name w:val="heading 1"/>
    <w:basedOn w:val="CoverOutcomeHeadline"/>
    <w:next w:val="PwCNormal"/>
    <w:qFormat/>
    <w:rsid w:val="00AF21C9"/>
    <w:pPr>
      <w:outlineLvl w:val="0"/>
    </w:pPr>
    <w:rPr>
      <w:lang w:val="en-AU"/>
    </w:rPr>
  </w:style>
  <w:style w:type="paragraph" w:styleId="Heading2">
    <w:name w:val="heading 2"/>
    <w:aliases w:val="Chapter Heading (Short)"/>
    <w:basedOn w:val="Normal"/>
    <w:next w:val="PwCNormal"/>
    <w:qFormat/>
    <w:rsid w:val="00902462"/>
    <w:pPr>
      <w:keepNext/>
      <w:keepLines/>
      <w:numPr>
        <w:ilvl w:val="1"/>
        <w:numId w:val="35"/>
      </w:numPr>
      <w:spacing w:before="240" w:after="120"/>
      <w:outlineLvl w:val="1"/>
    </w:pPr>
    <w:rPr>
      <w:rFonts w:asciiTheme="majorHAnsi" w:hAnsiTheme="majorHAnsi"/>
      <w:b/>
      <w:bCs/>
      <w:iCs/>
      <w:color w:val="A32020" w:themeColor="text2"/>
      <w:sz w:val="32"/>
      <w:szCs w:val="36"/>
    </w:rPr>
  </w:style>
  <w:style w:type="paragraph" w:styleId="Heading3">
    <w:name w:val="heading 3"/>
    <w:aliases w:val="Appendix Heading (Long)"/>
    <w:basedOn w:val="Heading2"/>
    <w:next w:val="PwCNormal"/>
    <w:qFormat/>
    <w:rsid w:val="00324E04"/>
    <w:pPr>
      <w:outlineLvl w:val="2"/>
    </w:pPr>
    <w:rPr>
      <w:rFonts w:eastAsia="Georgia"/>
    </w:rPr>
  </w:style>
  <w:style w:type="paragraph" w:styleId="Heading4">
    <w:name w:val="heading 4"/>
    <w:aliases w:val="Appendix Heading (Short)"/>
    <w:basedOn w:val="Heading3"/>
    <w:next w:val="PwCNormal"/>
    <w:qFormat/>
    <w:rsid w:val="00324E04"/>
    <w:pPr>
      <w:outlineLvl w:val="3"/>
    </w:pPr>
    <w:rPr>
      <w:sz w:val="28"/>
    </w:rPr>
  </w:style>
  <w:style w:type="paragraph" w:styleId="Heading5">
    <w:name w:val="heading 5"/>
    <w:basedOn w:val="Heading2"/>
    <w:next w:val="PwCNormal"/>
    <w:qFormat/>
    <w:rsid w:val="00902462"/>
    <w:pPr>
      <w:numPr>
        <w:ilvl w:val="0"/>
        <w:numId w:val="16"/>
      </w:numPr>
      <w:spacing w:before="360" w:line="380" w:lineRule="atLeast"/>
      <w:outlineLvl w:val="4"/>
    </w:pPr>
    <w:rPr>
      <w:bCs w:val="0"/>
      <w:iCs w:val="0"/>
      <w:szCs w:val="32"/>
    </w:rPr>
  </w:style>
  <w:style w:type="paragraph" w:styleId="Heading6">
    <w:name w:val="heading 6"/>
    <w:basedOn w:val="Heading5"/>
    <w:next w:val="PwCNormal"/>
    <w:qFormat/>
    <w:rsid w:val="00902462"/>
    <w:pPr>
      <w:numPr>
        <w:numId w:val="17"/>
      </w:numPr>
      <w:spacing w:before="240" w:line="240" w:lineRule="auto"/>
      <w:outlineLvl w:val="5"/>
    </w:pPr>
    <w:rPr>
      <w:b w:val="0"/>
      <w:bCs/>
    </w:rPr>
  </w:style>
  <w:style w:type="paragraph" w:styleId="Heading7">
    <w:name w:val="heading 7"/>
    <w:basedOn w:val="Heading6"/>
    <w:next w:val="PwCNormal"/>
    <w:qFormat/>
    <w:rsid w:val="00902462"/>
    <w:pPr>
      <w:numPr>
        <w:ilvl w:val="3"/>
        <w:numId w:val="18"/>
      </w:numPr>
      <w:outlineLvl w:val="6"/>
    </w:pPr>
    <w:rPr>
      <w:b/>
      <w:sz w:val="28"/>
      <w:szCs w:val="28"/>
    </w:rPr>
  </w:style>
  <w:style w:type="paragraph" w:styleId="Heading8">
    <w:name w:val="heading 8"/>
    <w:basedOn w:val="Majorheading"/>
    <w:next w:val="PwCNormal"/>
    <w:qFormat/>
    <w:rsid w:val="00902462"/>
    <w:pPr>
      <w:numPr>
        <w:ilvl w:val="6"/>
        <w:numId w:val="18"/>
      </w:numPr>
      <w:outlineLvl w:val="7"/>
    </w:pPr>
    <w:rPr>
      <w:sz w:val="32"/>
      <w:szCs w:val="21"/>
    </w:rPr>
  </w:style>
  <w:style w:type="paragraph" w:styleId="Heading9">
    <w:name w:val="heading 9"/>
    <w:basedOn w:val="Heading8"/>
    <w:next w:val="PwCNormal"/>
    <w:qFormat/>
    <w:rsid w:val="00902462"/>
    <w:pPr>
      <w:numPr>
        <w:ilvl w:val="0"/>
        <w:numId w:val="0"/>
      </w:numPr>
      <w:outlineLvl w:val="8"/>
    </w:pPr>
    <w:rPr>
      <w:b w:val="0"/>
      <w:i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02462"/>
    <w:pPr>
      <w:tabs>
        <w:tab w:val="right" w:pos="8220"/>
      </w:tabs>
    </w:pPr>
    <w:rPr>
      <w:rFonts w:ascii="Arial" w:hAnsi="Arial"/>
      <w:color w:val="000000" w:themeColor="text1"/>
      <w:sz w:val="19"/>
      <w:szCs w:val="18"/>
    </w:rPr>
  </w:style>
  <w:style w:type="paragraph" w:styleId="Footer">
    <w:name w:val="footer"/>
    <w:basedOn w:val="Normal"/>
    <w:link w:val="FooterChar"/>
    <w:rsid w:val="00902462"/>
    <w:pPr>
      <w:tabs>
        <w:tab w:val="right" w:pos="8220"/>
      </w:tabs>
      <w:spacing w:line="0" w:lineRule="atLeast"/>
    </w:pPr>
    <w:rPr>
      <w:rFonts w:ascii="Arial" w:hAnsi="Arial"/>
      <w:color w:val="000000" w:themeColor="text1"/>
      <w:sz w:val="19"/>
      <w:szCs w:val="18"/>
    </w:rPr>
  </w:style>
  <w:style w:type="paragraph" w:customStyle="1" w:styleId="TOCtitle">
    <w:name w:val="TOC title"/>
    <w:basedOn w:val="Heading1"/>
    <w:next w:val="PwCNormal"/>
    <w:unhideWhenUsed/>
    <w:rsid w:val="007404FC"/>
    <w:pPr>
      <w:numPr>
        <w:numId w:val="0"/>
      </w:numPr>
      <w:spacing w:after="600"/>
    </w:pPr>
  </w:style>
  <w:style w:type="paragraph" w:customStyle="1" w:styleId="Covertitle">
    <w:name w:val="Cover title"/>
    <w:basedOn w:val="KeySentenceInside"/>
    <w:next w:val="Coversubtitle"/>
    <w:rsid w:val="00902462"/>
    <w:pPr>
      <w:framePr w:w="0" w:wrap="auto" w:vAnchor="margin" w:hAnchor="text" w:xAlign="left" w:yAlign="inline"/>
      <w:spacing w:before="120" w:after="120"/>
    </w:pPr>
    <w:rPr>
      <w:rFonts w:asciiTheme="majorHAnsi" w:hAnsiTheme="majorHAnsi"/>
      <w:i w:val="0"/>
      <w:color w:val="auto"/>
      <w:sz w:val="20"/>
      <w:lang w:val="en-GB"/>
    </w:rPr>
  </w:style>
  <w:style w:type="paragraph" w:customStyle="1" w:styleId="Coversubtitle">
    <w:name w:val="Cover subtitle"/>
    <w:basedOn w:val="Covertitle"/>
    <w:rsid w:val="00902462"/>
    <w:pPr>
      <w:spacing w:before="180"/>
    </w:pPr>
    <w:rPr>
      <w:bCs/>
      <w:szCs w:val="64"/>
    </w:rPr>
  </w:style>
  <w:style w:type="paragraph" w:customStyle="1" w:styleId="AppendixNumberLong">
    <w:name w:val="Appendix Number (Long)"/>
    <w:basedOn w:val="Heading3"/>
    <w:next w:val="Heading3"/>
    <w:rsid w:val="00902462"/>
    <w:pPr>
      <w:numPr>
        <w:ilvl w:val="5"/>
        <w:numId w:val="18"/>
      </w:numPr>
    </w:pPr>
    <w:rPr>
      <w:color w:val="000000" w:themeColor="text1"/>
    </w:rPr>
  </w:style>
  <w:style w:type="paragraph" w:customStyle="1" w:styleId="ChapterNumberLong">
    <w:name w:val="Chapter Number (Long)"/>
    <w:basedOn w:val="Heading1"/>
    <w:next w:val="Heading1"/>
    <w:rsid w:val="00902462"/>
    <w:pPr>
      <w:numPr>
        <w:numId w:val="18"/>
      </w:numPr>
    </w:pPr>
  </w:style>
  <w:style w:type="paragraph" w:customStyle="1" w:styleId="Footer-Even">
    <w:name w:val="Footer - Even"/>
    <w:basedOn w:val="Footer"/>
    <w:rsid w:val="00902462"/>
  </w:style>
  <w:style w:type="paragraph" w:customStyle="1" w:styleId="URL">
    <w:name w:val="URL"/>
    <w:basedOn w:val="PwCNormal"/>
    <w:next w:val="PwCNormal"/>
    <w:rsid w:val="00902462"/>
    <w:pPr>
      <w:framePr w:wrap="around" w:vAnchor="page" w:hAnchor="page" w:x="1022" w:y="568"/>
      <w:spacing w:after="0"/>
    </w:pPr>
    <w:rPr>
      <w:rFonts w:eastAsia="+mn-ea"/>
      <w:snapToGrid/>
      <w:color w:val="FFFFFF"/>
      <w:sz w:val="36"/>
    </w:rPr>
  </w:style>
  <w:style w:type="paragraph" w:customStyle="1" w:styleId="Indent1">
    <w:name w:val="Indent 1"/>
    <w:basedOn w:val="Normal"/>
    <w:qFormat/>
    <w:rsid w:val="00902462"/>
    <w:pPr>
      <w:numPr>
        <w:ilvl w:val="1"/>
        <w:numId w:val="36"/>
      </w:numPr>
      <w:spacing w:before="100" w:after="100"/>
    </w:pPr>
    <w:rPr>
      <w:rFonts w:cs="Times New Roman"/>
    </w:rPr>
  </w:style>
  <w:style w:type="paragraph" w:customStyle="1" w:styleId="Indent2">
    <w:name w:val="Indent 2"/>
    <w:basedOn w:val="Indent1"/>
    <w:rsid w:val="00902462"/>
    <w:pPr>
      <w:numPr>
        <w:ilvl w:val="2"/>
      </w:numPr>
    </w:pPr>
  </w:style>
  <w:style w:type="paragraph" w:customStyle="1" w:styleId="Indent3">
    <w:name w:val="Indent 3"/>
    <w:basedOn w:val="Indent2"/>
    <w:rsid w:val="00902462"/>
    <w:pPr>
      <w:numPr>
        <w:ilvl w:val="3"/>
      </w:numPr>
    </w:pPr>
  </w:style>
  <w:style w:type="paragraph" w:customStyle="1" w:styleId="Indent5">
    <w:name w:val="Indent 5"/>
    <w:basedOn w:val="Indent4"/>
    <w:rsid w:val="00902462"/>
    <w:pPr>
      <w:numPr>
        <w:ilvl w:val="5"/>
      </w:numPr>
    </w:pPr>
  </w:style>
  <w:style w:type="paragraph" w:customStyle="1" w:styleId="Indent6">
    <w:name w:val="Indent 6"/>
    <w:basedOn w:val="Indent5"/>
    <w:rsid w:val="00902462"/>
    <w:pPr>
      <w:numPr>
        <w:ilvl w:val="6"/>
      </w:numPr>
    </w:pPr>
  </w:style>
  <w:style w:type="paragraph" w:customStyle="1" w:styleId="Indent7">
    <w:name w:val="Indent 7"/>
    <w:basedOn w:val="Indent6"/>
    <w:rsid w:val="00902462"/>
    <w:pPr>
      <w:numPr>
        <w:ilvl w:val="7"/>
      </w:numPr>
    </w:pPr>
  </w:style>
  <w:style w:type="numbering" w:customStyle="1" w:styleId="Indents">
    <w:name w:val="Indents"/>
    <w:rsid w:val="00902462"/>
    <w:pPr>
      <w:numPr>
        <w:numId w:val="19"/>
      </w:numPr>
    </w:pPr>
  </w:style>
  <w:style w:type="paragraph" w:customStyle="1" w:styleId="Copyright">
    <w:name w:val="Copyright"/>
    <w:basedOn w:val="Normal"/>
    <w:rsid w:val="00902462"/>
    <w:pPr>
      <w:framePr w:wrap="around" w:vAnchor="page" w:hAnchor="page" w:x="1022" w:y="14921"/>
    </w:pPr>
    <w:rPr>
      <w:rFonts w:ascii="Arial" w:hAnsi="Arial"/>
      <w:color w:val="FFFFFF"/>
      <w:sz w:val="16"/>
      <w:lang w:val="en-US"/>
    </w:rPr>
  </w:style>
  <w:style w:type="paragraph" w:customStyle="1" w:styleId="Header-Even">
    <w:name w:val="Header - Even"/>
    <w:basedOn w:val="Header"/>
    <w:rsid w:val="00902462"/>
  </w:style>
  <w:style w:type="paragraph" w:customStyle="1" w:styleId="PleaseNote">
    <w:name w:val="Please Note"/>
    <w:basedOn w:val="PrefaceTitle"/>
    <w:next w:val="PwCNormal"/>
    <w:rsid w:val="00902462"/>
    <w:rPr>
      <w:iCs w:val="0"/>
    </w:rPr>
  </w:style>
  <w:style w:type="paragraph" w:customStyle="1" w:styleId="Indent4">
    <w:name w:val="Indent 4"/>
    <w:basedOn w:val="Indent3"/>
    <w:rsid w:val="00902462"/>
    <w:pPr>
      <w:numPr>
        <w:ilvl w:val="4"/>
      </w:numPr>
    </w:pPr>
  </w:style>
  <w:style w:type="paragraph" w:styleId="TOC2">
    <w:name w:val="toc 2"/>
    <w:basedOn w:val="TOC1"/>
    <w:next w:val="PwCNormal"/>
    <w:uiPriority w:val="39"/>
    <w:rsid w:val="00A93C35"/>
    <w:pPr>
      <w:spacing w:before="120"/>
      <w:ind w:left="1134" w:hanging="567"/>
    </w:pPr>
    <w:rPr>
      <w:b w:val="0"/>
    </w:rPr>
  </w:style>
  <w:style w:type="paragraph" w:styleId="TOC4">
    <w:name w:val="toc 4"/>
    <w:basedOn w:val="TOC2"/>
    <w:next w:val="PwCNormal"/>
    <w:uiPriority w:val="39"/>
    <w:rsid w:val="00902462"/>
    <w:pPr>
      <w:tabs>
        <w:tab w:val="clear" w:pos="567"/>
        <w:tab w:val="left" w:pos="1134"/>
      </w:tabs>
      <w:ind w:hanging="1134"/>
    </w:pPr>
  </w:style>
  <w:style w:type="paragraph" w:styleId="TOC7">
    <w:name w:val="toc 7"/>
    <w:basedOn w:val="TOC6"/>
    <w:next w:val="PwCNormal"/>
    <w:uiPriority w:val="39"/>
    <w:rsid w:val="00902462"/>
    <w:pPr>
      <w:tabs>
        <w:tab w:val="clear" w:pos="1134"/>
        <w:tab w:val="left" w:pos="1985"/>
      </w:tabs>
      <w:ind w:left="1985" w:hanging="851"/>
    </w:pPr>
  </w:style>
  <w:style w:type="paragraph" w:customStyle="1" w:styleId="KeySentenceInside">
    <w:name w:val="Key Sentence Inside"/>
    <w:basedOn w:val="KeySentence"/>
    <w:rsid w:val="00902462"/>
    <w:pPr>
      <w:framePr w:w="2296" w:wrap="notBeside" w:vAnchor="text" w:hAnchor="margin" w:x="-2521" w:y="1" w:anchorLock="1"/>
    </w:pPr>
  </w:style>
  <w:style w:type="paragraph" w:customStyle="1" w:styleId="ChapterNumberedList1">
    <w:name w:val="Chapter Numbered List 1"/>
    <w:basedOn w:val="PwCNormal"/>
    <w:rsid w:val="00902462"/>
    <w:pPr>
      <w:numPr>
        <w:ilvl w:val="7"/>
        <w:numId w:val="18"/>
      </w:numPr>
    </w:pPr>
  </w:style>
  <w:style w:type="paragraph" w:customStyle="1" w:styleId="ChapterNumberedList2">
    <w:name w:val="Chapter Numbered List 2"/>
    <w:basedOn w:val="ChapterNumberedList1"/>
    <w:rsid w:val="00902462"/>
    <w:pPr>
      <w:numPr>
        <w:ilvl w:val="8"/>
      </w:numPr>
    </w:pPr>
  </w:style>
  <w:style w:type="paragraph" w:styleId="TOC6">
    <w:name w:val="toc 6"/>
    <w:basedOn w:val="TOC2"/>
    <w:next w:val="PwCNormal"/>
    <w:uiPriority w:val="39"/>
    <w:rsid w:val="00902462"/>
    <w:pPr>
      <w:tabs>
        <w:tab w:val="clear" w:pos="567"/>
        <w:tab w:val="left" w:pos="1134"/>
      </w:tabs>
    </w:pPr>
  </w:style>
  <w:style w:type="paragraph" w:customStyle="1" w:styleId="PwCNormal">
    <w:name w:val="PwC Normal"/>
    <w:basedOn w:val="Normal"/>
    <w:link w:val="PwCNormalChar"/>
    <w:qFormat/>
    <w:rsid w:val="00902462"/>
    <w:pPr>
      <w:numPr>
        <w:numId w:val="36"/>
      </w:numPr>
      <w:spacing w:before="120" w:after="120"/>
    </w:pPr>
  </w:style>
  <w:style w:type="paragraph" w:customStyle="1" w:styleId="CoverDate">
    <w:name w:val="Cover Date"/>
    <w:basedOn w:val="Coversubtitle"/>
    <w:rsid w:val="00902462"/>
  </w:style>
  <w:style w:type="paragraph" w:customStyle="1" w:styleId="KeySentenceOutside">
    <w:name w:val="Key Sentence Outside"/>
    <w:basedOn w:val="KeySentence"/>
    <w:rsid w:val="00902462"/>
    <w:pPr>
      <w:framePr w:w="2410" w:wrap="around" w:vAnchor="text" w:hAnchor="margin" w:x="7909" w:y="1" w:anchorLock="1"/>
    </w:pPr>
  </w:style>
  <w:style w:type="character" w:customStyle="1" w:styleId="PwCNormalChar">
    <w:name w:val="PwC Normal Char"/>
    <w:basedOn w:val="DefaultParagraphFont"/>
    <w:link w:val="PwCNormal"/>
    <w:rsid w:val="00902462"/>
    <w:rPr>
      <w:rFonts w:cs="Arial"/>
      <w:snapToGrid w:val="0"/>
      <w:lang w:eastAsia="en-US"/>
    </w:rPr>
  </w:style>
  <w:style w:type="paragraph" w:styleId="TOC1">
    <w:name w:val="toc 1"/>
    <w:basedOn w:val="Normal"/>
    <w:next w:val="PwCNormal"/>
    <w:uiPriority w:val="39"/>
    <w:rsid w:val="00E66FE1"/>
    <w:pPr>
      <w:tabs>
        <w:tab w:val="left" w:pos="567"/>
        <w:tab w:val="right" w:leader="dot" w:pos="8220"/>
      </w:tabs>
      <w:spacing w:before="200"/>
      <w:ind w:right="851"/>
    </w:pPr>
    <w:rPr>
      <w:b/>
    </w:rPr>
  </w:style>
  <w:style w:type="paragraph" w:customStyle="1" w:styleId="CREATISID">
    <w:name w:val="CREATISID"/>
    <w:basedOn w:val="PwCNormal"/>
    <w:unhideWhenUsed/>
    <w:rsid w:val="00902462"/>
    <w:pPr>
      <w:framePr w:w="227" w:h="539" w:wrap="notBeside" w:vAnchor="page" w:hAnchor="page" w:x="511" w:y="15594"/>
      <w:numPr>
        <w:numId w:val="0"/>
      </w:numPr>
      <w:spacing w:after="0"/>
      <w:textDirection w:val="btLr"/>
    </w:pPr>
    <w:rPr>
      <w:rFonts w:eastAsia="MS Mincho"/>
      <w:sz w:val="10"/>
      <w:szCs w:val="12"/>
      <w:lang w:eastAsia="ja-JP"/>
    </w:rPr>
  </w:style>
  <w:style w:type="numbering" w:customStyle="1" w:styleId="BulletList">
    <w:name w:val="Bullet List"/>
    <w:rsid w:val="00902462"/>
    <w:pPr>
      <w:numPr>
        <w:numId w:val="9"/>
      </w:numPr>
    </w:pPr>
  </w:style>
  <w:style w:type="paragraph" w:customStyle="1" w:styleId="Footer-Landscape">
    <w:name w:val="Footer - Landscape"/>
    <w:basedOn w:val="Footer"/>
    <w:rsid w:val="00902462"/>
    <w:pPr>
      <w:tabs>
        <w:tab w:val="clear" w:pos="8220"/>
        <w:tab w:val="right" w:pos="14797"/>
      </w:tabs>
    </w:pPr>
  </w:style>
  <w:style w:type="paragraph" w:customStyle="1" w:styleId="TableBullet1Normal">
    <w:name w:val="Table Bullet 1 Normal"/>
    <w:basedOn w:val="TableTextNormal"/>
    <w:rsid w:val="00902462"/>
    <w:pPr>
      <w:numPr>
        <w:numId w:val="26"/>
      </w:numPr>
      <w:spacing w:before="40" w:after="40"/>
    </w:pPr>
  </w:style>
  <w:style w:type="paragraph" w:customStyle="1" w:styleId="TableTextNormal">
    <w:name w:val="Table Text Normal"/>
    <w:basedOn w:val="Normal"/>
    <w:rsid w:val="00902462"/>
    <w:pPr>
      <w:spacing w:before="80" w:after="80"/>
    </w:pPr>
  </w:style>
  <w:style w:type="paragraph" w:customStyle="1" w:styleId="TableBullet1Small">
    <w:name w:val="Table Bullet 1 Small"/>
    <w:basedOn w:val="TableTextSmall"/>
    <w:rsid w:val="00902462"/>
    <w:pPr>
      <w:numPr>
        <w:numId w:val="27"/>
      </w:numPr>
      <w:spacing w:before="20" w:after="20"/>
    </w:pPr>
  </w:style>
  <w:style w:type="paragraph" w:customStyle="1" w:styleId="TableTextSmall">
    <w:name w:val="Table Text Small"/>
    <w:basedOn w:val="Normal"/>
    <w:rsid w:val="00902462"/>
    <w:pPr>
      <w:spacing w:before="40" w:after="40"/>
    </w:pPr>
    <w:rPr>
      <w:rFonts w:ascii="Arial" w:hAnsi="Arial"/>
      <w:sz w:val="16"/>
      <w:szCs w:val="18"/>
    </w:rPr>
  </w:style>
  <w:style w:type="paragraph" w:customStyle="1" w:styleId="TableBullet3Normal">
    <w:name w:val="Table Bullet 3 Normal"/>
    <w:basedOn w:val="TableBullet2Normal"/>
    <w:rsid w:val="00902462"/>
    <w:pPr>
      <w:numPr>
        <w:ilvl w:val="2"/>
      </w:numPr>
    </w:pPr>
  </w:style>
  <w:style w:type="paragraph" w:customStyle="1" w:styleId="TableBullet3Small">
    <w:name w:val="Table Bullet 3 Small"/>
    <w:basedOn w:val="TableBullet2Small"/>
    <w:rsid w:val="00902462"/>
    <w:pPr>
      <w:numPr>
        <w:ilvl w:val="2"/>
      </w:numPr>
    </w:pPr>
    <w:rPr>
      <w:szCs w:val="16"/>
    </w:rPr>
  </w:style>
  <w:style w:type="paragraph" w:customStyle="1" w:styleId="BlockText2">
    <w:name w:val="Block Text 2"/>
    <w:basedOn w:val="Normal"/>
    <w:qFormat/>
    <w:rsid w:val="00902462"/>
    <w:pPr>
      <w:pBdr>
        <w:top w:val="single" w:sz="2" w:space="10" w:color="A32020" w:themeColor="text2"/>
        <w:left w:val="single" w:sz="2" w:space="10" w:color="A32020" w:themeColor="text2"/>
        <w:bottom w:val="single" w:sz="2" w:space="10" w:color="A32020" w:themeColor="text2"/>
        <w:right w:val="single" w:sz="2" w:space="10" w:color="A32020" w:themeColor="text2"/>
      </w:pBdr>
      <w:shd w:val="clear" w:color="auto" w:fill="A32020" w:themeFill="text2"/>
      <w:kinsoku/>
      <w:overflowPunct/>
      <w:autoSpaceDE/>
      <w:autoSpaceDN/>
      <w:adjustRightInd/>
      <w:snapToGrid/>
      <w:spacing w:after="240"/>
      <w:ind w:left="227" w:right="227"/>
    </w:pPr>
    <w:rPr>
      <w:rFonts w:eastAsiaTheme="minorHAnsi" w:cstheme="minorBidi"/>
      <w:i/>
      <w:snapToGrid/>
      <w:color w:val="FFFFFF" w:themeColor="background2"/>
      <w:sz w:val="48"/>
      <w:szCs w:val="48"/>
      <w:lang w:val="en-GB"/>
    </w:rPr>
  </w:style>
  <w:style w:type="paragraph" w:customStyle="1" w:styleId="Appendix">
    <w:name w:val="Appendix"/>
    <w:basedOn w:val="Heading1"/>
    <w:next w:val="Normal"/>
    <w:uiPriority w:val="99"/>
    <w:qFormat/>
    <w:rsid w:val="00902462"/>
    <w:pPr>
      <w:numPr>
        <w:numId w:val="23"/>
      </w:numPr>
      <w:kinsoku/>
      <w:overflowPunct/>
      <w:autoSpaceDE/>
      <w:autoSpaceDN/>
      <w:adjustRightInd/>
      <w:snapToGrid/>
      <w:spacing w:line="600" w:lineRule="atLeast"/>
    </w:pPr>
    <w:rPr>
      <w:rFonts w:eastAsiaTheme="majorEastAsia" w:cstheme="majorBidi"/>
      <w:snapToGrid/>
      <w:szCs w:val="28"/>
      <w:lang w:val="en-GB"/>
    </w:rPr>
  </w:style>
  <w:style w:type="numbering" w:customStyle="1" w:styleId="PwCAppendixList1">
    <w:name w:val="PwC Appendix List 1"/>
    <w:uiPriority w:val="99"/>
    <w:rsid w:val="00902462"/>
    <w:pPr>
      <w:numPr>
        <w:numId w:val="23"/>
      </w:numPr>
    </w:pPr>
  </w:style>
  <w:style w:type="paragraph" w:styleId="Caption">
    <w:name w:val="caption"/>
    <w:basedOn w:val="Normal"/>
    <w:next w:val="Normal"/>
    <w:unhideWhenUsed/>
    <w:qFormat/>
    <w:rsid w:val="00D672B5"/>
    <w:pPr>
      <w:keepNext/>
      <w:keepLines/>
      <w:tabs>
        <w:tab w:val="left" w:pos="992"/>
      </w:tabs>
      <w:spacing w:before="120" w:after="120"/>
      <w:ind w:left="851" w:hanging="851"/>
    </w:pPr>
    <w:rPr>
      <w:rFonts w:asciiTheme="majorHAnsi" w:hAnsiTheme="majorHAnsi"/>
      <w:b/>
      <w:bCs/>
      <w:color w:val="A32020" w:themeColor="text2"/>
      <w:szCs w:val="18"/>
    </w:rPr>
  </w:style>
  <w:style w:type="paragraph" w:customStyle="1" w:styleId="Majorheading">
    <w:name w:val="Major heading"/>
    <w:basedOn w:val="Normal"/>
    <w:next w:val="PwCNormal"/>
    <w:rsid w:val="00902462"/>
    <w:pPr>
      <w:keepNext/>
      <w:keepLines/>
      <w:spacing w:before="240" w:after="40"/>
    </w:pPr>
    <w:rPr>
      <w:rFonts w:asciiTheme="majorHAnsi" w:hAnsiTheme="majorHAnsi"/>
      <w:b/>
      <w:i/>
      <w:color w:val="A32020" w:themeColor="text2"/>
      <w:sz w:val="28"/>
      <w:szCs w:val="24"/>
    </w:rPr>
  </w:style>
  <w:style w:type="numbering" w:customStyle="1" w:styleId="TableBulletNormalList">
    <w:name w:val="Table Bullet Normal List"/>
    <w:rsid w:val="00902462"/>
    <w:pPr>
      <w:numPr>
        <w:numId w:val="28"/>
      </w:numPr>
    </w:pPr>
  </w:style>
  <w:style w:type="paragraph" w:customStyle="1" w:styleId="Disclaimer">
    <w:name w:val="Disclaimer"/>
    <w:basedOn w:val="Normal"/>
    <w:unhideWhenUsed/>
    <w:rsid w:val="00902462"/>
    <w:pPr>
      <w:spacing w:after="140"/>
    </w:pPr>
    <w:rPr>
      <w:rFonts w:ascii="Arial" w:hAnsi="Arial"/>
      <w:sz w:val="16"/>
    </w:rPr>
  </w:style>
  <w:style w:type="paragraph" w:customStyle="1" w:styleId="Footer-LandscapeEven">
    <w:name w:val="Footer - Landscape Even"/>
    <w:basedOn w:val="Footer-Landscape"/>
    <w:rsid w:val="00902462"/>
  </w:style>
  <w:style w:type="paragraph" w:customStyle="1" w:styleId="PwCNormal-Single">
    <w:name w:val="PwC Normal - Single"/>
    <w:basedOn w:val="PwCNormal"/>
    <w:rsid w:val="00902462"/>
    <w:pPr>
      <w:numPr>
        <w:numId w:val="0"/>
      </w:numPr>
      <w:spacing w:after="0"/>
    </w:pPr>
  </w:style>
  <w:style w:type="numbering" w:customStyle="1" w:styleId="TableNumberdListNormal">
    <w:name w:val="Table Numberd List Normal"/>
    <w:uiPriority w:val="99"/>
    <w:rsid w:val="00902462"/>
    <w:pPr>
      <w:numPr>
        <w:numId w:val="30"/>
      </w:numPr>
    </w:pPr>
  </w:style>
  <w:style w:type="numbering" w:customStyle="1" w:styleId="TableNumberedListSmall">
    <w:name w:val="Table Numbered List Small"/>
    <w:uiPriority w:val="99"/>
    <w:rsid w:val="00902462"/>
    <w:pPr>
      <w:numPr>
        <w:numId w:val="32"/>
      </w:numPr>
    </w:pPr>
  </w:style>
  <w:style w:type="paragraph" w:customStyle="1" w:styleId="TableIndent2Normal">
    <w:name w:val="Table Indent 2 Normal"/>
    <w:basedOn w:val="TableIndent1Normal"/>
    <w:rsid w:val="00902462"/>
    <w:pPr>
      <w:ind w:left="567"/>
    </w:pPr>
  </w:style>
  <w:style w:type="paragraph" w:customStyle="1" w:styleId="TableIndent2Small">
    <w:name w:val="Table Indent 2 Small"/>
    <w:basedOn w:val="TableIndent1Small"/>
    <w:rsid w:val="00902462"/>
    <w:pPr>
      <w:ind w:left="567"/>
    </w:pPr>
    <w:rPr>
      <w:szCs w:val="16"/>
    </w:rPr>
  </w:style>
  <w:style w:type="paragraph" w:customStyle="1" w:styleId="KeySentence">
    <w:name w:val="Key Sentence"/>
    <w:basedOn w:val="Normal"/>
    <w:rsid w:val="00902462"/>
    <w:pPr>
      <w:spacing w:after="160" w:line="260" w:lineRule="atLeast"/>
    </w:pPr>
    <w:rPr>
      <w:i/>
      <w:color w:val="A32020" w:themeColor="text2"/>
      <w:sz w:val="16"/>
      <w:szCs w:val="18"/>
    </w:rPr>
  </w:style>
  <w:style w:type="numbering" w:customStyle="1" w:styleId="TableNumberedListS">
    <w:name w:val="Table Numbered List S"/>
    <w:rsid w:val="00902462"/>
  </w:style>
  <w:style w:type="paragraph" w:customStyle="1" w:styleId="PrefaceTitle">
    <w:name w:val="Preface Title"/>
    <w:basedOn w:val="Heading2"/>
    <w:next w:val="PwCNormal"/>
    <w:rsid w:val="00902462"/>
    <w:pPr>
      <w:numPr>
        <w:ilvl w:val="0"/>
        <w:numId w:val="0"/>
      </w:numPr>
    </w:pPr>
  </w:style>
  <w:style w:type="paragraph" w:customStyle="1" w:styleId="Sources">
    <w:name w:val="Sources"/>
    <w:basedOn w:val="Normal"/>
    <w:next w:val="PwCNormal"/>
    <w:rsid w:val="00582FBF"/>
    <w:pPr>
      <w:spacing w:before="80" w:after="240" w:line="180" w:lineRule="atLeast"/>
      <w:contextualSpacing/>
    </w:pPr>
    <w:rPr>
      <w:color w:val="A32020" w:themeColor="text2"/>
    </w:rPr>
  </w:style>
  <w:style w:type="paragraph" w:customStyle="1" w:styleId="Minorheading">
    <w:name w:val="Minor heading"/>
    <w:basedOn w:val="Majorheading"/>
    <w:next w:val="PwCNormal"/>
    <w:rsid w:val="00902462"/>
    <w:pPr>
      <w:spacing w:line="180" w:lineRule="atLeast"/>
    </w:pPr>
    <w:rPr>
      <w:b w:val="0"/>
      <w:sz w:val="26"/>
    </w:rPr>
  </w:style>
  <w:style w:type="paragraph" w:customStyle="1" w:styleId="Minorheading2">
    <w:name w:val="Minor heading 2"/>
    <w:basedOn w:val="Minorheading"/>
    <w:next w:val="PwCNormal"/>
    <w:rsid w:val="007404FC"/>
    <w:pPr>
      <w:spacing w:line="240" w:lineRule="atLeast"/>
    </w:pPr>
    <w:rPr>
      <w:b/>
      <w:i w:val="0"/>
      <w:sz w:val="20"/>
    </w:rPr>
  </w:style>
  <w:style w:type="numbering" w:customStyle="1" w:styleId="PwCListNumbers1">
    <w:name w:val="PwC List Numbers 1"/>
    <w:uiPriority w:val="99"/>
    <w:rsid w:val="00902462"/>
    <w:pPr>
      <w:numPr>
        <w:numId w:val="24"/>
      </w:numPr>
    </w:pPr>
  </w:style>
  <w:style w:type="paragraph" w:customStyle="1" w:styleId="BlockText3">
    <w:name w:val="Block Text 3"/>
    <w:basedOn w:val="BlockText"/>
    <w:qFormat/>
    <w:rsid w:val="00902462"/>
    <w:pPr>
      <w:pBdr>
        <w:top w:val="single" w:sz="8" w:space="10" w:color="F2F2F2" w:themeColor="background2" w:themeShade="F2"/>
        <w:left w:val="single" w:sz="8" w:space="10" w:color="F2F2F2" w:themeColor="background2" w:themeShade="F2"/>
        <w:bottom w:val="single" w:sz="8" w:space="10" w:color="F2F2F2" w:themeColor="background2" w:themeShade="F2"/>
        <w:right w:val="single" w:sz="8" w:space="10" w:color="F2F2F2" w:themeColor="background2" w:themeShade="F2"/>
      </w:pBdr>
      <w:shd w:val="clear" w:color="auto" w:fill="F2F2F2" w:themeFill="background2" w:themeFillShade="F2"/>
      <w:kinsoku/>
      <w:overflowPunct/>
      <w:autoSpaceDE/>
      <w:autoSpaceDN/>
      <w:adjustRightInd/>
      <w:snapToGrid/>
      <w:ind w:left="227" w:right="227"/>
    </w:pPr>
    <w:rPr>
      <w:snapToGrid/>
      <w:sz w:val="96"/>
      <w:lang w:val="en-GB"/>
    </w:rPr>
  </w:style>
  <w:style w:type="paragraph" w:customStyle="1" w:styleId="TableBullet2Normal">
    <w:name w:val="Table Bullet 2 Normal"/>
    <w:basedOn w:val="TableBullet1Normal"/>
    <w:rsid w:val="00902462"/>
    <w:pPr>
      <w:numPr>
        <w:ilvl w:val="1"/>
      </w:numPr>
    </w:pPr>
  </w:style>
  <w:style w:type="paragraph" w:customStyle="1" w:styleId="TableBullet2Small">
    <w:name w:val="Table Bullet 2 Small"/>
    <w:basedOn w:val="TableBullet1Small"/>
    <w:rsid w:val="00902462"/>
    <w:pPr>
      <w:numPr>
        <w:ilvl w:val="1"/>
      </w:numPr>
    </w:pPr>
  </w:style>
  <w:style w:type="paragraph" w:customStyle="1" w:styleId="TableIndent1Normal">
    <w:name w:val="Table Indent 1 Normal"/>
    <w:basedOn w:val="TableBullet1Normal"/>
    <w:rsid w:val="00902462"/>
    <w:pPr>
      <w:numPr>
        <w:numId w:val="0"/>
      </w:numPr>
      <w:ind w:left="284"/>
    </w:pPr>
  </w:style>
  <w:style w:type="paragraph" w:customStyle="1" w:styleId="TableIndent1Small">
    <w:name w:val="Table Indent 1 Small"/>
    <w:basedOn w:val="TableBullet1Small"/>
    <w:rsid w:val="00902462"/>
    <w:pPr>
      <w:numPr>
        <w:numId w:val="0"/>
      </w:numPr>
      <w:ind w:left="284"/>
    </w:pPr>
  </w:style>
  <w:style w:type="paragraph" w:customStyle="1" w:styleId="SubHeading">
    <w:name w:val="Sub Heading"/>
    <w:basedOn w:val="PwCNormal"/>
    <w:rsid w:val="00902462"/>
    <w:pPr>
      <w:spacing w:after="480" w:line="600" w:lineRule="atLeast"/>
    </w:pPr>
    <w:rPr>
      <w:sz w:val="56"/>
    </w:rPr>
  </w:style>
  <w:style w:type="paragraph" w:styleId="FootnoteText">
    <w:name w:val="footnote text"/>
    <w:basedOn w:val="Normal"/>
    <w:link w:val="FootnoteTextChar"/>
    <w:rsid w:val="00193BF6"/>
    <w:pPr>
      <w:tabs>
        <w:tab w:val="left" w:pos="284"/>
      </w:tabs>
      <w:spacing w:after="40"/>
      <w:ind w:left="227" w:hanging="227"/>
    </w:pPr>
    <w:rPr>
      <w:sz w:val="18"/>
    </w:rPr>
  </w:style>
  <w:style w:type="character" w:styleId="FootnoteReference">
    <w:name w:val="footnote reference"/>
    <w:basedOn w:val="DefaultParagraphFont"/>
    <w:rsid w:val="00902462"/>
    <w:rPr>
      <w:rFonts w:cs="Arial"/>
      <w:sz w:val="21"/>
      <w:vertAlign w:val="superscript"/>
    </w:rPr>
  </w:style>
  <w:style w:type="character" w:styleId="EndnoteReference">
    <w:name w:val="endnote reference"/>
    <w:basedOn w:val="DefaultParagraphFont"/>
    <w:semiHidden/>
    <w:unhideWhenUsed/>
    <w:rsid w:val="00902462"/>
    <w:rPr>
      <w:rFonts w:ascii="Arial" w:hAnsi="Arial" w:cs="Arial"/>
      <w:sz w:val="21"/>
      <w:vertAlign w:val="superscript"/>
    </w:rPr>
  </w:style>
  <w:style w:type="paragraph" w:styleId="EndnoteText">
    <w:name w:val="endnote text"/>
    <w:basedOn w:val="FootnoteText"/>
    <w:semiHidden/>
    <w:unhideWhenUsed/>
    <w:rsid w:val="00902462"/>
  </w:style>
  <w:style w:type="paragraph" w:customStyle="1" w:styleId="Address">
    <w:name w:val="Address"/>
    <w:basedOn w:val="Normal"/>
    <w:qFormat/>
    <w:rsid w:val="00902462"/>
    <w:pPr>
      <w:kinsoku/>
      <w:overflowPunct/>
      <w:autoSpaceDE/>
      <w:autoSpaceDN/>
      <w:adjustRightInd/>
      <w:snapToGrid/>
      <w:spacing w:line="200" w:lineRule="atLeast"/>
    </w:pPr>
    <w:rPr>
      <w:rFonts w:eastAsiaTheme="minorHAnsi" w:cstheme="minorBidi"/>
      <w:i/>
      <w:noProof/>
      <w:snapToGrid/>
      <w:sz w:val="18"/>
      <w:szCs w:val="22"/>
      <w:lang w:val="en-GB" w:eastAsia="en-GB"/>
    </w:rPr>
  </w:style>
  <w:style w:type="table" w:styleId="TableGrid">
    <w:name w:val="Table Grid"/>
    <w:basedOn w:val="TableNormal"/>
    <w:locked/>
    <w:rsid w:val="00902462"/>
    <w:pPr>
      <w:kinsoku w:val="0"/>
      <w:overflowPunct w:val="0"/>
      <w:autoSpaceDE w:val="0"/>
      <w:autoSpaceDN w:val="0"/>
      <w:adjustRightInd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TOC1"/>
    <w:next w:val="PwCNormal"/>
    <w:uiPriority w:val="39"/>
    <w:rsid w:val="00902462"/>
    <w:pPr>
      <w:numPr>
        <w:ilvl w:val="2"/>
      </w:numPr>
      <w:tabs>
        <w:tab w:val="clear" w:pos="567"/>
        <w:tab w:val="left" w:pos="1701"/>
      </w:tabs>
      <w:ind w:left="1134"/>
    </w:pPr>
  </w:style>
  <w:style w:type="paragraph" w:styleId="TOC5">
    <w:name w:val="toc 5"/>
    <w:basedOn w:val="TOC2"/>
    <w:next w:val="PwCNormal"/>
    <w:rsid w:val="00902462"/>
  </w:style>
  <w:style w:type="paragraph" w:styleId="TOC8">
    <w:name w:val="toc 8"/>
    <w:basedOn w:val="TOC7"/>
    <w:next w:val="PwCNormal"/>
    <w:rsid w:val="00902462"/>
    <w:pPr>
      <w:tabs>
        <w:tab w:val="clear" w:pos="1985"/>
        <w:tab w:val="left" w:pos="3402"/>
      </w:tabs>
      <w:ind w:left="3403"/>
    </w:pPr>
  </w:style>
  <w:style w:type="paragraph" w:styleId="TOC9">
    <w:name w:val="toc 9"/>
    <w:basedOn w:val="TOC8"/>
    <w:next w:val="PwCNormal"/>
    <w:uiPriority w:val="39"/>
    <w:rsid w:val="00902462"/>
    <w:pPr>
      <w:tabs>
        <w:tab w:val="clear" w:pos="3402"/>
        <w:tab w:val="left" w:pos="4253"/>
      </w:tabs>
      <w:ind w:left="4253"/>
    </w:pPr>
  </w:style>
  <w:style w:type="paragraph" w:customStyle="1" w:styleId="Separator">
    <w:name w:val="Separator"/>
    <w:basedOn w:val="Normal"/>
    <w:semiHidden/>
    <w:rsid w:val="00902462"/>
    <w:pPr>
      <w:spacing w:before="240" w:after="120"/>
    </w:pPr>
    <w:rPr>
      <w:sz w:val="16"/>
    </w:rPr>
  </w:style>
  <w:style w:type="numbering" w:customStyle="1" w:styleId="TableNumberedListN">
    <w:name w:val="Table Numbered List N"/>
    <w:rsid w:val="00902462"/>
  </w:style>
  <w:style w:type="paragraph" w:customStyle="1" w:styleId="TableColumnHeadingNormal">
    <w:name w:val="Table Column Heading Normal"/>
    <w:basedOn w:val="TableTextNormal"/>
    <w:rsid w:val="00902462"/>
    <w:pPr>
      <w:keepNext/>
      <w:keepLines/>
    </w:pPr>
    <w:rPr>
      <w:b/>
      <w:color w:val="FFFFFF" w:themeColor="background2"/>
    </w:rPr>
  </w:style>
  <w:style w:type="paragraph" w:customStyle="1" w:styleId="TableColumnHeadingSmall">
    <w:name w:val="Table Column Heading Small"/>
    <w:basedOn w:val="TableTextSmall"/>
    <w:next w:val="TableTextSmall"/>
    <w:rsid w:val="00902462"/>
    <w:pPr>
      <w:keepNext/>
      <w:keepLines/>
    </w:pPr>
    <w:rPr>
      <w:b/>
      <w:color w:val="A32020" w:themeColor="text2"/>
      <w:szCs w:val="16"/>
    </w:rPr>
  </w:style>
  <w:style w:type="numbering" w:customStyle="1" w:styleId="TableBulletSmallList">
    <w:name w:val="Table Bullet Small List"/>
    <w:rsid w:val="00902462"/>
    <w:pPr>
      <w:numPr>
        <w:numId w:val="29"/>
      </w:numPr>
    </w:pPr>
  </w:style>
  <w:style w:type="paragraph" w:customStyle="1" w:styleId="Header-Landscape">
    <w:name w:val="Header - Landscape"/>
    <w:basedOn w:val="Header"/>
    <w:rsid w:val="00902462"/>
  </w:style>
  <w:style w:type="character" w:styleId="PageNumber">
    <w:name w:val="page number"/>
    <w:semiHidden/>
    <w:unhideWhenUsed/>
    <w:rsid w:val="00902462"/>
  </w:style>
  <w:style w:type="paragraph" w:styleId="Date">
    <w:name w:val="Date"/>
    <w:basedOn w:val="Normal"/>
    <w:next w:val="PwCNormal"/>
    <w:semiHidden/>
    <w:rsid w:val="00902462"/>
  </w:style>
  <w:style w:type="paragraph" w:customStyle="1" w:styleId="Indent8">
    <w:name w:val="Indent 8"/>
    <w:basedOn w:val="Indent7"/>
    <w:rsid w:val="00902462"/>
    <w:pPr>
      <w:numPr>
        <w:ilvl w:val="8"/>
      </w:numPr>
    </w:pPr>
  </w:style>
  <w:style w:type="paragraph" w:customStyle="1" w:styleId="Header-LandscapeEven">
    <w:name w:val="Header - Landscape Even"/>
    <w:basedOn w:val="Header-Landscape"/>
    <w:rsid w:val="00902462"/>
    <w:pPr>
      <w:tabs>
        <w:tab w:val="right" w:pos="14661"/>
      </w:tabs>
    </w:pPr>
  </w:style>
  <w:style w:type="paragraph" w:customStyle="1" w:styleId="Footer-ToC">
    <w:name w:val="Footer - ToC"/>
    <w:basedOn w:val="Footer"/>
    <w:rsid w:val="00902462"/>
  </w:style>
  <w:style w:type="paragraph" w:customStyle="1" w:styleId="Footer-ToCEven">
    <w:name w:val="Footer - ToC Even"/>
    <w:basedOn w:val="Footer-ToC"/>
    <w:rsid w:val="00902462"/>
  </w:style>
  <w:style w:type="table" w:customStyle="1" w:styleId="Tables-APBase">
    <w:name w:val="Tables - AP Base"/>
    <w:basedOn w:val="TableNormal"/>
    <w:rsid w:val="00902462"/>
    <w:tblPr>
      <w:tblStyleRowBandSize w:val="1"/>
      <w:tblStyleColBandSize w:val="1"/>
      <w:tblBorders>
        <w:top w:val="single" w:sz="4" w:space="0" w:color="FFFFFF"/>
        <w:left w:val="single" w:sz="4" w:space="0" w:color="FFFFFF"/>
        <w:bottom w:val="single" w:sz="6" w:space="0" w:color="A32020" w:themeColor="text2"/>
        <w:right w:val="single" w:sz="4" w:space="0" w:color="FFFFFF"/>
        <w:insideH w:val="dotted" w:sz="8" w:space="0" w:color="A32020" w:themeColor="text2"/>
        <w:insideV w:val="single" w:sz="4" w:space="0" w:color="FFFFFF"/>
      </w:tblBorders>
    </w:tblPr>
    <w:tcPr>
      <w:shd w:val="clear" w:color="auto" w:fill="auto"/>
      <w:tcMar>
        <w:top w:w="0" w:type="dxa"/>
        <w:left w:w="108" w:type="dxa"/>
        <w:bottom w:w="0" w:type="dxa"/>
        <w:right w:w="108" w:type="dxa"/>
      </w:tcMar>
    </w:tcPr>
    <w:tblStylePr w:type="firstRow">
      <w:pPr>
        <w:jc w:val="center"/>
      </w:pPr>
      <w:rPr>
        <w:rFonts w:ascii="Georgia" w:hAnsi="Georgia"/>
        <w:b w:val="0"/>
        <w:color w:val="auto"/>
      </w:rPr>
      <w:tblPr/>
      <w:trPr>
        <w:tblHeader/>
      </w:trPr>
      <w:tcPr>
        <w:tcBorders>
          <w:top w:val="single" w:sz="4" w:space="0" w:color="A32020" w:themeColor="text2"/>
          <w:left w:val="nil"/>
          <w:bottom w:val="single" w:sz="4" w:space="0" w:color="A32020" w:themeColor="text2"/>
          <w:right w:val="nil"/>
          <w:insideH w:val="single" w:sz="4" w:space="0" w:color="FFFFFF" w:themeColor="background1"/>
          <w:insideV w:val="single" w:sz="4" w:space="0" w:color="FFFFFF" w:themeColor="background1"/>
          <w:tl2br w:val="nil"/>
          <w:tr2bl w:val="nil"/>
        </w:tcBorders>
        <w:shd w:val="clear" w:color="auto" w:fill="A32020" w:themeFill="accent1"/>
      </w:tcPr>
    </w:tblStylePr>
    <w:tblStylePr w:type="lastRow">
      <w:rPr>
        <w:color w:val="auto"/>
      </w:rPr>
      <w:tblPr/>
      <w:tcPr>
        <w:tcBorders>
          <w:top w:val="single" w:sz="4" w:space="0" w:color="A32020" w:themeColor="text2"/>
        </w:tcBorders>
        <w:shd w:val="clear" w:color="auto" w:fill="auto"/>
      </w:tcPr>
    </w:tblStylePr>
    <w:tblStylePr w:type="nwCell">
      <w:pPr>
        <w:jc w:val="left"/>
      </w:pPr>
      <w:tblPr/>
      <w:tcPr>
        <w:vAlign w:val="bottom"/>
      </w:tcPr>
    </w:tblStylePr>
  </w:style>
  <w:style w:type="paragraph" w:customStyle="1" w:styleId="CVRoleTitle">
    <w:name w:val="CV Role Title"/>
    <w:basedOn w:val="CVText"/>
    <w:rsid w:val="00902462"/>
    <w:pPr>
      <w:pBdr>
        <w:bottom w:val="none" w:sz="0" w:space="0" w:color="00457C"/>
      </w:pBdr>
    </w:pPr>
    <w:rPr>
      <w:i/>
      <w:color w:val="A32020" w:themeColor="text2"/>
      <w:sz w:val="24"/>
      <w:szCs w:val="24"/>
    </w:rPr>
  </w:style>
  <w:style w:type="paragraph" w:customStyle="1" w:styleId="ListBullet1">
    <w:name w:val="List Bullet 1"/>
    <w:basedOn w:val="Normal"/>
    <w:semiHidden/>
    <w:locked/>
    <w:rsid w:val="00902462"/>
    <w:pPr>
      <w:tabs>
        <w:tab w:val="num" w:pos="720"/>
      </w:tabs>
      <w:spacing w:before="100" w:after="100"/>
      <w:ind w:left="720" w:hanging="720"/>
    </w:pPr>
  </w:style>
  <w:style w:type="paragraph" w:styleId="ListBullet2">
    <w:name w:val="List Bullet 2"/>
    <w:basedOn w:val="ListBullet1"/>
    <w:uiPriority w:val="13"/>
    <w:qFormat/>
    <w:locked/>
    <w:rsid w:val="006721E0"/>
    <w:pPr>
      <w:numPr>
        <w:ilvl w:val="1"/>
        <w:numId w:val="20"/>
      </w:numPr>
      <w:spacing w:before="120" w:after="120"/>
    </w:pPr>
  </w:style>
  <w:style w:type="paragraph" w:styleId="ListBullet4">
    <w:name w:val="List Bullet 4"/>
    <w:basedOn w:val="ListBullet3"/>
    <w:uiPriority w:val="13"/>
    <w:unhideWhenUsed/>
    <w:locked/>
    <w:rsid w:val="00902462"/>
    <w:pPr>
      <w:numPr>
        <w:ilvl w:val="3"/>
      </w:numPr>
    </w:pPr>
  </w:style>
  <w:style w:type="paragraph" w:customStyle="1" w:styleId="CVBullet1">
    <w:name w:val="CV Bullet 1"/>
    <w:basedOn w:val="CVText"/>
    <w:rsid w:val="00902462"/>
    <w:pPr>
      <w:numPr>
        <w:numId w:val="14"/>
      </w:numPr>
      <w:spacing w:before="40" w:after="40"/>
    </w:pPr>
  </w:style>
  <w:style w:type="paragraph" w:customStyle="1" w:styleId="CVDetails">
    <w:name w:val="CV Details"/>
    <w:basedOn w:val="CVRoleTitle"/>
    <w:rsid w:val="00902462"/>
    <w:pPr>
      <w:spacing w:before="120" w:after="40"/>
    </w:pPr>
    <w:rPr>
      <w:sz w:val="14"/>
    </w:rPr>
  </w:style>
  <w:style w:type="paragraph" w:customStyle="1" w:styleId="CVHeading2">
    <w:name w:val="CV Heading 2"/>
    <w:basedOn w:val="CVHeading1"/>
    <w:next w:val="CVText"/>
    <w:rsid w:val="00902462"/>
    <w:pPr>
      <w:pBdr>
        <w:bottom w:val="none" w:sz="0" w:space="0" w:color="00457C"/>
      </w:pBdr>
    </w:pPr>
    <w:rPr>
      <w:b w:val="0"/>
      <w:sz w:val="18"/>
      <w:szCs w:val="24"/>
    </w:rPr>
  </w:style>
  <w:style w:type="paragraph" w:styleId="ListBullet3">
    <w:name w:val="List Bullet 3"/>
    <w:basedOn w:val="ListBullet2"/>
    <w:uiPriority w:val="13"/>
    <w:qFormat/>
    <w:locked/>
    <w:rsid w:val="00902462"/>
    <w:pPr>
      <w:numPr>
        <w:ilvl w:val="2"/>
      </w:numPr>
    </w:pPr>
  </w:style>
  <w:style w:type="paragraph" w:customStyle="1" w:styleId="CVHeading1">
    <w:name w:val="CV Heading 1"/>
    <w:basedOn w:val="CVText"/>
    <w:next w:val="CVText"/>
    <w:rsid w:val="00902462"/>
    <w:pPr>
      <w:keepNext/>
      <w:keepLines/>
      <w:spacing w:before="120"/>
    </w:pPr>
    <w:rPr>
      <w:b/>
      <w:i/>
      <w:color w:val="A32020" w:themeColor="text2"/>
    </w:rPr>
  </w:style>
  <w:style w:type="paragraph" w:customStyle="1" w:styleId="CVPhoto">
    <w:name w:val="CV Photo"/>
    <w:basedOn w:val="CVHeading2"/>
    <w:rsid w:val="00902462"/>
    <w:rPr>
      <w:sz w:val="21"/>
    </w:rPr>
  </w:style>
  <w:style w:type="paragraph" w:customStyle="1" w:styleId="CVText">
    <w:name w:val="CV Text"/>
    <w:basedOn w:val="PwCNormal"/>
    <w:rsid w:val="00902462"/>
    <w:pPr>
      <w:numPr>
        <w:numId w:val="0"/>
      </w:numPr>
      <w:spacing w:before="80" w:after="80"/>
    </w:pPr>
  </w:style>
  <w:style w:type="paragraph" w:customStyle="1" w:styleId="CVNamelarge">
    <w:name w:val="CV Name large"/>
    <w:basedOn w:val="CVText"/>
    <w:next w:val="CVRoleTitle"/>
    <w:rsid w:val="00902462"/>
    <w:pPr>
      <w:spacing w:before="0"/>
    </w:pPr>
    <w:rPr>
      <w:b/>
      <w:i/>
      <w:color w:val="A32020" w:themeColor="text2"/>
      <w:sz w:val="36"/>
      <w:szCs w:val="24"/>
    </w:rPr>
  </w:style>
  <w:style w:type="paragraph" w:customStyle="1" w:styleId="CVBullet2">
    <w:name w:val="CV Bullet 2"/>
    <w:basedOn w:val="CVBullet1"/>
    <w:rsid w:val="00902462"/>
    <w:pPr>
      <w:numPr>
        <w:ilvl w:val="1"/>
      </w:numPr>
    </w:pPr>
  </w:style>
  <w:style w:type="paragraph" w:styleId="Title">
    <w:name w:val="Title"/>
    <w:basedOn w:val="Normal"/>
    <w:semiHidden/>
    <w:qFormat/>
    <w:rsid w:val="00902462"/>
    <w:pPr>
      <w:spacing w:before="240" w:after="60"/>
      <w:jc w:val="center"/>
      <w:outlineLvl w:val="0"/>
    </w:pPr>
    <w:rPr>
      <w:b/>
      <w:bCs/>
      <w:color w:val="A32020" w:themeColor="text2"/>
      <w:kern w:val="28"/>
      <w:sz w:val="32"/>
      <w:szCs w:val="32"/>
    </w:rPr>
  </w:style>
  <w:style w:type="paragraph" w:styleId="BalloonText">
    <w:name w:val="Balloon Text"/>
    <w:basedOn w:val="Normal"/>
    <w:semiHidden/>
    <w:locked/>
    <w:rsid w:val="00902462"/>
    <w:rPr>
      <w:rFonts w:ascii="Tahoma" w:hAnsi="Tahoma"/>
      <w:sz w:val="16"/>
      <w:szCs w:val="16"/>
    </w:rPr>
  </w:style>
  <w:style w:type="numbering" w:customStyle="1" w:styleId="Style1">
    <w:name w:val="Style1"/>
    <w:uiPriority w:val="99"/>
    <w:rsid w:val="00902462"/>
    <w:pPr>
      <w:numPr>
        <w:numId w:val="25"/>
      </w:numPr>
    </w:pPr>
  </w:style>
  <w:style w:type="numbering" w:customStyle="1" w:styleId="IndentList">
    <w:name w:val="IndentList"/>
    <w:basedOn w:val="NoList"/>
    <w:rsid w:val="00902462"/>
  </w:style>
  <w:style w:type="paragraph" w:customStyle="1" w:styleId="VersionControl">
    <w:name w:val="Version Control"/>
    <w:basedOn w:val="TOCtitle"/>
    <w:unhideWhenUsed/>
    <w:rsid w:val="00902462"/>
    <w:pPr>
      <w:framePr w:w="9923" w:wrap="around" w:vAnchor="text" w:hAnchor="page" w:x="1498" w:y="1"/>
      <w:spacing w:before="360" w:after="240"/>
    </w:pPr>
    <w:rPr>
      <w:sz w:val="28"/>
    </w:rPr>
  </w:style>
  <w:style w:type="paragraph" w:customStyle="1" w:styleId="VersionTableHeading">
    <w:name w:val="Version Table Heading"/>
    <w:basedOn w:val="VersionTableText"/>
    <w:unhideWhenUsed/>
    <w:rsid w:val="00902462"/>
    <w:pPr>
      <w:framePr w:wrap="around"/>
    </w:pPr>
  </w:style>
  <w:style w:type="paragraph" w:customStyle="1" w:styleId="VersionTableText">
    <w:name w:val="Version Table Text"/>
    <w:basedOn w:val="VersionControl"/>
    <w:unhideWhenUsed/>
    <w:rsid w:val="00902462"/>
    <w:pPr>
      <w:framePr w:wrap="around"/>
      <w:spacing w:before="80" w:after="80"/>
      <w:outlineLvl w:val="9"/>
    </w:pPr>
    <w:rPr>
      <w:sz w:val="21"/>
      <w:szCs w:val="20"/>
    </w:rPr>
  </w:style>
  <w:style w:type="table" w:customStyle="1" w:styleId="Tables-APBase2">
    <w:name w:val="Tables - AP Base 2"/>
    <w:basedOn w:val="Tables-APBase"/>
    <w:uiPriority w:val="99"/>
    <w:qFormat/>
    <w:rsid w:val="00902462"/>
    <w:tblPr/>
    <w:tcPr>
      <w:shd w:val="clear" w:color="auto" w:fill="auto"/>
    </w:tcPr>
    <w:tblStylePr w:type="firstRow">
      <w:pPr>
        <w:jc w:val="center"/>
      </w:pPr>
      <w:rPr>
        <w:rFonts w:asciiTheme="minorHAnsi" w:hAnsiTheme="minorHAnsi"/>
        <w:b/>
        <w:color w:val="FFFFFF" w:themeColor="background2"/>
      </w:rPr>
      <w:tblPr/>
      <w:trPr>
        <w:tblHeader/>
      </w:trPr>
      <w:tcPr>
        <w:tcBorders>
          <w:top w:val="single" w:sz="4" w:space="0" w:color="A32020" w:themeColor="text2"/>
          <w:left w:val="nil"/>
          <w:bottom w:val="single" w:sz="4" w:space="0" w:color="A32020" w:themeColor="text2"/>
          <w:right w:val="nil"/>
          <w:insideH w:val="single" w:sz="4" w:space="0" w:color="FFFFFF" w:themeColor="background1"/>
          <w:insideV w:val="single" w:sz="4" w:space="0" w:color="FFFFFF" w:themeColor="background1"/>
          <w:tl2br w:val="nil"/>
          <w:tr2bl w:val="nil"/>
        </w:tcBorders>
        <w:shd w:val="clear" w:color="auto" w:fill="A32020" w:themeFill="text2"/>
        <w:vAlign w:val="bottom"/>
      </w:tcPr>
    </w:tblStylePr>
    <w:tblStylePr w:type="lastRow">
      <w:rPr>
        <w:color w:val="FFFFFF" w:themeColor="background1"/>
      </w:rPr>
      <w:tblPr/>
      <w:tcPr>
        <w:tcBorders>
          <w:top w:val="single" w:sz="4" w:space="0" w:color="A32020" w:themeColor="text2"/>
        </w:tcBorders>
        <w:shd w:val="clear" w:color="auto" w:fill="A32020" w:themeFill="text2"/>
      </w:tcPr>
    </w:tblStylePr>
    <w:tblStylePr w:type="firstCol">
      <w:tblPr/>
      <w:tcPr>
        <w:shd w:val="clear" w:color="auto" w:fill="FFFFFF" w:themeFill="background2"/>
      </w:tcPr>
    </w:tblStylePr>
    <w:tblStylePr w:type="lastCol">
      <w:tblPr/>
      <w:tcPr>
        <w:shd w:val="clear" w:color="auto" w:fill="FFFFFF" w:themeFill="background2"/>
      </w:tcPr>
    </w:tblStylePr>
    <w:tblStylePr w:type="band2Vert">
      <w:tblPr/>
      <w:tcPr>
        <w:shd w:val="clear" w:color="auto" w:fill="F4CACA" w:themeFill="text2" w:themeFillTint="33"/>
      </w:tcPr>
    </w:tblStylePr>
    <w:tblStylePr w:type="band2Horz">
      <w:tblPr/>
      <w:tcPr>
        <w:shd w:val="clear" w:color="auto" w:fill="F4CACA" w:themeFill="text2" w:themeFillTint="33"/>
      </w:tcPr>
    </w:tblStylePr>
    <w:tblStylePr w:type="nwCell">
      <w:pPr>
        <w:jc w:val="left"/>
      </w:pPr>
      <w:tblPr/>
      <w:tcPr>
        <w:shd w:val="clear" w:color="auto" w:fill="FFFFFF" w:themeFill="background1"/>
        <w:vAlign w:val="bottom"/>
      </w:tcPr>
    </w:tblStylePr>
  </w:style>
  <w:style w:type="character" w:customStyle="1" w:styleId="HeaderChar">
    <w:name w:val="Header Char"/>
    <w:basedOn w:val="DefaultParagraphFont"/>
    <w:link w:val="Header"/>
    <w:locked/>
    <w:rsid w:val="00902462"/>
    <w:rPr>
      <w:rFonts w:ascii="Arial" w:hAnsi="Arial" w:cs="Arial"/>
      <w:snapToGrid w:val="0"/>
      <w:color w:val="000000" w:themeColor="text1"/>
      <w:sz w:val="19"/>
      <w:szCs w:val="18"/>
      <w:lang w:eastAsia="en-US"/>
    </w:rPr>
  </w:style>
  <w:style w:type="character" w:customStyle="1" w:styleId="FooterChar">
    <w:name w:val="Footer Char"/>
    <w:basedOn w:val="DefaultParagraphFont"/>
    <w:link w:val="Footer"/>
    <w:locked/>
    <w:rsid w:val="00902462"/>
    <w:rPr>
      <w:rFonts w:ascii="Arial" w:hAnsi="Arial" w:cs="Arial"/>
      <w:snapToGrid w:val="0"/>
      <w:color w:val="000000" w:themeColor="text1"/>
      <w:sz w:val="19"/>
      <w:szCs w:val="18"/>
      <w:lang w:eastAsia="en-US"/>
    </w:rPr>
  </w:style>
  <w:style w:type="paragraph" w:customStyle="1" w:styleId="Header-FirstPage">
    <w:name w:val="Header - First Page"/>
    <w:basedOn w:val="Header"/>
    <w:rsid w:val="00902462"/>
  </w:style>
  <w:style w:type="paragraph" w:customStyle="1" w:styleId="Appendicestitle">
    <w:name w:val="Appendices title"/>
    <w:basedOn w:val="TOCtitle"/>
    <w:qFormat/>
    <w:rsid w:val="00902462"/>
    <w:pPr>
      <w:numPr>
        <w:ilvl w:val="1"/>
        <w:numId w:val="25"/>
      </w:numPr>
    </w:pPr>
  </w:style>
  <w:style w:type="numbering" w:customStyle="1" w:styleId="CVBullets">
    <w:name w:val="CV Bullets"/>
    <w:uiPriority w:val="99"/>
    <w:rsid w:val="00902462"/>
    <w:pPr>
      <w:numPr>
        <w:numId w:val="15"/>
      </w:numPr>
    </w:pPr>
  </w:style>
  <w:style w:type="paragraph" w:styleId="DocumentMap">
    <w:name w:val="Document Map"/>
    <w:basedOn w:val="Normal"/>
    <w:link w:val="DocumentMapChar"/>
    <w:semiHidden/>
    <w:rsid w:val="00902462"/>
    <w:rPr>
      <w:rFonts w:ascii="Tahoma" w:hAnsi="Tahoma" w:cs="Tahoma"/>
      <w:sz w:val="16"/>
      <w:szCs w:val="16"/>
    </w:rPr>
  </w:style>
  <w:style w:type="character" w:customStyle="1" w:styleId="DocumentMapChar">
    <w:name w:val="Document Map Char"/>
    <w:basedOn w:val="DefaultParagraphFont"/>
    <w:link w:val="DocumentMap"/>
    <w:semiHidden/>
    <w:rsid w:val="00902462"/>
    <w:rPr>
      <w:rFonts w:ascii="Tahoma" w:hAnsi="Tahoma" w:cs="Tahoma"/>
      <w:snapToGrid w:val="0"/>
      <w:sz w:val="16"/>
      <w:szCs w:val="16"/>
      <w:lang w:eastAsia="en-US"/>
    </w:rPr>
  </w:style>
  <w:style w:type="table" w:styleId="TableGrid1">
    <w:name w:val="Table Grid 1"/>
    <w:basedOn w:val="TableNormal"/>
    <w:semiHidden/>
    <w:locked/>
    <w:rsid w:val="00902462"/>
    <w:pPr>
      <w:kinsoku w:val="0"/>
      <w:overflowPunct w:val="0"/>
      <w:autoSpaceDE w:val="0"/>
      <w:autoSpaceDN w:val="0"/>
      <w:adjustRightInd w:val="0"/>
      <w:snapToGri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902462"/>
    <w:pPr>
      <w:kinsoku w:val="0"/>
      <w:overflowPunct w:val="0"/>
      <w:autoSpaceDE w:val="0"/>
      <w:autoSpaceDN w:val="0"/>
      <w:adjustRightInd w:val="0"/>
      <w:snapToGrid w:val="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902462"/>
    <w:pPr>
      <w:kinsoku w:val="0"/>
      <w:overflowPunct w:val="0"/>
      <w:autoSpaceDE w:val="0"/>
      <w:autoSpaceDN w:val="0"/>
      <w:adjustRightInd w:val="0"/>
      <w:snapToGrid w:val="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902462"/>
    <w:pPr>
      <w:kinsoku w:val="0"/>
      <w:overflowPunct w:val="0"/>
      <w:autoSpaceDE w:val="0"/>
      <w:autoSpaceDN w:val="0"/>
      <w:adjustRightInd w:val="0"/>
      <w:snapToGrid w:val="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902462"/>
    <w:pPr>
      <w:kinsoku w:val="0"/>
      <w:overflowPunct w:val="0"/>
      <w:autoSpaceDE w:val="0"/>
      <w:autoSpaceDN w:val="0"/>
      <w:adjustRightInd w:val="0"/>
      <w:snapToGrid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902462"/>
    <w:pPr>
      <w:kinsoku w:val="0"/>
      <w:overflowPunct w:val="0"/>
      <w:autoSpaceDE w:val="0"/>
      <w:autoSpaceDN w:val="0"/>
      <w:adjustRightInd w:val="0"/>
      <w:snapToGrid w:val="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902462"/>
    <w:pPr>
      <w:kinsoku w:val="0"/>
      <w:overflowPunct w:val="0"/>
      <w:autoSpaceDE w:val="0"/>
      <w:autoSpaceDN w:val="0"/>
      <w:adjustRightInd w:val="0"/>
      <w:snapToGrid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902462"/>
    <w:pPr>
      <w:kinsoku w:val="0"/>
      <w:overflowPunct w:val="0"/>
      <w:autoSpaceDE w:val="0"/>
      <w:autoSpaceDN w:val="0"/>
      <w:adjustRightInd w:val="0"/>
      <w:snapToGrid w:val="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locked/>
    <w:rsid w:val="00902462"/>
    <w:pPr>
      <w:kinsoku w:val="0"/>
      <w:overflowPunct w:val="0"/>
      <w:autoSpaceDE w:val="0"/>
      <w:autoSpaceDN w:val="0"/>
      <w:adjustRightInd w:val="0"/>
      <w:snapToGrid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Theme">
    <w:name w:val="Table Theme"/>
    <w:basedOn w:val="TableNormal"/>
    <w:semiHidden/>
    <w:rsid w:val="00902462"/>
    <w:pPr>
      <w:kinsoku w:val="0"/>
      <w:overflowPunct w:val="0"/>
      <w:autoSpaceDE w:val="0"/>
      <w:autoSpaceDN w:val="0"/>
      <w:adjustRightInd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croText">
    <w:name w:val="macro"/>
    <w:link w:val="MacroTextChar"/>
    <w:unhideWhenUsed/>
    <w:locked/>
    <w:rsid w:val="00902462"/>
    <w:pPr>
      <w:tabs>
        <w:tab w:val="left" w:pos="567"/>
        <w:tab w:val="left" w:pos="1134"/>
        <w:tab w:val="left" w:pos="1701"/>
        <w:tab w:val="left" w:pos="2268"/>
        <w:tab w:val="left" w:pos="2835"/>
        <w:tab w:val="left" w:pos="3402"/>
        <w:tab w:val="left" w:pos="3969"/>
      </w:tabs>
      <w:kinsoku w:val="0"/>
      <w:overflowPunct w:val="0"/>
      <w:autoSpaceDE w:val="0"/>
      <w:autoSpaceDN w:val="0"/>
      <w:adjustRightInd w:val="0"/>
      <w:snapToGrid w:val="0"/>
    </w:pPr>
    <w:rPr>
      <w:rFonts w:ascii="Consolas" w:hAnsi="Consolas" w:cs="Arial"/>
      <w:snapToGrid w:val="0"/>
      <w:lang w:eastAsia="en-US"/>
    </w:rPr>
  </w:style>
  <w:style w:type="character" w:customStyle="1" w:styleId="MacroTextChar">
    <w:name w:val="Macro Text Char"/>
    <w:basedOn w:val="DefaultParagraphFont"/>
    <w:link w:val="MacroText"/>
    <w:rsid w:val="00902462"/>
    <w:rPr>
      <w:rFonts w:ascii="Consolas" w:hAnsi="Consolas" w:cs="Arial"/>
      <w:snapToGrid w:val="0"/>
      <w:lang w:eastAsia="en-US"/>
    </w:rPr>
  </w:style>
  <w:style w:type="paragraph" w:styleId="Bibliography">
    <w:name w:val="Bibliography"/>
    <w:basedOn w:val="Normal"/>
    <w:next w:val="Normal"/>
    <w:uiPriority w:val="37"/>
    <w:semiHidden/>
    <w:locked/>
    <w:rsid w:val="00902462"/>
  </w:style>
  <w:style w:type="paragraph" w:styleId="BlockText">
    <w:name w:val="Block Text"/>
    <w:basedOn w:val="Normal"/>
    <w:qFormat/>
    <w:rsid w:val="00902462"/>
    <w:pPr>
      <w:spacing w:after="240"/>
    </w:pPr>
    <w:rPr>
      <w:rFonts w:eastAsiaTheme="minorEastAsia" w:cstheme="minorBidi"/>
      <w:b/>
      <w:i/>
      <w:iCs/>
      <w:color w:val="A32020" w:themeColor="accent1"/>
      <w:sz w:val="48"/>
    </w:rPr>
  </w:style>
  <w:style w:type="paragraph" w:styleId="BodyText">
    <w:name w:val="Body Text"/>
    <w:basedOn w:val="Normal"/>
    <w:link w:val="BodyTextChar"/>
    <w:semiHidden/>
    <w:locked/>
    <w:rsid w:val="00902462"/>
    <w:pPr>
      <w:spacing w:after="120"/>
    </w:pPr>
  </w:style>
  <w:style w:type="character" w:customStyle="1" w:styleId="BodyTextChar">
    <w:name w:val="Body Text Char"/>
    <w:basedOn w:val="DefaultParagraphFont"/>
    <w:link w:val="BodyText"/>
    <w:semiHidden/>
    <w:rsid w:val="00902462"/>
    <w:rPr>
      <w:rFonts w:cs="Arial"/>
      <w:snapToGrid w:val="0"/>
      <w:lang w:eastAsia="en-US"/>
    </w:rPr>
  </w:style>
  <w:style w:type="paragraph" w:styleId="BodyText2">
    <w:name w:val="Body Text 2"/>
    <w:basedOn w:val="Normal"/>
    <w:link w:val="BodyText2Char"/>
    <w:semiHidden/>
    <w:locked/>
    <w:rsid w:val="00902462"/>
    <w:pPr>
      <w:spacing w:after="120" w:line="480" w:lineRule="auto"/>
    </w:pPr>
  </w:style>
  <w:style w:type="character" w:customStyle="1" w:styleId="BodyText2Char">
    <w:name w:val="Body Text 2 Char"/>
    <w:basedOn w:val="DefaultParagraphFont"/>
    <w:link w:val="BodyText2"/>
    <w:semiHidden/>
    <w:rsid w:val="00902462"/>
    <w:rPr>
      <w:rFonts w:cs="Arial"/>
      <w:snapToGrid w:val="0"/>
      <w:lang w:eastAsia="en-US"/>
    </w:rPr>
  </w:style>
  <w:style w:type="paragraph" w:styleId="BodyText3">
    <w:name w:val="Body Text 3"/>
    <w:basedOn w:val="Normal"/>
    <w:link w:val="BodyText3Char"/>
    <w:semiHidden/>
    <w:locked/>
    <w:rsid w:val="00902462"/>
    <w:pPr>
      <w:spacing w:after="120"/>
    </w:pPr>
    <w:rPr>
      <w:sz w:val="16"/>
      <w:szCs w:val="16"/>
    </w:rPr>
  </w:style>
  <w:style w:type="character" w:customStyle="1" w:styleId="BodyText3Char">
    <w:name w:val="Body Text 3 Char"/>
    <w:basedOn w:val="DefaultParagraphFont"/>
    <w:link w:val="BodyText3"/>
    <w:semiHidden/>
    <w:rsid w:val="00902462"/>
    <w:rPr>
      <w:rFonts w:cs="Arial"/>
      <w:snapToGrid w:val="0"/>
      <w:sz w:val="16"/>
      <w:szCs w:val="16"/>
      <w:lang w:eastAsia="en-US"/>
    </w:rPr>
  </w:style>
  <w:style w:type="paragraph" w:styleId="BodyTextFirstIndent">
    <w:name w:val="Body Text First Indent"/>
    <w:basedOn w:val="BodyText"/>
    <w:link w:val="BodyTextFirstIndentChar"/>
    <w:semiHidden/>
    <w:locked/>
    <w:rsid w:val="00902462"/>
    <w:pPr>
      <w:spacing w:after="0"/>
      <w:ind w:firstLine="360"/>
    </w:pPr>
  </w:style>
  <w:style w:type="character" w:customStyle="1" w:styleId="BodyTextFirstIndentChar">
    <w:name w:val="Body Text First Indent Char"/>
    <w:basedOn w:val="BodyTextChar"/>
    <w:link w:val="BodyTextFirstIndent"/>
    <w:semiHidden/>
    <w:rsid w:val="00902462"/>
    <w:rPr>
      <w:rFonts w:cs="Arial"/>
      <w:snapToGrid w:val="0"/>
      <w:lang w:eastAsia="en-US"/>
    </w:rPr>
  </w:style>
  <w:style w:type="paragraph" w:styleId="BodyTextIndent">
    <w:name w:val="Body Text Indent"/>
    <w:basedOn w:val="Normal"/>
    <w:link w:val="BodyTextIndentChar"/>
    <w:semiHidden/>
    <w:locked/>
    <w:rsid w:val="00902462"/>
    <w:pPr>
      <w:spacing w:after="120"/>
      <w:ind w:left="283"/>
    </w:pPr>
  </w:style>
  <w:style w:type="character" w:customStyle="1" w:styleId="BodyTextIndentChar">
    <w:name w:val="Body Text Indent Char"/>
    <w:basedOn w:val="DefaultParagraphFont"/>
    <w:link w:val="BodyTextIndent"/>
    <w:semiHidden/>
    <w:rsid w:val="00902462"/>
    <w:rPr>
      <w:rFonts w:cs="Arial"/>
      <w:snapToGrid w:val="0"/>
      <w:lang w:eastAsia="en-US"/>
    </w:rPr>
  </w:style>
  <w:style w:type="paragraph" w:styleId="BodyTextFirstIndent2">
    <w:name w:val="Body Text First Indent 2"/>
    <w:basedOn w:val="BodyTextIndent"/>
    <w:link w:val="BodyTextFirstIndent2Char"/>
    <w:semiHidden/>
    <w:locked/>
    <w:rsid w:val="00902462"/>
    <w:pPr>
      <w:spacing w:after="0"/>
      <w:ind w:left="360" w:firstLine="360"/>
    </w:pPr>
  </w:style>
  <w:style w:type="character" w:customStyle="1" w:styleId="BodyTextFirstIndent2Char">
    <w:name w:val="Body Text First Indent 2 Char"/>
    <w:basedOn w:val="BodyTextIndentChar"/>
    <w:link w:val="BodyTextFirstIndent2"/>
    <w:semiHidden/>
    <w:rsid w:val="00902462"/>
    <w:rPr>
      <w:rFonts w:cs="Arial"/>
      <w:snapToGrid w:val="0"/>
      <w:lang w:eastAsia="en-US"/>
    </w:rPr>
  </w:style>
  <w:style w:type="paragraph" w:styleId="BodyTextIndent2">
    <w:name w:val="Body Text Indent 2"/>
    <w:basedOn w:val="Normal"/>
    <w:link w:val="BodyTextIndent2Char"/>
    <w:semiHidden/>
    <w:locked/>
    <w:rsid w:val="00902462"/>
    <w:pPr>
      <w:spacing w:after="120" w:line="480" w:lineRule="auto"/>
      <w:ind w:left="283"/>
    </w:pPr>
  </w:style>
  <w:style w:type="character" w:customStyle="1" w:styleId="BodyTextIndent2Char">
    <w:name w:val="Body Text Indent 2 Char"/>
    <w:basedOn w:val="DefaultParagraphFont"/>
    <w:link w:val="BodyTextIndent2"/>
    <w:semiHidden/>
    <w:rsid w:val="00902462"/>
    <w:rPr>
      <w:rFonts w:cs="Arial"/>
      <w:snapToGrid w:val="0"/>
      <w:lang w:eastAsia="en-US"/>
    </w:rPr>
  </w:style>
  <w:style w:type="paragraph" w:styleId="BodyTextIndent3">
    <w:name w:val="Body Text Indent 3"/>
    <w:basedOn w:val="Normal"/>
    <w:link w:val="BodyTextIndent3Char"/>
    <w:semiHidden/>
    <w:locked/>
    <w:rsid w:val="00902462"/>
    <w:pPr>
      <w:spacing w:after="120"/>
      <w:ind w:left="283"/>
    </w:pPr>
    <w:rPr>
      <w:sz w:val="16"/>
      <w:szCs w:val="16"/>
    </w:rPr>
  </w:style>
  <w:style w:type="character" w:customStyle="1" w:styleId="BodyTextIndent3Char">
    <w:name w:val="Body Text Indent 3 Char"/>
    <w:basedOn w:val="DefaultParagraphFont"/>
    <w:link w:val="BodyTextIndent3"/>
    <w:semiHidden/>
    <w:rsid w:val="00902462"/>
    <w:rPr>
      <w:rFonts w:cs="Arial"/>
      <w:snapToGrid w:val="0"/>
      <w:sz w:val="16"/>
      <w:szCs w:val="16"/>
      <w:lang w:eastAsia="en-US"/>
    </w:rPr>
  </w:style>
  <w:style w:type="character" w:styleId="BookTitle">
    <w:name w:val="Book Title"/>
    <w:basedOn w:val="DefaultParagraphFont"/>
    <w:uiPriority w:val="33"/>
    <w:semiHidden/>
    <w:qFormat/>
    <w:locked/>
    <w:rsid w:val="00902462"/>
    <w:rPr>
      <w:rFonts w:ascii="Georgia" w:hAnsi="Georgia"/>
      <w:b/>
      <w:bCs/>
      <w:smallCaps/>
      <w:spacing w:val="5"/>
    </w:rPr>
  </w:style>
  <w:style w:type="paragraph" w:styleId="Closing">
    <w:name w:val="Closing"/>
    <w:basedOn w:val="Normal"/>
    <w:link w:val="ClosingChar"/>
    <w:semiHidden/>
    <w:unhideWhenUsed/>
    <w:rsid w:val="00902462"/>
    <w:pPr>
      <w:ind w:left="4252"/>
    </w:pPr>
  </w:style>
  <w:style w:type="character" w:customStyle="1" w:styleId="ClosingChar">
    <w:name w:val="Closing Char"/>
    <w:basedOn w:val="DefaultParagraphFont"/>
    <w:link w:val="Closing"/>
    <w:semiHidden/>
    <w:rsid w:val="00902462"/>
    <w:rPr>
      <w:rFonts w:cs="Arial"/>
      <w:snapToGrid w:val="0"/>
      <w:lang w:eastAsia="en-US"/>
    </w:rPr>
  </w:style>
  <w:style w:type="character" w:styleId="CommentReference">
    <w:name w:val="annotation reference"/>
    <w:basedOn w:val="DefaultParagraphFont"/>
    <w:semiHidden/>
    <w:rsid w:val="00902462"/>
    <w:rPr>
      <w:rFonts w:ascii="Georgia" w:hAnsi="Georgia"/>
      <w:sz w:val="16"/>
      <w:szCs w:val="16"/>
    </w:rPr>
  </w:style>
  <w:style w:type="paragraph" w:styleId="CommentText">
    <w:name w:val="annotation text"/>
    <w:basedOn w:val="Normal"/>
    <w:link w:val="CommentTextChar"/>
    <w:rsid w:val="00902462"/>
  </w:style>
  <w:style w:type="character" w:customStyle="1" w:styleId="CommentTextChar">
    <w:name w:val="Comment Text Char"/>
    <w:basedOn w:val="DefaultParagraphFont"/>
    <w:link w:val="CommentText"/>
    <w:rsid w:val="00902462"/>
    <w:rPr>
      <w:rFonts w:cs="Arial"/>
      <w:snapToGrid w:val="0"/>
      <w:lang w:eastAsia="en-US"/>
    </w:rPr>
  </w:style>
  <w:style w:type="paragraph" w:styleId="CommentSubject">
    <w:name w:val="annotation subject"/>
    <w:basedOn w:val="CommentText"/>
    <w:next w:val="CommentText"/>
    <w:link w:val="CommentSubjectChar"/>
    <w:semiHidden/>
    <w:rsid w:val="00902462"/>
    <w:rPr>
      <w:b/>
      <w:bCs/>
    </w:rPr>
  </w:style>
  <w:style w:type="character" w:customStyle="1" w:styleId="CommentSubjectChar">
    <w:name w:val="Comment Subject Char"/>
    <w:basedOn w:val="CommentTextChar"/>
    <w:link w:val="CommentSubject"/>
    <w:semiHidden/>
    <w:rsid w:val="00902462"/>
    <w:rPr>
      <w:rFonts w:cs="Arial"/>
      <w:b/>
      <w:bCs/>
      <w:snapToGrid w:val="0"/>
      <w:lang w:eastAsia="en-US"/>
    </w:rPr>
  </w:style>
  <w:style w:type="paragraph" w:styleId="EnvelopeAddress">
    <w:name w:val="envelope address"/>
    <w:basedOn w:val="Normal"/>
    <w:semiHidden/>
    <w:unhideWhenUsed/>
    <w:locked/>
    <w:rsid w:val="0090246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locked/>
    <w:rsid w:val="00902462"/>
    <w:rPr>
      <w:rFonts w:asciiTheme="majorHAnsi" w:eastAsiaTheme="majorEastAsia" w:hAnsiTheme="majorHAnsi" w:cstheme="majorBidi"/>
    </w:rPr>
  </w:style>
  <w:style w:type="character" w:styleId="FollowedHyperlink">
    <w:name w:val="FollowedHyperlink"/>
    <w:basedOn w:val="DefaultParagraphFont"/>
    <w:semiHidden/>
    <w:rsid w:val="00902462"/>
    <w:rPr>
      <w:color w:val="0000FF" w:themeColor="followedHyperlink"/>
      <w:u w:val="single"/>
    </w:rPr>
  </w:style>
  <w:style w:type="character" w:styleId="Hyperlink">
    <w:name w:val="Hyperlink"/>
    <w:basedOn w:val="DefaultParagraphFont"/>
    <w:uiPriority w:val="99"/>
    <w:rsid w:val="00FA59CE"/>
    <w:rPr>
      <w:color w:val="001F82"/>
      <w:u w:val="single"/>
    </w:rPr>
  </w:style>
  <w:style w:type="paragraph" w:styleId="IndexHeading">
    <w:name w:val="index heading"/>
    <w:basedOn w:val="Normal"/>
    <w:next w:val="Normal"/>
    <w:semiHidden/>
    <w:rsid w:val="00902462"/>
    <w:rPr>
      <w:rFonts w:asciiTheme="majorHAnsi" w:eastAsiaTheme="majorEastAsia" w:hAnsiTheme="majorHAnsi" w:cstheme="majorBidi"/>
      <w:b/>
      <w:bCs/>
    </w:rPr>
  </w:style>
  <w:style w:type="paragraph" w:customStyle="1" w:styleId="BlockTextClient">
    <w:name w:val="Block Text Client"/>
    <w:basedOn w:val="BlockText"/>
    <w:rsid w:val="00902462"/>
    <w:pPr>
      <w:spacing w:after="0"/>
    </w:pPr>
    <w:rPr>
      <w:b w:val="0"/>
      <w:sz w:val="20"/>
    </w:rPr>
  </w:style>
  <w:style w:type="paragraph" w:customStyle="1" w:styleId="BlockTextPosition">
    <w:name w:val="Block Text Position"/>
    <w:basedOn w:val="BlockText"/>
    <w:rsid w:val="00902462"/>
    <w:rPr>
      <w:b w:val="0"/>
      <w:i w:val="0"/>
      <w:sz w:val="20"/>
    </w:rPr>
  </w:style>
  <w:style w:type="paragraph" w:customStyle="1" w:styleId="BlockText2Client">
    <w:name w:val="Block Text 2 Client"/>
    <w:basedOn w:val="BlockText2"/>
    <w:rsid w:val="00902462"/>
    <w:pPr>
      <w:spacing w:after="0"/>
    </w:pPr>
    <w:rPr>
      <w:sz w:val="20"/>
      <w:szCs w:val="20"/>
    </w:rPr>
  </w:style>
  <w:style w:type="paragraph" w:customStyle="1" w:styleId="BlockText2Position">
    <w:name w:val="Block Text 2 Position"/>
    <w:basedOn w:val="BlockText2"/>
    <w:rsid w:val="00902462"/>
    <w:rPr>
      <w:i w:val="0"/>
      <w:sz w:val="20"/>
      <w:szCs w:val="20"/>
    </w:rPr>
  </w:style>
  <w:style w:type="character" w:styleId="LineNumber">
    <w:name w:val="line number"/>
    <w:basedOn w:val="DefaultParagraphFont"/>
    <w:semiHidden/>
    <w:rsid w:val="00902462"/>
  </w:style>
  <w:style w:type="paragraph" w:styleId="ListBullet">
    <w:name w:val="List Bullet"/>
    <w:basedOn w:val="Normal"/>
    <w:uiPriority w:val="13"/>
    <w:qFormat/>
    <w:locked/>
    <w:rsid w:val="00325598"/>
    <w:pPr>
      <w:numPr>
        <w:numId w:val="20"/>
      </w:numPr>
      <w:tabs>
        <w:tab w:val="clear" w:pos="284"/>
      </w:tabs>
      <w:spacing w:before="120" w:after="120"/>
    </w:pPr>
  </w:style>
  <w:style w:type="paragraph" w:styleId="ListBullet5">
    <w:name w:val="List Bullet 5"/>
    <w:basedOn w:val="ListBullet4"/>
    <w:uiPriority w:val="13"/>
    <w:unhideWhenUsed/>
    <w:locked/>
    <w:rsid w:val="00902462"/>
    <w:pPr>
      <w:numPr>
        <w:ilvl w:val="4"/>
      </w:numPr>
      <w:contextualSpacing/>
    </w:pPr>
  </w:style>
  <w:style w:type="paragraph" w:styleId="ListNumber">
    <w:name w:val="List Number"/>
    <w:basedOn w:val="Normal"/>
    <w:uiPriority w:val="13"/>
    <w:unhideWhenUsed/>
    <w:qFormat/>
    <w:locked/>
    <w:rsid w:val="00902462"/>
    <w:pPr>
      <w:numPr>
        <w:numId w:val="21"/>
      </w:numPr>
      <w:contextualSpacing/>
    </w:pPr>
  </w:style>
  <w:style w:type="paragraph" w:styleId="ListNumber2">
    <w:name w:val="List Number 2"/>
    <w:basedOn w:val="ListNumber"/>
    <w:uiPriority w:val="13"/>
    <w:unhideWhenUsed/>
    <w:qFormat/>
    <w:locked/>
    <w:rsid w:val="00902462"/>
    <w:pPr>
      <w:numPr>
        <w:ilvl w:val="1"/>
      </w:numPr>
    </w:pPr>
  </w:style>
  <w:style w:type="paragraph" w:styleId="ListNumber3">
    <w:name w:val="List Number 3"/>
    <w:basedOn w:val="ListNumber2"/>
    <w:uiPriority w:val="13"/>
    <w:unhideWhenUsed/>
    <w:qFormat/>
    <w:locked/>
    <w:rsid w:val="00902462"/>
    <w:pPr>
      <w:numPr>
        <w:ilvl w:val="2"/>
      </w:numPr>
    </w:pPr>
  </w:style>
  <w:style w:type="paragraph" w:styleId="ListNumber4">
    <w:name w:val="List Number 4"/>
    <w:basedOn w:val="ListNumber3"/>
    <w:uiPriority w:val="13"/>
    <w:unhideWhenUsed/>
    <w:locked/>
    <w:rsid w:val="00902462"/>
    <w:pPr>
      <w:numPr>
        <w:ilvl w:val="3"/>
      </w:numPr>
    </w:pPr>
  </w:style>
  <w:style w:type="paragraph" w:styleId="ListNumber5">
    <w:name w:val="List Number 5"/>
    <w:basedOn w:val="ListNumber4"/>
    <w:uiPriority w:val="13"/>
    <w:unhideWhenUsed/>
    <w:locked/>
    <w:rsid w:val="00902462"/>
    <w:pPr>
      <w:numPr>
        <w:ilvl w:val="4"/>
      </w:numPr>
    </w:pPr>
  </w:style>
  <w:style w:type="paragraph" w:styleId="ListParagraph">
    <w:name w:val="List Paragraph"/>
    <w:aliases w:val="Bullet list,Bulletr List Paragraph,FooterText,L,List Paragraph1,List Paragraph11,List Paragraph2,List Paragraph21,Listeafsnit1,Listenabsatz,Paragraphe de liste1,Parágrafo da Lista1,Párrafo de lista1,numbered,リスト段落1,列出段落,列出段落1,Bullet li"/>
    <w:basedOn w:val="Normal"/>
    <w:link w:val="ListParagraphChar"/>
    <w:uiPriority w:val="34"/>
    <w:qFormat/>
    <w:locked/>
    <w:rsid w:val="00902462"/>
    <w:pPr>
      <w:ind w:left="720"/>
      <w:contextualSpacing/>
    </w:pPr>
  </w:style>
  <w:style w:type="paragraph" w:styleId="MessageHeader">
    <w:name w:val="Message Header"/>
    <w:basedOn w:val="Normal"/>
    <w:link w:val="MessageHeaderChar"/>
    <w:semiHidden/>
    <w:rsid w:val="0090246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02462"/>
    <w:rPr>
      <w:rFonts w:asciiTheme="majorHAnsi" w:eastAsiaTheme="majorEastAsia" w:hAnsiTheme="majorHAnsi" w:cstheme="majorBidi"/>
      <w:snapToGrid w:val="0"/>
      <w:sz w:val="24"/>
      <w:szCs w:val="24"/>
      <w:shd w:val="pct20" w:color="auto" w:fill="auto"/>
      <w:lang w:eastAsia="en-US"/>
    </w:rPr>
  </w:style>
  <w:style w:type="paragraph" w:styleId="NoSpacing">
    <w:name w:val="No Spacing"/>
    <w:uiPriority w:val="1"/>
    <w:semiHidden/>
    <w:qFormat/>
    <w:rsid w:val="00902462"/>
    <w:pPr>
      <w:kinsoku w:val="0"/>
      <w:overflowPunct w:val="0"/>
      <w:autoSpaceDE w:val="0"/>
      <w:autoSpaceDN w:val="0"/>
      <w:adjustRightInd w:val="0"/>
      <w:snapToGrid w:val="0"/>
    </w:pPr>
    <w:rPr>
      <w:rFonts w:cs="Arial"/>
      <w:snapToGrid w:val="0"/>
      <w:lang w:eastAsia="en-US"/>
    </w:rPr>
  </w:style>
  <w:style w:type="paragraph" w:styleId="NormalIndent">
    <w:name w:val="Normal Indent"/>
    <w:basedOn w:val="Normal"/>
    <w:semiHidden/>
    <w:rsid w:val="00902462"/>
    <w:pPr>
      <w:ind w:left="720"/>
    </w:pPr>
  </w:style>
  <w:style w:type="paragraph" w:styleId="NoteHeading">
    <w:name w:val="Note Heading"/>
    <w:basedOn w:val="Normal"/>
    <w:next w:val="Normal"/>
    <w:link w:val="NoteHeadingChar"/>
    <w:semiHidden/>
    <w:unhideWhenUsed/>
    <w:rsid w:val="00902462"/>
  </w:style>
  <w:style w:type="character" w:customStyle="1" w:styleId="NoteHeadingChar">
    <w:name w:val="Note Heading Char"/>
    <w:basedOn w:val="DefaultParagraphFont"/>
    <w:link w:val="NoteHeading"/>
    <w:semiHidden/>
    <w:rsid w:val="00902462"/>
    <w:rPr>
      <w:rFonts w:cs="Arial"/>
      <w:snapToGrid w:val="0"/>
      <w:lang w:eastAsia="en-US"/>
    </w:rPr>
  </w:style>
  <w:style w:type="character" w:styleId="PlaceholderText">
    <w:name w:val="Placeholder Text"/>
    <w:basedOn w:val="DefaultParagraphFont"/>
    <w:uiPriority w:val="99"/>
    <w:semiHidden/>
    <w:rsid w:val="00902462"/>
    <w:rPr>
      <w:color w:val="808080"/>
    </w:rPr>
  </w:style>
  <w:style w:type="paragraph" w:styleId="PlainText">
    <w:name w:val="Plain Text"/>
    <w:basedOn w:val="Normal"/>
    <w:link w:val="PlainTextChar"/>
    <w:semiHidden/>
    <w:rsid w:val="00902462"/>
    <w:rPr>
      <w:rFonts w:ascii="Consolas" w:hAnsi="Consolas"/>
    </w:rPr>
  </w:style>
  <w:style w:type="character" w:customStyle="1" w:styleId="PlainTextChar">
    <w:name w:val="Plain Text Char"/>
    <w:basedOn w:val="DefaultParagraphFont"/>
    <w:link w:val="PlainText"/>
    <w:semiHidden/>
    <w:rsid w:val="00902462"/>
    <w:rPr>
      <w:rFonts w:ascii="Consolas" w:hAnsi="Consolas" w:cs="Arial"/>
      <w:snapToGrid w:val="0"/>
      <w:lang w:eastAsia="en-US"/>
    </w:rPr>
  </w:style>
  <w:style w:type="paragraph" w:styleId="Quote">
    <w:name w:val="Quote"/>
    <w:basedOn w:val="Normal"/>
    <w:next w:val="Normal"/>
    <w:link w:val="QuoteChar"/>
    <w:uiPriority w:val="29"/>
    <w:semiHidden/>
    <w:qFormat/>
    <w:rsid w:val="00902462"/>
    <w:rPr>
      <w:i/>
      <w:iCs/>
      <w:color w:val="000000" w:themeColor="text1"/>
    </w:rPr>
  </w:style>
  <w:style w:type="character" w:customStyle="1" w:styleId="QuoteChar">
    <w:name w:val="Quote Char"/>
    <w:basedOn w:val="DefaultParagraphFont"/>
    <w:link w:val="Quote"/>
    <w:uiPriority w:val="29"/>
    <w:semiHidden/>
    <w:rsid w:val="00902462"/>
    <w:rPr>
      <w:rFonts w:cs="Arial"/>
      <w:i/>
      <w:iCs/>
      <w:snapToGrid w:val="0"/>
      <w:color w:val="000000" w:themeColor="text1"/>
      <w:lang w:eastAsia="en-US"/>
    </w:rPr>
  </w:style>
  <w:style w:type="paragraph" w:styleId="Salutation">
    <w:name w:val="Salutation"/>
    <w:basedOn w:val="Normal"/>
    <w:next w:val="Normal"/>
    <w:link w:val="SalutationChar"/>
    <w:semiHidden/>
    <w:unhideWhenUsed/>
    <w:rsid w:val="00902462"/>
  </w:style>
  <w:style w:type="character" w:customStyle="1" w:styleId="SalutationChar">
    <w:name w:val="Salutation Char"/>
    <w:basedOn w:val="DefaultParagraphFont"/>
    <w:link w:val="Salutation"/>
    <w:semiHidden/>
    <w:rsid w:val="00902462"/>
    <w:rPr>
      <w:rFonts w:cs="Arial"/>
      <w:snapToGrid w:val="0"/>
      <w:lang w:eastAsia="en-US"/>
    </w:rPr>
  </w:style>
  <w:style w:type="paragraph" w:styleId="Signature">
    <w:name w:val="Signature"/>
    <w:basedOn w:val="Normal"/>
    <w:link w:val="SignatureChar"/>
    <w:semiHidden/>
    <w:rsid w:val="00902462"/>
    <w:pPr>
      <w:ind w:left="4252"/>
    </w:pPr>
  </w:style>
  <w:style w:type="character" w:customStyle="1" w:styleId="SignatureChar">
    <w:name w:val="Signature Char"/>
    <w:basedOn w:val="DefaultParagraphFont"/>
    <w:link w:val="Signature"/>
    <w:semiHidden/>
    <w:rsid w:val="00902462"/>
    <w:rPr>
      <w:rFonts w:cs="Arial"/>
      <w:snapToGrid w:val="0"/>
      <w:lang w:eastAsia="en-US"/>
    </w:rPr>
  </w:style>
  <w:style w:type="paragraph" w:styleId="TableofAuthorities">
    <w:name w:val="table of authorities"/>
    <w:basedOn w:val="Normal"/>
    <w:next w:val="Normal"/>
    <w:semiHidden/>
    <w:unhideWhenUsed/>
    <w:rsid w:val="00902462"/>
    <w:pPr>
      <w:ind w:left="210" w:hanging="210"/>
    </w:pPr>
  </w:style>
  <w:style w:type="paragraph" w:styleId="TableofFigures">
    <w:name w:val="table of figures"/>
    <w:basedOn w:val="Normal"/>
    <w:next w:val="Normal"/>
    <w:semiHidden/>
    <w:unhideWhenUsed/>
    <w:rsid w:val="00902462"/>
  </w:style>
  <w:style w:type="paragraph" w:styleId="TOAHeading">
    <w:name w:val="toa heading"/>
    <w:basedOn w:val="Normal"/>
    <w:next w:val="Normal"/>
    <w:semiHidden/>
    <w:unhideWhenUsed/>
    <w:rsid w:val="0090246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02462"/>
    <w:pPr>
      <w:spacing w:before="480"/>
      <w:outlineLvl w:val="9"/>
    </w:pPr>
    <w:rPr>
      <w:rFonts w:eastAsiaTheme="majorEastAsia" w:cstheme="majorBidi"/>
      <w:color w:val="7A1818" w:themeColor="accent1" w:themeShade="BF"/>
      <w:sz w:val="28"/>
      <w:szCs w:val="28"/>
    </w:rPr>
  </w:style>
  <w:style w:type="paragraph" w:customStyle="1" w:styleId="CoverPanelFrame">
    <w:name w:val="Cover Panel Frame"/>
    <w:basedOn w:val="Coverpulloutframe"/>
    <w:rsid w:val="00902462"/>
    <w:pPr>
      <w:framePr w:w="7441" w:wrap="notBeside" w:vAnchor="margin" w:hAnchor="text" w:x="-112" w:y="1"/>
      <w:pBdr>
        <w:top w:val="single" w:sz="4" w:space="1" w:color="auto"/>
        <w:left w:val="single" w:sz="4" w:space="4" w:color="auto"/>
      </w:pBdr>
    </w:pPr>
    <w:rPr>
      <w:rFonts w:eastAsia="+mn-ea"/>
    </w:rPr>
  </w:style>
  <w:style w:type="paragraph" w:customStyle="1" w:styleId="LogoActivated">
    <w:name w:val="Logo Activated"/>
    <w:basedOn w:val="Normal"/>
    <w:rsid w:val="00902462"/>
    <w:pPr>
      <w:framePr w:w="3119" w:h="1412" w:hRule="exact" w:wrap="around" w:vAnchor="page" w:hAnchor="page" w:x="1543" w:y="15299"/>
      <w:tabs>
        <w:tab w:val="center" w:pos="2551"/>
        <w:tab w:val="right" w:pos="7682"/>
      </w:tabs>
      <w:spacing w:line="0" w:lineRule="atLeast"/>
    </w:pPr>
    <w:rPr>
      <w:rFonts w:asciiTheme="majorHAnsi" w:hAnsiTheme="majorHAnsi"/>
      <w:noProof/>
      <w:snapToGrid/>
      <w:sz w:val="18"/>
      <w:szCs w:val="32"/>
      <w:lang w:eastAsia="en-AU"/>
    </w:rPr>
  </w:style>
  <w:style w:type="paragraph" w:customStyle="1" w:styleId="FirstPagePanelFrame">
    <w:name w:val="First Page Panel Frame"/>
    <w:basedOn w:val="CoverPanelFrame"/>
    <w:rsid w:val="00902462"/>
    <w:pPr>
      <w:framePr w:w="8334" w:h="227" w:hRule="exact" w:wrap="notBeside" w:y="-169"/>
      <w:pBdr>
        <w:top w:val="single" w:sz="6" w:space="1" w:color="A32020" w:themeColor="text2"/>
        <w:left w:val="single" w:sz="6" w:space="4" w:color="A32020" w:themeColor="text2"/>
      </w:pBdr>
    </w:pPr>
  </w:style>
  <w:style w:type="paragraph" w:customStyle="1" w:styleId="URLCover">
    <w:name w:val="URL Cover"/>
    <w:basedOn w:val="Normal"/>
    <w:rsid w:val="00902462"/>
    <w:rPr>
      <w:color w:val="000000" w:themeColor="text1"/>
      <w:sz w:val="19"/>
    </w:rPr>
  </w:style>
  <w:style w:type="paragraph" w:customStyle="1" w:styleId="Coverpulloutframe">
    <w:name w:val="Cover pull out frame"/>
    <w:basedOn w:val="KeySentenceInside"/>
    <w:rsid w:val="00902462"/>
    <w:pPr>
      <w:framePr w:w="2189" w:h="227" w:wrap="notBeside" w:vAnchor="page" w:hAnchor="page" w:x="908" w:y="8414"/>
      <w:pBdr>
        <w:top w:val="dotted" w:sz="8" w:space="1" w:color="A32020" w:themeColor="text2"/>
        <w:left w:val="dotted" w:sz="8" w:space="4" w:color="A32020" w:themeColor="text2"/>
      </w:pBdr>
      <w:spacing w:after="0" w:line="0" w:lineRule="atLeast"/>
    </w:pPr>
    <w:rPr>
      <w:color w:val="auto"/>
      <w:sz w:val="8"/>
      <w:lang w:val="en-GB"/>
    </w:rPr>
  </w:style>
  <w:style w:type="paragraph" w:customStyle="1" w:styleId="CoverOutcomeHeadline">
    <w:name w:val="Cover Outcome Headline"/>
    <w:basedOn w:val="PwCNormal"/>
    <w:rsid w:val="00902462"/>
    <w:pPr>
      <w:spacing w:after="0" w:line="400" w:lineRule="atLeast"/>
      <w:ind w:right="1388"/>
    </w:pPr>
    <w:rPr>
      <w:b/>
      <w:color w:val="000000"/>
      <w:sz w:val="52"/>
      <w:szCs w:val="88"/>
      <w:lang w:val="en-GB"/>
    </w:rPr>
  </w:style>
  <w:style w:type="paragraph" w:customStyle="1" w:styleId="CoverOutcomeSubtitle">
    <w:name w:val="Cover Outcome Subtitle"/>
    <w:basedOn w:val="CoverOutcomeHeadline"/>
    <w:rsid w:val="00902462"/>
    <w:rPr>
      <w:b w:val="0"/>
      <w:sz w:val="44"/>
    </w:rPr>
  </w:style>
  <w:style w:type="paragraph" w:customStyle="1" w:styleId="LogoFixed">
    <w:name w:val="Logo Fixed"/>
    <w:basedOn w:val="LogoActivated"/>
    <w:rsid w:val="00902462"/>
    <w:pPr>
      <w:framePr w:h="2733" w:hRule="exact" w:wrap="around" w:x="1322" w:y="14125"/>
    </w:pPr>
  </w:style>
  <w:style w:type="paragraph" w:customStyle="1" w:styleId="NumericCaption">
    <w:name w:val="Numeric Caption"/>
    <w:basedOn w:val="Caption"/>
    <w:rsid w:val="00902462"/>
    <w:rPr>
      <w:rFonts w:ascii="Arial" w:hAnsi="Arial"/>
    </w:rPr>
  </w:style>
  <w:style w:type="paragraph" w:customStyle="1" w:styleId="NumericTableColumnHeadingNormal">
    <w:name w:val="Numeric Table Column Heading Normal"/>
    <w:basedOn w:val="TableColumnHeadingNormal"/>
    <w:rsid w:val="00902462"/>
    <w:rPr>
      <w:rFonts w:ascii="Arial" w:hAnsi="Arial"/>
    </w:rPr>
  </w:style>
  <w:style w:type="paragraph" w:customStyle="1" w:styleId="NumericTableTextNormal">
    <w:name w:val="Numeric Table Text Normal"/>
    <w:basedOn w:val="TableTextNormal"/>
    <w:rsid w:val="00902462"/>
    <w:rPr>
      <w:rFonts w:ascii="Arial" w:hAnsi="Arial"/>
    </w:rPr>
  </w:style>
  <w:style w:type="paragraph" w:customStyle="1" w:styleId="NumericSources">
    <w:name w:val="Numeric Sources"/>
    <w:basedOn w:val="Sources"/>
    <w:rsid w:val="00902462"/>
    <w:rPr>
      <w:rFonts w:ascii="Arial" w:hAnsi="Arial"/>
    </w:rPr>
  </w:style>
  <w:style w:type="paragraph" w:customStyle="1" w:styleId="NumericTableColumnHeadingSmall">
    <w:name w:val="Numeric Table Column Heading Small"/>
    <w:basedOn w:val="NumericTableColumnHeadingNormal"/>
    <w:rsid w:val="00902462"/>
    <w:rPr>
      <w:sz w:val="16"/>
      <w:szCs w:val="16"/>
    </w:rPr>
  </w:style>
  <w:style w:type="paragraph" w:customStyle="1" w:styleId="NumericTableTextSmall">
    <w:name w:val="Numeric Table Text Small"/>
    <w:basedOn w:val="NumericTableTextNormal"/>
    <w:rsid w:val="00902462"/>
    <w:rPr>
      <w:sz w:val="16"/>
      <w:szCs w:val="16"/>
    </w:rPr>
  </w:style>
  <w:style w:type="paragraph" w:customStyle="1" w:styleId="NumericTableTextDecimalNormal">
    <w:name w:val="Numeric Table Text Decimal Normal"/>
    <w:basedOn w:val="NumericTableTextNormal"/>
    <w:rsid w:val="00902462"/>
    <w:pPr>
      <w:tabs>
        <w:tab w:val="decimal" w:pos="1004"/>
      </w:tabs>
    </w:pPr>
  </w:style>
  <w:style w:type="paragraph" w:customStyle="1" w:styleId="NumericTableTextDecimalSmall">
    <w:name w:val="Numeric Table Text Decimal Small"/>
    <w:basedOn w:val="NumericTableTextDecimalNormal"/>
    <w:rsid w:val="00902462"/>
    <w:rPr>
      <w:sz w:val="16"/>
      <w:szCs w:val="16"/>
    </w:rPr>
  </w:style>
  <w:style w:type="paragraph" w:customStyle="1" w:styleId="Heading2Nospacing">
    <w:name w:val="Heading 2 No spacing"/>
    <w:basedOn w:val="Heading1"/>
    <w:rsid w:val="00D672B5"/>
    <w:pPr>
      <w:ind w:left="851" w:right="1389" w:hanging="851"/>
      <w:outlineLvl w:val="1"/>
    </w:pPr>
  </w:style>
  <w:style w:type="paragraph" w:customStyle="1" w:styleId="TableNumberedList1">
    <w:name w:val="Table Numbered List 1"/>
    <w:basedOn w:val="TableTextNormal"/>
    <w:rsid w:val="00902462"/>
    <w:pPr>
      <w:numPr>
        <w:numId w:val="31"/>
      </w:numPr>
    </w:pPr>
  </w:style>
  <w:style w:type="paragraph" w:customStyle="1" w:styleId="TableNumberedList2">
    <w:name w:val="Table Numbered List 2"/>
    <w:basedOn w:val="TableNumberedList1"/>
    <w:rsid w:val="00902462"/>
    <w:pPr>
      <w:numPr>
        <w:ilvl w:val="1"/>
      </w:numPr>
      <w:spacing w:before="40" w:after="40"/>
    </w:pPr>
  </w:style>
  <w:style w:type="paragraph" w:customStyle="1" w:styleId="TableNumberedList3">
    <w:name w:val="Table Numbered List 3"/>
    <w:basedOn w:val="TableNumberedList2"/>
    <w:rsid w:val="00902462"/>
    <w:pPr>
      <w:numPr>
        <w:ilvl w:val="2"/>
      </w:numPr>
    </w:pPr>
  </w:style>
  <w:style w:type="paragraph" w:customStyle="1" w:styleId="TableNumberedListSmall1">
    <w:name w:val="Table Numbered List Small 1"/>
    <w:basedOn w:val="TableTextSmall"/>
    <w:rsid w:val="00902462"/>
    <w:pPr>
      <w:numPr>
        <w:numId w:val="33"/>
      </w:numPr>
    </w:pPr>
  </w:style>
  <w:style w:type="paragraph" w:customStyle="1" w:styleId="TableNumberedListSmall2">
    <w:name w:val="Table Numbered List Small 2"/>
    <w:basedOn w:val="TableNumberedListSmall1"/>
    <w:rsid w:val="00902462"/>
    <w:pPr>
      <w:numPr>
        <w:ilvl w:val="1"/>
      </w:numPr>
    </w:pPr>
    <w:rPr>
      <w:szCs w:val="21"/>
    </w:rPr>
  </w:style>
  <w:style w:type="paragraph" w:customStyle="1" w:styleId="TableNumberedListSmall3">
    <w:name w:val="Table Numbered List Small 3"/>
    <w:basedOn w:val="TableNumberedListSmall2"/>
    <w:rsid w:val="00902462"/>
    <w:pPr>
      <w:numPr>
        <w:ilvl w:val="2"/>
      </w:numPr>
    </w:pPr>
  </w:style>
  <w:style w:type="numbering" w:customStyle="1" w:styleId="ListNumberList">
    <w:name w:val="List Number List"/>
    <w:uiPriority w:val="99"/>
    <w:rsid w:val="00902462"/>
    <w:pPr>
      <w:numPr>
        <w:numId w:val="22"/>
      </w:numPr>
    </w:pPr>
  </w:style>
  <w:style w:type="numbering" w:styleId="111111">
    <w:name w:val="Outline List 2"/>
    <w:basedOn w:val="NoList"/>
    <w:rsid w:val="00902462"/>
    <w:pPr>
      <w:numPr>
        <w:numId w:val="5"/>
      </w:numPr>
    </w:pPr>
  </w:style>
  <w:style w:type="numbering" w:styleId="1ai">
    <w:name w:val="Outline List 1"/>
    <w:basedOn w:val="NoList"/>
    <w:rsid w:val="00902462"/>
    <w:pPr>
      <w:numPr>
        <w:numId w:val="6"/>
      </w:numPr>
    </w:pPr>
  </w:style>
  <w:style w:type="numbering" w:styleId="ArticleSection">
    <w:name w:val="Outline List 3"/>
    <w:basedOn w:val="NoList"/>
    <w:rsid w:val="00902462"/>
    <w:pPr>
      <w:numPr>
        <w:numId w:val="7"/>
      </w:numPr>
    </w:pPr>
  </w:style>
  <w:style w:type="paragraph" w:customStyle="1" w:styleId="Minorheading3">
    <w:name w:val="Minor heading 3"/>
    <w:basedOn w:val="Minorheading2"/>
    <w:rsid w:val="00902462"/>
    <w:rPr>
      <w:b w:val="0"/>
      <w:i/>
    </w:rPr>
  </w:style>
  <w:style w:type="table" w:customStyle="1" w:styleId="Tables-APLines">
    <w:name w:val="Tables - AP Lines"/>
    <w:basedOn w:val="TableNormal"/>
    <w:rsid w:val="00902462"/>
    <w:tblPr>
      <w:tblStyleRowBandSize w:val="1"/>
      <w:tblStyleColBandSize w:val="1"/>
      <w:tblBorders>
        <w:insideH w:val="single" w:sz="4" w:space="0" w:color="A32020" w:themeColor="text2"/>
        <w:insideV w:val="single" w:sz="4" w:space="0" w:color="A32020" w:themeColor="text2"/>
      </w:tblBorders>
    </w:tblPr>
    <w:tcPr>
      <w:shd w:val="clear" w:color="auto" w:fill="auto"/>
    </w:tcPr>
    <w:tblStylePr w:type="firstRow">
      <w:pPr>
        <w:jc w:val="center"/>
      </w:pPr>
      <w:rPr>
        <w:rFonts w:asciiTheme="minorHAnsi" w:hAnsiTheme="minorHAnsi"/>
        <w:color w:val="auto"/>
      </w:rPr>
      <w:tblPr/>
      <w:tcPr>
        <w:vAlign w:val="bottom"/>
      </w:tcPr>
    </w:tblStylePr>
    <w:tblStylePr w:type="lastRow">
      <w:rPr>
        <w:color w:val="FFFFFF" w:themeColor="background1"/>
      </w:rPr>
    </w:tblStylePr>
    <w:tblStylePr w:type="nwCell">
      <w:pPr>
        <w:jc w:val="left"/>
      </w:pPr>
      <w:tblPr/>
      <w:tcPr>
        <w:vAlign w:val="bottom"/>
      </w:tcPr>
    </w:tblStylePr>
  </w:style>
  <w:style w:type="table" w:customStyle="1" w:styleId="PwCPanelframe">
    <w:name w:val="PwC Panel frame"/>
    <w:basedOn w:val="TableNormal"/>
    <w:uiPriority w:val="99"/>
    <w:qFormat/>
    <w:rsid w:val="00902462"/>
    <w:pPr>
      <w:spacing w:line="227" w:lineRule="exact"/>
    </w:pPr>
    <w:rPr>
      <w:sz w:val="8"/>
    </w:rPr>
    <w:tblPr>
      <w:tblBorders>
        <w:top w:val="single" w:sz="8" w:space="0" w:color="A32020" w:themeColor="text2"/>
        <w:left w:val="single" w:sz="8" w:space="0" w:color="A32020" w:themeColor="text2"/>
      </w:tblBorders>
      <w:tblCellMar>
        <w:left w:w="227" w:type="dxa"/>
        <w:right w:w="0" w:type="dxa"/>
      </w:tblCellMar>
    </w:tblPr>
    <w:tcPr>
      <w:shd w:val="clear" w:color="auto" w:fill="auto"/>
    </w:tcPr>
  </w:style>
  <w:style w:type="table" w:customStyle="1" w:styleId="PwCpull-outframe">
    <w:name w:val="PwC pull-out frame"/>
    <w:basedOn w:val="PwCPanelframe"/>
    <w:uiPriority w:val="99"/>
    <w:rsid w:val="00902462"/>
    <w:tblPr>
      <w:tblBorders>
        <w:top w:val="dotted" w:sz="8" w:space="0" w:color="A32020" w:themeColor="text2"/>
        <w:left w:val="dotted" w:sz="8" w:space="0" w:color="A32020" w:themeColor="text2"/>
      </w:tblBorders>
    </w:tblPr>
    <w:tcPr>
      <w:shd w:val="clear" w:color="auto" w:fill="auto"/>
    </w:tcPr>
  </w:style>
  <w:style w:type="paragraph" w:customStyle="1" w:styleId="Bullet1">
    <w:name w:val="Bullet 1"/>
    <w:basedOn w:val="PwCNormal"/>
    <w:rsid w:val="00902462"/>
    <w:pPr>
      <w:numPr>
        <w:numId w:val="11"/>
      </w:numPr>
      <w:spacing w:after="80"/>
    </w:pPr>
  </w:style>
  <w:style w:type="paragraph" w:customStyle="1" w:styleId="Bullet2">
    <w:name w:val="Bullet 2"/>
    <w:basedOn w:val="Bullet1"/>
    <w:rsid w:val="00902462"/>
    <w:pPr>
      <w:numPr>
        <w:ilvl w:val="1"/>
      </w:numPr>
    </w:pPr>
  </w:style>
  <w:style w:type="paragraph" w:customStyle="1" w:styleId="Bullet3">
    <w:name w:val="Bullet 3"/>
    <w:basedOn w:val="Bullet2"/>
    <w:rsid w:val="00902462"/>
    <w:pPr>
      <w:numPr>
        <w:ilvl w:val="2"/>
      </w:numPr>
    </w:pPr>
  </w:style>
  <w:style w:type="paragraph" w:customStyle="1" w:styleId="Bullet4">
    <w:name w:val="Bullet 4"/>
    <w:basedOn w:val="Bullet3"/>
    <w:rsid w:val="00902462"/>
    <w:pPr>
      <w:numPr>
        <w:ilvl w:val="3"/>
      </w:numPr>
    </w:pPr>
  </w:style>
  <w:style w:type="numbering" w:customStyle="1" w:styleId="Bullets">
    <w:name w:val="Bullets"/>
    <w:uiPriority w:val="99"/>
    <w:rsid w:val="00902462"/>
    <w:pPr>
      <w:numPr>
        <w:numId w:val="11"/>
      </w:numPr>
    </w:pPr>
  </w:style>
  <w:style w:type="paragraph" w:customStyle="1" w:styleId="FirstPagePanelFrame-Contents">
    <w:name w:val="First Page Panel Frame - Contents"/>
    <w:basedOn w:val="FirstPagePanelFrame"/>
    <w:rsid w:val="00902462"/>
    <w:pPr>
      <w:framePr w:wrap="notBeside"/>
    </w:pPr>
  </w:style>
  <w:style w:type="numbering" w:customStyle="1" w:styleId="ChapterNumberingList">
    <w:name w:val="Chapter Numbering List"/>
    <w:uiPriority w:val="99"/>
    <w:rsid w:val="00902462"/>
    <w:pPr>
      <w:numPr>
        <w:numId w:val="13"/>
      </w:numPr>
    </w:pPr>
  </w:style>
  <w:style w:type="character" w:customStyle="1" w:styleId="FootnoteTextChar">
    <w:name w:val="Footnote Text Char"/>
    <w:basedOn w:val="DefaultParagraphFont"/>
    <w:link w:val="FootnoteText"/>
    <w:rsid w:val="00193BF6"/>
    <w:rPr>
      <w:rFonts w:cs="Arial"/>
      <w:snapToGrid w:val="0"/>
      <w:sz w:val="18"/>
      <w:lang w:eastAsia="en-US"/>
    </w:rPr>
  </w:style>
  <w:style w:type="paragraph" w:styleId="NormalWeb">
    <w:name w:val="Normal (Web)"/>
    <w:basedOn w:val="Normal"/>
    <w:uiPriority w:val="99"/>
    <w:semiHidden/>
    <w:unhideWhenUsed/>
    <w:rsid w:val="00902462"/>
    <w:pPr>
      <w:kinsoku/>
      <w:overflowPunct/>
      <w:autoSpaceDE/>
      <w:autoSpaceDN/>
      <w:adjustRightInd/>
      <w:snapToGrid/>
      <w:spacing w:before="100" w:beforeAutospacing="1" w:after="100" w:afterAutospacing="1"/>
    </w:pPr>
    <w:rPr>
      <w:rFonts w:ascii="Times New Roman" w:hAnsi="Times New Roman" w:cs="Times New Roman"/>
      <w:snapToGrid/>
      <w:sz w:val="24"/>
      <w:szCs w:val="24"/>
      <w:lang w:val="en-US"/>
    </w:rPr>
  </w:style>
  <w:style w:type="paragraph" w:styleId="Revision">
    <w:name w:val="Revision"/>
    <w:hidden/>
    <w:uiPriority w:val="99"/>
    <w:semiHidden/>
    <w:rsid w:val="00786DC1"/>
    <w:rPr>
      <w:rFonts w:cs="Arial"/>
      <w:snapToGrid w:val="0"/>
      <w:lang w:eastAsia="en-US"/>
    </w:rPr>
  </w:style>
  <w:style w:type="paragraph" w:customStyle="1" w:styleId="StyleHeading7After12pt">
    <w:name w:val="Style Heading 7 + After:  12 pt"/>
    <w:basedOn w:val="Heading7"/>
    <w:rsid w:val="00D8473D"/>
    <w:pPr>
      <w:ind w:left="851" w:hanging="851"/>
    </w:pPr>
    <w:rPr>
      <w:rFonts w:cs="Times New Roman"/>
      <w:szCs w:val="20"/>
    </w:rPr>
  </w:style>
  <w:style w:type="paragraph" w:customStyle="1" w:styleId="StyleHeading7Before6pt">
    <w:name w:val="Style Heading 7 + Before:  6 pt"/>
    <w:basedOn w:val="Heading7"/>
    <w:rsid w:val="00DF0CD9"/>
    <w:pPr>
      <w:ind w:left="851" w:hanging="851"/>
    </w:pPr>
    <w:rPr>
      <w:rFonts w:cs="Times New Roman"/>
      <w:szCs w:val="20"/>
    </w:rPr>
  </w:style>
  <w:style w:type="character" w:customStyle="1" w:styleId="ListParagraphChar">
    <w:name w:val="List Paragraph Char"/>
    <w:aliases w:val="Bullet list Char,Bulletr List Paragraph Char,FooterText Char,L Char,List Paragraph1 Char,List Paragraph11 Char,List Paragraph2 Char,List Paragraph21 Char,Listeafsnit1 Char,Listenabsatz Char,Paragraphe de liste1 Char,numbered Char"/>
    <w:basedOn w:val="DefaultParagraphFont"/>
    <w:link w:val="ListParagraph"/>
    <w:uiPriority w:val="34"/>
    <w:qFormat/>
    <w:rsid w:val="00902462"/>
    <w:rPr>
      <w:rFonts w:cs="Arial"/>
      <w:snapToGrid w:val="0"/>
      <w:lang w:eastAsia="en-US"/>
    </w:rPr>
  </w:style>
  <w:style w:type="character" w:styleId="Emphasis">
    <w:name w:val="Emphasis"/>
    <w:basedOn w:val="DefaultParagraphFont"/>
    <w:uiPriority w:val="20"/>
    <w:qFormat/>
    <w:locked/>
    <w:rsid w:val="00785859"/>
    <w:rPr>
      <w:i/>
      <w:iCs/>
    </w:rPr>
  </w:style>
  <w:style w:type="paragraph" w:customStyle="1" w:styleId="1">
    <w:name w:val="1"/>
    <w:basedOn w:val="Normal"/>
    <w:rsid w:val="00902462"/>
    <w:pPr>
      <w:kinsoku/>
      <w:overflowPunct/>
      <w:autoSpaceDE/>
      <w:autoSpaceDN/>
      <w:adjustRightInd/>
      <w:snapToGrid/>
    </w:pPr>
    <w:rPr>
      <w:rFonts w:ascii="Arial" w:hAnsi="Arial" w:cs="Times New Roman"/>
      <w:snapToGrid/>
      <w:sz w:val="22"/>
    </w:rPr>
  </w:style>
  <w:style w:type="paragraph" w:customStyle="1" w:styleId="Bulletlevel1">
    <w:name w:val="Bullet level 1"/>
    <w:basedOn w:val="Normal"/>
    <w:qFormat/>
    <w:rsid w:val="00902462"/>
    <w:pPr>
      <w:numPr>
        <w:numId w:val="8"/>
      </w:numPr>
      <w:kinsoku/>
      <w:overflowPunct/>
      <w:autoSpaceDE/>
      <w:autoSpaceDN/>
      <w:adjustRightInd/>
      <w:snapToGrid/>
      <w:spacing w:after="200"/>
      <w:contextualSpacing/>
    </w:pPr>
    <w:rPr>
      <w:rFonts w:asciiTheme="minorHAnsi" w:eastAsiaTheme="minorHAnsi" w:hAnsiTheme="minorHAnsi" w:cstheme="minorBidi"/>
      <w:snapToGrid/>
      <w:sz w:val="22"/>
      <w:szCs w:val="22"/>
    </w:rPr>
  </w:style>
  <w:style w:type="paragraph" w:customStyle="1" w:styleId="Bulletpoint">
    <w:name w:val="Bullet point"/>
    <w:basedOn w:val="ListBullet"/>
    <w:qFormat/>
    <w:rsid w:val="00902462"/>
    <w:pPr>
      <w:numPr>
        <w:numId w:val="10"/>
      </w:numPr>
      <w:tabs>
        <w:tab w:val="left" w:pos="340"/>
      </w:tabs>
      <w:kinsoku/>
      <w:overflowPunct/>
      <w:autoSpaceDE/>
      <w:autoSpaceDN/>
      <w:adjustRightInd/>
      <w:snapToGrid/>
      <w:spacing w:after="0"/>
    </w:pPr>
    <w:rPr>
      <w:rFonts w:ascii="Arial" w:eastAsiaTheme="minorHAnsi" w:hAnsi="Arial" w:cs="Times New Roman"/>
      <w:snapToGrid/>
      <w:sz w:val="22"/>
      <w:szCs w:val="22"/>
    </w:rPr>
  </w:style>
  <w:style w:type="numbering" w:customStyle="1" w:styleId="ChapterNumbering">
    <w:name w:val="Chapter Numbering"/>
    <w:uiPriority w:val="99"/>
    <w:rsid w:val="00902462"/>
    <w:pPr>
      <w:numPr>
        <w:numId w:val="12"/>
      </w:numPr>
    </w:pPr>
  </w:style>
  <w:style w:type="paragraph" w:customStyle="1" w:styleId="StyleCaptionNotBoldAuto">
    <w:name w:val="Style Caption + Not Bold Auto"/>
    <w:basedOn w:val="Caption"/>
    <w:rsid w:val="00902462"/>
    <w:pPr>
      <w:tabs>
        <w:tab w:val="clear" w:pos="992"/>
      </w:tabs>
    </w:pPr>
    <w:rPr>
      <w:b w:val="0"/>
      <w:bCs w:val="0"/>
      <w:color w:val="auto"/>
    </w:rPr>
  </w:style>
  <w:style w:type="paragraph" w:customStyle="1" w:styleId="StyleHeading2ChapterHeadingShort20ptNotBoldNotItal">
    <w:name w:val="Style Heading 2Chapter Heading (Short) + 20 pt Not Bold Not Ital..."/>
    <w:basedOn w:val="Heading2"/>
    <w:rsid w:val="00902462"/>
    <w:pPr>
      <w:spacing w:after="240"/>
    </w:pPr>
    <w:rPr>
      <w:b w:val="0"/>
      <w:bCs w:val="0"/>
      <w:i/>
      <w:iCs w:val="0"/>
      <w:sz w:val="40"/>
    </w:rPr>
  </w:style>
  <w:style w:type="paragraph" w:customStyle="1" w:styleId="Tickedboxbulletpoint">
    <w:name w:val="Ticked box bullet point"/>
    <w:basedOn w:val="Normal"/>
    <w:qFormat/>
    <w:rsid w:val="00902462"/>
    <w:pPr>
      <w:numPr>
        <w:numId w:val="34"/>
      </w:numPr>
      <w:kinsoku/>
      <w:overflowPunct/>
      <w:autoSpaceDE/>
      <w:autoSpaceDN/>
      <w:adjustRightInd/>
      <w:snapToGrid/>
      <w:spacing w:before="240"/>
      <w:contextualSpacing/>
    </w:pPr>
    <w:rPr>
      <w:rFonts w:asciiTheme="minorHAnsi" w:eastAsiaTheme="minorHAnsi" w:hAnsiTheme="minorHAnsi" w:cstheme="minorBidi"/>
      <w:snapToGrid/>
      <w:sz w:val="22"/>
      <w:szCs w:val="22"/>
    </w:rPr>
  </w:style>
  <w:style w:type="paragraph" w:customStyle="1" w:styleId="Heading2TOC">
    <w:name w:val="Heading 2 TOC"/>
    <w:basedOn w:val="TOCtitle"/>
    <w:qFormat/>
    <w:rsid w:val="00D672B5"/>
    <w:pPr>
      <w:ind w:right="1389"/>
      <w:outlineLvl w:val="1"/>
    </w:pPr>
  </w:style>
  <w:style w:type="paragraph" w:customStyle="1" w:styleId="Heading3-Notice">
    <w:name w:val="Heading 3 - Notice"/>
    <w:basedOn w:val="Heading3"/>
    <w:qFormat/>
    <w:rsid w:val="00D672B5"/>
    <w:pPr>
      <w:numPr>
        <w:ilvl w:val="0"/>
        <w:numId w:val="0"/>
      </w:numPr>
      <w:spacing w:before="40" w:after="60"/>
    </w:pPr>
    <w:rPr>
      <w:sz w:val="28"/>
    </w:rPr>
  </w:style>
  <w:style w:type="paragraph" w:customStyle="1" w:styleId="StyleHeading3AppendixHeadingLongLeft0cmFirstline">
    <w:name w:val="Style Heading 3Appendix Heading (Long) + Left:  0 cm First line: ..."/>
    <w:basedOn w:val="Heading3"/>
    <w:rsid w:val="00325598"/>
    <w:rPr>
      <w:rFonts w:eastAsia="Times New Roman" w:cs="Times New Roman"/>
      <w:iCs w:val="0"/>
      <w:szCs w:val="20"/>
    </w:rPr>
  </w:style>
  <w:style w:type="paragraph" w:customStyle="1" w:styleId="StyleHeading4AppendixHeadingShortLeft0cmFirstline">
    <w:name w:val="Style Heading 4Appendix Heading (Short) + Left:  0 cm First line:..."/>
    <w:basedOn w:val="Heading4"/>
    <w:rsid w:val="00325598"/>
    <w:rPr>
      <w:rFonts w:eastAsia="Times New Roman" w:cs="Times New Roman"/>
      <w:iCs w:val="0"/>
      <w:szCs w:val="20"/>
    </w:rPr>
  </w:style>
  <w:style w:type="paragraph" w:customStyle="1" w:styleId="styeheading5">
    <w:name w:val="stye heading 5"/>
    <w:basedOn w:val="Minorheading2"/>
    <w:qFormat/>
    <w:rsid w:val="00325598"/>
    <w:pPr>
      <w:outlineLvl w:val="4"/>
    </w:pPr>
  </w:style>
  <w:style w:type="paragraph" w:customStyle="1" w:styleId="styleheading6">
    <w:name w:val="style heading 6"/>
    <w:basedOn w:val="Minorheading3"/>
    <w:qFormat/>
    <w:rsid w:val="009D1655"/>
    <w:pPr>
      <w:outlineLvl w:val="5"/>
    </w:pPr>
    <w:rPr>
      <w:rFonts w:eastAsia="Georgia"/>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49417">
      <w:bodyDiv w:val="1"/>
      <w:marLeft w:val="0"/>
      <w:marRight w:val="0"/>
      <w:marTop w:val="0"/>
      <w:marBottom w:val="0"/>
      <w:divBdr>
        <w:top w:val="none" w:sz="0" w:space="0" w:color="auto"/>
        <w:left w:val="none" w:sz="0" w:space="0" w:color="auto"/>
        <w:bottom w:val="none" w:sz="0" w:space="0" w:color="auto"/>
        <w:right w:val="none" w:sz="0" w:space="0" w:color="auto"/>
      </w:divBdr>
    </w:div>
    <w:div w:id="212427971">
      <w:bodyDiv w:val="1"/>
      <w:marLeft w:val="0"/>
      <w:marRight w:val="0"/>
      <w:marTop w:val="0"/>
      <w:marBottom w:val="0"/>
      <w:divBdr>
        <w:top w:val="none" w:sz="0" w:space="0" w:color="auto"/>
        <w:left w:val="none" w:sz="0" w:space="0" w:color="auto"/>
        <w:bottom w:val="none" w:sz="0" w:space="0" w:color="auto"/>
        <w:right w:val="none" w:sz="0" w:space="0" w:color="auto"/>
      </w:divBdr>
    </w:div>
    <w:div w:id="242230048">
      <w:bodyDiv w:val="1"/>
      <w:marLeft w:val="0"/>
      <w:marRight w:val="0"/>
      <w:marTop w:val="0"/>
      <w:marBottom w:val="0"/>
      <w:divBdr>
        <w:top w:val="none" w:sz="0" w:space="0" w:color="auto"/>
        <w:left w:val="none" w:sz="0" w:space="0" w:color="auto"/>
        <w:bottom w:val="none" w:sz="0" w:space="0" w:color="auto"/>
        <w:right w:val="none" w:sz="0" w:space="0" w:color="auto"/>
      </w:divBdr>
    </w:div>
    <w:div w:id="363991031">
      <w:bodyDiv w:val="1"/>
      <w:marLeft w:val="0"/>
      <w:marRight w:val="0"/>
      <w:marTop w:val="0"/>
      <w:marBottom w:val="0"/>
      <w:divBdr>
        <w:top w:val="none" w:sz="0" w:space="0" w:color="auto"/>
        <w:left w:val="none" w:sz="0" w:space="0" w:color="auto"/>
        <w:bottom w:val="none" w:sz="0" w:space="0" w:color="auto"/>
        <w:right w:val="none" w:sz="0" w:space="0" w:color="auto"/>
      </w:divBdr>
    </w:div>
    <w:div w:id="377509592">
      <w:bodyDiv w:val="1"/>
      <w:marLeft w:val="0"/>
      <w:marRight w:val="0"/>
      <w:marTop w:val="0"/>
      <w:marBottom w:val="0"/>
      <w:divBdr>
        <w:top w:val="none" w:sz="0" w:space="0" w:color="auto"/>
        <w:left w:val="none" w:sz="0" w:space="0" w:color="auto"/>
        <w:bottom w:val="none" w:sz="0" w:space="0" w:color="auto"/>
        <w:right w:val="none" w:sz="0" w:space="0" w:color="auto"/>
      </w:divBdr>
    </w:div>
    <w:div w:id="482158687">
      <w:bodyDiv w:val="1"/>
      <w:marLeft w:val="0"/>
      <w:marRight w:val="0"/>
      <w:marTop w:val="0"/>
      <w:marBottom w:val="0"/>
      <w:divBdr>
        <w:top w:val="none" w:sz="0" w:space="0" w:color="auto"/>
        <w:left w:val="none" w:sz="0" w:space="0" w:color="auto"/>
        <w:bottom w:val="none" w:sz="0" w:space="0" w:color="auto"/>
        <w:right w:val="none" w:sz="0" w:space="0" w:color="auto"/>
      </w:divBdr>
    </w:div>
    <w:div w:id="654147552">
      <w:bodyDiv w:val="1"/>
      <w:marLeft w:val="0"/>
      <w:marRight w:val="0"/>
      <w:marTop w:val="0"/>
      <w:marBottom w:val="0"/>
      <w:divBdr>
        <w:top w:val="none" w:sz="0" w:space="0" w:color="auto"/>
        <w:left w:val="none" w:sz="0" w:space="0" w:color="auto"/>
        <w:bottom w:val="none" w:sz="0" w:space="0" w:color="auto"/>
        <w:right w:val="none" w:sz="0" w:space="0" w:color="auto"/>
      </w:divBdr>
    </w:div>
    <w:div w:id="702249261">
      <w:bodyDiv w:val="1"/>
      <w:marLeft w:val="0"/>
      <w:marRight w:val="0"/>
      <w:marTop w:val="0"/>
      <w:marBottom w:val="0"/>
      <w:divBdr>
        <w:top w:val="none" w:sz="0" w:space="0" w:color="auto"/>
        <w:left w:val="none" w:sz="0" w:space="0" w:color="auto"/>
        <w:bottom w:val="none" w:sz="0" w:space="0" w:color="auto"/>
        <w:right w:val="none" w:sz="0" w:space="0" w:color="auto"/>
      </w:divBdr>
    </w:div>
    <w:div w:id="876162434">
      <w:bodyDiv w:val="1"/>
      <w:marLeft w:val="0"/>
      <w:marRight w:val="0"/>
      <w:marTop w:val="0"/>
      <w:marBottom w:val="0"/>
      <w:divBdr>
        <w:top w:val="none" w:sz="0" w:space="0" w:color="auto"/>
        <w:left w:val="none" w:sz="0" w:space="0" w:color="auto"/>
        <w:bottom w:val="none" w:sz="0" w:space="0" w:color="auto"/>
        <w:right w:val="none" w:sz="0" w:space="0" w:color="auto"/>
      </w:divBdr>
    </w:div>
    <w:div w:id="897932660">
      <w:bodyDiv w:val="1"/>
      <w:marLeft w:val="0"/>
      <w:marRight w:val="0"/>
      <w:marTop w:val="0"/>
      <w:marBottom w:val="0"/>
      <w:divBdr>
        <w:top w:val="none" w:sz="0" w:space="0" w:color="auto"/>
        <w:left w:val="none" w:sz="0" w:space="0" w:color="auto"/>
        <w:bottom w:val="none" w:sz="0" w:space="0" w:color="auto"/>
        <w:right w:val="none" w:sz="0" w:space="0" w:color="auto"/>
      </w:divBdr>
    </w:div>
    <w:div w:id="944465375">
      <w:bodyDiv w:val="1"/>
      <w:marLeft w:val="0"/>
      <w:marRight w:val="0"/>
      <w:marTop w:val="0"/>
      <w:marBottom w:val="0"/>
      <w:divBdr>
        <w:top w:val="none" w:sz="0" w:space="0" w:color="auto"/>
        <w:left w:val="none" w:sz="0" w:space="0" w:color="auto"/>
        <w:bottom w:val="none" w:sz="0" w:space="0" w:color="auto"/>
        <w:right w:val="none" w:sz="0" w:space="0" w:color="auto"/>
      </w:divBdr>
    </w:div>
    <w:div w:id="1067992367">
      <w:bodyDiv w:val="1"/>
      <w:marLeft w:val="0"/>
      <w:marRight w:val="0"/>
      <w:marTop w:val="0"/>
      <w:marBottom w:val="0"/>
      <w:divBdr>
        <w:top w:val="none" w:sz="0" w:space="0" w:color="auto"/>
        <w:left w:val="none" w:sz="0" w:space="0" w:color="auto"/>
        <w:bottom w:val="none" w:sz="0" w:space="0" w:color="auto"/>
        <w:right w:val="none" w:sz="0" w:space="0" w:color="auto"/>
      </w:divBdr>
    </w:div>
    <w:div w:id="1088502046">
      <w:bodyDiv w:val="1"/>
      <w:marLeft w:val="0"/>
      <w:marRight w:val="0"/>
      <w:marTop w:val="0"/>
      <w:marBottom w:val="0"/>
      <w:divBdr>
        <w:top w:val="none" w:sz="0" w:space="0" w:color="auto"/>
        <w:left w:val="none" w:sz="0" w:space="0" w:color="auto"/>
        <w:bottom w:val="none" w:sz="0" w:space="0" w:color="auto"/>
        <w:right w:val="none" w:sz="0" w:space="0" w:color="auto"/>
      </w:divBdr>
    </w:div>
    <w:div w:id="1111818410">
      <w:bodyDiv w:val="1"/>
      <w:marLeft w:val="0"/>
      <w:marRight w:val="0"/>
      <w:marTop w:val="0"/>
      <w:marBottom w:val="0"/>
      <w:divBdr>
        <w:top w:val="none" w:sz="0" w:space="0" w:color="auto"/>
        <w:left w:val="none" w:sz="0" w:space="0" w:color="auto"/>
        <w:bottom w:val="none" w:sz="0" w:space="0" w:color="auto"/>
        <w:right w:val="none" w:sz="0" w:space="0" w:color="auto"/>
      </w:divBdr>
    </w:div>
    <w:div w:id="1123185455">
      <w:bodyDiv w:val="1"/>
      <w:marLeft w:val="0"/>
      <w:marRight w:val="0"/>
      <w:marTop w:val="0"/>
      <w:marBottom w:val="0"/>
      <w:divBdr>
        <w:top w:val="none" w:sz="0" w:space="0" w:color="auto"/>
        <w:left w:val="none" w:sz="0" w:space="0" w:color="auto"/>
        <w:bottom w:val="none" w:sz="0" w:space="0" w:color="auto"/>
        <w:right w:val="none" w:sz="0" w:space="0" w:color="auto"/>
      </w:divBdr>
    </w:div>
    <w:div w:id="1479688874">
      <w:bodyDiv w:val="1"/>
      <w:marLeft w:val="0"/>
      <w:marRight w:val="0"/>
      <w:marTop w:val="0"/>
      <w:marBottom w:val="0"/>
      <w:divBdr>
        <w:top w:val="none" w:sz="0" w:space="0" w:color="auto"/>
        <w:left w:val="none" w:sz="0" w:space="0" w:color="auto"/>
        <w:bottom w:val="none" w:sz="0" w:space="0" w:color="auto"/>
        <w:right w:val="none" w:sz="0" w:space="0" w:color="auto"/>
      </w:divBdr>
    </w:div>
    <w:div w:id="1487015357">
      <w:bodyDiv w:val="1"/>
      <w:marLeft w:val="0"/>
      <w:marRight w:val="0"/>
      <w:marTop w:val="0"/>
      <w:marBottom w:val="0"/>
      <w:divBdr>
        <w:top w:val="none" w:sz="0" w:space="0" w:color="auto"/>
        <w:left w:val="none" w:sz="0" w:space="0" w:color="auto"/>
        <w:bottom w:val="none" w:sz="0" w:space="0" w:color="auto"/>
        <w:right w:val="none" w:sz="0" w:space="0" w:color="auto"/>
      </w:divBdr>
    </w:div>
    <w:div w:id="1624116886">
      <w:bodyDiv w:val="1"/>
      <w:marLeft w:val="0"/>
      <w:marRight w:val="0"/>
      <w:marTop w:val="0"/>
      <w:marBottom w:val="0"/>
      <w:divBdr>
        <w:top w:val="none" w:sz="0" w:space="0" w:color="auto"/>
        <w:left w:val="none" w:sz="0" w:space="0" w:color="auto"/>
        <w:bottom w:val="none" w:sz="0" w:space="0" w:color="auto"/>
        <w:right w:val="none" w:sz="0" w:space="0" w:color="auto"/>
      </w:divBdr>
    </w:div>
    <w:div w:id="1632596385">
      <w:bodyDiv w:val="1"/>
      <w:marLeft w:val="0"/>
      <w:marRight w:val="0"/>
      <w:marTop w:val="0"/>
      <w:marBottom w:val="0"/>
      <w:divBdr>
        <w:top w:val="none" w:sz="0" w:space="0" w:color="auto"/>
        <w:left w:val="none" w:sz="0" w:space="0" w:color="auto"/>
        <w:bottom w:val="none" w:sz="0" w:space="0" w:color="auto"/>
        <w:right w:val="none" w:sz="0" w:space="0" w:color="auto"/>
      </w:divBdr>
    </w:div>
    <w:div w:id="1667593705">
      <w:bodyDiv w:val="1"/>
      <w:marLeft w:val="0"/>
      <w:marRight w:val="0"/>
      <w:marTop w:val="0"/>
      <w:marBottom w:val="0"/>
      <w:divBdr>
        <w:top w:val="none" w:sz="0" w:space="0" w:color="auto"/>
        <w:left w:val="none" w:sz="0" w:space="0" w:color="auto"/>
        <w:bottom w:val="none" w:sz="0" w:space="0" w:color="auto"/>
        <w:right w:val="none" w:sz="0" w:space="0" w:color="auto"/>
      </w:divBdr>
    </w:div>
    <w:div w:id="1726906141">
      <w:bodyDiv w:val="1"/>
      <w:marLeft w:val="0"/>
      <w:marRight w:val="0"/>
      <w:marTop w:val="0"/>
      <w:marBottom w:val="0"/>
      <w:divBdr>
        <w:top w:val="none" w:sz="0" w:space="0" w:color="auto"/>
        <w:left w:val="none" w:sz="0" w:space="0" w:color="auto"/>
        <w:bottom w:val="none" w:sz="0" w:space="0" w:color="auto"/>
        <w:right w:val="none" w:sz="0" w:space="0" w:color="auto"/>
      </w:divBdr>
    </w:div>
    <w:div w:id="1841891568">
      <w:bodyDiv w:val="1"/>
      <w:marLeft w:val="0"/>
      <w:marRight w:val="0"/>
      <w:marTop w:val="0"/>
      <w:marBottom w:val="0"/>
      <w:divBdr>
        <w:top w:val="none" w:sz="0" w:space="0" w:color="auto"/>
        <w:left w:val="none" w:sz="0" w:space="0" w:color="auto"/>
        <w:bottom w:val="none" w:sz="0" w:space="0" w:color="auto"/>
        <w:right w:val="none" w:sz="0" w:space="0" w:color="auto"/>
      </w:divBdr>
    </w:div>
    <w:div w:id="1855919896">
      <w:bodyDiv w:val="1"/>
      <w:marLeft w:val="0"/>
      <w:marRight w:val="0"/>
      <w:marTop w:val="0"/>
      <w:marBottom w:val="0"/>
      <w:divBdr>
        <w:top w:val="none" w:sz="0" w:space="0" w:color="auto"/>
        <w:left w:val="none" w:sz="0" w:space="0" w:color="auto"/>
        <w:bottom w:val="none" w:sz="0" w:space="0" w:color="auto"/>
        <w:right w:val="none" w:sz="0" w:space="0" w:color="auto"/>
      </w:divBdr>
    </w:div>
    <w:div w:id="1872259935">
      <w:bodyDiv w:val="1"/>
      <w:marLeft w:val="0"/>
      <w:marRight w:val="0"/>
      <w:marTop w:val="0"/>
      <w:marBottom w:val="0"/>
      <w:divBdr>
        <w:top w:val="none" w:sz="0" w:space="0" w:color="auto"/>
        <w:left w:val="none" w:sz="0" w:space="0" w:color="auto"/>
        <w:bottom w:val="none" w:sz="0" w:space="0" w:color="auto"/>
        <w:right w:val="none" w:sz="0" w:space="0" w:color="auto"/>
      </w:divBdr>
    </w:div>
    <w:div w:id="2038775645">
      <w:bodyDiv w:val="1"/>
      <w:marLeft w:val="0"/>
      <w:marRight w:val="0"/>
      <w:marTop w:val="0"/>
      <w:marBottom w:val="0"/>
      <w:divBdr>
        <w:top w:val="none" w:sz="0" w:space="0" w:color="auto"/>
        <w:left w:val="none" w:sz="0" w:space="0" w:color="auto"/>
        <w:bottom w:val="none" w:sz="0" w:space="0" w:color="auto"/>
        <w:right w:val="none" w:sz="0" w:space="0" w:color="auto"/>
      </w:divBdr>
    </w:div>
    <w:div w:id="204833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www.pwc.com.au" TargetMode="Externa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footer" Target="footer10.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26" Type="http://schemas.openxmlformats.org/officeDocument/2006/relationships/hyperlink" Target="https://www.telstra.com.au/content/dam/tcom/personal/consumer-advice/pdf/priority-assist-policy.pdf" TargetMode="External"/><Relationship Id="rId117" Type="http://schemas.openxmlformats.org/officeDocument/2006/relationships/hyperlink" Target="https://www.energy.vic.gov.au/safety-and-emergencies/power-outages/customer-compensation" TargetMode="External"/><Relationship Id="rId21" Type="http://schemas.openxmlformats.org/officeDocument/2006/relationships/hyperlink" Target="https://www.acma.gov.au/Citizen/Phones/Landlines/Phone-connection-and-repair/customer-service-guarantee-for-phone-users-faqs" TargetMode="External"/><Relationship Id="rId42" Type="http://schemas.openxmlformats.org/officeDocument/2006/relationships/hyperlink" Target="https://crtc.gc.ca/eng/archive/2018/2018-123.htm" TargetMode="External"/><Relationship Id="rId47" Type="http://schemas.openxmlformats.org/officeDocument/2006/relationships/hyperlink" Target="https://crtc.gc.ca/eng/archive/2009/2009-304.htm" TargetMode="External"/><Relationship Id="rId63" Type="http://schemas.openxmlformats.org/officeDocument/2006/relationships/hyperlink" Target="https://www.xe.com/" TargetMode="External"/><Relationship Id="rId68" Type="http://schemas.openxmlformats.org/officeDocument/2006/relationships/hyperlink" Target="https://www.tcf.org.nz/industry/resources/publications/industry-standards-guides/" TargetMode="External"/><Relationship Id="rId84" Type="http://schemas.openxmlformats.org/officeDocument/2006/relationships/hyperlink" Target="https://www.imda.gov.sg/regulations-licensing-and-consultations/licensing/licences/licence-for-the-sale-of-telecommunication-equipment/compliance-to-imda-standards/quality-of-service" TargetMode="External"/><Relationship Id="rId89" Type="http://schemas.openxmlformats.org/officeDocument/2006/relationships/hyperlink" Target="https://www.ofcom.org.uk/__data/assets/pdf_file/0015/72303/bcmr-final-statement-volume-one.pdf" TargetMode="External"/><Relationship Id="rId112" Type="http://schemas.openxmlformats.org/officeDocument/2006/relationships/hyperlink" Target="https://www.escosa.sa.gov.au/ArticleDocuments/512/20141007-Elec-DistributionCodeEDC12.pdf.aspx?Embed=Y" TargetMode="External"/><Relationship Id="rId16" Type="http://schemas.openxmlformats.org/officeDocument/2006/relationships/hyperlink" Target="https://www.acma.gov.au/theACMA/About/Corporate/Authority/introduction-to-the-acma" TargetMode="External"/><Relationship Id="rId107" Type="http://schemas.openxmlformats.org/officeDocument/2006/relationships/hyperlink" Target="https://www.fcc.gov/media/customer-service-standards" TargetMode="External"/><Relationship Id="rId11" Type="http://schemas.openxmlformats.org/officeDocument/2006/relationships/hyperlink" Target="https://www.acma.gov.au/Industry/Telco/Carriers-and-service-providers/Universal-service-obligation/network-reliability-framework-carriers-service-providers-acma-1" TargetMode="External"/><Relationship Id="rId32" Type="http://schemas.openxmlformats.org/officeDocument/2006/relationships/hyperlink" Target="https://www.acma.gov.au/-/media/Research-and-Analysis/Report/pdf/Communications-report-2016-17-pdf.pdf?la=en" TargetMode="External"/><Relationship Id="rId37" Type="http://schemas.openxmlformats.org/officeDocument/2006/relationships/hyperlink" Target="https://www.acma.gov.au/-/media/Research-and-Analysis/Report/pdf/Communications-report-2016-17-pdf.pdf?la=en" TargetMode="External"/><Relationship Id="rId53" Type="http://schemas.openxmlformats.org/officeDocument/2006/relationships/hyperlink" Target="http://www.motc.gov.qa/sites/default/files/documents/Annex%203%20-%20QoS%20benchmark%20report.pdf" TargetMode="External"/><Relationship Id="rId58" Type="http://schemas.openxmlformats.org/officeDocument/2006/relationships/hyperlink" Target="https://www.legifrance.gouv.fr/affichCode.do?idArticle=LEGIARTI000006464073&amp;idSectionTA=LEGISCTA000006181878&amp;cidTexte=LEGITEXT000006070987&amp;dateTexte=20090217" TargetMode="External"/><Relationship Id="rId74" Type="http://schemas.openxmlformats.org/officeDocument/2006/relationships/hyperlink" Target="https://www.tcf.org.nz/industry/standards-compliance/customer-experience/customer-transfer-regulated-services/regulated-customer-transfer-code.PDF" TargetMode="External"/><Relationship Id="rId79" Type="http://schemas.openxmlformats.org/officeDocument/2006/relationships/hyperlink" Target="https://www.consumerprotection.govt.nz/help-product-service/phone-broadband-services/" TargetMode="External"/><Relationship Id="rId102" Type="http://schemas.openxmlformats.org/officeDocument/2006/relationships/hyperlink" Target="https://www.dlapiperintelligence.com/telecoms/index.html?c=US&amp;c2=&amp;go-button=GO&amp;t=overview" TargetMode="External"/><Relationship Id="rId5" Type="http://schemas.openxmlformats.org/officeDocument/2006/relationships/hyperlink" Target="https://www.investopedia.com/terms/l/law-of-supply-demand.asp" TargetMode="External"/><Relationship Id="rId61" Type="http://schemas.openxmlformats.org/officeDocument/2006/relationships/hyperlink" Target="http://www.motc.gov.qa/sites/default/files/documents/Annex%203%20-%20QoS%20benchmark%20report.pdf" TargetMode="External"/><Relationship Id="rId82" Type="http://schemas.openxmlformats.org/officeDocument/2006/relationships/hyperlink" Target="https://www.imda.gov.sg/" TargetMode="External"/><Relationship Id="rId90" Type="http://schemas.openxmlformats.org/officeDocument/2006/relationships/hyperlink" Target="http://www.motc.gov.qa/sites/default/files/documents/Annex%203%20-%20QoS%20benchmark%20report.pdf" TargetMode="External"/><Relationship Id="rId95" Type="http://schemas.openxmlformats.org/officeDocument/2006/relationships/hyperlink" Target="https://checker.ofcom.org.uk/mobile-coverage" TargetMode="External"/><Relationship Id="rId19" Type="http://schemas.openxmlformats.org/officeDocument/2006/relationships/hyperlink" Target="https://www.legislation.gov.au/Details/F2012C00625" TargetMode="External"/><Relationship Id="rId14" Type="http://schemas.openxmlformats.org/officeDocument/2006/relationships/hyperlink" Target="https://www.imda.gov.sg/regulations-licensing-and-consultations/licensing/licences/licence-for-the-sale-of-telecommunication-equipment/compliance-to-imda-standards/quality-of-service" TargetMode="External"/><Relationship Id="rId22" Type="http://schemas.openxmlformats.org/officeDocument/2006/relationships/hyperlink" Target="https://www.acma.gov.au/-/media/Research-and-Analysis/Report/pdf/Communications-report-2016-17-pdf.pdf?la=en" TargetMode="External"/><Relationship Id="rId27" Type="http://schemas.openxmlformats.org/officeDocument/2006/relationships/hyperlink" Target="https://www.acma.gov.au/-/media/Research-and-Analysis/Report/pdf/Communications-report-2016-17-pdf.pdf?la=en" TargetMode="External"/><Relationship Id="rId30" Type="http://schemas.openxmlformats.org/officeDocument/2006/relationships/hyperlink" Target="https://www.nbnco.com.au/sell-nbn-services/supply-agreements/wba.html" TargetMode="External"/><Relationship Id="rId35" Type="http://schemas.openxmlformats.org/officeDocument/2006/relationships/hyperlink" Target="https://www.acma.gov.au/-/media/Research-and-Analysis/Report/pdf/Communications-report-2016-17-pdf.pdf?la=en" TargetMode="External"/><Relationship Id="rId43" Type="http://schemas.openxmlformats.org/officeDocument/2006/relationships/hyperlink" Target="https://crtc.gc.ca/eng/archive/2009/2009-304.htm" TargetMode="External"/><Relationship Id="rId48" Type="http://schemas.openxmlformats.org/officeDocument/2006/relationships/hyperlink" Target="https://crtc.gc.ca/eng/archive/2005/dt2005-20.htm" TargetMode="External"/><Relationship Id="rId56" Type="http://schemas.openxmlformats.org/officeDocument/2006/relationships/hyperlink" Target="https://www.arcep.fr/index.php?id=1&amp;L=1" TargetMode="External"/><Relationship Id="rId64" Type="http://schemas.openxmlformats.org/officeDocument/2006/relationships/hyperlink" Target="https://www.dlapiperintelligence.com/telecoms/index.html?t=overview&amp;c=FR" TargetMode="External"/><Relationship Id="rId69" Type="http://schemas.openxmlformats.org/officeDocument/2006/relationships/hyperlink" Target="https://www.tcf.org.nz/assets/codes/tcf-code-compliance-framework-endorsed-march-2012.pdf" TargetMode="External"/><Relationship Id="rId77" Type="http://schemas.openxmlformats.org/officeDocument/2006/relationships/hyperlink" Target="https://www.tcf.org.nz/assets/codes/tcf-code-compliance-framework-endorsed-march-2012.pdf" TargetMode="External"/><Relationship Id="rId100" Type="http://schemas.openxmlformats.org/officeDocument/2006/relationships/hyperlink" Target="https://www.ofcom.org.uk/__data/assets/pdf_file/0026/107693/Statement-automatic-compensation.pdf" TargetMode="External"/><Relationship Id="rId105" Type="http://schemas.openxmlformats.org/officeDocument/2006/relationships/hyperlink" Target="https://www.fcc.gov/media/customer-service-standards" TargetMode="External"/><Relationship Id="rId113" Type="http://schemas.openxmlformats.org/officeDocument/2006/relationships/hyperlink" Target="https://www.aer.gov.au/system/files/AER%20%28Retail%20Law%29%20Performance%20Reporting%20Procedures%20and%20Guidelines%20-%20April%202018_0.pdf" TargetMode="External"/><Relationship Id="rId118" Type="http://schemas.openxmlformats.org/officeDocument/2006/relationships/hyperlink" Target="https://www.energy.vic.gov.au/safety-and-emergencies/power-outages/customer-compensation" TargetMode="External"/><Relationship Id="rId8" Type="http://schemas.openxmlformats.org/officeDocument/2006/relationships/hyperlink" Target="https://www2.deloitte.com/au/mobile-consumer-survey" TargetMode="External"/><Relationship Id="rId51" Type="http://schemas.openxmlformats.org/officeDocument/2006/relationships/hyperlink" Target="http://www.motc.gov.qa/sites/default/files/documents/Annex%203%20-%20QoS%20benchmark%20report.pdf" TargetMode="External"/><Relationship Id="rId72" Type="http://schemas.openxmlformats.org/officeDocument/2006/relationships/hyperlink" Target="http://www.mbie.govt.nz/info-services/sectors-industries/technology-communications/communications/regulating-the-telecommunications-sector/review-of-the-telecommunications-act-2001/final-decisions-june-2017" TargetMode="External"/><Relationship Id="rId80" Type="http://schemas.openxmlformats.org/officeDocument/2006/relationships/hyperlink" Target="https://www.imda.gov.sg/regulations-licensing-and-consultations/acts-and-regulations" TargetMode="External"/><Relationship Id="rId85" Type="http://schemas.openxmlformats.org/officeDocument/2006/relationships/hyperlink" Target="https://www.imda.gov.sg/regulations-licensing-and-consultations/licensing/licences/licence-for-the-sale-of-telecommunication-equipment/compliance-to-imda-standards/quality-of-service" TargetMode="External"/><Relationship Id="rId93" Type="http://schemas.openxmlformats.org/officeDocument/2006/relationships/hyperlink" Target="https://www.ofcom.org.uk/__data/assets/pdf_file/0024/111696/statement-broadband-speeds.pdf" TargetMode="External"/><Relationship Id="rId98" Type="http://schemas.openxmlformats.org/officeDocument/2006/relationships/hyperlink" Target="https://www.ofcom.org.uk/__data/assets/pdf_file/0026/107693/Statement-automatic-compensation.pdf" TargetMode="External"/><Relationship Id="rId121" Type="http://schemas.openxmlformats.org/officeDocument/2006/relationships/hyperlink" Target="https://www.tasnetworks.com.au/about-us/policies/supply-reliability-guarantee/" TargetMode="External"/><Relationship Id="rId3" Type="http://schemas.openxmlformats.org/officeDocument/2006/relationships/hyperlink" Target="https://hbr.org/1987/11/competing-on-the-eight-dimensions-of-quality" TargetMode="External"/><Relationship Id="rId12" Type="http://schemas.openxmlformats.org/officeDocument/2006/relationships/hyperlink" Target="https://crtc.gc.ca/eng/archive/2005/dt2005-20.htm" TargetMode="External"/><Relationship Id="rId17" Type="http://schemas.openxmlformats.org/officeDocument/2006/relationships/hyperlink" Target="https://www.legislation.gov.au/Details/C2018C00311" TargetMode="External"/><Relationship Id="rId25" Type="http://schemas.openxmlformats.org/officeDocument/2006/relationships/hyperlink" Target="https://www.legislation.gov.au/Details/F2018C00380" TargetMode="External"/><Relationship Id="rId33" Type="http://schemas.openxmlformats.org/officeDocument/2006/relationships/hyperlink" Target="https://www.acma.gov.au/Citizen/Phones/Landlines/Phone-connection-and-repair/customer-service-guarantee-for-phone-users-faqs" TargetMode="External"/><Relationship Id="rId38" Type="http://schemas.openxmlformats.org/officeDocument/2006/relationships/hyperlink" Target="https://www.accc.gov.au/consumers/national-broadband-network/broadband-speeds" TargetMode="External"/><Relationship Id="rId46" Type="http://schemas.openxmlformats.org/officeDocument/2006/relationships/hyperlink" Target="https://crtc.gc.ca/eng/archive/2009/2009-304.htm" TargetMode="External"/><Relationship Id="rId59" Type="http://schemas.openxmlformats.org/officeDocument/2006/relationships/hyperlink" Target="http://www.motc.gov.qa/sites/default/files/documents/Annex%203%20-%20QoS%20benchmark%20report.pdf" TargetMode="External"/><Relationship Id="rId67" Type="http://schemas.openxmlformats.org/officeDocument/2006/relationships/hyperlink" Target="http://www.comcom.govt.nz/regulated-industries/telecommunications/regulated-services/standard-terms-determinations/" TargetMode="External"/><Relationship Id="rId103" Type="http://schemas.openxmlformats.org/officeDocument/2006/relationships/hyperlink" Target="http://www3.dps.ny.gov/W/PSCWeb.nsf/All/CD5BCD03FE89ACA085257687006F389F?OpenDocument" TargetMode="External"/><Relationship Id="rId108" Type="http://schemas.openxmlformats.org/officeDocument/2006/relationships/hyperlink" Target="https://www.legislation.sa.gov.au/LZ/C/A/NATIONAL%20ELECTRICITY%20(SOUTH%20AUSTRALIA)%20ACT%201996.aspx" TargetMode="External"/><Relationship Id="rId116" Type="http://schemas.openxmlformats.org/officeDocument/2006/relationships/hyperlink" Target="http://www.qca.org.au/Electricity/Reviews/Electricity-Distribution-Network-Code" TargetMode="External"/><Relationship Id="rId20" Type="http://schemas.openxmlformats.org/officeDocument/2006/relationships/hyperlink" Target="https://www.acma.gov.au/-/media/Networks/Publication/pdf/Know-Your-Telecommunications-Industry-Obligations-Booklet.pdf?la=en" TargetMode="External"/><Relationship Id="rId41" Type="http://schemas.openxmlformats.org/officeDocument/2006/relationships/hyperlink" Target="https://www.canada.ca/en/news/archive/2005/03/crtc-announces-quality-service-rate-rebate-plan-competitors.html" TargetMode="External"/><Relationship Id="rId54" Type="http://schemas.openxmlformats.org/officeDocument/2006/relationships/hyperlink" Target="https://ec.europa.eu/digital-single-market/sites/digital-agenda/files/Copy%20of%20Regulatory%20Framework%20for%20Electonic%20Communications%202013%20NO%20CROPS.pdf" TargetMode="External"/><Relationship Id="rId62" Type="http://schemas.openxmlformats.org/officeDocument/2006/relationships/hyperlink" Target="http://www.motc.gov.qa/sites/default/files/documents/Annex%203%20-%20QoS%20benchmark%20report.pdf" TargetMode="External"/><Relationship Id="rId70" Type="http://schemas.openxmlformats.org/officeDocument/2006/relationships/hyperlink" Target="https://www.spark.co.nz/help/other/terms/policies/servicelevels/" TargetMode="External"/><Relationship Id="rId75" Type="http://schemas.openxmlformats.org/officeDocument/2006/relationships/hyperlink" Target="https://www.spark.co.nz/help/other/terms/policies/servicelevels/" TargetMode="External"/><Relationship Id="rId83" Type="http://schemas.openxmlformats.org/officeDocument/2006/relationships/hyperlink" Target="https://www.imda.gov.sg/about/what-we-do" TargetMode="External"/><Relationship Id="rId88" Type="http://schemas.openxmlformats.org/officeDocument/2006/relationships/hyperlink" Target="https://www.ofcom.org.uk/about-ofcom/what-is-ofcom" TargetMode="External"/><Relationship Id="rId91" Type="http://schemas.openxmlformats.org/officeDocument/2006/relationships/hyperlink" Target="https://www.ofcom.org.uk/__data/assets/pdf_file/0026/107693/Statement-automatic-compensation.pdf" TargetMode="External"/><Relationship Id="rId96" Type="http://schemas.openxmlformats.org/officeDocument/2006/relationships/hyperlink" Target="https://www.ofcom.org.uk/__data/assets/pdf_file/0021/104358/annual-report-2016-accessible.pdf" TargetMode="External"/><Relationship Id="rId111" Type="http://schemas.openxmlformats.org/officeDocument/2006/relationships/hyperlink" Target="http://www.qca.org.au/Electricity/Reviews/Electricity-Distribution-Network-Code/Final-Report/Current-version-of-the-Electricity-Distribution-Ne" TargetMode="External"/><Relationship Id="rId1" Type="http://schemas.openxmlformats.org/officeDocument/2006/relationships/hyperlink" Target="http://www.oecd.org/competition/Quality-in-competition-analysis-2013.pdf" TargetMode="External"/><Relationship Id="rId6" Type="http://schemas.openxmlformats.org/officeDocument/2006/relationships/hyperlink" Target="https://www.accc.gov.au/system/files/Competition%20and%20price%20changes%20in%20telecommunications%20services%20in%20Australia%202016-17.pdf" TargetMode="External"/><Relationship Id="rId15" Type="http://schemas.openxmlformats.org/officeDocument/2006/relationships/hyperlink" Target="https://transition.fcc.gov/Reports/tcom1996.pdf" TargetMode="External"/><Relationship Id="rId23" Type="http://schemas.openxmlformats.org/officeDocument/2006/relationships/hyperlink" Target="https://www.telstra.com.au/consumer-advice/customer-service/network-reliability" TargetMode="External"/><Relationship Id="rId28" Type="http://schemas.openxmlformats.org/officeDocument/2006/relationships/hyperlink" Target="https://www.iprimus.com.au/support/priority-assistance/" TargetMode="External"/><Relationship Id="rId36" Type="http://schemas.openxmlformats.org/officeDocument/2006/relationships/hyperlink" Target="https://www.acma.gov.au/Citizen/Phones/Landlines/Phone-connection-and-repair/customer-service-guarantee-for-phone-users-faqs" TargetMode="External"/><Relationship Id="rId49" Type="http://schemas.openxmlformats.org/officeDocument/2006/relationships/hyperlink" Target="http://ec.europa.eu/competition/sectors/telecommunications/overview_en.html" TargetMode="External"/><Relationship Id="rId57" Type="http://schemas.openxmlformats.org/officeDocument/2006/relationships/hyperlink" Target="https://www.dlapiperintelligence.com/telecoms/index.html?t=overview&amp;c=FR" TargetMode="External"/><Relationship Id="rId106" Type="http://schemas.openxmlformats.org/officeDocument/2006/relationships/hyperlink" Target="https://www.fcc.gov/reports-research/reports/measuring-broadband-america/measuring-fixed-broadband-report-2016" TargetMode="External"/><Relationship Id="rId114" Type="http://schemas.openxmlformats.org/officeDocument/2006/relationships/hyperlink" Target="https://www.aer.gov.au/wholesale-markets/enforcement-matters" TargetMode="External"/><Relationship Id="rId119" Type="http://schemas.openxmlformats.org/officeDocument/2006/relationships/hyperlink" Target="https://www.essentialenergy.com.au/about-us/customer-and-regulatory-information/guaranteed-service-level-scheme" TargetMode="External"/><Relationship Id="rId10" Type="http://schemas.openxmlformats.org/officeDocument/2006/relationships/hyperlink" Target="https://www.imda.gov.sg/regulations-licensing-and-consultations/licensing/licences/licence-for-the-sale-of-telecommunication-equipment/compliance-to-imda-standards/3g-services/apr-jun-2016" TargetMode="External"/><Relationship Id="rId31" Type="http://schemas.openxmlformats.org/officeDocument/2006/relationships/hyperlink" Target="https://www.acma.gov.au/-/media/Research-and-Analysis/Report/pdf/Communications-report-2016-17-pdf.pdf?la=en" TargetMode="External"/><Relationship Id="rId44" Type="http://schemas.openxmlformats.org/officeDocument/2006/relationships/hyperlink" Target="https://crtc.gc.ca/eng/archive/2008/dt2008-105.htm" TargetMode="External"/><Relationship Id="rId52" Type="http://schemas.openxmlformats.org/officeDocument/2006/relationships/hyperlink" Target="https://ec.europa.eu/digital-single-market/en/telecoms-rules" TargetMode="External"/><Relationship Id="rId60" Type="http://schemas.openxmlformats.org/officeDocument/2006/relationships/hyperlink" Target="http://www.motc.gov.qa/sites/default/files/documents/Annex%203%20-%20QoS%20benchmark%20report.pdf" TargetMode="External"/><Relationship Id="rId65" Type="http://schemas.openxmlformats.org/officeDocument/2006/relationships/hyperlink" Target="https://comcom.govt.nz/regulated-industries/telecommunications/monitoring-the-telecommunications-market" TargetMode="External"/><Relationship Id="rId73" Type="http://schemas.openxmlformats.org/officeDocument/2006/relationships/hyperlink" Target="https://www.tcf.org.nz/industry/standards-compliance/customer-experience/customer-transfer-fibre/" TargetMode="External"/><Relationship Id="rId78" Type="http://schemas.openxmlformats.org/officeDocument/2006/relationships/hyperlink" Target="https://www.tcf.org.nz/assets/codes/tcf-code-compliance-framework-endorsed-march-2012.pdf" TargetMode="External"/><Relationship Id="rId81" Type="http://schemas.openxmlformats.org/officeDocument/2006/relationships/hyperlink" Target="https://www.tech.gov.sg/IDA.html" TargetMode="External"/><Relationship Id="rId86" Type="http://schemas.openxmlformats.org/officeDocument/2006/relationships/hyperlink" Target="https://www.imda.gov.sg/regulations-licensing-and-consultations/licensing/licences/licence-for-the-sale-of-telecommunication-equipment/compliance-to-imda-standards/quality-of-service/quality-of-service-reports" TargetMode="External"/><Relationship Id="rId94" Type="http://schemas.openxmlformats.org/officeDocument/2006/relationships/hyperlink" Target="https://www.ofcom.org.uk/__data/assets/pdf_file/0023/113639/full-report.pdf" TargetMode="External"/><Relationship Id="rId99" Type="http://schemas.openxmlformats.org/officeDocument/2006/relationships/hyperlink" Target="https://www.ofcom.org.uk/__data/assets/pdf_file/0026/107693/Statement-automatic-compensation.pdf" TargetMode="External"/><Relationship Id="rId101" Type="http://schemas.openxmlformats.org/officeDocument/2006/relationships/hyperlink" Target="https://opendata.fcc.gov/Public-Safety/CSRIC-Best-Practices/qb45-rw2t/data" TargetMode="External"/><Relationship Id="rId4" Type="http://schemas.openxmlformats.org/officeDocument/2006/relationships/hyperlink" Target="http://www.oecd.org/competition/Quality-in-competition-analysis-2013.pdf" TargetMode="External"/><Relationship Id="rId9" Type="http://schemas.openxmlformats.org/officeDocument/2006/relationships/hyperlink" Target="https://www.xe.com/" TargetMode="External"/><Relationship Id="rId13" Type="http://schemas.openxmlformats.org/officeDocument/2006/relationships/hyperlink" Target="https://www.dlapiperintelligence.com/telecoms/index.html?t=overview&amp;c=FR" TargetMode="External"/><Relationship Id="rId18" Type="http://schemas.openxmlformats.org/officeDocument/2006/relationships/hyperlink" Target="https://www.accc.gov.au/consumers/internet-phone/monitoring-broadband-performance" TargetMode="External"/><Relationship Id="rId39" Type="http://schemas.openxmlformats.org/officeDocument/2006/relationships/hyperlink" Target="https://crtc.gc.ca/eng/acrtc/acrtc.htm" TargetMode="External"/><Relationship Id="rId109" Type="http://schemas.openxmlformats.org/officeDocument/2006/relationships/hyperlink" Target="https://www.aer.gov.au/networks-pipelines/guidelines-schemes-models-reviews/service-standards-guidelines" TargetMode="External"/><Relationship Id="rId34" Type="http://schemas.openxmlformats.org/officeDocument/2006/relationships/hyperlink" Target="https://www.nbnco.com.au/sell-nbn-services/supply-agreements/wba.html" TargetMode="External"/><Relationship Id="rId50" Type="http://schemas.openxmlformats.org/officeDocument/2006/relationships/hyperlink" Target="https://ec.europa.eu/digital-single-market/en/telecoms-rules" TargetMode="External"/><Relationship Id="rId55" Type="http://schemas.openxmlformats.org/officeDocument/2006/relationships/hyperlink" Target="https://berec.europa.eu/eng/about_berec/what_is_berec/" TargetMode="External"/><Relationship Id="rId76" Type="http://schemas.openxmlformats.org/officeDocument/2006/relationships/hyperlink" Target="https://www.spark.co.nz/help/other/terms/policies/servicelevels/" TargetMode="External"/><Relationship Id="rId97" Type="http://schemas.openxmlformats.org/officeDocument/2006/relationships/hyperlink" Target="https://www.ofcom.org.uk/__data/assets/pdf_file/0023/113639/full-report.pdf" TargetMode="External"/><Relationship Id="rId104" Type="http://schemas.openxmlformats.org/officeDocument/2006/relationships/hyperlink" Target="http://www3.dps.ny.gov/W/PSCWeb.nsf/All/7F830C1FF90AB31285257687006F388D?OpenDocument" TargetMode="External"/><Relationship Id="rId120" Type="http://schemas.openxmlformats.org/officeDocument/2006/relationships/hyperlink" Target="https://www.powerwater.com.au/networks_and_infrastructure/power_networks/guaranteed_service_levels" TargetMode="External"/><Relationship Id="rId7" Type="http://schemas.openxmlformats.org/officeDocument/2006/relationships/hyperlink" Target="https://www.ey.com/Publication/vwLUAssets/EF0110/%24FILE/The-mobile-maze_EF0110.pdf" TargetMode="External"/><Relationship Id="rId71" Type="http://schemas.openxmlformats.org/officeDocument/2006/relationships/hyperlink" Target="https://www.nbnco.com.au/blog/the-nbn-project/australia-and-new-zealand-broadband-comparing-apples-with-oranges.html" TargetMode="External"/><Relationship Id="rId92" Type="http://schemas.openxmlformats.org/officeDocument/2006/relationships/hyperlink" Target="https://www.ofcom.org.uk/__data/assets/pdf_file/0026/107693/Statement-automatic-compensation.pdf" TargetMode="External"/><Relationship Id="rId2" Type="http://schemas.openxmlformats.org/officeDocument/2006/relationships/hyperlink" Target="https://www.imda.gov.sg/-/media/imda/files/regulation-licensing-and-consultations/licensing/licenses/compliance-to-ida-standards/page-b---qos-framework-for-fibre-broadband-services.pdf?la=en" TargetMode="External"/><Relationship Id="rId29" Type="http://schemas.openxmlformats.org/officeDocument/2006/relationships/hyperlink" Target="https://www.acma.gov.au/Citizen/Phones/Landlines/Phone-connection-and-repair/customer-service-guarantee-for-phone-users-faqs" TargetMode="External"/><Relationship Id="rId24" Type="http://schemas.openxmlformats.org/officeDocument/2006/relationships/hyperlink" Target="https://www.telstrawholesale.com.au/nbn.html" TargetMode="External"/><Relationship Id="rId40" Type="http://schemas.openxmlformats.org/officeDocument/2006/relationships/hyperlink" Target="https://crtc.gc.ca/eng/archive/2009/2009-304.htm" TargetMode="External"/><Relationship Id="rId45" Type="http://schemas.openxmlformats.org/officeDocument/2006/relationships/hyperlink" Target="https://crtc.gc.ca/eng/internet/performance.htm" TargetMode="External"/><Relationship Id="rId66" Type="http://schemas.openxmlformats.org/officeDocument/2006/relationships/hyperlink" Target="https://www.stats.govt.nz/information-releases/internet-service-provider-survey-2017" TargetMode="External"/><Relationship Id="rId87" Type="http://schemas.openxmlformats.org/officeDocument/2006/relationships/hyperlink" Target="https://www.imda.gov.sg/regulations-licensing-and-consultations/licensing/licences/licence-for-the-sale-of-telecommunication-equipment/compliance-to-imda-standards/quality-of-service" TargetMode="External"/><Relationship Id="rId110" Type="http://schemas.openxmlformats.org/officeDocument/2006/relationships/hyperlink" Target="https://www.escosa.sa.gov.au/ArticleDocuments/512/20141007-Elec-DistributionCodeEDC12.pdf.aspx?Embed=Y" TargetMode="External"/><Relationship Id="rId115" Type="http://schemas.openxmlformats.org/officeDocument/2006/relationships/hyperlink" Target="https://www.aer.gov.au/retail-markets/complianc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pwc.com.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ssa%20Caldwell\AppData\Roaming\Microsoft\Templates\PwCWL_Report%20Georgia.dotm" TargetMode="External"/></Relationships>
</file>

<file path=word/theme/theme1.xml><?xml version="1.0" encoding="utf-8"?>
<a:theme xmlns:a="http://schemas.openxmlformats.org/drawingml/2006/main" name="PwC">
  <a:themeElements>
    <a:clrScheme name="PwC Burgundy">
      <a:dk1>
        <a:srgbClr val="000000"/>
      </a:dk1>
      <a:lt1>
        <a:srgbClr val="FFFFFF"/>
      </a:lt1>
      <a:dk2>
        <a:srgbClr val="A32020"/>
      </a:dk2>
      <a:lt2>
        <a:srgbClr val="FFFFFF"/>
      </a:lt2>
      <a:accent1>
        <a:srgbClr val="A32020"/>
      </a:accent1>
      <a:accent2>
        <a:srgbClr val="E0301E"/>
      </a:accent2>
      <a:accent3>
        <a:srgbClr val="602320"/>
      </a:accent3>
      <a:accent4>
        <a:srgbClr val="DB536A"/>
      </a:accent4>
      <a:accent5>
        <a:srgbClr val="DC6900"/>
      </a:accent5>
      <a:accent6>
        <a:srgbClr val="968C6D"/>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nSpc>
            <a:spcPts val="2400"/>
          </a:lnSpc>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31F991944AFF49A09B178135F34F7F" ma:contentTypeVersion="0" ma:contentTypeDescription="Create a new document." ma:contentTypeScope="" ma:versionID="862c3af984e8225252cd011dbe7ff1c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74DE3-5DA3-4E05-9BEC-D0361A23E29E}">
  <ds:schemaRefs>
    <ds:schemaRef ds:uri="http://schemas.microsoft.com/sharepoint/v3/contenttype/forms"/>
  </ds:schemaRefs>
</ds:datastoreItem>
</file>

<file path=customXml/itemProps2.xml><?xml version="1.0" encoding="utf-8"?>
<ds:datastoreItem xmlns:ds="http://schemas.openxmlformats.org/officeDocument/2006/customXml" ds:itemID="{2EBFDC83-CDB5-4BB5-B028-DC08459FDF9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6D4610E-98E3-419C-89B1-3764B8B3E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C1F60D2-4058-40C7-9FD5-A4C798499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PwCWL_Report Georgia.dotm</Template>
  <TotalTime>1</TotalTime>
  <Pages>43</Pages>
  <Words>11104</Words>
  <Characters>65403</Characters>
  <Application>Microsoft Office Word</Application>
  <DocSecurity>8</DocSecurity>
  <Lines>545</Lines>
  <Paragraphs>152</Paragraphs>
  <ScaleCrop>false</ScaleCrop>
  <HeadingPairs>
    <vt:vector size="2" baseType="variant">
      <vt:variant>
        <vt:lpstr>Title</vt:lpstr>
      </vt:variant>
      <vt:variant>
        <vt:i4>1</vt:i4>
      </vt:variant>
    </vt:vector>
  </HeadingPairs>
  <TitlesOfParts>
    <vt:vector size="1" baseType="lpstr">
      <vt:lpstr>Telecommunications Consumer Safeguards</vt:lpstr>
    </vt:vector>
  </TitlesOfParts>
  <Company>PricewaterhouseCoopers</Company>
  <LinksUpToDate>false</LinksUpToDate>
  <CharactersWithSpaces>76355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Telecommunications Consumer Safeguards</dc:title>
  <dc:subject/>
  <dc:creator>Matt Dresser</dc:creator>
  <cp:keywords/>
  <dc:description/>
  <cp:lastModifiedBy>Owers, Cameron</cp:lastModifiedBy>
  <cp:revision>2</cp:revision>
  <cp:lastPrinted>2018-06-24T10:37:00Z</cp:lastPrinted>
  <dcterms:created xsi:type="dcterms:W3CDTF">2018-11-13T23:29:00Z</dcterms:created>
  <dcterms:modified xsi:type="dcterms:W3CDTF">2018-11-13T23:29:00Z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ace included">
    <vt:bool>false</vt:bool>
  </property>
  <property fmtid="{D5CDD505-2E9C-101B-9397-08002B2CF9AE}" pid="3" name="ToC levels">
    <vt:i4>2</vt:i4>
  </property>
  <property fmtid="{D5CDD505-2E9C-101B-9397-08002B2CF9AE}" pid="4" name="Document format">
    <vt:lpwstr>SHORT</vt:lpwstr>
  </property>
  <property fmtid="{D5CDD505-2E9C-101B-9397-08002B2CF9AE}" pid="5" name="Chapter number">
    <vt:i4>1</vt:i4>
  </property>
  <property fmtid="{D5CDD505-2E9C-101B-9397-08002B2CF9AE}" pid="6" name="Appendix format">
    <vt:lpwstr>SHORT</vt:lpwstr>
  </property>
  <property fmtid="{D5CDD505-2E9C-101B-9397-08002B2CF9AE}" pid="7" name="Appendix number">
    <vt:i4>3</vt:i4>
  </property>
  <property fmtid="{D5CDD505-2E9C-101B-9397-08002B2CF9AE}" pid="8" name="Letterhead included">
    <vt:bool>false</vt:bool>
  </property>
  <property fmtid="{D5CDD505-2E9C-101B-9397-08002B2CF9AE}" pid="9" name="Color">
    <vt:lpwstr>sBurgundy</vt:lpwstr>
  </property>
  <property fmtid="{D5CDD505-2E9C-101B-9397-08002B2CF9AE}" pid="10" name="Numbering Style">
    <vt:bool>true</vt:bool>
  </property>
  <property fmtid="{D5CDD505-2E9C-101B-9397-08002B2CF9AE}" pid="11" name="TOC Color">
    <vt:bool>true</vt:bool>
  </property>
  <property fmtid="{D5CDD505-2E9C-101B-9397-08002B2CF9AE}" pid="12" name="Point Size">
    <vt:lpwstr>10</vt:lpwstr>
  </property>
  <property fmtid="{D5CDD505-2E9C-101B-9397-08002B2CF9AE}" pid="13" name="Font">
    <vt:lpwstr>Georgia</vt:lpwstr>
  </property>
  <property fmtid="{D5CDD505-2E9C-101B-9397-08002B2CF9AE}" pid="14" name="Portrait Document">
    <vt:bool>true</vt:bool>
  </property>
  <property fmtid="{D5CDD505-2E9C-101B-9397-08002B2CF9AE}" pid="15" name="Key Sentences">
    <vt:bool>false</vt:bool>
  </property>
  <property fmtid="{D5CDD505-2E9C-101B-9397-08002B2CF9AE}" pid="16" name="KeySentenceFormat">
    <vt:lpwstr>N1A</vt:lpwstr>
  </property>
  <property fmtid="{D5CDD505-2E9C-101B-9397-08002B2CF9AE}" pid="17" name="New Report">
    <vt:bool>false</vt:bool>
  </property>
  <property fmtid="{D5CDD505-2E9C-101B-9397-08002B2CF9AE}" pid="18" name="Mirror Margins">
    <vt:bool>false</vt:bool>
  </property>
  <property fmtid="{D5CDD505-2E9C-101B-9397-08002B2CF9AE}" pid="19" name="Number of Columns">
    <vt:i4>1</vt:i4>
  </property>
  <property fmtid="{D5CDD505-2E9C-101B-9397-08002B2CF9AE}" pid="20" name="Double">
    <vt:bool>false</vt:bool>
  </property>
  <property fmtid="{D5CDD505-2E9C-101B-9397-08002B2CF9AE}" pid="21" name="AP report or proposal">
    <vt:bool>true</vt:bool>
  </property>
  <property fmtid="{D5CDD505-2E9C-101B-9397-08002B2CF9AE}" pid="22" name="VersionNo">
    <vt:lpwstr>9.4</vt:lpwstr>
  </property>
  <property fmtid="{D5CDD505-2E9C-101B-9397-08002B2CF9AE}" pid="23" name="TopBinding">
    <vt:bool>false</vt:bool>
  </property>
  <property fmtid="{D5CDD505-2E9C-101B-9397-08002B2CF9AE}" pid="24" name="TableProperties">
    <vt:lpwstr>B1|R0.2|R0.4|R1|R1|</vt:lpwstr>
  </property>
  <property fmtid="{D5CDD505-2E9C-101B-9397-08002B2CF9AE}" pid="25" name="NotPrinted">
    <vt:bool>false</vt:bool>
  </property>
  <property fmtid="{D5CDD505-2E9C-101B-9397-08002B2CF9AE}" pid="26" name="Grid">
    <vt:bool>false</vt:bool>
  </property>
  <property fmtid="{D5CDD505-2E9C-101B-9397-08002B2CF9AE}" pid="27" name="Disclaimer">
    <vt:lpwstr>PwC’s Consulting Services</vt:lpwstr>
  </property>
  <property fmtid="{D5CDD505-2E9C-101B-9397-08002B2CF9AE}" pid="28" name="chkDisclaimer">
    <vt:bool>true</vt:bool>
  </property>
  <property fmtid="{D5CDD505-2E9C-101B-9397-08002B2CF9AE}" pid="29" name="chkDescriptor">
    <vt:bool>true</vt:bool>
  </property>
  <property fmtid="{D5CDD505-2E9C-101B-9397-08002B2CF9AE}" pid="30" name="ContentTypeId">
    <vt:lpwstr>0x010100AC31F991944AFF49A09B178135F34F7F</vt:lpwstr>
  </property>
  <property fmtid="{D5CDD505-2E9C-101B-9397-08002B2CF9AE}" pid="31" name="TrimRevisionNumber">
    <vt:i4>1</vt:i4>
  </property>
</Properties>
</file>