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DA" w:rsidRPr="006745E9" w:rsidRDefault="00E164DA" w:rsidP="00E164DA">
      <w:pPr>
        <w:pStyle w:val="InputHeadingStyle"/>
        <w:tabs>
          <w:tab w:val="clear" w:pos="2268"/>
          <w:tab w:val="left" w:pos="2880"/>
        </w:tabs>
        <w:spacing w:before="0" w:after="0"/>
        <w:ind w:left="0" w:firstLine="0"/>
        <w:jc w:val="right"/>
        <w:rPr>
          <w:rFonts w:ascii="Cambria" w:hAnsi="Cambria"/>
          <w:b w:val="0"/>
          <w:bCs/>
          <w:iCs/>
          <w:color w:val="4F81BD"/>
          <w:sz w:val="26"/>
          <w:szCs w:val="28"/>
        </w:rPr>
      </w:pPr>
      <w:r w:rsidRPr="002E6F93">
        <w:rPr>
          <w:rFonts w:ascii="Cambria" w:hAnsi="Cambria"/>
          <w:bCs/>
          <w:color w:val="365F91"/>
          <w:sz w:val="28"/>
          <w:szCs w:val="28"/>
        </w:rPr>
        <w:t>ATTACHMENT 2</w:t>
      </w:r>
    </w:p>
    <w:p w:rsidR="00E164DA" w:rsidRPr="00B31D0C" w:rsidRDefault="00E164DA" w:rsidP="00E164DA">
      <w:pPr>
        <w:tabs>
          <w:tab w:val="left" w:pos="540"/>
        </w:tabs>
        <w:spacing w:before="200" w:after="0" w:line="276" w:lineRule="auto"/>
        <w:rPr>
          <w:rFonts w:ascii="Cambria" w:hAnsi="Cambria"/>
          <w:b/>
          <w:bCs/>
          <w:iCs/>
          <w:color w:val="4F81BD"/>
          <w:sz w:val="26"/>
          <w:szCs w:val="28"/>
        </w:rPr>
      </w:pPr>
      <w:r w:rsidRPr="00B31D0C">
        <w:rPr>
          <w:rFonts w:ascii="Cambria" w:hAnsi="Cambria"/>
          <w:b/>
          <w:bCs/>
          <w:iCs/>
          <w:color w:val="4F81BD"/>
          <w:sz w:val="26"/>
          <w:szCs w:val="28"/>
        </w:rPr>
        <w:t xml:space="preserve">What </w:t>
      </w:r>
      <w:r>
        <w:rPr>
          <w:rFonts w:ascii="Cambria" w:hAnsi="Cambria"/>
          <w:b/>
          <w:bCs/>
          <w:iCs/>
          <w:color w:val="4F81BD"/>
          <w:sz w:val="26"/>
          <w:szCs w:val="28"/>
        </w:rPr>
        <w:t>is the function of Communication, Navigation and Surveillance</w:t>
      </w:r>
      <w:r w:rsidRPr="0093173D">
        <w:rPr>
          <w:rFonts w:ascii="Cambria" w:hAnsi="Cambria"/>
          <w:b/>
          <w:bCs/>
          <w:iCs/>
          <w:color w:val="4F81BD"/>
          <w:sz w:val="26"/>
          <w:szCs w:val="28"/>
        </w:rPr>
        <w:t xml:space="preserve"> facili</w:t>
      </w:r>
      <w:r>
        <w:rPr>
          <w:rFonts w:ascii="Cambria" w:hAnsi="Cambria"/>
          <w:b/>
          <w:bCs/>
          <w:iCs/>
          <w:color w:val="4F81BD"/>
          <w:sz w:val="26"/>
          <w:szCs w:val="28"/>
        </w:rPr>
        <w:t>ties</w:t>
      </w:r>
      <w:r w:rsidRPr="00B31D0C">
        <w:rPr>
          <w:rFonts w:ascii="Cambria" w:hAnsi="Cambria"/>
          <w:b/>
          <w:bCs/>
          <w:iCs/>
          <w:color w:val="4F81BD"/>
          <w:sz w:val="26"/>
          <w:szCs w:val="28"/>
        </w:rPr>
        <w:t xml:space="preserve">? </w:t>
      </w:r>
    </w:p>
    <w:p w:rsidR="00E164DA" w:rsidRPr="00B31D0C" w:rsidRDefault="00E164DA" w:rsidP="00E164DA">
      <w:pPr>
        <w:tabs>
          <w:tab w:val="left" w:pos="540"/>
        </w:tabs>
        <w:spacing w:before="120" w:after="120" w:line="276" w:lineRule="auto"/>
        <w:rPr>
          <w:rFonts w:ascii="Calibri" w:hAnsi="Calibri"/>
          <w:b/>
          <w:szCs w:val="22"/>
        </w:rPr>
      </w:pPr>
      <w:r w:rsidRPr="00B31D0C">
        <w:rPr>
          <w:rFonts w:ascii="Calibri" w:hAnsi="Calibri"/>
          <w:b/>
          <w:szCs w:val="22"/>
        </w:rPr>
        <w:t>Communication facilities</w:t>
      </w:r>
    </w:p>
    <w:p w:rsidR="00E164DA" w:rsidRPr="002E6F93" w:rsidRDefault="00E164DA" w:rsidP="00E164DA">
      <w:pPr>
        <w:pStyle w:val="ListParagraph"/>
        <w:numPr>
          <w:ilvl w:val="0"/>
          <w:numId w:val="1"/>
        </w:numPr>
        <w:spacing w:before="120" w:after="120" w:line="276" w:lineRule="auto"/>
        <w:ind w:left="714" w:hanging="357"/>
        <w:contextualSpacing w:val="0"/>
        <w:rPr>
          <w:rFonts w:ascii="Calibri" w:hAnsi="Calibri"/>
          <w:szCs w:val="22"/>
        </w:rPr>
      </w:pPr>
      <w:r w:rsidRPr="002E6F93">
        <w:rPr>
          <w:rFonts w:ascii="Calibri" w:hAnsi="Calibri"/>
          <w:szCs w:val="22"/>
        </w:rPr>
        <w:t xml:space="preserve">Communication facilities enable air-to-ground communications between pilots and </w:t>
      </w:r>
      <w:r>
        <w:rPr>
          <w:rFonts w:ascii="Calibri" w:hAnsi="Calibri"/>
          <w:szCs w:val="22"/>
        </w:rPr>
        <w:t>air traffic control,</w:t>
      </w:r>
      <w:r w:rsidRPr="002E6F93">
        <w:rPr>
          <w:rFonts w:ascii="Calibri" w:hAnsi="Calibri"/>
          <w:szCs w:val="22"/>
        </w:rPr>
        <w:t xml:space="preserve"> or communications between major </w:t>
      </w:r>
      <w:r>
        <w:rPr>
          <w:rFonts w:ascii="Calibri" w:hAnsi="Calibri"/>
          <w:szCs w:val="22"/>
        </w:rPr>
        <w:t xml:space="preserve">air traffic control </w:t>
      </w:r>
      <w:r w:rsidRPr="002E6F93">
        <w:rPr>
          <w:rFonts w:ascii="Calibri" w:hAnsi="Calibri"/>
          <w:szCs w:val="22"/>
        </w:rPr>
        <w:t>and other aviation facilities. Signal reception between aircraft and ground facilities is by line of sight or via a satellite link</w:t>
      </w:r>
      <w:r w:rsidRPr="00E83B6F">
        <w:rPr>
          <w:rFonts w:ascii="Calibri" w:hAnsi="Calibri"/>
          <w:szCs w:val="22"/>
        </w:rPr>
        <w:t xml:space="preserve">. Common </w:t>
      </w:r>
      <w:r w:rsidRPr="002E6F93">
        <w:rPr>
          <w:rFonts w:ascii="Calibri" w:hAnsi="Calibri"/>
          <w:szCs w:val="22"/>
        </w:rPr>
        <w:t>communication facilities used in Australia are:</w:t>
      </w:r>
    </w:p>
    <w:p w:rsidR="00E164DA" w:rsidRPr="002E6F93" w:rsidRDefault="00E164DA" w:rsidP="00E164DA">
      <w:pPr>
        <w:pStyle w:val="ListParagraph"/>
        <w:numPr>
          <w:ilvl w:val="0"/>
          <w:numId w:val="2"/>
        </w:numPr>
        <w:spacing w:before="120" w:after="120" w:line="276" w:lineRule="auto"/>
        <w:ind w:left="1097"/>
        <w:contextualSpacing w:val="0"/>
        <w:rPr>
          <w:rFonts w:ascii="Calibri" w:hAnsi="Calibri"/>
          <w:szCs w:val="22"/>
        </w:rPr>
      </w:pPr>
      <w:r w:rsidRPr="002E6F93">
        <w:rPr>
          <w:rFonts w:ascii="Calibri" w:hAnsi="Calibri"/>
          <w:szCs w:val="22"/>
        </w:rPr>
        <w:t>very high frequency radio transmitters and receivers;</w:t>
      </w:r>
    </w:p>
    <w:p w:rsidR="00E164DA" w:rsidRPr="002E6F93" w:rsidRDefault="00E164DA" w:rsidP="00E164DA">
      <w:pPr>
        <w:pStyle w:val="ListParagraph"/>
        <w:numPr>
          <w:ilvl w:val="0"/>
          <w:numId w:val="2"/>
        </w:numPr>
        <w:spacing w:before="120" w:after="120" w:line="276" w:lineRule="auto"/>
        <w:ind w:left="1097"/>
        <w:contextualSpacing w:val="0"/>
        <w:rPr>
          <w:rFonts w:ascii="Calibri" w:hAnsi="Calibri"/>
          <w:szCs w:val="22"/>
        </w:rPr>
      </w:pPr>
      <w:r w:rsidRPr="002E6F93">
        <w:rPr>
          <w:rFonts w:ascii="Calibri" w:hAnsi="Calibri"/>
          <w:szCs w:val="22"/>
        </w:rPr>
        <w:t xml:space="preserve"> high frequency radio transmitters and receivers;</w:t>
      </w:r>
    </w:p>
    <w:p w:rsidR="00E164DA" w:rsidRPr="002E6F93" w:rsidRDefault="00E164DA" w:rsidP="00E164DA">
      <w:pPr>
        <w:pStyle w:val="ListParagraph"/>
        <w:numPr>
          <w:ilvl w:val="0"/>
          <w:numId w:val="2"/>
        </w:numPr>
        <w:spacing w:before="120" w:after="120" w:line="276" w:lineRule="auto"/>
        <w:ind w:left="1097"/>
        <w:contextualSpacing w:val="0"/>
        <w:rPr>
          <w:rFonts w:ascii="Calibri" w:hAnsi="Calibri"/>
          <w:szCs w:val="22"/>
        </w:rPr>
      </w:pPr>
      <w:r w:rsidRPr="002E6F93">
        <w:rPr>
          <w:rFonts w:ascii="Calibri" w:hAnsi="Calibri"/>
          <w:szCs w:val="22"/>
        </w:rPr>
        <w:t xml:space="preserve"> Satellite Ground Station antennas;</w:t>
      </w:r>
      <w:r w:rsidRPr="00525563">
        <w:rPr>
          <w:rFonts w:ascii="Calibri" w:hAnsi="Calibri"/>
          <w:szCs w:val="22"/>
        </w:rPr>
        <w:t xml:space="preserve"> and</w:t>
      </w:r>
    </w:p>
    <w:p w:rsidR="00E164DA" w:rsidRPr="002E6F93" w:rsidRDefault="00E164DA" w:rsidP="00E164DA">
      <w:pPr>
        <w:pStyle w:val="ListParagraph"/>
        <w:numPr>
          <w:ilvl w:val="0"/>
          <w:numId w:val="2"/>
        </w:numPr>
        <w:spacing w:before="120" w:after="120" w:line="276" w:lineRule="auto"/>
        <w:ind w:left="1097"/>
        <w:contextualSpacing w:val="0"/>
        <w:rPr>
          <w:rFonts w:ascii="Calibri" w:hAnsi="Calibri"/>
          <w:szCs w:val="22"/>
        </w:rPr>
      </w:pPr>
      <w:r w:rsidRPr="002E6F93">
        <w:rPr>
          <w:rFonts w:ascii="Calibri" w:hAnsi="Calibri"/>
          <w:szCs w:val="22"/>
        </w:rPr>
        <w:t>radio links.</w:t>
      </w:r>
    </w:p>
    <w:p w:rsidR="00E164DA" w:rsidRPr="00B31D0C" w:rsidRDefault="00E164DA" w:rsidP="00E164DA">
      <w:pPr>
        <w:tabs>
          <w:tab w:val="left" w:pos="540"/>
        </w:tabs>
        <w:spacing w:before="120" w:after="120" w:line="276" w:lineRule="auto"/>
        <w:rPr>
          <w:rFonts w:ascii="Calibri" w:hAnsi="Calibri"/>
          <w:b/>
          <w:szCs w:val="22"/>
        </w:rPr>
      </w:pPr>
      <w:r w:rsidRPr="00B31D0C">
        <w:rPr>
          <w:rFonts w:ascii="Calibri" w:hAnsi="Calibri"/>
          <w:b/>
          <w:szCs w:val="22"/>
        </w:rPr>
        <w:t>Navigation facilities</w:t>
      </w:r>
    </w:p>
    <w:p w:rsidR="00E164DA" w:rsidRPr="002E6F93" w:rsidRDefault="00E164DA" w:rsidP="00E164DA">
      <w:pPr>
        <w:pStyle w:val="ListParagraph"/>
        <w:numPr>
          <w:ilvl w:val="0"/>
          <w:numId w:val="1"/>
        </w:numPr>
        <w:spacing w:before="120" w:after="120" w:line="276" w:lineRule="auto"/>
        <w:ind w:left="714" w:hanging="357"/>
        <w:contextualSpacing w:val="0"/>
        <w:rPr>
          <w:rFonts w:ascii="Calibri" w:hAnsi="Calibri"/>
          <w:szCs w:val="22"/>
        </w:rPr>
      </w:pPr>
      <w:r w:rsidRPr="002E6F93">
        <w:rPr>
          <w:rFonts w:ascii="Calibri" w:hAnsi="Calibri"/>
          <w:szCs w:val="22"/>
        </w:rPr>
        <w:t xml:space="preserve">A network of ground-based navigation aids is used for instrument navigation by pilots of suitably equipped aircraft. Generally, navigation aids are located at airports or at key points on air routes. Navigation aids used in Australia </w:t>
      </w:r>
      <w:r w:rsidRPr="00E83B6F">
        <w:rPr>
          <w:rFonts w:ascii="Calibri" w:hAnsi="Calibri"/>
          <w:szCs w:val="22"/>
        </w:rPr>
        <w:t>include</w:t>
      </w:r>
      <w:r w:rsidRPr="002E6F93">
        <w:rPr>
          <w:rFonts w:ascii="Calibri" w:hAnsi="Calibri"/>
          <w:szCs w:val="22"/>
        </w:rPr>
        <w:t>:</w:t>
      </w:r>
    </w:p>
    <w:p w:rsidR="00E164DA" w:rsidRPr="002E6F93" w:rsidRDefault="00E164DA" w:rsidP="00E164DA">
      <w:pPr>
        <w:pStyle w:val="ListParagraph"/>
        <w:numPr>
          <w:ilvl w:val="0"/>
          <w:numId w:val="2"/>
        </w:numPr>
        <w:spacing w:before="120" w:after="120" w:line="276" w:lineRule="auto"/>
        <w:ind w:left="1097"/>
        <w:contextualSpacing w:val="0"/>
        <w:rPr>
          <w:rFonts w:ascii="Calibri" w:hAnsi="Calibri"/>
          <w:szCs w:val="22"/>
        </w:rPr>
      </w:pPr>
      <w:r w:rsidRPr="002E6F93">
        <w:rPr>
          <w:rFonts w:ascii="Calibri" w:hAnsi="Calibri"/>
          <w:szCs w:val="22"/>
        </w:rPr>
        <w:t>the instrument landing system including associated localisers, glide paths and marker beacons;</w:t>
      </w:r>
    </w:p>
    <w:p w:rsidR="00E164DA" w:rsidRPr="002E6F93" w:rsidRDefault="00E164DA" w:rsidP="00E164DA">
      <w:pPr>
        <w:pStyle w:val="ListParagraph"/>
        <w:numPr>
          <w:ilvl w:val="0"/>
          <w:numId w:val="2"/>
        </w:numPr>
        <w:spacing w:before="120" w:after="120" w:line="276" w:lineRule="auto"/>
        <w:ind w:left="1097"/>
        <w:contextualSpacing w:val="0"/>
        <w:rPr>
          <w:rFonts w:ascii="Calibri" w:hAnsi="Calibri"/>
          <w:szCs w:val="22"/>
        </w:rPr>
      </w:pPr>
      <w:r>
        <w:rPr>
          <w:rFonts w:ascii="Calibri" w:hAnsi="Calibri"/>
          <w:szCs w:val="22"/>
        </w:rPr>
        <w:t>the non-directional beacon</w:t>
      </w:r>
      <w:r w:rsidRPr="002E6F93">
        <w:rPr>
          <w:rFonts w:ascii="Calibri" w:hAnsi="Calibri"/>
          <w:szCs w:val="22"/>
        </w:rPr>
        <w:t>;</w:t>
      </w:r>
    </w:p>
    <w:p w:rsidR="00E164DA" w:rsidRPr="00057F15" w:rsidRDefault="00E164DA" w:rsidP="00E164DA">
      <w:pPr>
        <w:pStyle w:val="ListParagraph"/>
        <w:numPr>
          <w:ilvl w:val="0"/>
          <w:numId w:val="2"/>
        </w:numPr>
        <w:spacing w:before="120" w:after="120" w:line="276" w:lineRule="auto"/>
        <w:ind w:left="1097"/>
        <w:contextualSpacing w:val="0"/>
        <w:rPr>
          <w:rFonts w:ascii="Calibri" w:hAnsi="Calibri"/>
          <w:szCs w:val="22"/>
        </w:rPr>
      </w:pPr>
      <w:r>
        <w:rPr>
          <w:rFonts w:ascii="Calibri" w:hAnsi="Calibri"/>
          <w:szCs w:val="22"/>
        </w:rPr>
        <w:t>Very High Frequency omni-directional range</w:t>
      </w:r>
      <w:r w:rsidRPr="002E6F93">
        <w:rPr>
          <w:rFonts w:ascii="Calibri" w:hAnsi="Calibri"/>
          <w:szCs w:val="22"/>
        </w:rPr>
        <w:t xml:space="preserve">, conventional very high frequency omni-directional range </w:t>
      </w:r>
      <w:r w:rsidRPr="00057F15">
        <w:rPr>
          <w:rFonts w:ascii="Calibri" w:hAnsi="Calibri"/>
          <w:szCs w:val="22"/>
        </w:rPr>
        <w:t>and doppler VHF omni-directional range antennas;</w:t>
      </w:r>
    </w:p>
    <w:p w:rsidR="00E164DA" w:rsidRPr="002E6F93" w:rsidRDefault="00E164DA" w:rsidP="00E164DA">
      <w:pPr>
        <w:pStyle w:val="ListParagraph"/>
        <w:numPr>
          <w:ilvl w:val="0"/>
          <w:numId w:val="2"/>
        </w:numPr>
        <w:spacing w:before="120" w:after="120" w:line="276" w:lineRule="auto"/>
        <w:ind w:left="1097"/>
        <w:contextualSpacing w:val="0"/>
        <w:rPr>
          <w:rFonts w:ascii="Calibri" w:hAnsi="Calibri"/>
          <w:szCs w:val="22"/>
        </w:rPr>
      </w:pPr>
      <w:r w:rsidRPr="002E6F93">
        <w:rPr>
          <w:rFonts w:ascii="Calibri" w:hAnsi="Calibri"/>
          <w:szCs w:val="22"/>
        </w:rPr>
        <w:t>distance measuring equipment</w:t>
      </w:r>
      <w:r w:rsidRPr="00525563">
        <w:rPr>
          <w:rFonts w:ascii="Calibri" w:hAnsi="Calibri"/>
          <w:szCs w:val="22"/>
        </w:rPr>
        <w:t>; and</w:t>
      </w:r>
    </w:p>
    <w:p w:rsidR="00E164DA" w:rsidRPr="00E83B6F" w:rsidRDefault="00E164DA" w:rsidP="00E164DA">
      <w:pPr>
        <w:pStyle w:val="ListParagraph"/>
        <w:numPr>
          <w:ilvl w:val="0"/>
          <w:numId w:val="2"/>
        </w:numPr>
        <w:spacing w:before="120" w:after="120" w:line="276" w:lineRule="auto"/>
        <w:ind w:left="1097"/>
        <w:contextualSpacing w:val="0"/>
        <w:rPr>
          <w:rFonts w:ascii="Calibri" w:hAnsi="Calibri"/>
          <w:szCs w:val="22"/>
        </w:rPr>
      </w:pPr>
      <w:r w:rsidRPr="00E83B6F">
        <w:rPr>
          <w:rFonts w:ascii="Calibri" w:hAnsi="Calibri"/>
          <w:szCs w:val="22"/>
        </w:rPr>
        <w:t>Tactical Air Navigation – provides range and bearing for military aircraft, civil aircraft can extract range information.</w:t>
      </w:r>
    </w:p>
    <w:p w:rsidR="00E164DA" w:rsidRPr="00007634" w:rsidRDefault="00E164DA" w:rsidP="00E164DA">
      <w:pPr>
        <w:pStyle w:val="BodyText"/>
        <w:spacing w:before="120" w:after="120"/>
      </w:pPr>
      <w:r w:rsidRPr="00007634">
        <w:rPr>
          <w:rFonts w:asciiTheme="minorHAnsi" w:hAnsiTheme="minorHAnsi"/>
          <w:b/>
        </w:rPr>
        <w:t>Surveillance facilities</w:t>
      </w:r>
    </w:p>
    <w:p w:rsidR="00E164DA" w:rsidRPr="00E83B6F" w:rsidRDefault="00E164DA" w:rsidP="00E164DA">
      <w:pPr>
        <w:pStyle w:val="ListParagraph"/>
        <w:numPr>
          <w:ilvl w:val="0"/>
          <w:numId w:val="1"/>
        </w:numPr>
        <w:spacing w:before="120" w:after="120" w:line="276" w:lineRule="auto"/>
        <w:ind w:left="714" w:hanging="357"/>
        <w:contextualSpacing w:val="0"/>
        <w:rPr>
          <w:rFonts w:ascii="Calibri" w:hAnsi="Calibri"/>
          <w:szCs w:val="22"/>
        </w:rPr>
      </w:pPr>
      <w:r w:rsidRPr="00E83B6F">
        <w:rPr>
          <w:rFonts w:ascii="Calibri" w:hAnsi="Calibri"/>
          <w:szCs w:val="22"/>
        </w:rPr>
        <w:t xml:space="preserve">Surveillance facilities monitor air routes and aircraft movements to assist </w:t>
      </w:r>
      <w:r>
        <w:rPr>
          <w:rFonts w:ascii="Calibri" w:hAnsi="Calibri"/>
          <w:szCs w:val="22"/>
        </w:rPr>
        <w:t xml:space="preserve">air traffic control </w:t>
      </w:r>
      <w:r w:rsidRPr="00E83B6F">
        <w:rPr>
          <w:rFonts w:ascii="Calibri" w:hAnsi="Calibri"/>
          <w:szCs w:val="22"/>
        </w:rPr>
        <w:t xml:space="preserve">with more accurate information on aircraft position. This reduces the need for voice communications between </w:t>
      </w:r>
      <w:r>
        <w:rPr>
          <w:rFonts w:ascii="Calibri" w:hAnsi="Calibri"/>
          <w:szCs w:val="22"/>
        </w:rPr>
        <w:t xml:space="preserve">air traffic control </w:t>
      </w:r>
      <w:r w:rsidRPr="00E83B6F">
        <w:rPr>
          <w:rFonts w:ascii="Calibri" w:hAnsi="Calibri"/>
          <w:szCs w:val="22"/>
        </w:rPr>
        <w:t>and the pilot. Surveillance facilities often in use are:</w:t>
      </w:r>
    </w:p>
    <w:p w:rsidR="00E164DA" w:rsidRPr="00E83B6F" w:rsidRDefault="00E164DA" w:rsidP="00E164DA">
      <w:pPr>
        <w:pStyle w:val="ListParagraph"/>
        <w:numPr>
          <w:ilvl w:val="0"/>
          <w:numId w:val="2"/>
        </w:numPr>
        <w:spacing w:before="120" w:after="120" w:line="276" w:lineRule="auto"/>
        <w:ind w:left="1097"/>
        <w:contextualSpacing w:val="0"/>
        <w:rPr>
          <w:rFonts w:ascii="Calibri" w:hAnsi="Calibri"/>
          <w:szCs w:val="22"/>
        </w:rPr>
      </w:pPr>
      <w:r w:rsidRPr="00E83B6F">
        <w:rPr>
          <w:rFonts w:ascii="Calibri" w:hAnsi="Calibri"/>
          <w:szCs w:val="22"/>
        </w:rPr>
        <w:t>Primary Surveillance Radar;</w:t>
      </w:r>
    </w:p>
    <w:p w:rsidR="00E164DA" w:rsidRPr="00E83B6F" w:rsidRDefault="00E164DA" w:rsidP="00E164DA">
      <w:pPr>
        <w:pStyle w:val="ListParagraph"/>
        <w:numPr>
          <w:ilvl w:val="0"/>
          <w:numId w:val="2"/>
        </w:numPr>
        <w:spacing w:before="120" w:after="120" w:line="276" w:lineRule="auto"/>
        <w:ind w:left="1097"/>
        <w:contextualSpacing w:val="0"/>
        <w:rPr>
          <w:rFonts w:ascii="Calibri" w:hAnsi="Calibri"/>
          <w:szCs w:val="22"/>
        </w:rPr>
      </w:pPr>
      <w:r w:rsidRPr="00E83B6F">
        <w:rPr>
          <w:rFonts w:ascii="Calibri" w:hAnsi="Calibri"/>
          <w:szCs w:val="22"/>
        </w:rPr>
        <w:t>Secondary Surveillance Radar;</w:t>
      </w:r>
    </w:p>
    <w:p w:rsidR="00E164DA" w:rsidRPr="00E83B6F" w:rsidRDefault="00E164DA" w:rsidP="00E164DA">
      <w:pPr>
        <w:pStyle w:val="ListParagraph"/>
        <w:numPr>
          <w:ilvl w:val="0"/>
          <w:numId w:val="2"/>
        </w:numPr>
        <w:spacing w:before="120" w:after="120" w:line="276" w:lineRule="auto"/>
        <w:ind w:left="1097"/>
        <w:contextualSpacing w:val="0"/>
        <w:rPr>
          <w:rFonts w:ascii="Calibri" w:hAnsi="Calibri"/>
          <w:szCs w:val="22"/>
        </w:rPr>
      </w:pPr>
      <w:r w:rsidRPr="00E83B6F">
        <w:rPr>
          <w:rFonts w:ascii="Calibri" w:hAnsi="Calibri"/>
          <w:szCs w:val="22"/>
        </w:rPr>
        <w:t>Radar Site Monitors;</w:t>
      </w:r>
    </w:p>
    <w:p w:rsidR="00E164DA" w:rsidRPr="00E83B6F" w:rsidRDefault="00E164DA" w:rsidP="00E164DA">
      <w:pPr>
        <w:pStyle w:val="ListParagraph"/>
        <w:numPr>
          <w:ilvl w:val="0"/>
          <w:numId w:val="2"/>
        </w:numPr>
        <w:spacing w:before="120" w:after="120" w:line="276" w:lineRule="auto"/>
        <w:ind w:left="1097"/>
        <w:contextualSpacing w:val="0"/>
        <w:rPr>
          <w:rFonts w:ascii="Calibri" w:hAnsi="Calibri"/>
          <w:szCs w:val="22"/>
        </w:rPr>
      </w:pPr>
      <w:r w:rsidRPr="00E83B6F">
        <w:rPr>
          <w:rFonts w:ascii="Calibri" w:hAnsi="Calibri"/>
          <w:szCs w:val="22"/>
        </w:rPr>
        <w:t>Automatic Dependent Surveillance Broadcast surveillance system;</w:t>
      </w:r>
    </w:p>
    <w:p w:rsidR="00E164DA" w:rsidRPr="00E83B6F" w:rsidRDefault="00E164DA" w:rsidP="00E164DA">
      <w:pPr>
        <w:pStyle w:val="ListParagraph"/>
        <w:numPr>
          <w:ilvl w:val="0"/>
          <w:numId w:val="2"/>
        </w:numPr>
        <w:spacing w:before="120" w:after="120" w:line="276" w:lineRule="auto"/>
        <w:ind w:left="1097"/>
        <w:contextualSpacing w:val="0"/>
        <w:rPr>
          <w:rFonts w:ascii="Calibri" w:hAnsi="Calibri"/>
          <w:szCs w:val="22"/>
        </w:rPr>
      </w:pPr>
      <w:r w:rsidRPr="00E83B6F">
        <w:rPr>
          <w:rFonts w:ascii="Calibri" w:hAnsi="Calibri"/>
          <w:szCs w:val="22"/>
        </w:rPr>
        <w:t>Advanced Surface Movement Guidance and Control System.</w:t>
      </w:r>
    </w:p>
    <w:p w:rsidR="00E164DA" w:rsidRDefault="00E164DA" w:rsidP="00E164DA">
      <w:pPr>
        <w:tabs>
          <w:tab w:val="left" w:pos="540"/>
        </w:tabs>
        <w:spacing w:before="120" w:after="120" w:line="276" w:lineRule="auto"/>
        <w:rPr>
          <w:rFonts w:asciiTheme="minorHAnsi" w:hAnsiTheme="minorHAnsi"/>
          <w:b/>
          <w:szCs w:val="24"/>
        </w:rPr>
      </w:pPr>
    </w:p>
    <w:p w:rsidR="00E164DA" w:rsidRDefault="00E164DA" w:rsidP="00E164DA">
      <w:pPr>
        <w:tabs>
          <w:tab w:val="left" w:pos="540"/>
        </w:tabs>
        <w:spacing w:before="120" w:after="120" w:line="276" w:lineRule="auto"/>
        <w:rPr>
          <w:rFonts w:asciiTheme="minorHAnsi" w:hAnsiTheme="minorHAnsi"/>
          <w:b/>
          <w:szCs w:val="24"/>
        </w:rPr>
      </w:pPr>
      <w:r w:rsidRPr="00007634">
        <w:rPr>
          <w:rFonts w:asciiTheme="minorHAnsi" w:hAnsiTheme="minorHAnsi"/>
          <w:b/>
          <w:szCs w:val="24"/>
        </w:rPr>
        <w:lastRenderedPageBreak/>
        <w:t xml:space="preserve">Broadcast facilities </w:t>
      </w:r>
    </w:p>
    <w:p w:rsidR="00E164DA" w:rsidRPr="00E83B6F" w:rsidRDefault="00E164DA" w:rsidP="00E164DA">
      <w:pPr>
        <w:pStyle w:val="ListParagraph"/>
        <w:numPr>
          <w:ilvl w:val="0"/>
          <w:numId w:val="1"/>
        </w:numPr>
        <w:spacing w:before="120" w:after="120" w:line="276" w:lineRule="auto"/>
        <w:ind w:left="714" w:hanging="357"/>
        <w:contextualSpacing w:val="0"/>
        <w:rPr>
          <w:rFonts w:ascii="Calibri" w:hAnsi="Calibri"/>
          <w:szCs w:val="22"/>
        </w:rPr>
      </w:pPr>
      <w:r w:rsidRPr="00E83B6F">
        <w:rPr>
          <w:rFonts w:ascii="Calibri" w:hAnsi="Calibri"/>
          <w:szCs w:val="22"/>
        </w:rPr>
        <w:t xml:space="preserve">Applications for development in a BRA should contain sufficient information about the site and development proposal for the assessment manager and Airservices Australia to be able to establish that the proposed use would not adversely affect the functioning of aviation facilities. </w:t>
      </w:r>
    </w:p>
    <w:p w:rsidR="00E164DA" w:rsidRPr="00E70135" w:rsidRDefault="00E164DA" w:rsidP="00E164DA">
      <w:pPr>
        <w:pStyle w:val="ListParagraph"/>
        <w:numPr>
          <w:ilvl w:val="0"/>
          <w:numId w:val="1"/>
        </w:numPr>
        <w:spacing w:before="120" w:after="120" w:line="276" w:lineRule="auto"/>
        <w:ind w:left="714" w:hanging="357"/>
        <w:contextualSpacing w:val="0"/>
        <w:rPr>
          <w:rFonts w:ascii="Calibri" w:hAnsi="Calibri"/>
          <w:szCs w:val="22"/>
        </w:rPr>
      </w:pPr>
      <w:r w:rsidRPr="00813D0D">
        <w:rPr>
          <w:rFonts w:ascii="Calibri" w:hAnsi="Calibri"/>
          <w:szCs w:val="22"/>
        </w:rPr>
        <w:t xml:space="preserve">Height limits for development within/beneath </w:t>
      </w:r>
      <w:r>
        <w:rPr>
          <w:rFonts w:ascii="Calibri" w:hAnsi="Calibri"/>
          <w:szCs w:val="22"/>
        </w:rPr>
        <w:t>a CNS facility’s</w:t>
      </w:r>
      <w:r w:rsidRPr="00813D0D">
        <w:rPr>
          <w:rFonts w:ascii="Calibri" w:hAnsi="Calibri"/>
          <w:szCs w:val="22"/>
        </w:rPr>
        <w:t xml:space="preserve"> </w:t>
      </w:r>
      <w:r>
        <w:rPr>
          <w:rFonts w:ascii="Calibri" w:hAnsi="Calibri"/>
          <w:szCs w:val="22"/>
        </w:rPr>
        <w:t>BRA</w:t>
      </w:r>
      <w:r w:rsidRPr="00813D0D">
        <w:rPr>
          <w:rFonts w:ascii="Calibri" w:hAnsi="Calibri"/>
          <w:szCs w:val="22"/>
        </w:rPr>
        <w:t xml:space="preserve"> may be relaxed if the impacts of any proposed use are shielded by existing structures. </w:t>
      </w:r>
      <w:r w:rsidRPr="00A856A0">
        <w:rPr>
          <w:rFonts w:ascii="Calibri" w:hAnsi="Calibri"/>
          <w:szCs w:val="22"/>
        </w:rPr>
        <w:t xml:space="preserve">Airservices </w:t>
      </w:r>
      <w:r w:rsidRPr="00813D0D">
        <w:rPr>
          <w:rFonts w:ascii="Calibri" w:hAnsi="Calibri"/>
          <w:szCs w:val="22"/>
        </w:rPr>
        <w:t xml:space="preserve">can identify areas of </w:t>
      </w:r>
      <w:r w:rsidRPr="00824009">
        <w:rPr>
          <w:rFonts w:ascii="Calibri" w:hAnsi="Calibri"/>
          <w:szCs w:val="22"/>
        </w:rPr>
        <w:t>‘</w:t>
      </w:r>
      <w:r w:rsidRPr="00813D0D">
        <w:rPr>
          <w:rFonts w:ascii="Calibri" w:hAnsi="Calibri"/>
          <w:szCs w:val="22"/>
        </w:rPr>
        <w:t>obstacle shielding</w:t>
      </w:r>
      <w:r w:rsidRPr="00824009">
        <w:rPr>
          <w:rFonts w:ascii="Calibri" w:hAnsi="Calibri"/>
          <w:szCs w:val="22"/>
        </w:rPr>
        <w:t>’</w:t>
      </w:r>
      <w:r w:rsidRPr="00813D0D">
        <w:rPr>
          <w:rFonts w:ascii="Calibri" w:hAnsi="Calibri"/>
          <w:szCs w:val="22"/>
        </w:rPr>
        <w:t xml:space="preserve"> where buildings or other structures to an agreed height would not cause an obstruction in </w:t>
      </w:r>
      <w:r>
        <w:rPr>
          <w:rFonts w:ascii="Calibri" w:hAnsi="Calibri"/>
          <w:szCs w:val="22"/>
        </w:rPr>
        <w:t>the BRA</w:t>
      </w:r>
      <w:r w:rsidRPr="00813D0D">
        <w:rPr>
          <w:rFonts w:ascii="Calibri" w:hAnsi="Calibri"/>
          <w:szCs w:val="22"/>
        </w:rPr>
        <w:t xml:space="preserve">. </w:t>
      </w:r>
    </w:p>
    <w:p w:rsidR="00E164DA" w:rsidRPr="00A856A0" w:rsidRDefault="00E164DA" w:rsidP="00E164DA">
      <w:pPr>
        <w:pStyle w:val="ListParagraph"/>
        <w:numPr>
          <w:ilvl w:val="0"/>
          <w:numId w:val="1"/>
        </w:numPr>
        <w:spacing w:before="120" w:after="120" w:line="276" w:lineRule="auto"/>
        <w:ind w:left="714" w:hanging="357"/>
        <w:contextualSpacing w:val="0"/>
        <w:rPr>
          <w:rFonts w:ascii="Calibri" w:hAnsi="Calibri"/>
          <w:szCs w:val="22"/>
        </w:rPr>
      </w:pPr>
      <w:r w:rsidRPr="00A856A0">
        <w:rPr>
          <w:rFonts w:ascii="Calibri" w:hAnsi="Calibri"/>
          <w:szCs w:val="22"/>
        </w:rPr>
        <w:t>Whilst these guidelines relate to infringement by individual developments, which may cause unacceptable interference to facility performance, particular attention should also be paid to multi-structure developments such as wind farms and overhead power lines and the cumulative impacts of developments over time.</w:t>
      </w:r>
    </w:p>
    <w:p w:rsidR="00E164DA" w:rsidRPr="00FF417A" w:rsidRDefault="00E164DA" w:rsidP="00E164DA">
      <w:pPr>
        <w:pStyle w:val="ListParagraph"/>
        <w:numPr>
          <w:ilvl w:val="0"/>
          <w:numId w:val="1"/>
        </w:numPr>
        <w:spacing w:before="120" w:after="120" w:line="276" w:lineRule="auto"/>
        <w:ind w:left="714" w:hanging="357"/>
        <w:contextualSpacing w:val="0"/>
        <w:rPr>
          <w:rFonts w:ascii="Calibri" w:hAnsi="Calibri"/>
          <w:szCs w:val="22"/>
        </w:rPr>
      </w:pPr>
      <w:r w:rsidRPr="00FF417A">
        <w:rPr>
          <w:rFonts w:ascii="Calibri" w:hAnsi="Calibri"/>
          <w:szCs w:val="22"/>
        </w:rPr>
        <w:t>For the purposes of this document a Broad</w:t>
      </w:r>
      <w:r>
        <w:rPr>
          <w:rFonts w:ascii="Calibri" w:hAnsi="Calibri"/>
          <w:szCs w:val="22"/>
        </w:rPr>
        <w:t>cast Facility is classified as:</w:t>
      </w:r>
    </w:p>
    <w:p w:rsidR="00E164DA" w:rsidRPr="00525563" w:rsidRDefault="00E164DA" w:rsidP="00E164DA">
      <w:pPr>
        <w:pStyle w:val="ListParagraph"/>
        <w:numPr>
          <w:ilvl w:val="0"/>
          <w:numId w:val="2"/>
        </w:numPr>
        <w:spacing w:before="120" w:after="120" w:line="276" w:lineRule="auto"/>
        <w:ind w:left="1097"/>
        <w:contextualSpacing w:val="0"/>
        <w:rPr>
          <w:rFonts w:ascii="Calibri" w:hAnsi="Calibri"/>
          <w:szCs w:val="22"/>
        </w:rPr>
      </w:pPr>
      <w:r w:rsidRPr="00525563">
        <w:rPr>
          <w:rFonts w:ascii="Calibri" w:hAnsi="Calibri"/>
          <w:szCs w:val="22"/>
        </w:rPr>
        <w:t>any High Power (&gt;100W) transmitter facility;</w:t>
      </w:r>
    </w:p>
    <w:p w:rsidR="00E164DA" w:rsidRPr="00525563" w:rsidRDefault="00E164DA" w:rsidP="00E164DA">
      <w:pPr>
        <w:pStyle w:val="ListParagraph"/>
        <w:numPr>
          <w:ilvl w:val="0"/>
          <w:numId w:val="2"/>
        </w:numPr>
        <w:spacing w:before="120" w:after="120" w:line="276" w:lineRule="auto"/>
        <w:ind w:left="1097"/>
        <w:contextualSpacing w:val="0"/>
        <w:rPr>
          <w:rFonts w:ascii="Calibri" w:hAnsi="Calibri"/>
          <w:szCs w:val="22"/>
        </w:rPr>
      </w:pPr>
      <w:r w:rsidRPr="00525563">
        <w:rPr>
          <w:rFonts w:ascii="Calibri" w:hAnsi="Calibri"/>
          <w:szCs w:val="22"/>
        </w:rPr>
        <w:t>any AM/FM Radio transmitter facility; and</w:t>
      </w:r>
    </w:p>
    <w:p w:rsidR="00E164DA" w:rsidRPr="00525563" w:rsidRDefault="00E164DA" w:rsidP="00E164DA">
      <w:pPr>
        <w:pStyle w:val="ListParagraph"/>
        <w:numPr>
          <w:ilvl w:val="0"/>
          <w:numId w:val="2"/>
        </w:numPr>
        <w:spacing w:before="120" w:after="120" w:line="276" w:lineRule="auto"/>
        <w:ind w:left="1097"/>
        <w:contextualSpacing w:val="0"/>
        <w:rPr>
          <w:rFonts w:ascii="Calibri" w:hAnsi="Calibri"/>
          <w:szCs w:val="22"/>
        </w:rPr>
      </w:pPr>
      <w:r w:rsidRPr="00525563">
        <w:rPr>
          <w:rFonts w:ascii="Calibri" w:hAnsi="Calibri"/>
          <w:szCs w:val="22"/>
        </w:rPr>
        <w:t>any television transmitter facility including facilities with ACMA Emission Designators of A3E/A3EG, F2D, F8E/F8EH, or C3F/C3FN.</w:t>
      </w:r>
    </w:p>
    <w:p w:rsidR="00E164DA" w:rsidRPr="00A856A0" w:rsidRDefault="00E164DA" w:rsidP="00E164DA">
      <w:pPr>
        <w:pStyle w:val="ListParagraph"/>
        <w:spacing w:before="120" w:after="120" w:line="276" w:lineRule="auto"/>
        <w:ind w:left="2160"/>
        <w:rPr>
          <w:rFonts w:ascii="Calibri" w:hAnsi="Calibri"/>
        </w:rPr>
      </w:pPr>
    </w:p>
    <w:p w:rsidR="00E164DA" w:rsidRPr="00007634" w:rsidRDefault="00E164DA" w:rsidP="00E164DA">
      <w:pPr>
        <w:pStyle w:val="ListParagraph"/>
        <w:tabs>
          <w:tab w:val="left" w:pos="540"/>
        </w:tabs>
        <w:spacing w:before="0" w:after="120" w:line="276" w:lineRule="auto"/>
        <w:ind w:left="0"/>
        <w:contextualSpacing w:val="0"/>
        <w:rPr>
          <w:rFonts w:ascii="Calibri" w:hAnsi="Calibri"/>
          <w:szCs w:val="22"/>
        </w:rPr>
      </w:pPr>
      <w:r>
        <w:rPr>
          <w:rFonts w:ascii="Calibri" w:hAnsi="Calibri"/>
          <w:szCs w:val="22"/>
        </w:rPr>
        <w:t>M</w:t>
      </w:r>
      <w:r w:rsidRPr="00007634">
        <w:rPr>
          <w:rFonts w:ascii="Calibri" w:hAnsi="Calibri"/>
          <w:szCs w:val="22"/>
        </w:rPr>
        <w:t>ore information can be found at:</w:t>
      </w:r>
    </w:p>
    <w:p w:rsidR="00E164DA" w:rsidRPr="00A856A0" w:rsidRDefault="00E164DA" w:rsidP="00E164DA">
      <w:pPr>
        <w:pStyle w:val="ListParagraph"/>
        <w:tabs>
          <w:tab w:val="left" w:pos="540"/>
        </w:tabs>
        <w:spacing w:before="0" w:after="120"/>
        <w:ind w:left="0" w:right="-612"/>
        <w:rPr>
          <w:rFonts w:ascii="Calibri" w:hAnsi="Calibri"/>
          <w:i/>
          <w:color w:val="0070C0"/>
          <w:szCs w:val="22"/>
        </w:rPr>
      </w:pPr>
      <w:hyperlink r:id="rId5" w:history="1">
        <w:r w:rsidRPr="00A856A0">
          <w:rPr>
            <w:rFonts w:ascii="Calibri" w:hAnsi="Calibri"/>
            <w:i/>
            <w:color w:val="0070C0"/>
            <w:szCs w:val="22"/>
          </w:rPr>
          <w:t>http://www.airservicesaustralia.com/wp-content/uploads/12-058BKT_Guide-to-our-operations_WEB.pdf</w:t>
        </w:r>
      </w:hyperlink>
    </w:p>
    <w:p w:rsidR="007B56C3" w:rsidRDefault="007B56C3">
      <w:bookmarkStart w:id="0" w:name="_GoBack"/>
      <w:bookmarkEnd w:id="0"/>
    </w:p>
    <w:sectPr w:rsidR="007B5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taPro-Normal">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443"/>
    <w:multiLevelType w:val="hybridMultilevel"/>
    <w:tmpl w:val="22567EC6"/>
    <w:lvl w:ilvl="0" w:tplc="0C090001">
      <w:start w:val="1"/>
      <w:numFmt w:val="bullet"/>
      <w:lvlText w:val=""/>
      <w:lvlJc w:val="left"/>
      <w:pPr>
        <w:ind w:left="1440" w:hanging="360"/>
      </w:pPr>
      <w:rPr>
        <w:rFonts w:ascii="Symbol" w:hAnsi="Symbol" w:hint="default"/>
        <w:b w:val="0"/>
        <w:color w:val="auto"/>
        <w:sz w:val="22"/>
        <w:szCs w:val="22"/>
      </w:rPr>
    </w:lvl>
    <w:lvl w:ilvl="1" w:tplc="D576A822">
      <w:start w:val="1"/>
      <w:numFmt w:val="bullet"/>
      <w:lvlText w:val=""/>
      <w:lvlJc w:val="left"/>
      <w:pPr>
        <w:ind w:left="2717" w:hanging="360"/>
      </w:pPr>
      <w:rPr>
        <w:rFonts w:ascii="Symbol" w:hAnsi="Symbol" w:hint="default"/>
      </w:rPr>
    </w:lvl>
    <w:lvl w:ilvl="2" w:tplc="B13282F0">
      <w:start w:val="2"/>
      <w:numFmt w:val="bullet"/>
      <w:lvlText w:val="–"/>
      <w:lvlJc w:val="left"/>
      <w:pPr>
        <w:ind w:left="3420" w:hanging="360"/>
      </w:pPr>
      <w:rPr>
        <w:rFonts w:ascii="Times New Roman" w:eastAsia="Times New Roman" w:hAnsi="Times New Roman" w:hint="default"/>
      </w:rPr>
    </w:lvl>
    <w:lvl w:ilvl="3" w:tplc="BE5ECBBC">
      <w:start w:val="1"/>
      <w:numFmt w:val="decimal"/>
      <w:lvlText w:val="%4)"/>
      <w:lvlJc w:val="left"/>
      <w:pPr>
        <w:ind w:left="3960" w:hanging="360"/>
      </w:pPr>
      <w:rPr>
        <w:rFonts w:cs="MetaPro-Normal" w:hint="default"/>
        <w:color w:val="000000"/>
      </w:rPr>
    </w:lvl>
    <w:lvl w:ilvl="4" w:tplc="9928383A" w:tentative="1">
      <w:start w:val="1"/>
      <w:numFmt w:val="lowerLetter"/>
      <w:lvlText w:val="%5."/>
      <w:lvlJc w:val="left"/>
      <w:pPr>
        <w:ind w:left="4680" w:hanging="360"/>
      </w:pPr>
      <w:rPr>
        <w:rFonts w:cs="Times New Roman"/>
      </w:rPr>
    </w:lvl>
    <w:lvl w:ilvl="5" w:tplc="763C4668" w:tentative="1">
      <w:start w:val="1"/>
      <w:numFmt w:val="lowerRoman"/>
      <w:lvlText w:val="%6."/>
      <w:lvlJc w:val="right"/>
      <w:pPr>
        <w:ind w:left="5400" w:hanging="180"/>
      </w:pPr>
      <w:rPr>
        <w:rFonts w:cs="Times New Roman"/>
      </w:rPr>
    </w:lvl>
    <w:lvl w:ilvl="6" w:tplc="72C6A5AC" w:tentative="1">
      <w:start w:val="1"/>
      <w:numFmt w:val="decimal"/>
      <w:lvlText w:val="%7."/>
      <w:lvlJc w:val="left"/>
      <w:pPr>
        <w:ind w:left="6120" w:hanging="360"/>
      </w:pPr>
      <w:rPr>
        <w:rFonts w:cs="Times New Roman"/>
      </w:rPr>
    </w:lvl>
    <w:lvl w:ilvl="7" w:tplc="28EC2BC6" w:tentative="1">
      <w:start w:val="1"/>
      <w:numFmt w:val="lowerLetter"/>
      <w:lvlText w:val="%8."/>
      <w:lvlJc w:val="left"/>
      <w:pPr>
        <w:ind w:left="6840" w:hanging="360"/>
      </w:pPr>
      <w:rPr>
        <w:rFonts w:cs="Times New Roman"/>
      </w:rPr>
    </w:lvl>
    <w:lvl w:ilvl="8" w:tplc="C98238E4" w:tentative="1">
      <w:start w:val="1"/>
      <w:numFmt w:val="lowerRoman"/>
      <w:lvlText w:val="%9."/>
      <w:lvlJc w:val="right"/>
      <w:pPr>
        <w:ind w:left="7560" w:hanging="180"/>
      </w:pPr>
      <w:rPr>
        <w:rFonts w:cs="Times New Roman"/>
      </w:rPr>
    </w:lvl>
  </w:abstractNum>
  <w:abstractNum w:abstractNumId="1" w15:restartNumberingAfterBreak="0">
    <w:nsid w:val="780C3582"/>
    <w:multiLevelType w:val="hybridMultilevel"/>
    <w:tmpl w:val="007A8E5C"/>
    <w:lvl w:ilvl="0" w:tplc="CC3A46EA">
      <w:start w:val="1"/>
      <w:numFmt w:val="decimal"/>
      <w:lvlText w:val="%1."/>
      <w:lvlJc w:val="left"/>
      <w:pPr>
        <w:ind w:left="360" w:hanging="360"/>
      </w:pPr>
      <w:rPr>
        <w:rFonts w:asciiTheme="minorHAnsi" w:hAnsiTheme="minorHAnsi" w:cs="Times New Roman" w:hint="default"/>
        <w:b w:val="0"/>
        <w:color w:val="auto"/>
        <w:sz w:val="22"/>
        <w:szCs w:val="22"/>
      </w:rPr>
    </w:lvl>
    <w:lvl w:ilvl="1" w:tplc="D576A822">
      <w:start w:val="1"/>
      <w:numFmt w:val="bullet"/>
      <w:lvlText w:val=""/>
      <w:lvlJc w:val="left"/>
      <w:pPr>
        <w:ind w:left="1637" w:hanging="360"/>
      </w:pPr>
      <w:rPr>
        <w:rFonts w:ascii="Symbol" w:hAnsi="Symbol" w:hint="default"/>
      </w:rPr>
    </w:lvl>
    <w:lvl w:ilvl="2" w:tplc="B13282F0">
      <w:start w:val="2"/>
      <w:numFmt w:val="bullet"/>
      <w:lvlText w:val="–"/>
      <w:lvlJc w:val="left"/>
      <w:pPr>
        <w:ind w:left="2340" w:hanging="360"/>
      </w:pPr>
      <w:rPr>
        <w:rFonts w:ascii="Times New Roman" w:eastAsia="Times New Roman" w:hAnsi="Times New Roman" w:hint="default"/>
      </w:rPr>
    </w:lvl>
    <w:lvl w:ilvl="3" w:tplc="BE5ECBBC">
      <w:start w:val="1"/>
      <w:numFmt w:val="decimal"/>
      <w:lvlText w:val="%4)"/>
      <w:lvlJc w:val="left"/>
      <w:pPr>
        <w:ind w:left="2880" w:hanging="360"/>
      </w:pPr>
      <w:rPr>
        <w:rFonts w:cs="MetaPro-Normal" w:hint="default"/>
        <w:color w:val="000000"/>
      </w:rPr>
    </w:lvl>
    <w:lvl w:ilvl="4" w:tplc="9928383A" w:tentative="1">
      <w:start w:val="1"/>
      <w:numFmt w:val="lowerLetter"/>
      <w:lvlText w:val="%5."/>
      <w:lvlJc w:val="left"/>
      <w:pPr>
        <w:ind w:left="3600" w:hanging="360"/>
      </w:pPr>
      <w:rPr>
        <w:rFonts w:cs="Times New Roman"/>
      </w:rPr>
    </w:lvl>
    <w:lvl w:ilvl="5" w:tplc="763C4668" w:tentative="1">
      <w:start w:val="1"/>
      <w:numFmt w:val="lowerRoman"/>
      <w:lvlText w:val="%6."/>
      <w:lvlJc w:val="right"/>
      <w:pPr>
        <w:ind w:left="4320" w:hanging="180"/>
      </w:pPr>
      <w:rPr>
        <w:rFonts w:cs="Times New Roman"/>
      </w:rPr>
    </w:lvl>
    <w:lvl w:ilvl="6" w:tplc="72C6A5AC" w:tentative="1">
      <w:start w:val="1"/>
      <w:numFmt w:val="decimal"/>
      <w:lvlText w:val="%7."/>
      <w:lvlJc w:val="left"/>
      <w:pPr>
        <w:ind w:left="5040" w:hanging="360"/>
      </w:pPr>
      <w:rPr>
        <w:rFonts w:cs="Times New Roman"/>
      </w:rPr>
    </w:lvl>
    <w:lvl w:ilvl="7" w:tplc="28EC2BC6" w:tentative="1">
      <w:start w:val="1"/>
      <w:numFmt w:val="lowerLetter"/>
      <w:lvlText w:val="%8."/>
      <w:lvlJc w:val="left"/>
      <w:pPr>
        <w:ind w:left="5760" w:hanging="360"/>
      </w:pPr>
      <w:rPr>
        <w:rFonts w:cs="Times New Roman"/>
      </w:rPr>
    </w:lvl>
    <w:lvl w:ilvl="8" w:tplc="C98238E4"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DA"/>
    <w:rsid w:val="007B56C3"/>
    <w:rsid w:val="00E16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2B7CE-6890-42AB-915D-9A767F5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DA"/>
    <w:pPr>
      <w:spacing w:before="60" w:after="60" w:line="240" w:lineRule="auto"/>
    </w:pPr>
    <w:rPr>
      <w:rFonts w:ascii="Arial" w:eastAsia="Times New Roman" w:hAnsi="Arial" w:cs="Times New Roman"/>
      <w:szCs w:val="20"/>
      <w:lang w:eastAsia="en-AU"/>
    </w:rPr>
  </w:style>
  <w:style w:type="paragraph" w:styleId="Heading1">
    <w:name w:val="heading 1"/>
    <w:basedOn w:val="Normal"/>
    <w:next w:val="Normal"/>
    <w:link w:val="Heading1Char"/>
    <w:uiPriority w:val="9"/>
    <w:qFormat/>
    <w:rsid w:val="00E164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HeadingStyle">
    <w:name w:val="Input Heading Style"/>
    <w:basedOn w:val="Heading1"/>
    <w:rsid w:val="00E164DA"/>
    <w:pPr>
      <w:keepLines w:val="0"/>
      <w:tabs>
        <w:tab w:val="left" w:pos="2268"/>
      </w:tabs>
      <w:spacing w:after="120"/>
      <w:ind w:left="2268" w:hanging="2268"/>
    </w:pPr>
    <w:rPr>
      <w:rFonts w:ascii="Arial" w:eastAsia="Times New Roman" w:hAnsi="Arial" w:cs="Times New Roman"/>
      <w:b/>
      <w:caps/>
      <w:color w:val="auto"/>
      <w:sz w:val="22"/>
      <w:szCs w:val="20"/>
    </w:rPr>
  </w:style>
  <w:style w:type="paragraph" w:styleId="ListParagraph">
    <w:name w:val="List Paragraph"/>
    <w:basedOn w:val="Normal"/>
    <w:uiPriority w:val="99"/>
    <w:qFormat/>
    <w:rsid w:val="00E164DA"/>
    <w:pPr>
      <w:ind w:left="720"/>
      <w:contextualSpacing/>
    </w:pPr>
  </w:style>
  <w:style w:type="paragraph" w:styleId="BodyText">
    <w:name w:val="Body Text"/>
    <w:basedOn w:val="Normal"/>
    <w:link w:val="BodyTextChar"/>
    <w:uiPriority w:val="99"/>
    <w:rsid w:val="00E164DA"/>
    <w:pPr>
      <w:spacing w:before="0" w:after="220" w:line="276" w:lineRule="auto"/>
    </w:pPr>
    <w:rPr>
      <w:szCs w:val="24"/>
    </w:rPr>
  </w:style>
  <w:style w:type="character" w:customStyle="1" w:styleId="BodyTextChar">
    <w:name w:val="Body Text Char"/>
    <w:basedOn w:val="DefaultParagraphFont"/>
    <w:link w:val="BodyText"/>
    <w:uiPriority w:val="99"/>
    <w:rsid w:val="00E164DA"/>
    <w:rPr>
      <w:rFonts w:ascii="Arial" w:eastAsia="Times New Roman" w:hAnsi="Arial" w:cs="Times New Roman"/>
      <w:szCs w:val="24"/>
      <w:lang w:eastAsia="en-AU"/>
    </w:rPr>
  </w:style>
  <w:style w:type="character" w:customStyle="1" w:styleId="Heading1Char">
    <w:name w:val="Heading 1 Char"/>
    <w:basedOn w:val="DefaultParagraphFont"/>
    <w:link w:val="Heading1"/>
    <w:uiPriority w:val="9"/>
    <w:rsid w:val="00E164DA"/>
    <w:rPr>
      <w:rFonts w:asciiTheme="majorHAnsi" w:eastAsiaTheme="majorEastAsia" w:hAnsiTheme="majorHAnsi" w:cstheme="majorBidi"/>
      <w:color w:val="365F91"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rservicesaustralia.com/wp-content/uploads/12-058BKT_Guide-to-our-operations_WE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Kerr</dc:creator>
  <cp:keywords/>
  <dc:description/>
  <cp:lastModifiedBy>Donna Kerr</cp:lastModifiedBy>
  <cp:revision>1</cp:revision>
  <dcterms:created xsi:type="dcterms:W3CDTF">2016-11-17T22:37:00Z</dcterms:created>
  <dcterms:modified xsi:type="dcterms:W3CDTF">2016-11-17T22:38:00Z</dcterms:modified>
</cp:coreProperties>
</file>