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CCA3C" w14:textId="77777777" w:rsidR="0094124E" w:rsidRPr="00CD63F5" w:rsidRDefault="0094124E" w:rsidP="0094124E">
      <w:pPr>
        <w:ind w:left="-1418"/>
        <w:sectPr w:rsidR="0094124E" w:rsidRPr="00CD63F5" w:rsidSect="001C38BD">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sidRPr="00CD63F5">
        <w:rPr>
          <w:noProof/>
          <w:lang w:eastAsia="en-AU"/>
        </w:rPr>
        <w:drawing>
          <wp:inline distT="0" distB="0" distL="0" distR="0" wp14:anchorId="0DECCBC6" wp14:editId="0DECCBC7">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DECCA3D" w14:textId="77777777" w:rsidR="00B84AB7" w:rsidRPr="00CD63F5" w:rsidRDefault="00294F88" w:rsidP="00B84AB7">
      <w:pPr>
        <w:pStyle w:val="Heading1"/>
      </w:pPr>
      <w:bookmarkStart w:id="0" w:name="_Toc529783712"/>
      <w:r w:rsidRPr="00CD63F5">
        <w:t xml:space="preserve">Development of the </w:t>
      </w:r>
      <w:r w:rsidR="000D10A9">
        <w:br/>
      </w:r>
      <w:r w:rsidRPr="00CD63F5">
        <w:t>Universal Service Guarantee</w:t>
      </w:r>
      <w:bookmarkEnd w:id="0"/>
      <w:r w:rsidRPr="00CD63F5">
        <w:t xml:space="preserve"> </w:t>
      </w:r>
    </w:p>
    <w:p w14:paraId="0DECCA3E" w14:textId="77777777" w:rsidR="00B84AB7" w:rsidRPr="00CD63F5" w:rsidRDefault="00CD77FA" w:rsidP="004A5FFB">
      <w:pPr>
        <w:pStyle w:val="Heading2-notshowing"/>
      </w:pPr>
      <w:bookmarkStart w:id="1" w:name="_Toc514327688"/>
      <w:bookmarkStart w:id="2" w:name="_Toc516842646"/>
      <w:bookmarkStart w:id="3" w:name="_Toc519586570"/>
      <w:bookmarkStart w:id="4" w:name="_Toc519586751"/>
      <w:bookmarkStart w:id="5" w:name="_Toc519590433"/>
      <w:bookmarkStart w:id="6" w:name="_Toc519602426"/>
      <w:bookmarkStart w:id="7" w:name="_Toc520291772"/>
      <w:bookmarkStart w:id="8" w:name="_Toc529783713"/>
      <w:r>
        <w:t>Summary</w:t>
      </w:r>
      <w:r w:rsidRPr="00CD63F5">
        <w:t xml:space="preserve"> </w:t>
      </w:r>
      <w:r w:rsidR="00B84AB7" w:rsidRPr="00CD63F5">
        <w:t>Report</w:t>
      </w:r>
      <w:bookmarkEnd w:id="1"/>
      <w:bookmarkEnd w:id="2"/>
      <w:bookmarkEnd w:id="3"/>
      <w:bookmarkEnd w:id="4"/>
      <w:bookmarkEnd w:id="5"/>
      <w:bookmarkEnd w:id="6"/>
      <w:bookmarkEnd w:id="7"/>
      <w:bookmarkEnd w:id="8"/>
    </w:p>
    <w:p w14:paraId="0DECCA3F" w14:textId="03099F35" w:rsidR="00F035D9" w:rsidRDefault="00A034AA" w:rsidP="0083565A">
      <w:r>
        <w:t>November</w:t>
      </w:r>
      <w:r w:rsidR="003D5C14">
        <w:t xml:space="preserve"> </w:t>
      </w:r>
      <w:r w:rsidR="00B84AB7" w:rsidRPr="00CD63F5">
        <w:t>2018</w:t>
      </w:r>
    </w:p>
    <w:p w14:paraId="0DECCA40" w14:textId="77777777" w:rsidR="009E3122" w:rsidRDefault="009E3122" w:rsidP="0083565A">
      <w:pPr>
        <w:rPr>
          <w:b/>
          <w:sz w:val="24"/>
          <w:szCs w:val="24"/>
        </w:rPr>
      </w:pPr>
    </w:p>
    <w:p w14:paraId="0DECCA41" w14:textId="77777777" w:rsidR="009E3122" w:rsidRPr="00CD63F5" w:rsidRDefault="009E3122" w:rsidP="0083565A">
      <w:pPr>
        <w:rPr>
          <w:b/>
          <w:sz w:val="24"/>
          <w:szCs w:val="24"/>
        </w:rPr>
      </w:pPr>
    </w:p>
    <w:p w14:paraId="0DECCA42" w14:textId="77777777" w:rsidR="00400E77" w:rsidRPr="00CD63F5" w:rsidRDefault="00400E77" w:rsidP="00625397">
      <w:pPr>
        <w:rPr>
          <w:lang w:eastAsia="en-US"/>
        </w:rPr>
      </w:pPr>
      <w:r w:rsidRPr="00CD63F5">
        <w:rPr>
          <w:lang w:eastAsia="en-US"/>
        </w:rPr>
        <w:br w:type="page"/>
      </w:r>
    </w:p>
    <w:p w14:paraId="0DECCA43" w14:textId="77777777" w:rsidR="00625397" w:rsidRPr="00CD63F5" w:rsidRDefault="00625397" w:rsidP="008057B2">
      <w:pPr>
        <w:pStyle w:val="Heading2-notshowing"/>
        <w:outlineLvl w:val="9"/>
      </w:pPr>
      <w:r w:rsidRPr="00CD63F5">
        <w:lastRenderedPageBreak/>
        <w:t>Disclaimer</w:t>
      </w:r>
    </w:p>
    <w:p w14:paraId="0DECCA44" w14:textId="77777777" w:rsidR="00625397" w:rsidRPr="00CD63F5" w:rsidRDefault="00625397" w:rsidP="008057B2">
      <w:pPr>
        <w:spacing w:after="120"/>
      </w:pPr>
      <w:r w:rsidRPr="00CD63F5">
        <w:t>The material in</w:t>
      </w:r>
      <w:r w:rsidR="002A557E" w:rsidRPr="00CD63F5">
        <w:t xml:space="preserve"> this report</w:t>
      </w:r>
      <w:r w:rsidRPr="00CD63F5">
        <w:t xml:space="preserve"> is of a general nature and should not be regarded as legal advice or relied on for assistance in any particular circumstance. In any important matter, you should seek appropriate independent professional advice in relation to your own circumstances. The Commonwealth accepts no responsibility or liability for any damage, loss or expense incurred as a result of the reliance on information contained in</w:t>
      </w:r>
      <w:r w:rsidR="002A557E" w:rsidRPr="00CD63F5">
        <w:t xml:space="preserve"> this report</w:t>
      </w:r>
      <w:r w:rsidRPr="00CD63F5">
        <w:t>.</w:t>
      </w:r>
    </w:p>
    <w:p w14:paraId="0DECCA45" w14:textId="77777777" w:rsidR="00625397" w:rsidRPr="00CD63F5" w:rsidRDefault="002A557E" w:rsidP="008057B2">
      <w:pPr>
        <w:spacing w:after="120"/>
      </w:pPr>
      <w:r w:rsidRPr="00CD63F5">
        <w:t>This report has</w:t>
      </w:r>
      <w:r w:rsidR="00625397" w:rsidRPr="00CD63F5">
        <w:t xml:space="preserve"> been prepared for consultation purposes only and does not indicate the Commonwealth’s commitment to a particular course of action. Additionally, any third party views or recommendations included in</w:t>
      </w:r>
      <w:r w:rsidRPr="00CD63F5">
        <w:t xml:space="preserve"> this report</w:t>
      </w:r>
      <w:r w:rsidR="00625397" w:rsidRPr="00CD63F5">
        <w:t xml:space="preserve"> do not reflect the views of the Commonwealth, or indicate its commitment to a particular course of action.</w:t>
      </w:r>
    </w:p>
    <w:p w14:paraId="0DECCA46" w14:textId="77777777" w:rsidR="00625397" w:rsidRPr="00CD63F5" w:rsidRDefault="00625397" w:rsidP="008057B2">
      <w:pPr>
        <w:pStyle w:val="Heading2-notshowing"/>
        <w:outlineLvl w:val="9"/>
      </w:pPr>
      <w:r w:rsidRPr="00CD63F5">
        <w:t>Copyright</w:t>
      </w:r>
    </w:p>
    <w:p w14:paraId="0DECCA47" w14:textId="77777777" w:rsidR="00625397" w:rsidRPr="00CD63F5" w:rsidRDefault="00625397" w:rsidP="008057B2">
      <w:pPr>
        <w:spacing w:after="120"/>
      </w:pPr>
      <w:r w:rsidRPr="00CD63F5">
        <w:t xml:space="preserve">© Commonwealth of Australia </w:t>
      </w:r>
      <w:r w:rsidR="00CC75CC" w:rsidRPr="00CD63F5">
        <w:t>2018</w:t>
      </w:r>
    </w:p>
    <w:p w14:paraId="0DECCA48" w14:textId="77777777" w:rsidR="00625397" w:rsidRPr="00CD63F5" w:rsidRDefault="00625397" w:rsidP="008057B2">
      <w:pPr>
        <w:spacing w:after="120"/>
      </w:pPr>
      <w:r w:rsidRPr="00CD63F5">
        <w:rPr>
          <w:noProof/>
          <w:lang w:eastAsia="en-AU"/>
        </w:rPr>
        <w:drawing>
          <wp:inline distT="0" distB="0" distL="0" distR="0" wp14:anchorId="0DECCBC8" wp14:editId="0DECCBC9">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A66F63" w:rsidRPr="00CD63F5">
        <w:t xml:space="preserve"> </w:t>
      </w:r>
      <w:r w:rsidRPr="00CD63F5">
        <w:t>The material in</w:t>
      </w:r>
      <w:r w:rsidR="002A557E" w:rsidRPr="00CD63F5">
        <w:t xml:space="preserve"> this report</w:t>
      </w:r>
      <w:r w:rsidRPr="00CD63F5">
        <w:t xml:space="preserve"> is licensed under a Creative Commons Attribution—4.0 International licen</w:t>
      </w:r>
      <w:r w:rsidR="00C451EE" w:rsidRPr="00CD63F5">
        <w:t>c</w:t>
      </w:r>
      <w:r w:rsidRPr="00CD63F5">
        <w:t>e, with the exception of:</w:t>
      </w:r>
    </w:p>
    <w:p w14:paraId="0DECCA49" w14:textId="77777777" w:rsidR="00625397" w:rsidRPr="00CD63F5" w:rsidRDefault="00625397" w:rsidP="008057B2">
      <w:pPr>
        <w:pStyle w:val="Bulletlevel1"/>
      </w:pPr>
      <w:r w:rsidRPr="00CD63F5">
        <w:t>the Commonwealth Coat of Arms</w:t>
      </w:r>
    </w:p>
    <w:p w14:paraId="0DECCA4A" w14:textId="77777777" w:rsidR="00625397" w:rsidRPr="00CD63F5" w:rsidRDefault="00625397" w:rsidP="008057B2">
      <w:pPr>
        <w:pStyle w:val="Bulletlevel1"/>
      </w:pPr>
      <w:r w:rsidRPr="00CD63F5">
        <w:t>this Department’s logo</w:t>
      </w:r>
    </w:p>
    <w:p w14:paraId="0DECCA4B" w14:textId="77777777" w:rsidR="00625397" w:rsidRPr="00CD63F5" w:rsidRDefault="00625397" w:rsidP="008057B2">
      <w:pPr>
        <w:pStyle w:val="Bulletlevel1"/>
      </w:pPr>
      <w:r w:rsidRPr="00CD63F5">
        <w:t>any third party material</w:t>
      </w:r>
    </w:p>
    <w:p w14:paraId="0DECCA4C" w14:textId="77777777" w:rsidR="00625397" w:rsidRPr="00CD63F5" w:rsidRDefault="00625397" w:rsidP="008057B2">
      <w:pPr>
        <w:pStyle w:val="Bulletlevel1"/>
      </w:pPr>
      <w:r w:rsidRPr="00CD63F5">
        <w:t>any material protected by a trademark, and</w:t>
      </w:r>
    </w:p>
    <w:p w14:paraId="0DECCA4D" w14:textId="77777777" w:rsidR="00625397" w:rsidRPr="00CD63F5" w:rsidRDefault="00625397" w:rsidP="008057B2">
      <w:pPr>
        <w:pStyle w:val="Bulletlevel1"/>
      </w:pPr>
      <w:proofErr w:type="gramStart"/>
      <w:r w:rsidRPr="00CD63F5">
        <w:t>any</w:t>
      </w:r>
      <w:proofErr w:type="gramEnd"/>
      <w:r w:rsidRPr="00CD63F5">
        <w:t xml:space="preserve"> images and/or photographs.</w:t>
      </w:r>
    </w:p>
    <w:p w14:paraId="0DECCA4E" w14:textId="77777777" w:rsidR="00625397" w:rsidRPr="00CD63F5" w:rsidRDefault="00625397" w:rsidP="008057B2">
      <w:pPr>
        <w:spacing w:after="120"/>
      </w:pPr>
      <w:r w:rsidRPr="00CD63F5">
        <w:t>More information on this CC BY licen</w:t>
      </w:r>
      <w:r w:rsidR="00C451EE" w:rsidRPr="00CD63F5">
        <w:t>c</w:t>
      </w:r>
      <w:r w:rsidRPr="00CD63F5">
        <w:t>e is set out as follows:</w:t>
      </w:r>
    </w:p>
    <w:p w14:paraId="0DECCA4F" w14:textId="77777777" w:rsidR="00625397" w:rsidRPr="00CD63F5" w:rsidRDefault="00625397" w:rsidP="008057B2">
      <w:pPr>
        <w:pStyle w:val="Bulletlevel1"/>
      </w:pPr>
      <w:r w:rsidRPr="00CD63F5">
        <w:t>Creative Commons website—</w:t>
      </w:r>
      <w:hyperlink r:id="rId17" w:history="1">
        <w:r w:rsidRPr="00CD63F5">
          <w:rPr>
            <w:rStyle w:val="Hyperlink"/>
          </w:rPr>
          <w:t>www.creativecommons.org</w:t>
        </w:r>
      </w:hyperlink>
    </w:p>
    <w:p w14:paraId="0DECCA50" w14:textId="77777777" w:rsidR="00625397" w:rsidRPr="00CD63F5" w:rsidRDefault="00625397" w:rsidP="008057B2">
      <w:pPr>
        <w:pStyle w:val="Bulletlevel1"/>
        <w:spacing w:after="120"/>
      </w:pPr>
      <w:r w:rsidRPr="00CD63F5">
        <w:t>Attribution 4.0 international (CC by 4.0)—</w:t>
      </w:r>
      <w:hyperlink r:id="rId18" w:history="1">
        <w:r w:rsidR="002F3895" w:rsidRPr="00CD63F5">
          <w:rPr>
            <w:rStyle w:val="Hyperlink"/>
          </w:rPr>
          <w:t>www.creativecommons.org/licenses/by/4.0</w:t>
        </w:r>
      </w:hyperlink>
      <w:r w:rsidRPr="00CD63F5">
        <w:t>.</w:t>
      </w:r>
    </w:p>
    <w:p w14:paraId="0DECCA51" w14:textId="77777777" w:rsidR="00625397" w:rsidRPr="00CD63F5" w:rsidRDefault="00625397" w:rsidP="008057B2">
      <w:pPr>
        <w:spacing w:after="120"/>
      </w:pPr>
      <w:r w:rsidRPr="00CD63F5">
        <w:t>Enquiries about this licen</w:t>
      </w:r>
      <w:r w:rsidR="00C451EE" w:rsidRPr="00CD63F5">
        <w:t>c</w:t>
      </w:r>
      <w:r w:rsidRPr="00CD63F5">
        <w:t xml:space="preserve">e and any use of this discussion paper can be sent to: </w:t>
      </w:r>
      <w:hyperlink r:id="rId19" w:history="1">
        <w:r w:rsidRPr="00CD63F5">
          <w:rPr>
            <w:rStyle w:val="Hyperlink"/>
          </w:rPr>
          <w:t>copyright@communications.gov.au</w:t>
        </w:r>
      </w:hyperlink>
      <w:r w:rsidRPr="00CD63F5">
        <w:t>.</w:t>
      </w:r>
    </w:p>
    <w:p w14:paraId="0DECCA52" w14:textId="77777777" w:rsidR="00625397" w:rsidRPr="00CD63F5" w:rsidRDefault="00625397" w:rsidP="008057B2">
      <w:pPr>
        <w:pStyle w:val="Heading3-notshowing"/>
        <w:outlineLvl w:val="9"/>
      </w:pPr>
      <w:bookmarkStart w:id="9" w:name="_Toc490666776"/>
      <w:bookmarkStart w:id="10" w:name="_Toc490744403"/>
      <w:r w:rsidRPr="00CD63F5">
        <w:t>Third party copyright</w:t>
      </w:r>
    </w:p>
    <w:p w14:paraId="0DECCA53" w14:textId="77777777" w:rsidR="00625397" w:rsidRPr="00CD63F5" w:rsidRDefault="00625397" w:rsidP="008057B2">
      <w:pPr>
        <w:spacing w:after="120"/>
      </w:pPr>
      <w:r w:rsidRPr="00CD63F5">
        <w:t>The Department has made all reasonable efforts to clearly identify material where the copyright is owned by a third party. Permission may need to be obtained from third parties to re-use their material.</w:t>
      </w:r>
    </w:p>
    <w:p w14:paraId="0DECCA54" w14:textId="77777777" w:rsidR="00625397" w:rsidRPr="00CD63F5" w:rsidRDefault="00625397" w:rsidP="008057B2">
      <w:pPr>
        <w:pStyle w:val="Heading3-notshowing"/>
        <w:outlineLvl w:val="9"/>
      </w:pPr>
      <w:r w:rsidRPr="00CD63F5">
        <w:t>Attribution</w:t>
      </w:r>
      <w:bookmarkEnd w:id="9"/>
      <w:bookmarkEnd w:id="10"/>
    </w:p>
    <w:p w14:paraId="0DECCA55" w14:textId="77777777" w:rsidR="00625397" w:rsidRPr="00CD63F5" w:rsidRDefault="00625397" w:rsidP="008057B2">
      <w:pPr>
        <w:spacing w:after="120"/>
      </w:pPr>
      <w:bookmarkStart w:id="11" w:name="_Toc356292522"/>
      <w:r w:rsidRPr="00CD63F5">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11"/>
    <w:p w14:paraId="0DECCA56" w14:textId="77777777" w:rsidR="00625397" w:rsidRPr="00CD63F5" w:rsidRDefault="00625397" w:rsidP="008057B2">
      <w:pPr>
        <w:spacing w:after="120"/>
        <w:ind w:left="567"/>
      </w:pPr>
      <w:r w:rsidRPr="00CD63F5">
        <w:t>Licensed from the Commonwealth of Australia under a Creative Commons Attribution 4.0 International licence.</w:t>
      </w:r>
    </w:p>
    <w:p w14:paraId="0DECCA57" w14:textId="77777777" w:rsidR="00625397" w:rsidRPr="00CD63F5" w:rsidRDefault="00625397" w:rsidP="008057B2">
      <w:pPr>
        <w:spacing w:after="120"/>
      </w:pPr>
      <w:r w:rsidRPr="00CD63F5">
        <w:t xml:space="preserve">Enquiries about the use of any material in this publication can be sent to: </w:t>
      </w:r>
      <w:hyperlink r:id="rId20" w:history="1">
        <w:r w:rsidR="00F27FEE">
          <w:rPr>
            <w:rStyle w:val="Hyperlink"/>
          </w:rPr>
          <w:t>USO.Taskforce</w:t>
        </w:r>
        <w:r w:rsidR="00F27FEE" w:rsidRPr="00CD63F5">
          <w:rPr>
            <w:rStyle w:val="Hyperlink"/>
          </w:rPr>
          <w:t>@communications.gov.au</w:t>
        </w:r>
      </w:hyperlink>
      <w:r w:rsidRPr="00CD63F5">
        <w:t>.</w:t>
      </w:r>
    </w:p>
    <w:p w14:paraId="0DECCA58" w14:textId="77777777" w:rsidR="00625397" w:rsidRPr="00CD63F5" w:rsidRDefault="00625397" w:rsidP="008057B2">
      <w:pPr>
        <w:pStyle w:val="Heading2-notshowing"/>
        <w:outlineLvl w:val="9"/>
      </w:pPr>
      <w:r w:rsidRPr="00CD63F5">
        <w:t>Using the Commonwealth Coat of Arms</w:t>
      </w:r>
    </w:p>
    <w:p w14:paraId="0DECCA59" w14:textId="77777777" w:rsidR="00597F9B" w:rsidRPr="00CD63F5" w:rsidRDefault="00625397" w:rsidP="008057B2">
      <w:pPr>
        <w:spacing w:after="120"/>
        <w:rPr>
          <w:lang w:eastAsia="en-US"/>
        </w:rPr>
      </w:pPr>
      <w:r w:rsidRPr="00CD63F5">
        <w:t>Guidelines for using the Commonwealth Coat of Arms are available from the Department of Prime Minister and Cabinet website at</w:t>
      </w:r>
      <w:r w:rsidR="002F3895" w:rsidRPr="00CD63F5">
        <w:t xml:space="preserve"> </w:t>
      </w:r>
      <w:hyperlink r:id="rId21" w:history="1">
        <w:r w:rsidR="002F3895" w:rsidRPr="00CD63F5">
          <w:rPr>
            <w:rStyle w:val="Hyperlink"/>
          </w:rPr>
          <w:t>www.pmc.gov.au/government/its-honour</w:t>
        </w:r>
      </w:hyperlink>
      <w:r w:rsidRPr="00CD63F5">
        <w:t>.</w:t>
      </w:r>
      <w:r w:rsidR="00597F9B" w:rsidRPr="00CD63F5">
        <w:rPr>
          <w:lang w:eastAsia="en-US"/>
        </w:rPr>
        <w:br w:type="page"/>
      </w:r>
    </w:p>
    <w:p w14:paraId="0DECCA5A" w14:textId="77777777" w:rsidR="00400E77" w:rsidRPr="00CD63F5" w:rsidRDefault="00597F9B" w:rsidP="008057B2">
      <w:pPr>
        <w:pStyle w:val="Heading2-notshowing"/>
        <w:spacing w:after="0"/>
        <w:outlineLvl w:val="9"/>
      </w:pPr>
      <w:bookmarkStart w:id="12" w:name="_Toc529783714"/>
      <w:r w:rsidRPr="00CD63F5">
        <w:lastRenderedPageBreak/>
        <w:t>Contents</w:t>
      </w:r>
      <w:bookmarkEnd w:id="12"/>
    </w:p>
    <w:p w14:paraId="0DECCA5B" w14:textId="77777777" w:rsidR="008057B2" w:rsidRDefault="008057B2" w:rsidP="008057B2">
      <w:pPr>
        <w:pStyle w:val="TOC1"/>
        <w:rPr>
          <w:noProof/>
          <w:lang w:eastAsia="en-AU"/>
        </w:rPr>
      </w:pPr>
      <w:r>
        <w:rPr>
          <w:b w:val="0"/>
          <w:lang w:eastAsia="en-US"/>
        </w:rPr>
        <w:fldChar w:fldCharType="begin"/>
      </w:r>
      <w:r>
        <w:rPr>
          <w:b w:val="0"/>
          <w:lang w:eastAsia="en-US"/>
        </w:rPr>
        <w:instrText xml:space="preserve"> TOC \o "1-3" \h \z \u </w:instrText>
      </w:r>
      <w:r>
        <w:rPr>
          <w:b w:val="0"/>
          <w:lang w:eastAsia="en-US"/>
        </w:rPr>
        <w:fldChar w:fldCharType="separate"/>
      </w:r>
    </w:p>
    <w:p w14:paraId="0DECCA5C" w14:textId="77777777" w:rsidR="008057B2" w:rsidRPr="008514F3" w:rsidRDefault="009B11CC" w:rsidP="008514F3">
      <w:pPr>
        <w:pStyle w:val="TOC2"/>
        <w:rPr>
          <w:lang w:eastAsia="en-AU"/>
        </w:rPr>
      </w:pPr>
      <w:hyperlink w:anchor="_Toc529783715" w:history="1">
        <w:r w:rsidR="008057B2" w:rsidRPr="008514F3">
          <w:rPr>
            <w:rStyle w:val="Hyperlink"/>
          </w:rPr>
          <w:t>Abbreviations</w:t>
        </w:r>
        <w:r w:rsidR="008057B2" w:rsidRPr="008514F3">
          <w:rPr>
            <w:webHidden/>
          </w:rPr>
          <w:tab/>
        </w:r>
        <w:r w:rsidR="008057B2" w:rsidRPr="008514F3">
          <w:rPr>
            <w:webHidden/>
          </w:rPr>
          <w:fldChar w:fldCharType="begin"/>
        </w:r>
        <w:r w:rsidR="008057B2" w:rsidRPr="008514F3">
          <w:rPr>
            <w:webHidden/>
          </w:rPr>
          <w:instrText xml:space="preserve"> PAGEREF _Toc529783715 \h </w:instrText>
        </w:r>
        <w:r w:rsidR="008057B2" w:rsidRPr="008514F3">
          <w:rPr>
            <w:webHidden/>
          </w:rPr>
        </w:r>
        <w:r w:rsidR="008057B2" w:rsidRPr="008514F3">
          <w:rPr>
            <w:webHidden/>
          </w:rPr>
          <w:fldChar w:fldCharType="separate"/>
        </w:r>
        <w:r w:rsidR="00241613">
          <w:rPr>
            <w:webHidden/>
          </w:rPr>
          <w:t>4</w:t>
        </w:r>
        <w:r w:rsidR="008057B2" w:rsidRPr="008514F3">
          <w:rPr>
            <w:webHidden/>
          </w:rPr>
          <w:fldChar w:fldCharType="end"/>
        </w:r>
      </w:hyperlink>
    </w:p>
    <w:p w14:paraId="0DECCA5D" w14:textId="77777777" w:rsidR="008057B2" w:rsidRPr="008514F3" w:rsidRDefault="009B11CC" w:rsidP="008514F3">
      <w:pPr>
        <w:pStyle w:val="TOC2"/>
        <w:rPr>
          <w:lang w:eastAsia="en-AU"/>
        </w:rPr>
      </w:pPr>
      <w:hyperlink w:anchor="_Toc529783716" w:history="1">
        <w:r w:rsidR="008057B2" w:rsidRPr="008514F3">
          <w:rPr>
            <w:rStyle w:val="Hyperlink"/>
          </w:rPr>
          <w:t>Executive summary</w:t>
        </w:r>
        <w:r w:rsidR="008057B2" w:rsidRPr="008514F3">
          <w:rPr>
            <w:webHidden/>
          </w:rPr>
          <w:tab/>
        </w:r>
        <w:r w:rsidR="008057B2" w:rsidRPr="008514F3">
          <w:rPr>
            <w:webHidden/>
          </w:rPr>
          <w:fldChar w:fldCharType="begin"/>
        </w:r>
        <w:r w:rsidR="008057B2" w:rsidRPr="008514F3">
          <w:rPr>
            <w:webHidden/>
          </w:rPr>
          <w:instrText xml:space="preserve"> PAGEREF _Toc529783716 \h </w:instrText>
        </w:r>
        <w:r w:rsidR="008057B2" w:rsidRPr="008514F3">
          <w:rPr>
            <w:webHidden/>
          </w:rPr>
        </w:r>
        <w:r w:rsidR="008057B2" w:rsidRPr="008514F3">
          <w:rPr>
            <w:webHidden/>
          </w:rPr>
          <w:fldChar w:fldCharType="separate"/>
        </w:r>
        <w:r w:rsidR="00241613">
          <w:rPr>
            <w:webHidden/>
          </w:rPr>
          <w:t>5</w:t>
        </w:r>
        <w:r w:rsidR="008057B2" w:rsidRPr="008514F3">
          <w:rPr>
            <w:webHidden/>
          </w:rPr>
          <w:fldChar w:fldCharType="end"/>
        </w:r>
      </w:hyperlink>
    </w:p>
    <w:p w14:paraId="0DECCA5E" w14:textId="77777777" w:rsidR="008057B2" w:rsidRPr="008514F3" w:rsidRDefault="009B11CC" w:rsidP="008514F3">
      <w:pPr>
        <w:pStyle w:val="TOC2"/>
        <w:rPr>
          <w:lang w:eastAsia="en-AU"/>
        </w:rPr>
      </w:pPr>
      <w:hyperlink w:anchor="_Toc529783717" w:history="1">
        <w:r w:rsidR="008057B2" w:rsidRPr="008514F3">
          <w:rPr>
            <w:rStyle w:val="Hyperlink"/>
          </w:rPr>
          <w:t>1. Introduction</w:t>
        </w:r>
        <w:r w:rsidR="008057B2" w:rsidRPr="008514F3">
          <w:rPr>
            <w:webHidden/>
          </w:rPr>
          <w:tab/>
        </w:r>
        <w:r w:rsidR="008057B2" w:rsidRPr="008514F3">
          <w:rPr>
            <w:webHidden/>
          </w:rPr>
          <w:fldChar w:fldCharType="begin"/>
        </w:r>
        <w:r w:rsidR="008057B2" w:rsidRPr="008514F3">
          <w:rPr>
            <w:webHidden/>
          </w:rPr>
          <w:instrText xml:space="preserve"> PAGEREF _Toc529783717 \h </w:instrText>
        </w:r>
        <w:r w:rsidR="008057B2" w:rsidRPr="008514F3">
          <w:rPr>
            <w:webHidden/>
          </w:rPr>
        </w:r>
        <w:r w:rsidR="008057B2" w:rsidRPr="008514F3">
          <w:rPr>
            <w:webHidden/>
          </w:rPr>
          <w:fldChar w:fldCharType="separate"/>
        </w:r>
        <w:r w:rsidR="00241613">
          <w:rPr>
            <w:webHidden/>
          </w:rPr>
          <w:t>6</w:t>
        </w:r>
        <w:r w:rsidR="008057B2" w:rsidRPr="008514F3">
          <w:rPr>
            <w:webHidden/>
          </w:rPr>
          <w:fldChar w:fldCharType="end"/>
        </w:r>
      </w:hyperlink>
    </w:p>
    <w:p w14:paraId="0DECCA5F" w14:textId="77777777" w:rsidR="008057B2" w:rsidRPr="008514F3" w:rsidRDefault="009B11CC" w:rsidP="008514F3">
      <w:pPr>
        <w:pStyle w:val="TOC2"/>
        <w:rPr>
          <w:lang w:eastAsia="en-AU"/>
        </w:rPr>
      </w:pPr>
      <w:hyperlink w:anchor="_Toc529783718" w:history="1">
        <w:r w:rsidR="008057B2" w:rsidRPr="008514F3">
          <w:rPr>
            <w:rStyle w:val="Hyperlink"/>
          </w:rPr>
          <w:t>2. Background</w:t>
        </w:r>
        <w:r w:rsidR="008057B2" w:rsidRPr="008514F3">
          <w:rPr>
            <w:webHidden/>
          </w:rPr>
          <w:tab/>
        </w:r>
        <w:r w:rsidR="008057B2" w:rsidRPr="008514F3">
          <w:rPr>
            <w:webHidden/>
          </w:rPr>
          <w:fldChar w:fldCharType="begin"/>
        </w:r>
        <w:r w:rsidR="008057B2" w:rsidRPr="008514F3">
          <w:rPr>
            <w:webHidden/>
          </w:rPr>
          <w:instrText xml:space="preserve"> PAGEREF _Toc529783718 \h </w:instrText>
        </w:r>
        <w:r w:rsidR="008057B2" w:rsidRPr="008514F3">
          <w:rPr>
            <w:webHidden/>
          </w:rPr>
        </w:r>
        <w:r w:rsidR="008057B2" w:rsidRPr="008514F3">
          <w:rPr>
            <w:webHidden/>
          </w:rPr>
          <w:fldChar w:fldCharType="separate"/>
        </w:r>
        <w:r w:rsidR="00241613">
          <w:rPr>
            <w:webHidden/>
          </w:rPr>
          <w:t>6</w:t>
        </w:r>
        <w:r w:rsidR="008057B2" w:rsidRPr="008514F3">
          <w:rPr>
            <w:webHidden/>
          </w:rPr>
          <w:fldChar w:fldCharType="end"/>
        </w:r>
      </w:hyperlink>
    </w:p>
    <w:p w14:paraId="0DECCA60" w14:textId="77777777" w:rsidR="008057B2" w:rsidRDefault="009B11CC" w:rsidP="008057B2">
      <w:pPr>
        <w:pStyle w:val="TOC3"/>
        <w:ind w:left="709"/>
        <w:rPr>
          <w:noProof/>
          <w:lang w:eastAsia="en-AU"/>
        </w:rPr>
      </w:pPr>
      <w:hyperlink w:anchor="_Toc529783719" w:history="1">
        <w:r w:rsidR="008057B2" w:rsidRPr="00D96F8E">
          <w:rPr>
            <w:rStyle w:val="Hyperlink"/>
            <w:noProof/>
          </w:rPr>
          <w:t>Current USO arrangements</w:t>
        </w:r>
        <w:r w:rsidR="008057B2">
          <w:rPr>
            <w:noProof/>
            <w:webHidden/>
          </w:rPr>
          <w:tab/>
        </w:r>
        <w:r w:rsidR="008057B2">
          <w:rPr>
            <w:noProof/>
            <w:webHidden/>
          </w:rPr>
          <w:fldChar w:fldCharType="begin"/>
        </w:r>
        <w:r w:rsidR="008057B2">
          <w:rPr>
            <w:noProof/>
            <w:webHidden/>
          </w:rPr>
          <w:instrText xml:space="preserve"> PAGEREF _Toc529783719 \h </w:instrText>
        </w:r>
        <w:r w:rsidR="008057B2">
          <w:rPr>
            <w:noProof/>
            <w:webHidden/>
          </w:rPr>
        </w:r>
        <w:r w:rsidR="008057B2">
          <w:rPr>
            <w:noProof/>
            <w:webHidden/>
          </w:rPr>
          <w:fldChar w:fldCharType="separate"/>
        </w:r>
        <w:r w:rsidR="00241613">
          <w:rPr>
            <w:noProof/>
            <w:webHidden/>
          </w:rPr>
          <w:t>6</w:t>
        </w:r>
        <w:r w:rsidR="008057B2">
          <w:rPr>
            <w:noProof/>
            <w:webHidden/>
          </w:rPr>
          <w:fldChar w:fldCharType="end"/>
        </w:r>
      </w:hyperlink>
    </w:p>
    <w:p w14:paraId="0DECCA61" w14:textId="77777777" w:rsidR="008057B2" w:rsidRDefault="009B11CC" w:rsidP="008057B2">
      <w:pPr>
        <w:pStyle w:val="TOC3"/>
        <w:ind w:left="709"/>
        <w:rPr>
          <w:noProof/>
          <w:lang w:eastAsia="en-AU"/>
        </w:rPr>
      </w:pPr>
      <w:hyperlink w:anchor="_Toc529783720" w:history="1">
        <w:r w:rsidR="008057B2" w:rsidRPr="00D96F8E">
          <w:rPr>
            <w:rStyle w:val="Hyperlink"/>
            <w:noProof/>
          </w:rPr>
          <w:t>Statement of Expectations and Statutory Infrastructure Provider obligations</w:t>
        </w:r>
        <w:r w:rsidR="008057B2">
          <w:rPr>
            <w:noProof/>
            <w:webHidden/>
          </w:rPr>
          <w:tab/>
        </w:r>
        <w:r w:rsidR="008057B2">
          <w:rPr>
            <w:noProof/>
            <w:webHidden/>
          </w:rPr>
          <w:fldChar w:fldCharType="begin"/>
        </w:r>
        <w:r w:rsidR="008057B2">
          <w:rPr>
            <w:noProof/>
            <w:webHidden/>
          </w:rPr>
          <w:instrText xml:space="preserve"> PAGEREF _Toc529783720 \h </w:instrText>
        </w:r>
        <w:r w:rsidR="008057B2">
          <w:rPr>
            <w:noProof/>
            <w:webHidden/>
          </w:rPr>
        </w:r>
        <w:r w:rsidR="008057B2">
          <w:rPr>
            <w:noProof/>
            <w:webHidden/>
          </w:rPr>
          <w:fldChar w:fldCharType="separate"/>
        </w:r>
        <w:r w:rsidR="00241613">
          <w:rPr>
            <w:noProof/>
            <w:webHidden/>
          </w:rPr>
          <w:t>6</w:t>
        </w:r>
        <w:r w:rsidR="008057B2">
          <w:rPr>
            <w:noProof/>
            <w:webHidden/>
          </w:rPr>
          <w:fldChar w:fldCharType="end"/>
        </w:r>
      </w:hyperlink>
    </w:p>
    <w:p w14:paraId="0DECCA62" w14:textId="77777777" w:rsidR="008057B2" w:rsidRDefault="009B11CC" w:rsidP="008057B2">
      <w:pPr>
        <w:pStyle w:val="TOC3"/>
        <w:ind w:left="709"/>
        <w:rPr>
          <w:noProof/>
          <w:lang w:eastAsia="en-AU"/>
        </w:rPr>
      </w:pPr>
      <w:hyperlink w:anchor="_Toc529783721" w:history="1">
        <w:r w:rsidR="008057B2" w:rsidRPr="00D96F8E">
          <w:rPr>
            <w:rStyle w:val="Hyperlink"/>
            <w:noProof/>
          </w:rPr>
          <w:t>Pressures for change</w:t>
        </w:r>
        <w:r w:rsidR="008057B2">
          <w:rPr>
            <w:noProof/>
            <w:webHidden/>
          </w:rPr>
          <w:tab/>
        </w:r>
        <w:r w:rsidR="008057B2">
          <w:rPr>
            <w:noProof/>
            <w:webHidden/>
          </w:rPr>
          <w:fldChar w:fldCharType="begin"/>
        </w:r>
        <w:r w:rsidR="008057B2">
          <w:rPr>
            <w:noProof/>
            <w:webHidden/>
          </w:rPr>
          <w:instrText xml:space="preserve"> PAGEREF _Toc529783721 \h </w:instrText>
        </w:r>
        <w:r w:rsidR="008057B2">
          <w:rPr>
            <w:noProof/>
            <w:webHidden/>
          </w:rPr>
        </w:r>
        <w:r w:rsidR="008057B2">
          <w:rPr>
            <w:noProof/>
            <w:webHidden/>
          </w:rPr>
          <w:fldChar w:fldCharType="separate"/>
        </w:r>
        <w:r w:rsidR="00241613">
          <w:rPr>
            <w:noProof/>
            <w:webHidden/>
          </w:rPr>
          <w:t>7</w:t>
        </w:r>
        <w:r w:rsidR="008057B2">
          <w:rPr>
            <w:noProof/>
            <w:webHidden/>
          </w:rPr>
          <w:fldChar w:fldCharType="end"/>
        </w:r>
      </w:hyperlink>
    </w:p>
    <w:p w14:paraId="0DECCA63" w14:textId="77777777" w:rsidR="008057B2" w:rsidRDefault="009B11CC" w:rsidP="008057B2">
      <w:pPr>
        <w:pStyle w:val="TOC3"/>
        <w:ind w:left="709"/>
        <w:rPr>
          <w:noProof/>
          <w:lang w:eastAsia="en-AU"/>
        </w:rPr>
      </w:pPr>
      <w:hyperlink w:anchor="_Toc529783722" w:history="1">
        <w:r w:rsidR="008057B2" w:rsidRPr="00D96F8E">
          <w:rPr>
            <w:rStyle w:val="Hyperlink"/>
            <w:noProof/>
          </w:rPr>
          <w:t>Government announcement</w:t>
        </w:r>
        <w:r w:rsidR="008057B2">
          <w:rPr>
            <w:noProof/>
            <w:webHidden/>
          </w:rPr>
          <w:tab/>
        </w:r>
        <w:r w:rsidR="008057B2">
          <w:rPr>
            <w:noProof/>
            <w:webHidden/>
          </w:rPr>
          <w:fldChar w:fldCharType="begin"/>
        </w:r>
        <w:r w:rsidR="008057B2">
          <w:rPr>
            <w:noProof/>
            <w:webHidden/>
          </w:rPr>
          <w:instrText xml:space="preserve"> PAGEREF _Toc529783722 \h </w:instrText>
        </w:r>
        <w:r w:rsidR="008057B2">
          <w:rPr>
            <w:noProof/>
            <w:webHidden/>
          </w:rPr>
        </w:r>
        <w:r w:rsidR="008057B2">
          <w:rPr>
            <w:noProof/>
            <w:webHidden/>
          </w:rPr>
          <w:fldChar w:fldCharType="separate"/>
        </w:r>
        <w:r w:rsidR="00241613">
          <w:rPr>
            <w:noProof/>
            <w:webHidden/>
          </w:rPr>
          <w:t>7</w:t>
        </w:r>
        <w:r w:rsidR="008057B2">
          <w:rPr>
            <w:noProof/>
            <w:webHidden/>
          </w:rPr>
          <w:fldChar w:fldCharType="end"/>
        </w:r>
      </w:hyperlink>
    </w:p>
    <w:p w14:paraId="0DECCA64" w14:textId="77777777" w:rsidR="008057B2" w:rsidRDefault="009B11CC" w:rsidP="008057B2">
      <w:pPr>
        <w:pStyle w:val="TOC3"/>
        <w:ind w:left="709"/>
        <w:rPr>
          <w:noProof/>
          <w:lang w:eastAsia="en-AU"/>
        </w:rPr>
      </w:pPr>
      <w:hyperlink w:anchor="_Toc529783723" w:history="1">
        <w:r w:rsidR="008057B2" w:rsidRPr="00D96F8E">
          <w:rPr>
            <w:rStyle w:val="Hyperlink"/>
            <w:noProof/>
          </w:rPr>
          <w:t>Our approach to developing the USG</w:t>
        </w:r>
        <w:r w:rsidR="008057B2">
          <w:rPr>
            <w:noProof/>
            <w:webHidden/>
          </w:rPr>
          <w:tab/>
        </w:r>
        <w:r w:rsidR="008057B2">
          <w:rPr>
            <w:noProof/>
            <w:webHidden/>
          </w:rPr>
          <w:fldChar w:fldCharType="begin"/>
        </w:r>
        <w:r w:rsidR="008057B2">
          <w:rPr>
            <w:noProof/>
            <w:webHidden/>
          </w:rPr>
          <w:instrText xml:space="preserve"> PAGEREF _Toc529783723 \h </w:instrText>
        </w:r>
        <w:r w:rsidR="008057B2">
          <w:rPr>
            <w:noProof/>
            <w:webHidden/>
          </w:rPr>
        </w:r>
        <w:r w:rsidR="008057B2">
          <w:rPr>
            <w:noProof/>
            <w:webHidden/>
          </w:rPr>
          <w:fldChar w:fldCharType="separate"/>
        </w:r>
        <w:r w:rsidR="00241613">
          <w:rPr>
            <w:noProof/>
            <w:webHidden/>
          </w:rPr>
          <w:t>8</w:t>
        </w:r>
        <w:r w:rsidR="008057B2">
          <w:rPr>
            <w:noProof/>
            <w:webHidden/>
          </w:rPr>
          <w:fldChar w:fldCharType="end"/>
        </w:r>
      </w:hyperlink>
    </w:p>
    <w:p w14:paraId="0DECCA65" w14:textId="77777777" w:rsidR="008057B2" w:rsidRDefault="009B11CC" w:rsidP="008057B2">
      <w:pPr>
        <w:pStyle w:val="TOC3"/>
        <w:ind w:left="709"/>
        <w:rPr>
          <w:noProof/>
          <w:lang w:eastAsia="en-AU"/>
        </w:rPr>
      </w:pPr>
      <w:hyperlink w:anchor="_Toc529783724" w:history="1">
        <w:r w:rsidR="008057B2" w:rsidRPr="00D96F8E">
          <w:rPr>
            <w:rStyle w:val="Hyperlink"/>
            <w:noProof/>
          </w:rPr>
          <w:t>Geographical scope</w:t>
        </w:r>
        <w:r w:rsidR="008057B2">
          <w:rPr>
            <w:noProof/>
            <w:webHidden/>
          </w:rPr>
          <w:tab/>
        </w:r>
        <w:r w:rsidR="008057B2">
          <w:rPr>
            <w:noProof/>
            <w:webHidden/>
          </w:rPr>
          <w:fldChar w:fldCharType="begin"/>
        </w:r>
        <w:r w:rsidR="008057B2">
          <w:rPr>
            <w:noProof/>
            <w:webHidden/>
          </w:rPr>
          <w:instrText xml:space="preserve"> PAGEREF _Toc529783724 \h </w:instrText>
        </w:r>
        <w:r w:rsidR="008057B2">
          <w:rPr>
            <w:noProof/>
            <w:webHidden/>
          </w:rPr>
        </w:r>
        <w:r w:rsidR="008057B2">
          <w:rPr>
            <w:noProof/>
            <w:webHidden/>
          </w:rPr>
          <w:fldChar w:fldCharType="separate"/>
        </w:r>
        <w:r w:rsidR="00241613">
          <w:rPr>
            <w:noProof/>
            <w:webHidden/>
          </w:rPr>
          <w:t>9</w:t>
        </w:r>
        <w:r w:rsidR="008057B2">
          <w:rPr>
            <w:noProof/>
            <w:webHidden/>
          </w:rPr>
          <w:fldChar w:fldCharType="end"/>
        </w:r>
      </w:hyperlink>
    </w:p>
    <w:p w14:paraId="0DECCA66" w14:textId="77777777" w:rsidR="008057B2" w:rsidRPr="008514F3" w:rsidRDefault="009B11CC" w:rsidP="008514F3">
      <w:pPr>
        <w:pStyle w:val="TOC2"/>
        <w:rPr>
          <w:lang w:eastAsia="en-AU"/>
        </w:rPr>
      </w:pPr>
      <w:hyperlink w:anchor="_Toc529783725" w:history="1">
        <w:r w:rsidR="008057B2" w:rsidRPr="008514F3">
          <w:rPr>
            <w:rStyle w:val="Hyperlink"/>
          </w:rPr>
          <w:t>3. Findings</w:t>
        </w:r>
        <w:r w:rsidR="008057B2" w:rsidRPr="008514F3">
          <w:rPr>
            <w:webHidden/>
          </w:rPr>
          <w:tab/>
        </w:r>
        <w:r w:rsidR="008057B2" w:rsidRPr="008514F3">
          <w:rPr>
            <w:webHidden/>
          </w:rPr>
          <w:fldChar w:fldCharType="begin"/>
        </w:r>
        <w:r w:rsidR="008057B2" w:rsidRPr="008514F3">
          <w:rPr>
            <w:webHidden/>
          </w:rPr>
          <w:instrText xml:space="preserve"> PAGEREF _Toc529783725 \h </w:instrText>
        </w:r>
        <w:r w:rsidR="008057B2" w:rsidRPr="008514F3">
          <w:rPr>
            <w:webHidden/>
          </w:rPr>
        </w:r>
        <w:r w:rsidR="008057B2" w:rsidRPr="008514F3">
          <w:rPr>
            <w:webHidden/>
          </w:rPr>
          <w:fldChar w:fldCharType="separate"/>
        </w:r>
        <w:r w:rsidR="00241613">
          <w:rPr>
            <w:webHidden/>
          </w:rPr>
          <w:t>9</w:t>
        </w:r>
        <w:r w:rsidR="008057B2" w:rsidRPr="008514F3">
          <w:rPr>
            <w:webHidden/>
          </w:rPr>
          <w:fldChar w:fldCharType="end"/>
        </w:r>
      </w:hyperlink>
    </w:p>
    <w:p w14:paraId="0DECCA67" w14:textId="77777777" w:rsidR="008057B2" w:rsidRDefault="009B11CC" w:rsidP="00F42B19">
      <w:pPr>
        <w:pStyle w:val="TOC3"/>
        <w:ind w:left="709"/>
        <w:rPr>
          <w:noProof/>
          <w:lang w:eastAsia="en-AU"/>
        </w:rPr>
      </w:pPr>
      <w:hyperlink w:anchor="_Toc529783726" w:history="1">
        <w:r w:rsidR="008057B2" w:rsidRPr="00D96F8E">
          <w:rPr>
            <w:rStyle w:val="Hyperlink"/>
            <w:noProof/>
          </w:rPr>
          <w:t>Services in operation – fixed</w:t>
        </w:r>
        <w:r w:rsidR="008057B2">
          <w:rPr>
            <w:noProof/>
            <w:webHidden/>
          </w:rPr>
          <w:tab/>
        </w:r>
        <w:r w:rsidR="008057B2">
          <w:rPr>
            <w:noProof/>
            <w:webHidden/>
          </w:rPr>
          <w:fldChar w:fldCharType="begin"/>
        </w:r>
        <w:r w:rsidR="008057B2">
          <w:rPr>
            <w:noProof/>
            <w:webHidden/>
          </w:rPr>
          <w:instrText xml:space="preserve"> PAGEREF _Toc529783726 \h </w:instrText>
        </w:r>
        <w:r w:rsidR="008057B2">
          <w:rPr>
            <w:noProof/>
            <w:webHidden/>
          </w:rPr>
        </w:r>
        <w:r w:rsidR="008057B2">
          <w:rPr>
            <w:noProof/>
            <w:webHidden/>
          </w:rPr>
          <w:fldChar w:fldCharType="separate"/>
        </w:r>
        <w:r w:rsidR="00241613">
          <w:rPr>
            <w:noProof/>
            <w:webHidden/>
          </w:rPr>
          <w:t>9</w:t>
        </w:r>
        <w:r w:rsidR="008057B2">
          <w:rPr>
            <w:noProof/>
            <w:webHidden/>
          </w:rPr>
          <w:fldChar w:fldCharType="end"/>
        </w:r>
      </w:hyperlink>
    </w:p>
    <w:p w14:paraId="0DECCA68" w14:textId="77777777" w:rsidR="008057B2" w:rsidRDefault="009B11CC" w:rsidP="00F42B19">
      <w:pPr>
        <w:pStyle w:val="TOC3"/>
        <w:ind w:left="709"/>
        <w:rPr>
          <w:noProof/>
          <w:lang w:eastAsia="en-AU"/>
        </w:rPr>
      </w:pPr>
      <w:hyperlink w:anchor="_Toc529783727" w:history="1">
        <w:r w:rsidR="008057B2" w:rsidRPr="00D96F8E">
          <w:rPr>
            <w:rStyle w:val="Hyperlink"/>
            <w:noProof/>
          </w:rPr>
          <w:t>Services in operation – payphones</w:t>
        </w:r>
        <w:r w:rsidR="008057B2">
          <w:rPr>
            <w:noProof/>
            <w:webHidden/>
          </w:rPr>
          <w:tab/>
        </w:r>
        <w:r w:rsidR="008057B2">
          <w:rPr>
            <w:noProof/>
            <w:webHidden/>
          </w:rPr>
          <w:fldChar w:fldCharType="begin"/>
        </w:r>
        <w:r w:rsidR="008057B2">
          <w:rPr>
            <w:noProof/>
            <w:webHidden/>
          </w:rPr>
          <w:instrText xml:space="preserve"> PAGEREF _Toc529783727 \h </w:instrText>
        </w:r>
        <w:r w:rsidR="008057B2">
          <w:rPr>
            <w:noProof/>
            <w:webHidden/>
          </w:rPr>
        </w:r>
        <w:r w:rsidR="008057B2">
          <w:rPr>
            <w:noProof/>
            <w:webHidden/>
          </w:rPr>
          <w:fldChar w:fldCharType="separate"/>
        </w:r>
        <w:r w:rsidR="00241613">
          <w:rPr>
            <w:noProof/>
            <w:webHidden/>
          </w:rPr>
          <w:t>11</w:t>
        </w:r>
        <w:r w:rsidR="008057B2">
          <w:rPr>
            <w:noProof/>
            <w:webHidden/>
          </w:rPr>
          <w:fldChar w:fldCharType="end"/>
        </w:r>
      </w:hyperlink>
    </w:p>
    <w:p w14:paraId="0DECCA69" w14:textId="77777777" w:rsidR="008057B2" w:rsidRDefault="009B11CC" w:rsidP="00F42B19">
      <w:pPr>
        <w:pStyle w:val="TOC3"/>
        <w:ind w:left="709"/>
        <w:rPr>
          <w:noProof/>
          <w:lang w:eastAsia="en-AU"/>
        </w:rPr>
      </w:pPr>
      <w:hyperlink w:anchor="_Toc529783728" w:history="1">
        <w:r w:rsidR="008057B2" w:rsidRPr="00D96F8E">
          <w:rPr>
            <w:rStyle w:val="Hyperlink"/>
            <w:noProof/>
          </w:rPr>
          <w:t>Delivery technologies</w:t>
        </w:r>
        <w:r w:rsidR="008057B2">
          <w:rPr>
            <w:noProof/>
            <w:webHidden/>
          </w:rPr>
          <w:tab/>
        </w:r>
        <w:r w:rsidR="008057B2">
          <w:rPr>
            <w:noProof/>
            <w:webHidden/>
          </w:rPr>
          <w:fldChar w:fldCharType="begin"/>
        </w:r>
        <w:r w:rsidR="008057B2">
          <w:rPr>
            <w:noProof/>
            <w:webHidden/>
          </w:rPr>
          <w:instrText xml:space="preserve"> PAGEREF _Toc529783728 \h </w:instrText>
        </w:r>
        <w:r w:rsidR="008057B2">
          <w:rPr>
            <w:noProof/>
            <w:webHidden/>
          </w:rPr>
        </w:r>
        <w:r w:rsidR="008057B2">
          <w:rPr>
            <w:noProof/>
            <w:webHidden/>
          </w:rPr>
          <w:fldChar w:fldCharType="separate"/>
        </w:r>
        <w:r w:rsidR="00241613">
          <w:rPr>
            <w:noProof/>
            <w:webHidden/>
          </w:rPr>
          <w:t>13</w:t>
        </w:r>
        <w:r w:rsidR="008057B2">
          <w:rPr>
            <w:noProof/>
            <w:webHidden/>
          </w:rPr>
          <w:fldChar w:fldCharType="end"/>
        </w:r>
      </w:hyperlink>
    </w:p>
    <w:p w14:paraId="0DECCA6A" w14:textId="77777777" w:rsidR="008057B2" w:rsidRDefault="009B11CC" w:rsidP="00F42B19">
      <w:pPr>
        <w:pStyle w:val="TOC3"/>
        <w:ind w:left="709"/>
        <w:rPr>
          <w:noProof/>
          <w:lang w:eastAsia="en-AU"/>
        </w:rPr>
      </w:pPr>
      <w:hyperlink w:anchor="_Toc529783729" w:history="1">
        <w:r w:rsidR="008057B2" w:rsidRPr="00D96F8E">
          <w:rPr>
            <w:rStyle w:val="Hyperlink"/>
            <w:noProof/>
          </w:rPr>
          <w:t>Voice quality and reliability</w:t>
        </w:r>
        <w:r w:rsidR="008057B2">
          <w:rPr>
            <w:noProof/>
            <w:webHidden/>
          </w:rPr>
          <w:tab/>
        </w:r>
        <w:r w:rsidR="008057B2">
          <w:rPr>
            <w:noProof/>
            <w:webHidden/>
          </w:rPr>
          <w:fldChar w:fldCharType="begin"/>
        </w:r>
        <w:r w:rsidR="008057B2">
          <w:rPr>
            <w:noProof/>
            <w:webHidden/>
          </w:rPr>
          <w:instrText xml:space="preserve"> PAGEREF _Toc529783729 \h </w:instrText>
        </w:r>
        <w:r w:rsidR="008057B2">
          <w:rPr>
            <w:noProof/>
            <w:webHidden/>
          </w:rPr>
        </w:r>
        <w:r w:rsidR="008057B2">
          <w:rPr>
            <w:noProof/>
            <w:webHidden/>
          </w:rPr>
          <w:fldChar w:fldCharType="separate"/>
        </w:r>
        <w:r w:rsidR="00241613">
          <w:rPr>
            <w:noProof/>
            <w:webHidden/>
          </w:rPr>
          <w:t>15</w:t>
        </w:r>
        <w:r w:rsidR="008057B2">
          <w:rPr>
            <w:noProof/>
            <w:webHidden/>
          </w:rPr>
          <w:fldChar w:fldCharType="end"/>
        </w:r>
      </w:hyperlink>
    </w:p>
    <w:p w14:paraId="0DECCA6B" w14:textId="77777777" w:rsidR="008057B2" w:rsidRDefault="009B11CC" w:rsidP="00F42B19">
      <w:pPr>
        <w:pStyle w:val="TOC3"/>
        <w:ind w:left="709"/>
        <w:rPr>
          <w:noProof/>
          <w:lang w:eastAsia="en-AU"/>
        </w:rPr>
      </w:pPr>
      <w:hyperlink w:anchor="_Toc529783730" w:history="1">
        <w:r w:rsidR="008057B2" w:rsidRPr="00D96F8E">
          <w:rPr>
            <w:rStyle w:val="Hyperlink"/>
            <w:noProof/>
          </w:rPr>
          <w:t>Cost modelling of fixed voice services</w:t>
        </w:r>
        <w:r w:rsidR="008057B2">
          <w:rPr>
            <w:noProof/>
            <w:webHidden/>
          </w:rPr>
          <w:tab/>
        </w:r>
        <w:r w:rsidR="008057B2">
          <w:rPr>
            <w:noProof/>
            <w:webHidden/>
          </w:rPr>
          <w:fldChar w:fldCharType="begin"/>
        </w:r>
        <w:r w:rsidR="008057B2">
          <w:rPr>
            <w:noProof/>
            <w:webHidden/>
          </w:rPr>
          <w:instrText xml:space="preserve"> PAGEREF _Toc529783730 \h </w:instrText>
        </w:r>
        <w:r w:rsidR="008057B2">
          <w:rPr>
            <w:noProof/>
            <w:webHidden/>
          </w:rPr>
        </w:r>
        <w:r w:rsidR="008057B2">
          <w:rPr>
            <w:noProof/>
            <w:webHidden/>
          </w:rPr>
          <w:fldChar w:fldCharType="separate"/>
        </w:r>
        <w:r w:rsidR="00241613">
          <w:rPr>
            <w:noProof/>
            <w:webHidden/>
          </w:rPr>
          <w:t>16</w:t>
        </w:r>
        <w:r w:rsidR="008057B2">
          <w:rPr>
            <w:noProof/>
            <w:webHidden/>
          </w:rPr>
          <w:fldChar w:fldCharType="end"/>
        </w:r>
      </w:hyperlink>
    </w:p>
    <w:p w14:paraId="0DECCA6C" w14:textId="77777777" w:rsidR="008057B2" w:rsidRDefault="009B11CC" w:rsidP="00F42B19">
      <w:pPr>
        <w:pStyle w:val="TOC3"/>
        <w:ind w:left="709"/>
        <w:rPr>
          <w:noProof/>
          <w:lang w:eastAsia="en-AU"/>
        </w:rPr>
      </w:pPr>
      <w:hyperlink w:anchor="_Toc529783731" w:history="1">
        <w:r w:rsidR="008057B2" w:rsidRPr="00D96F8E">
          <w:rPr>
            <w:rStyle w:val="Hyperlink"/>
            <w:noProof/>
          </w:rPr>
          <w:t>Potential impact of USO reform on NBN Co</w:t>
        </w:r>
        <w:r w:rsidR="008057B2">
          <w:rPr>
            <w:noProof/>
            <w:webHidden/>
          </w:rPr>
          <w:tab/>
        </w:r>
        <w:r w:rsidR="008057B2">
          <w:rPr>
            <w:noProof/>
            <w:webHidden/>
          </w:rPr>
          <w:fldChar w:fldCharType="begin"/>
        </w:r>
        <w:r w:rsidR="008057B2">
          <w:rPr>
            <w:noProof/>
            <w:webHidden/>
          </w:rPr>
          <w:instrText xml:space="preserve"> PAGEREF _Toc529783731 \h </w:instrText>
        </w:r>
        <w:r w:rsidR="008057B2">
          <w:rPr>
            <w:noProof/>
            <w:webHidden/>
          </w:rPr>
        </w:r>
        <w:r w:rsidR="008057B2">
          <w:rPr>
            <w:noProof/>
            <w:webHidden/>
          </w:rPr>
          <w:fldChar w:fldCharType="separate"/>
        </w:r>
        <w:r w:rsidR="00241613">
          <w:rPr>
            <w:noProof/>
            <w:webHidden/>
          </w:rPr>
          <w:t>17</w:t>
        </w:r>
        <w:r w:rsidR="008057B2">
          <w:rPr>
            <w:noProof/>
            <w:webHidden/>
          </w:rPr>
          <w:fldChar w:fldCharType="end"/>
        </w:r>
      </w:hyperlink>
    </w:p>
    <w:p w14:paraId="0DECCA6D" w14:textId="77777777" w:rsidR="008057B2" w:rsidRDefault="009B11CC" w:rsidP="00F42B19">
      <w:pPr>
        <w:pStyle w:val="TOC3"/>
        <w:ind w:left="709"/>
        <w:rPr>
          <w:noProof/>
          <w:lang w:eastAsia="en-AU"/>
        </w:rPr>
      </w:pPr>
      <w:hyperlink w:anchor="_Toc529783732" w:history="1">
        <w:r w:rsidR="008057B2" w:rsidRPr="00D96F8E">
          <w:rPr>
            <w:rStyle w:val="Hyperlink"/>
            <w:noProof/>
          </w:rPr>
          <w:t>Cost modelling of payphone services</w:t>
        </w:r>
        <w:r w:rsidR="008057B2">
          <w:rPr>
            <w:noProof/>
            <w:webHidden/>
          </w:rPr>
          <w:tab/>
        </w:r>
        <w:r w:rsidR="008057B2">
          <w:rPr>
            <w:noProof/>
            <w:webHidden/>
          </w:rPr>
          <w:fldChar w:fldCharType="begin"/>
        </w:r>
        <w:r w:rsidR="008057B2">
          <w:rPr>
            <w:noProof/>
            <w:webHidden/>
          </w:rPr>
          <w:instrText xml:space="preserve"> PAGEREF _Toc529783732 \h </w:instrText>
        </w:r>
        <w:r w:rsidR="008057B2">
          <w:rPr>
            <w:noProof/>
            <w:webHidden/>
          </w:rPr>
        </w:r>
        <w:r w:rsidR="008057B2">
          <w:rPr>
            <w:noProof/>
            <w:webHidden/>
          </w:rPr>
          <w:fldChar w:fldCharType="separate"/>
        </w:r>
        <w:r w:rsidR="00241613">
          <w:rPr>
            <w:noProof/>
            <w:webHidden/>
          </w:rPr>
          <w:t>18</w:t>
        </w:r>
        <w:r w:rsidR="008057B2">
          <w:rPr>
            <w:noProof/>
            <w:webHidden/>
          </w:rPr>
          <w:fldChar w:fldCharType="end"/>
        </w:r>
      </w:hyperlink>
    </w:p>
    <w:p w14:paraId="0DECCA6E" w14:textId="77777777" w:rsidR="008057B2" w:rsidRDefault="009B11CC" w:rsidP="00F42B19">
      <w:pPr>
        <w:pStyle w:val="TOC3"/>
        <w:ind w:left="709"/>
        <w:rPr>
          <w:noProof/>
          <w:lang w:eastAsia="en-AU"/>
        </w:rPr>
      </w:pPr>
      <w:hyperlink w:anchor="_Toc529783733" w:history="1">
        <w:r w:rsidR="008057B2" w:rsidRPr="00D96F8E">
          <w:rPr>
            <w:rStyle w:val="Hyperlink"/>
            <w:noProof/>
          </w:rPr>
          <w:t>Comparable developments in other key countries</w:t>
        </w:r>
        <w:r w:rsidR="008057B2">
          <w:rPr>
            <w:noProof/>
            <w:webHidden/>
          </w:rPr>
          <w:tab/>
        </w:r>
        <w:r w:rsidR="008057B2">
          <w:rPr>
            <w:noProof/>
            <w:webHidden/>
          </w:rPr>
          <w:fldChar w:fldCharType="begin"/>
        </w:r>
        <w:r w:rsidR="008057B2">
          <w:rPr>
            <w:noProof/>
            <w:webHidden/>
          </w:rPr>
          <w:instrText xml:space="preserve"> PAGEREF _Toc529783733 \h </w:instrText>
        </w:r>
        <w:r w:rsidR="008057B2">
          <w:rPr>
            <w:noProof/>
            <w:webHidden/>
          </w:rPr>
        </w:r>
        <w:r w:rsidR="008057B2">
          <w:rPr>
            <w:noProof/>
            <w:webHidden/>
          </w:rPr>
          <w:fldChar w:fldCharType="separate"/>
        </w:r>
        <w:r w:rsidR="00241613">
          <w:rPr>
            <w:noProof/>
            <w:webHidden/>
          </w:rPr>
          <w:t>18</w:t>
        </w:r>
        <w:r w:rsidR="008057B2">
          <w:rPr>
            <w:noProof/>
            <w:webHidden/>
          </w:rPr>
          <w:fldChar w:fldCharType="end"/>
        </w:r>
      </w:hyperlink>
    </w:p>
    <w:p w14:paraId="0DECCA6F" w14:textId="77777777" w:rsidR="008057B2" w:rsidRDefault="009B11CC" w:rsidP="00F42B19">
      <w:pPr>
        <w:pStyle w:val="TOC3"/>
        <w:ind w:left="709"/>
        <w:rPr>
          <w:noProof/>
          <w:lang w:eastAsia="en-AU"/>
        </w:rPr>
      </w:pPr>
      <w:hyperlink w:anchor="_Toc529783734" w:history="1">
        <w:r w:rsidR="008057B2" w:rsidRPr="00D96F8E">
          <w:rPr>
            <w:rStyle w:val="Hyperlink"/>
            <w:noProof/>
          </w:rPr>
          <w:t>Potential contestability models</w:t>
        </w:r>
        <w:r w:rsidR="008057B2">
          <w:rPr>
            <w:noProof/>
            <w:webHidden/>
          </w:rPr>
          <w:tab/>
        </w:r>
        <w:r w:rsidR="008057B2">
          <w:rPr>
            <w:noProof/>
            <w:webHidden/>
          </w:rPr>
          <w:fldChar w:fldCharType="begin"/>
        </w:r>
        <w:r w:rsidR="008057B2">
          <w:rPr>
            <w:noProof/>
            <w:webHidden/>
          </w:rPr>
          <w:instrText xml:space="preserve"> PAGEREF _Toc529783734 \h </w:instrText>
        </w:r>
        <w:r w:rsidR="008057B2">
          <w:rPr>
            <w:noProof/>
            <w:webHidden/>
          </w:rPr>
        </w:r>
        <w:r w:rsidR="008057B2">
          <w:rPr>
            <w:noProof/>
            <w:webHidden/>
          </w:rPr>
          <w:fldChar w:fldCharType="separate"/>
        </w:r>
        <w:r w:rsidR="00241613">
          <w:rPr>
            <w:noProof/>
            <w:webHidden/>
          </w:rPr>
          <w:t>19</w:t>
        </w:r>
        <w:r w:rsidR="008057B2">
          <w:rPr>
            <w:noProof/>
            <w:webHidden/>
          </w:rPr>
          <w:fldChar w:fldCharType="end"/>
        </w:r>
      </w:hyperlink>
    </w:p>
    <w:p w14:paraId="0DECCA70" w14:textId="77777777" w:rsidR="008057B2" w:rsidRDefault="009B11CC" w:rsidP="00F42B19">
      <w:pPr>
        <w:pStyle w:val="TOC3"/>
        <w:ind w:left="709"/>
        <w:rPr>
          <w:noProof/>
          <w:lang w:eastAsia="en-AU"/>
        </w:rPr>
      </w:pPr>
      <w:hyperlink w:anchor="_Toc529783735" w:history="1">
        <w:r w:rsidR="008057B2" w:rsidRPr="00D96F8E">
          <w:rPr>
            <w:rStyle w:val="Hyperlink"/>
            <w:noProof/>
          </w:rPr>
          <w:t>Potential legislative and regulatory change</w:t>
        </w:r>
        <w:r w:rsidR="008057B2">
          <w:rPr>
            <w:noProof/>
            <w:webHidden/>
          </w:rPr>
          <w:tab/>
        </w:r>
        <w:r w:rsidR="008057B2">
          <w:rPr>
            <w:noProof/>
            <w:webHidden/>
          </w:rPr>
          <w:fldChar w:fldCharType="begin"/>
        </w:r>
        <w:r w:rsidR="008057B2">
          <w:rPr>
            <w:noProof/>
            <w:webHidden/>
          </w:rPr>
          <w:instrText xml:space="preserve"> PAGEREF _Toc529783735 \h </w:instrText>
        </w:r>
        <w:r w:rsidR="008057B2">
          <w:rPr>
            <w:noProof/>
            <w:webHidden/>
          </w:rPr>
        </w:r>
        <w:r w:rsidR="008057B2">
          <w:rPr>
            <w:noProof/>
            <w:webHidden/>
          </w:rPr>
          <w:fldChar w:fldCharType="separate"/>
        </w:r>
        <w:r w:rsidR="00241613">
          <w:rPr>
            <w:noProof/>
            <w:webHidden/>
          </w:rPr>
          <w:t>20</w:t>
        </w:r>
        <w:r w:rsidR="008057B2">
          <w:rPr>
            <w:noProof/>
            <w:webHidden/>
          </w:rPr>
          <w:fldChar w:fldCharType="end"/>
        </w:r>
      </w:hyperlink>
    </w:p>
    <w:p w14:paraId="0DECCA71" w14:textId="77777777" w:rsidR="008057B2" w:rsidRDefault="009B11CC" w:rsidP="00F42B19">
      <w:pPr>
        <w:pStyle w:val="TOC3"/>
        <w:ind w:left="709"/>
        <w:rPr>
          <w:noProof/>
          <w:lang w:eastAsia="en-AU"/>
        </w:rPr>
      </w:pPr>
      <w:hyperlink w:anchor="_Toc529783736" w:history="1">
        <w:r w:rsidR="008057B2" w:rsidRPr="00D96F8E">
          <w:rPr>
            <w:rStyle w:val="Hyperlink"/>
            <w:noProof/>
          </w:rPr>
          <w:t>Likely evolution of the current market place absent further intervention</w:t>
        </w:r>
        <w:r w:rsidR="008057B2">
          <w:rPr>
            <w:noProof/>
            <w:webHidden/>
          </w:rPr>
          <w:tab/>
        </w:r>
        <w:r w:rsidR="008057B2">
          <w:rPr>
            <w:noProof/>
            <w:webHidden/>
          </w:rPr>
          <w:fldChar w:fldCharType="begin"/>
        </w:r>
        <w:r w:rsidR="008057B2">
          <w:rPr>
            <w:noProof/>
            <w:webHidden/>
          </w:rPr>
          <w:instrText xml:space="preserve"> PAGEREF _Toc529783736 \h </w:instrText>
        </w:r>
        <w:r w:rsidR="008057B2">
          <w:rPr>
            <w:noProof/>
            <w:webHidden/>
          </w:rPr>
        </w:r>
        <w:r w:rsidR="008057B2">
          <w:rPr>
            <w:noProof/>
            <w:webHidden/>
          </w:rPr>
          <w:fldChar w:fldCharType="separate"/>
        </w:r>
        <w:r w:rsidR="00241613">
          <w:rPr>
            <w:noProof/>
            <w:webHidden/>
          </w:rPr>
          <w:t>21</w:t>
        </w:r>
        <w:r w:rsidR="008057B2">
          <w:rPr>
            <w:noProof/>
            <w:webHidden/>
          </w:rPr>
          <w:fldChar w:fldCharType="end"/>
        </w:r>
      </w:hyperlink>
    </w:p>
    <w:p w14:paraId="0DECCA72" w14:textId="77777777" w:rsidR="008057B2" w:rsidRDefault="009B11CC" w:rsidP="00F42B19">
      <w:pPr>
        <w:pStyle w:val="TOC3"/>
        <w:ind w:left="709"/>
        <w:rPr>
          <w:noProof/>
          <w:lang w:eastAsia="en-AU"/>
        </w:rPr>
      </w:pPr>
      <w:hyperlink w:anchor="_Toc529783737" w:history="1">
        <w:r w:rsidR="008057B2" w:rsidRPr="00D96F8E">
          <w:rPr>
            <w:rStyle w:val="Hyperlink"/>
            <w:noProof/>
          </w:rPr>
          <w:t>Stakeholder consultation</w:t>
        </w:r>
        <w:r w:rsidR="008057B2">
          <w:rPr>
            <w:noProof/>
            <w:webHidden/>
          </w:rPr>
          <w:tab/>
        </w:r>
        <w:r w:rsidR="008057B2">
          <w:rPr>
            <w:noProof/>
            <w:webHidden/>
          </w:rPr>
          <w:fldChar w:fldCharType="begin"/>
        </w:r>
        <w:r w:rsidR="008057B2">
          <w:rPr>
            <w:noProof/>
            <w:webHidden/>
          </w:rPr>
          <w:instrText xml:space="preserve"> PAGEREF _Toc529783737 \h </w:instrText>
        </w:r>
        <w:r w:rsidR="008057B2">
          <w:rPr>
            <w:noProof/>
            <w:webHidden/>
          </w:rPr>
        </w:r>
        <w:r w:rsidR="008057B2">
          <w:rPr>
            <w:noProof/>
            <w:webHidden/>
          </w:rPr>
          <w:fldChar w:fldCharType="separate"/>
        </w:r>
        <w:r w:rsidR="00241613">
          <w:rPr>
            <w:noProof/>
            <w:webHidden/>
          </w:rPr>
          <w:t>21</w:t>
        </w:r>
        <w:r w:rsidR="008057B2">
          <w:rPr>
            <w:noProof/>
            <w:webHidden/>
          </w:rPr>
          <w:fldChar w:fldCharType="end"/>
        </w:r>
      </w:hyperlink>
    </w:p>
    <w:p w14:paraId="0DECCA73" w14:textId="77777777" w:rsidR="008057B2" w:rsidRDefault="009B11CC" w:rsidP="008514F3">
      <w:pPr>
        <w:pStyle w:val="TOC2"/>
        <w:rPr>
          <w:lang w:eastAsia="en-AU"/>
        </w:rPr>
      </w:pPr>
      <w:hyperlink w:anchor="_Toc529783738" w:history="1">
        <w:r w:rsidR="008057B2" w:rsidRPr="008514F3">
          <w:rPr>
            <w:rStyle w:val="Hyperlink"/>
          </w:rPr>
          <w:t>4. Conclusions</w:t>
        </w:r>
        <w:r w:rsidR="008057B2">
          <w:rPr>
            <w:webHidden/>
          </w:rPr>
          <w:tab/>
        </w:r>
        <w:r w:rsidR="008057B2">
          <w:rPr>
            <w:webHidden/>
          </w:rPr>
          <w:fldChar w:fldCharType="begin"/>
        </w:r>
        <w:r w:rsidR="008057B2">
          <w:rPr>
            <w:webHidden/>
          </w:rPr>
          <w:instrText xml:space="preserve"> PAGEREF _Toc529783738 \h </w:instrText>
        </w:r>
        <w:r w:rsidR="008057B2">
          <w:rPr>
            <w:webHidden/>
          </w:rPr>
        </w:r>
        <w:r w:rsidR="008057B2">
          <w:rPr>
            <w:webHidden/>
          </w:rPr>
          <w:fldChar w:fldCharType="separate"/>
        </w:r>
        <w:r w:rsidR="00241613">
          <w:rPr>
            <w:webHidden/>
          </w:rPr>
          <w:t>23</w:t>
        </w:r>
        <w:r w:rsidR="008057B2">
          <w:rPr>
            <w:webHidden/>
          </w:rPr>
          <w:fldChar w:fldCharType="end"/>
        </w:r>
      </w:hyperlink>
    </w:p>
    <w:p w14:paraId="0DECCA74" w14:textId="77777777" w:rsidR="008057B2" w:rsidRDefault="009B11CC" w:rsidP="00F42B19">
      <w:pPr>
        <w:pStyle w:val="TOC3"/>
        <w:ind w:left="709"/>
        <w:rPr>
          <w:noProof/>
          <w:lang w:eastAsia="en-AU"/>
        </w:rPr>
      </w:pPr>
      <w:hyperlink w:anchor="_Toc529783739" w:history="1">
        <w:r w:rsidR="008057B2" w:rsidRPr="00D96F8E">
          <w:rPr>
            <w:rStyle w:val="Hyperlink"/>
            <w:noProof/>
          </w:rPr>
          <w:t>Voice services</w:t>
        </w:r>
        <w:r w:rsidR="008057B2">
          <w:rPr>
            <w:noProof/>
            <w:webHidden/>
          </w:rPr>
          <w:tab/>
        </w:r>
        <w:r w:rsidR="008057B2">
          <w:rPr>
            <w:noProof/>
            <w:webHidden/>
          </w:rPr>
          <w:fldChar w:fldCharType="begin"/>
        </w:r>
        <w:r w:rsidR="008057B2">
          <w:rPr>
            <w:noProof/>
            <w:webHidden/>
          </w:rPr>
          <w:instrText xml:space="preserve"> PAGEREF _Toc529783739 \h </w:instrText>
        </w:r>
        <w:r w:rsidR="008057B2">
          <w:rPr>
            <w:noProof/>
            <w:webHidden/>
          </w:rPr>
        </w:r>
        <w:r w:rsidR="008057B2">
          <w:rPr>
            <w:noProof/>
            <w:webHidden/>
          </w:rPr>
          <w:fldChar w:fldCharType="separate"/>
        </w:r>
        <w:r w:rsidR="00241613">
          <w:rPr>
            <w:noProof/>
            <w:webHidden/>
          </w:rPr>
          <w:t>23</w:t>
        </w:r>
        <w:r w:rsidR="008057B2">
          <w:rPr>
            <w:noProof/>
            <w:webHidden/>
          </w:rPr>
          <w:fldChar w:fldCharType="end"/>
        </w:r>
      </w:hyperlink>
    </w:p>
    <w:p w14:paraId="0DECCA75" w14:textId="77777777" w:rsidR="008057B2" w:rsidRDefault="009B11CC" w:rsidP="00F42B19">
      <w:pPr>
        <w:pStyle w:val="TOC3"/>
        <w:ind w:left="709"/>
        <w:rPr>
          <w:noProof/>
          <w:lang w:eastAsia="en-AU"/>
        </w:rPr>
      </w:pPr>
      <w:hyperlink w:anchor="_Toc529783740" w:history="1">
        <w:r w:rsidR="008057B2" w:rsidRPr="00D96F8E">
          <w:rPr>
            <w:rStyle w:val="Hyperlink"/>
            <w:noProof/>
          </w:rPr>
          <w:t>Payphones</w:t>
        </w:r>
        <w:r w:rsidR="008057B2">
          <w:rPr>
            <w:noProof/>
            <w:webHidden/>
          </w:rPr>
          <w:tab/>
        </w:r>
        <w:r w:rsidR="008057B2">
          <w:rPr>
            <w:noProof/>
            <w:webHidden/>
          </w:rPr>
          <w:fldChar w:fldCharType="begin"/>
        </w:r>
        <w:r w:rsidR="008057B2">
          <w:rPr>
            <w:noProof/>
            <w:webHidden/>
          </w:rPr>
          <w:instrText xml:space="preserve"> PAGEREF _Toc529783740 \h </w:instrText>
        </w:r>
        <w:r w:rsidR="008057B2">
          <w:rPr>
            <w:noProof/>
            <w:webHidden/>
          </w:rPr>
        </w:r>
        <w:r w:rsidR="008057B2">
          <w:rPr>
            <w:noProof/>
            <w:webHidden/>
          </w:rPr>
          <w:fldChar w:fldCharType="separate"/>
        </w:r>
        <w:r w:rsidR="00241613">
          <w:rPr>
            <w:noProof/>
            <w:webHidden/>
          </w:rPr>
          <w:t>24</w:t>
        </w:r>
        <w:r w:rsidR="008057B2">
          <w:rPr>
            <w:noProof/>
            <w:webHidden/>
          </w:rPr>
          <w:fldChar w:fldCharType="end"/>
        </w:r>
      </w:hyperlink>
    </w:p>
    <w:p w14:paraId="0DECCA76" w14:textId="77777777" w:rsidR="008057B2" w:rsidRDefault="009B11CC" w:rsidP="00F42B19">
      <w:pPr>
        <w:pStyle w:val="TOC3"/>
        <w:ind w:left="709"/>
        <w:rPr>
          <w:noProof/>
          <w:lang w:eastAsia="en-AU"/>
        </w:rPr>
      </w:pPr>
      <w:hyperlink w:anchor="_Toc529783741" w:history="1">
        <w:r w:rsidR="008057B2" w:rsidRPr="00D96F8E">
          <w:rPr>
            <w:rStyle w:val="Hyperlink"/>
            <w:noProof/>
          </w:rPr>
          <w:t>Next steps</w:t>
        </w:r>
        <w:r w:rsidR="008057B2">
          <w:rPr>
            <w:noProof/>
            <w:webHidden/>
          </w:rPr>
          <w:tab/>
        </w:r>
        <w:r w:rsidR="008057B2">
          <w:rPr>
            <w:noProof/>
            <w:webHidden/>
          </w:rPr>
          <w:fldChar w:fldCharType="begin"/>
        </w:r>
        <w:r w:rsidR="008057B2">
          <w:rPr>
            <w:noProof/>
            <w:webHidden/>
          </w:rPr>
          <w:instrText xml:space="preserve"> PAGEREF _Toc529783741 \h </w:instrText>
        </w:r>
        <w:r w:rsidR="008057B2">
          <w:rPr>
            <w:noProof/>
            <w:webHidden/>
          </w:rPr>
        </w:r>
        <w:r w:rsidR="008057B2">
          <w:rPr>
            <w:noProof/>
            <w:webHidden/>
          </w:rPr>
          <w:fldChar w:fldCharType="separate"/>
        </w:r>
        <w:r w:rsidR="00241613">
          <w:rPr>
            <w:noProof/>
            <w:webHidden/>
          </w:rPr>
          <w:t>24</w:t>
        </w:r>
        <w:r w:rsidR="008057B2">
          <w:rPr>
            <w:noProof/>
            <w:webHidden/>
          </w:rPr>
          <w:fldChar w:fldCharType="end"/>
        </w:r>
      </w:hyperlink>
    </w:p>
    <w:p w14:paraId="0DECCA77" w14:textId="77777777" w:rsidR="008057B2" w:rsidRDefault="009B11CC" w:rsidP="008514F3">
      <w:pPr>
        <w:pStyle w:val="TOC2"/>
        <w:rPr>
          <w:lang w:eastAsia="en-AU"/>
        </w:rPr>
      </w:pPr>
      <w:hyperlink w:anchor="_Toc529783742" w:history="1">
        <w:r w:rsidR="008057B2" w:rsidRPr="008514F3">
          <w:rPr>
            <w:rStyle w:val="Hyperlink"/>
          </w:rPr>
          <w:t>Appendix 1: Stakeholder consultation</w:t>
        </w:r>
        <w:r w:rsidR="008057B2">
          <w:rPr>
            <w:webHidden/>
          </w:rPr>
          <w:tab/>
        </w:r>
        <w:r w:rsidR="008057B2">
          <w:rPr>
            <w:webHidden/>
          </w:rPr>
          <w:fldChar w:fldCharType="begin"/>
        </w:r>
        <w:r w:rsidR="008057B2">
          <w:rPr>
            <w:webHidden/>
          </w:rPr>
          <w:instrText xml:space="preserve"> PAGEREF _Toc529783742 \h </w:instrText>
        </w:r>
        <w:r w:rsidR="008057B2">
          <w:rPr>
            <w:webHidden/>
          </w:rPr>
        </w:r>
        <w:r w:rsidR="008057B2">
          <w:rPr>
            <w:webHidden/>
          </w:rPr>
          <w:fldChar w:fldCharType="separate"/>
        </w:r>
        <w:r w:rsidR="00241613">
          <w:rPr>
            <w:webHidden/>
          </w:rPr>
          <w:t>26</w:t>
        </w:r>
        <w:r w:rsidR="008057B2">
          <w:rPr>
            <w:webHidden/>
          </w:rPr>
          <w:fldChar w:fldCharType="end"/>
        </w:r>
      </w:hyperlink>
    </w:p>
    <w:p w14:paraId="0DECCA78" w14:textId="77777777" w:rsidR="00597F9B" w:rsidRPr="00CD63F5" w:rsidRDefault="008057B2" w:rsidP="008057B2">
      <w:pPr>
        <w:rPr>
          <w:lang w:eastAsia="en-US"/>
        </w:rPr>
      </w:pPr>
      <w:r>
        <w:rPr>
          <w:b/>
          <w:color w:val="0F293A"/>
          <w:sz w:val="24"/>
          <w:lang w:eastAsia="en-US"/>
        </w:rPr>
        <w:fldChar w:fldCharType="end"/>
      </w:r>
    </w:p>
    <w:p w14:paraId="0DECCA79" w14:textId="77777777" w:rsidR="00400E77" w:rsidRPr="00CD63F5" w:rsidRDefault="00400E77" w:rsidP="00625397">
      <w:pPr>
        <w:rPr>
          <w:lang w:eastAsia="en-US"/>
        </w:rPr>
      </w:pPr>
      <w:r w:rsidRPr="00CD63F5">
        <w:rPr>
          <w:lang w:eastAsia="en-US"/>
        </w:rPr>
        <w:br w:type="page"/>
      </w:r>
    </w:p>
    <w:p w14:paraId="0DECCA7A" w14:textId="77777777" w:rsidR="00AF34B6" w:rsidRDefault="00AF34B6" w:rsidP="007B0CE6">
      <w:pPr>
        <w:pStyle w:val="Heading2"/>
        <w:spacing w:after="240"/>
      </w:pPr>
      <w:bookmarkStart w:id="13" w:name="_Toc529783715"/>
      <w:bookmarkStart w:id="14" w:name="_Toc519870969"/>
      <w:bookmarkStart w:id="15" w:name="_Toc519586571"/>
      <w:bookmarkStart w:id="16" w:name="_Toc519586752"/>
      <w:bookmarkStart w:id="17" w:name="_Toc519590434"/>
      <w:bookmarkStart w:id="18" w:name="_Toc520291773"/>
      <w:bookmarkStart w:id="19" w:name="_Toc520800313"/>
      <w:bookmarkStart w:id="20" w:name="_Toc520801242"/>
      <w:bookmarkStart w:id="21" w:name="_Toc520803611"/>
      <w:bookmarkStart w:id="22" w:name="_Toc520808176"/>
      <w:bookmarkStart w:id="23" w:name="_Toc520810637"/>
      <w:bookmarkStart w:id="24" w:name="_Toc520810804"/>
      <w:bookmarkStart w:id="25" w:name="_Toc520983346"/>
      <w:bookmarkStart w:id="26" w:name="_Toc520986018"/>
      <w:r>
        <w:lastRenderedPageBreak/>
        <w:t>Abbreviations</w:t>
      </w:r>
      <w:bookmarkEnd w:id="13"/>
    </w:p>
    <w:p w14:paraId="0DECCA7B" w14:textId="77777777" w:rsidR="00D26F5C" w:rsidRDefault="00AF34B6" w:rsidP="000A118F">
      <w:pPr>
        <w:spacing w:after="0"/>
      </w:pPr>
      <w:r>
        <w:t>ACMA</w:t>
      </w:r>
      <w:r>
        <w:tab/>
      </w:r>
      <w:r>
        <w:tab/>
        <w:t>Australian Communications and Media Authority</w:t>
      </w:r>
      <w:r>
        <w:br/>
        <w:t>ADSL</w:t>
      </w:r>
      <w:r>
        <w:tab/>
      </w:r>
      <w:r>
        <w:tab/>
        <w:t>Asymmetric Digital Subscriber Line</w:t>
      </w:r>
      <w:r>
        <w:br/>
        <w:t>ANAO</w:t>
      </w:r>
      <w:r>
        <w:tab/>
      </w:r>
      <w:r>
        <w:tab/>
        <w:t>Australian National Audit Office</w:t>
      </w:r>
      <w:r>
        <w:br/>
        <w:t>ATM</w:t>
      </w:r>
      <w:r>
        <w:tab/>
      </w:r>
      <w:r>
        <w:tab/>
      </w:r>
      <w:r w:rsidRPr="004717E6">
        <w:t>Asynchronous Transfer Mode</w:t>
      </w:r>
      <w:r>
        <w:br/>
      </w:r>
      <w:r w:rsidR="009D3FFA">
        <w:t>CSG</w:t>
      </w:r>
      <w:r w:rsidR="009D3FFA">
        <w:tab/>
      </w:r>
      <w:r w:rsidR="009D3FFA">
        <w:tab/>
        <w:t>Customer Service Guarantee</w:t>
      </w:r>
      <w:r>
        <w:br/>
        <w:t>CCO</w:t>
      </w:r>
      <w:r>
        <w:tab/>
      </w:r>
      <w:r>
        <w:tab/>
        <w:t>Copper Continuity Obligation</w:t>
      </w:r>
      <w:r>
        <w:br/>
        <w:t>DSL</w:t>
      </w:r>
      <w:r>
        <w:tab/>
      </w:r>
      <w:r>
        <w:tab/>
        <w:t>D</w:t>
      </w:r>
      <w:r w:rsidRPr="004717E6">
        <w:t xml:space="preserve">igital </w:t>
      </w:r>
      <w:r>
        <w:t>S</w:t>
      </w:r>
      <w:r w:rsidRPr="004717E6">
        <w:t xml:space="preserve">ubscriber </w:t>
      </w:r>
      <w:r>
        <w:t>L</w:t>
      </w:r>
      <w:r w:rsidRPr="004717E6">
        <w:t>ine</w:t>
      </w:r>
      <w:r>
        <w:br/>
        <w:t>GHz</w:t>
      </w:r>
      <w:r>
        <w:tab/>
      </w:r>
      <w:r>
        <w:tab/>
        <w:t>Gigahertz</w:t>
      </w:r>
      <w:r>
        <w:br/>
        <w:t>GST</w:t>
      </w:r>
      <w:r>
        <w:tab/>
      </w:r>
      <w:r>
        <w:tab/>
        <w:t>Goods and Services Tax</w:t>
      </w:r>
      <w:r>
        <w:br/>
        <w:t>HCRC</w:t>
      </w:r>
      <w:r>
        <w:tab/>
      </w:r>
      <w:r>
        <w:tab/>
        <w:t>High Capacity Radio Concentrator</w:t>
      </w:r>
      <w:r>
        <w:br/>
        <w:t>ICPA</w:t>
      </w:r>
      <w:r>
        <w:tab/>
      </w:r>
      <w:r>
        <w:tab/>
        <w:t>Isolated Children’s Parents’ Association</w:t>
      </w:r>
      <w:r>
        <w:br/>
        <w:t>ITU</w:t>
      </w:r>
      <w:r>
        <w:tab/>
      </w:r>
      <w:r>
        <w:tab/>
        <w:t>International Telecommunication Union</w:t>
      </w:r>
      <w:r>
        <w:br/>
        <w:t>MOS</w:t>
      </w:r>
      <w:r>
        <w:tab/>
      </w:r>
      <w:r>
        <w:tab/>
        <w:t>Mean Opinion Score</w:t>
      </w:r>
      <w:r>
        <w:br/>
        <w:t>NBN</w:t>
      </w:r>
      <w:r>
        <w:tab/>
      </w:r>
      <w:r>
        <w:tab/>
      </w:r>
      <w:r w:rsidRPr="0035723C">
        <w:t>National Broadband Network</w:t>
      </w:r>
      <w:r>
        <w:br/>
      </w:r>
      <w:r w:rsidRPr="001E1B35">
        <w:t>Mbps</w:t>
      </w:r>
      <w:r>
        <w:tab/>
      </w:r>
      <w:r>
        <w:tab/>
        <w:t>Megabits per second</w:t>
      </w:r>
      <w:r>
        <w:br/>
        <w:t>NBN Co</w:t>
      </w:r>
      <w:r>
        <w:tab/>
      </w:r>
      <w:r>
        <w:tab/>
      </w:r>
      <w:r w:rsidRPr="0035723C">
        <w:t>National Broadband Network</w:t>
      </w:r>
      <w:r>
        <w:t xml:space="preserve"> Co Limited</w:t>
      </w:r>
      <w:r>
        <w:br/>
        <w:t>NGWL</w:t>
      </w:r>
      <w:r>
        <w:tab/>
      </w:r>
      <w:r>
        <w:tab/>
        <w:t>Next G Wireless Link</w:t>
      </w:r>
      <w:r>
        <w:br/>
        <w:t>PC</w:t>
      </w:r>
      <w:r>
        <w:tab/>
      </w:r>
      <w:r>
        <w:tab/>
        <w:t>Productivity Commission</w:t>
      </w:r>
      <w:r>
        <w:br/>
        <w:t>PSTN</w:t>
      </w:r>
      <w:r>
        <w:tab/>
      </w:r>
      <w:r>
        <w:tab/>
        <w:t>Public-switched telephone network</w:t>
      </w:r>
      <w:r>
        <w:br/>
      </w:r>
      <w:r w:rsidR="00D26F5C">
        <w:t>RBS</w:t>
      </w:r>
      <w:r w:rsidR="00D26F5C">
        <w:tab/>
      </w:r>
      <w:r w:rsidR="00D26F5C">
        <w:tab/>
        <w:t>Regional Broadband Scheme</w:t>
      </w:r>
    </w:p>
    <w:p w14:paraId="0DECCA7C" w14:textId="77777777" w:rsidR="00AF34B6" w:rsidRDefault="00AF34B6" w:rsidP="000A118F">
      <w:pPr>
        <w:spacing w:after="0"/>
      </w:pPr>
      <w:r>
        <w:t>RRRCC</w:t>
      </w:r>
      <w:r>
        <w:tab/>
      </w:r>
      <w:r>
        <w:tab/>
        <w:t>Regional, Rural and Remote Communications Coalition</w:t>
      </w:r>
      <w:r>
        <w:br/>
        <w:t>RTR</w:t>
      </w:r>
      <w:r>
        <w:tab/>
      </w:r>
      <w:r>
        <w:tab/>
        <w:t>Regional Telecommunications Review</w:t>
      </w:r>
      <w:r>
        <w:br/>
        <w:t>SIP</w:t>
      </w:r>
      <w:r>
        <w:tab/>
      </w:r>
      <w:r>
        <w:tab/>
        <w:t>Statutory Infrastructure Provider</w:t>
      </w:r>
      <w:r>
        <w:br/>
        <w:t>SMS</w:t>
      </w:r>
      <w:r>
        <w:tab/>
      </w:r>
      <w:r>
        <w:tab/>
        <w:t>Short message service</w:t>
      </w:r>
      <w:r>
        <w:br/>
      </w:r>
      <w:proofErr w:type="spellStart"/>
      <w:r>
        <w:t>SoE</w:t>
      </w:r>
      <w:proofErr w:type="spellEnd"/>
      <w:r>
        <w:tab/>
      </w:r>
      <w:r>
        <w:tab/>
        <w:t>Statement of Expectations</w:t>
      </w:r>
      <w:r>
        <w:tab/>
      </w:r>
      <w:r>
        <w:br/>
        <w:t>TCPSS Act</w:t>
      </w:r>
      <w:r>
        <w:tab/>
        <w:t>Telecommunications (Consumer Protections and Service Standards) Act 1999</w:t>
      </w:r>
      <w:r>
        <w:br/>
        <w:t>TIL</w:t>
      </w:r>
      <w:r w:rsidRPr="004D0415">
        <w:tab/>
      </w:r>
      <w:r>
        <w:tab/>
        <w:t>Telecommunications Industry Levy</w:t>
      </w:r>
      <w:r>
        <w:br/>
        <w:t>USG</w:t>
      </w:r>
      <w:r>
        <w:tab/>
      </w:r>
      <w:r>
        <w:tab/>
        <w:t>Universal Service Guarantee</w:t>
      </w:r>
      <w:r>
        <w:br/>
        <w:t>USO</w:t>
      </w:r>
      <w:r>
        <w:tab/>
      </w:r>
      <w:r>
        <w:tab/>
        <w:t>Universal Service Obligation</w:t>
      </w:r>
      <w:r>
        <w:br/>
        <w:t>VoIP</w:t>
      </w:r>
      <w:r>
        <w:tab/>
      </w:r>
      <w:r>
        <w:tab/>
        <w:t>Voice over Internet Protocol</w:t>
      </w:r>
    </w:p>
    <w:p w14:paraId="0DECCA7D" w14:textId="77777777" w:rsidR="00AF34B6" w:rsidRPr="008E6652" w:rsidRDefault="00AF34B6" w:rsidP="008E6652"/>
    <w:p w14:paraId="0DECCA7E" w14:textId="77777777" w:rsidR="00AF34B6" w:rsidRDefault="00AF34B6">
      <w:pPr>
        <w:spacing w:after="160" w:line="259" w:lineRule="auto"/>
        <w:rPr>
          <w:rFonts w:asciiTheme="majorHAnsi" w:eastAsiaTheme="majorEastAsia" w:hAnsiTheme="majorHAnsi" w:cstheme="majorBidi"/>
          <w:b/>
          <w:color w:val="155589"/>
          <w:sz w:val="36"/>
          <w:szCs w:val="26"/>
          <w:lang w:eastAsia="en-US"/>
        </w:rPr>
      </w:pPr>
      <w:r>
        <w:br w:type="page"/>
      </w:r>
    </w:p>
    <w:p w14:paraId="0DECCA7F" w14:textId="77777777" w:rsidR="007B0CE6" w:rsidRPr="00CD63F5" w:rsidRDefault="007B0CE6" w:rsidP="007B0CE6">
      <w:pPr>
        <w:pStyle w:val="Heading2"/>
        <w:spacing w:after="240"/>
      </w:pPr>
      <w:bookmarkStart w:id="27" w:name="_Toc529783716"/>
      <w:r w:rsidRPr="00CD63F5">
        <w:lastRenderedPageBreak/>
        <w:t>Executive summary</w:t>
      </w:r>
      <w:bookmarkEnd w:id="14"/>
      <w:bookmarkEnd w:id="27"/>
    </w:p>
    <w:p w14:paraId="0DECCA80" w14:textId="77777777" w:rsidR="007B0CE6" w:rsidRPr="00CD63F5" w:rsidRDefault="007B0CE6" w:rsidP="007B0CE6">
      <w:r w:rsidRPr="00CD63F5">
        <w:t xml:space="preserve">In December 2017, the </w:t>
      </w:r>
      <w:r w:rsidR="00D91607">
        <w:t xml:space="preserve">Australian </w:t>
      </w:r>
      <w:r w:rsidRPr="00CD63F5">
        <w:t xml:space="preserve">Government announced </w:t>
      </w:r>
      <w:r w:rsidR="00B8535A">
        <w:t>a program of work to develop</w:t>
      </w:r>
      <w:r w:rsidRPr="00CD63F5">
        <w:t xml:space="preserve"> a Universal Service Guarantee (USG) that would ensure all Australian premises, irrespective of location, have access to voice and broadband services. Under th</w:t>
      </w:r>
      <w:r w:rsidR="0015001C">
        <w:t>is</w:t>
      </w:r>
      <w:r w:rsidRPr="00CD63F5">
        <w:t xml:space="preserve"> model, USG services </w:t>
      </w:r>
      <w:r w:rsidR="00E671EE">
        <w:t>would</w:t>
      </w:r>
      <w:r w:rsidR="00E671EE" w:rsidRPr="00CD63F5">
        <w:t xml:space="preserve"> </w:t>
      </w:r>
      <w:r w:rsidRPr="00CD63F5">
        <w:t>generally be delivered on a commercial basis, leveraging the Commonwealth’s investment in the National Broadband Network (</w:t>
      </w:r>
      <w:r w:rsidR="003E11FE">
        <w:t>NBN</w:t>
      </w:r>
      <w:r w:rsidRPr="00CD63F5">
        <w:t xml:space="preserve">) and other commercial networks (like mobile networks). Where this </w:t>
      </w:r>
      <w:r w:rsidR="008E6652">
        <w:t>could n</w:t>
      </w:r>
      <w:r w:rsidRPr="00CD63F5">
        <w:t xml:space="preserve">ot be achieved, targeted measures and programs </w:t>
      </w:r>
      <w:r w:rsidR="00E671EE">
        <w:t>would</w:t>
      </w:r>
      <w:r w:rsidR="00E671EE" w:rsidRPr="00CD63F5">
        <w:t xml:space="preserve"> </w:t>
      </w:r>
      <w:r w:rsidRPr="00CD63F5">
        <w:t xml:space="preserve">be </w:t>
      </w:r>
      <w:r w:rsidR="0015001C">
        <w:t>develop</w:t>
      </w:r>
      <w:r w:rsidRPr="00CD63F5">
        <w:t xml:space="preserve">ed. </w:t>
      </w:r>
    </w:p>
    <w:p w14:paraId="0DECCA81" w14:textId="77777777" w:rsidR="00724A5C" w:rsidRPr="00CD63F5" w:rsidRDefault="00724A5C" w:rsidP="00724A5C">
      <w:r w:rsidRPr="00CD63F5">
        <w:t xml:space="preserve">The </w:t>
      </w:r>
      <w:r w:rsidR="008E6652">
        <w:t>Department of Communications and the Arts</w:t>
      </w:r>
      <w:r w:rsidRPr="00CD63F5">
        <w:t xml:space="preserve"> has examined </w:t>
      </w:r>
      <w:r w:rsidR="008E6652">
        <w:t xml:space="preserve">a range of matter relating to the development of the USG, </w:t>
      </w:r>
      <w:r w:rsidRPr="00CD63F5">
        <w:t>including:</w:t>
      </w:r>
    </w:p>
    <w:p w14:paraId="0DECCA82" w14:textId="77777777" w:rsidR="00724A5C" w:rsidRPr="00CD63F5" w:rsidRDefault="00724A5C" w:rsidP="000A118F">
      <w:pPr>
        <w:pStyle w:val="ListParagraph"/>
        <w:numPr>
          <w:ilvl w:val="0"/>
          <w:numId w:val="18"/>
        </w:numPr>
        <w:spacing w:after="120"/>
        <w:ind w:left="714" w:hanging="357"/>
        <w:contextualSpacing w:val="0"/>
      </w:pPr>
      <w:r w:rsidRPr="00CD63F5">
        <w:t xml:space="preserve">alternative means of providing </w:t>
      </w:r>
      <w:r w:rsidR="00477027">
        <w:t xml:space="preserve">reliable </w:t>
      </w:r>
      <w:r w:rsidRPr="00CD63F5">
        <w:t xml:space="preserve">voice services to premises outside </w:t>
      </w:r>
      <w:r w:rsidR="003E11FE">
        <w:t>NBN</w:t>
      </w:r>
      <w:r>
        <w:t xml:space="preserve"> </w:t>
      </w:r>
      <w:proofErr w:type="spellStart"/>
      <w:r>
        <w:t>Co</w:t>
      </w:r>
      <w:r w:rsidRPr="00CD63F5">
        <w:t>’s</w:t>
      </w:r>
      <w:proofErr w:type="spellEnd"/>
      <w:r w:rsidRPr="00CD63F5">
        <w:t xml:space="preserve"> fixed line footprint</w:t>
      </w:r>
    </w:p>
    <w:p w14:paraId="0DECCA83" w14:textId="77777777" w:rsidR="00724A5C" w:rsidRPr="00CD63F5" w:rsidRDefault="00724A5C" w:rsidP="000A118F">
      <w:pPr>
        <w:pStyle w:val="ListParagraph"/>
        <w:numPr>
          <w:ilvl w:val="0"/>
          <w:numId w:val="18"/>
        </w:numPr>
        <w:spacing w:after="120"/>
        <w:ind w:left="714" w:hanging="357"/>
        <w:contextualSpacing w:val="0"/>
      </w:pPr>
      <w:r w:rsidRPr="00CD63F5">
        <w:t xml:space="preserve">the potential impact on </w:t>
      </w:r>
      <w:r w:rsidR="003E11FE">
        <w:t>NBN Co</w:t>
      </w:r>
      <w:r w:rsidRPr="00CD63F5">
        <w:t xml:space="preserve"> costs as premises currently served by Telstra under the </w:t>
      </w:r>
      <w:r w:rsidR="00D91607">
        <w:t xml:space="preserve">existing </w:t>
      </w:r>
      <w:r w:rsidRPr="00CD63F5">
        <w:t xml:space="preserve">USO migrate to </w:t>
      </w:r>
      <w:r w:rsidR="003E11FE">
        <w:t xml:space="preserve">the </w:t>
      </w:r>
      <w:r w:rsidRPr="00CD63F5">
        <w:t>NBN</w:t>
      </w:r>
    </w:p>
    <w:p w14:paraId="0DECCA84" w14:textId="77777777" w:rsidR="00724A5C" w:rsidRPr="00CD63F5" w:rsidRDefault="00724A5C" w:rsidP="000A118F">
      <w:pPr>
        <w:pStyle w:val="ListParagraph"/>
        <w:numPr>
          <w:ilvl w:val="0"/>
          <w:numId w:val="18"/>
        </w:numPr>
        <w:spacing w:after="120"/>
        <w:ind w:left="714" w:hanging="357"/>
        <w:contextualSpacing w:val="0"/>
      </w:pPr>
      <w:r w:rsidRPr="00CD63F5">
        <w:t>the ongoing role of payphones and other community solutions</w:t>
      </w:r>
    </w:p>
    <w:p w14:paraId="0DECCA85" w14:textId="77777777" w:rsidR="00724A5C" w:rsidRDefault="00724A5C" w:rsidP="00724A5C">
      <w:r w:rsidRPr="00CD63F5">
        <w:t xml:space="preserve">The </w:t>
      </w:r>
      <w:r w:rsidR="008E6652">
        <w:t>department</w:t>
      </w:r>
      <w:r w:rsidR="008E6652" w:rsidRPr="00CD63F5">
        <w:t xml:space="preserve"> </w:t>
      </w:r>
      <w:r w:rsidRPr="00CD63F5">
        <w:t>has also</w:t>
      </w:r>
      <w:r>
        <w:t xml:space="preserve"> consulted</w:t>
      </w:r>
      <w:r w:rsidRPr="00CD63F5">
        <w:t xml:space="preserve"> extensively </w:t>
      </w:r>
      <w:r>
        <w:t>with</w:t>
      </w:r>
      <w:r w:rsidRPr="00CD63F5">
        <w:t xml:space="preserve"> community and industry stakeholders to </w:t>
      </w:r>
      <w:r>
        <w:t>ascertain</w:t>
      </w:r>
      <w:r w:rsidRPr="00CD63F5">
        <w:t xml:space="preserve"> their views </w:t>
      </w:r>
      <w:r>
        <w:t xml:space="preserve">and hear their </w:t>
      </w:r>
      <w:r w:rsidR="00B8535A">
        <w:t>ideas</w:t>
      </w:r>
      <w:r>
        <w:t xml:space="preserve"> </w:t>
      </w:r>
      <w:r w:rsidRPr="00CD63F5">
        <w:t>on possible approaches.</w:t>
      </w:r>
    </w:p>
    <w:p w14:paraId="0DECCA86" w14:textId="77777777" w:rsidR="00F1708B" w:rsidRDefault="00F1708B" w:rsidP="00F1708B">
      <w:r>
        <w:t>Initial high-level c</w:t>
      </w:r>
      <w:r w:rsidR="008E6652">
        <w:t xml:space="preserve">ost modelling commissioned by the </w:t>
      </w:r>
      <w:r>
        <w:t>department</w:t>
      </w:r>
      <w:r w:rsidR="008E6652">
        <w:t xml:space="preserve"> indicates that </w:t>
      </w:r>
      <w:r>
        <w:t xml:space="preserve">the payments to Telstra for the delivery of the </w:t>
      </w:r>
      <w:r w:rsidR="008E6652">
        <w:t xml:space="preserve">fixed voice </w:t>
      </w:r>
      <w:r>
        <w:t>services</w:t>
      </w:r>
      <w:r w:rsidR="008E6652">
        <w:t xml:space="preserve"> </w:t>
      </w:r>
      <w:r w:rsidR="00477027">
        <w:t xml:space="preserve">to premises outside the NBN fixed line footprint </w:t>
      </w:r>
      <w:r>
        <w:t>are reasonably consistent with its costs, given its copper continuity obligation. The modelling also indicates th</w:t>
      </w:r>
      <w:r w:rsidR="00831AA4">
        <w:t xml:space="preserve">at fixed voice </w:t>
      </w:r>
      <w:r>
        <w:t xml:space="preserve">services could be provided at </w:t>
      </w:r>
      <w:r w:rsidR="00831AA4">
        <w:t>much</w:t>
      </w:r>
      <w:r>
        <w:t xml:space="preserve"> lower costs </w:t>
      </w:r>
      <w:r w:rsidR="00082A70">
        <w:t xml:space="preserve">by </w:t>
      </w:r>
      <w:r>
        <w:t xml:space="preserve">using wireless and satellite technologies. </w:t>
      </w:r>
      <w:r w:rsidR="0082521F">
        <w:t xml:space="preserve">Separate </w:t>
      </w:r>
      <w:r w:rsidR="00831AA4">
        <w:t>modelling by NBN Co, however, i</w:t>
      </w:r>
      <w:r>
        <w:t xml:space="preserve">ndicates that </w:t>
      </w:r>
      <w:r w:rsidR="00831AA4">
        <w:t>clos</w:t>
      </w:r>
      <w:r w:rsidR="0049145E">
        <w:t>u</w:t>
      </w:r>
      <w:r w:rsidR="00831AA4">
        <w:t>r</w:t>
      </w:r>
      <w:r w:rsidR="0049145E">
        <w:t xml:space="preserve">e </w:t>
      </w:r>
      <w:r w:rsidR="00831AA4">
        <w:t xml:space="preserve">of the Telstra copper network </w:t>
      </w:r>
      <w:r>
        <w:t>could involve significant additional costs for it</w:t>
      </w:r>
      <w:r w:rsidR="0049145E">
        <w:t>,</w:t>
      </w:r>
      <w:r>
        <w:t xml:space="preserve"> in excess of the current estimated savings.</w:t>
      </w:r>
    </w:p>
    <w:p w14:paraId="0DECCA87" w14:textId="77777777" w:rsidR="007B0CE6" w:rsidRPr="00CD63F5" w:rsidRDefault="002C4D7E" w:rsidP="00724A5C">
      <w:r>
        <w:t>Moreover</w:t>
      </w:r>
      <w:r w:rsidR="00756D64">
        <w:t>, r</w:t>
      </w:r>
      <w:r w:rsidR="008E6652">
        <w:t>egional c</w:t>
      </w:r>
      <w:r w:rsidR="007B0CE6" w:rsidRPr="00CD63F5">
        <w:t>onsumers</w:t>
      </w:r>
      <w:r w:rsidR="00082A70">
        <w:t xml:space="preserve"> outside the NBN fixed line footprint </w:t>
      </w:r>
      <w:r w:rsidR="007B0CE6" w:rsidRPr="00CD63F5">
        <w:t xml:space="preserve">have expressed </w:t>
      </w:r>
      <w:r w:rsidR="00F1708B">
        <w:t xml:space="preserve">deep </w:t>
      </w:r>
      <w:r w:rsidR="007B0CE6" w:rsidRPr="00CD63F5">
        <w:t xml:space="preserve">concerns about the </w:t>
      </w:r>
      <w:r w:rsidR="00B8535A">
        <w:t>possibility of losing access to their</w:t>
      </w:r>
      <w:r w:rsidR="00082A70">
        <w:t xml:space="preserve"> existing</w:t>
      </w:r>
      <w:r w:rsidR="00B8535A">
        <w:t xml:space="preserve"> copper line services, particularly in the absence of multiple proven and reliable alternatives. </w:t>
      </w:r>
      <w:r w:rsidR="00CD2337">
        <w:t xml:space="preserve">While some consumers expressed an openness </w:t>
      </w:r>
      <w:r w:rsidR="00405DE5">
        <w:t xml:space="preserve">to </w:t>
      </w:r>
      <w:r w:rsidR="00CD2337">
        <w:t>change, there are clear concerns about the quality, reliability, redundancy and likely cost of alternative solutions</w:t>
      </w:r>
      <w:r w:rsidR="0049145E">
        <w:t>,</w:t>
      </w:r>
      <w:r w:rsidR="00CD2337">
        <w:t xml:space="preserve"> and a general distrust of satellite voice services. </w:t>
      </w:r>
      <w:r w:rsidR="00831AA4">
        <w:t xml:space="preserve">These views were reiterated </w:t>
      </w:r>
      <w:r w:rsidR="00A70065">
        <w:t xml:space="preserve">during </w:t>
      </w:r>
      <w:r w:rsidR="00831AA4">
        <w:t>the 2018 Regional Telecommunications Review</w:t>
      </w:r>
      <w:r w:rsidR="00FB1AA9">
        <w:t xml:space="preserve"> (RTR)</w:t>
      </w:r>
      <w:r w:rsidR="00831AA4">
        <w:t xml:space="preserve">. </w:t>
      </w:r>
      <w:r w:rsidR="00B8535A">
        <w:t xml:space="preserve"> </w:t>
      </w:r>
    </w:p>
    <w:p w14:paraId="0DECCA88" w14:textId="77777777" w:rsidR="003E4208" w:rsidRDefault="008E6652" w:rsidP="003E4208">
      <w:pPr>
        <w:spacing w:after="240"/>
      </w:pPr>
      <w:r>
        <w:t>It is also clear that any change process would be complex</w:t>
      </w:r>
      <w:r w:rsidR="00185E2C">
        <w:t>,</w:t>
      </w:r>
      <w:r>
        <w:t xml:space="preserve"> requir</w:t>
      </w:r>
      <w:r w:rsidR="00185E2C">
        <w:t>ing</w:t>
      </w:r>
      <w:r>
        <w:t xml:space="preserve"> careful</w:t>
      </w:r>
      <w:r w:rsidR="00F1708B">
        <w:t xml:space="preserve"> planning</w:t>
      </w:r>
      <w:r w:rsidR="00185E2C">
        <w:t xml:space="preserve"> and </w:t>
      </w:r>
      <w:r w:rsidR="00F1708B">
        <w:t>staged implementation</w:t>
      </w:r>
      <w:r w:rsidR="00185E2C">
        <w:t xml:space="preserve">, and that </w:t>
      </w:r>
      <w:r w:rsidR="003E4208">
        <w:t>new arrangement</w:t>
      </w:r>
      <w:r w:rsidR="00724A5C">
        <w:t>s</w:t>
      </w:r>
      <w:r w:rsidR="003E4208">
        <w:t xml:space="preserve"> </w:t>
      </w:r>
      <w:r w:rsidR="00185E2C">
        <w:t xml:space="preserve">would </w:t>
      </w:r>
      <w:r w:rsidR="003E4208">
        <w:t xml:space="preserve">need to be </w:t>
      </w:r>
      <w:r w:rsidR="002433C1">
        <w:t xml:space="preserve">negotiated </w:t>
      </w:r>
      <w:r w:rsidR="003E4208">
        <w:t>with Telstra.</w:t>
      </w:r>
    </w:p>
    <w:p w14:paraId="0DECCA89" w14:textId="77777777" w:rsidR="00AA371C" w:rsidRDefault="00F1708B" w:rsidP="00AA371C">
      <w:pPr>
        <w:spacing w:before="120" w:after="120"/>
      </w:pPr>
      <w:r>
        <w:t>In this context, w</w:t>
      </w:r>
      <w:r w:rsidR="00AA371C">
        <w:t xml:space="preserve">e are proposing that the </w:t>
      </w:r>
      <w:r>
        <w:t xml:space="preserve">broadband component of the </w:t>
      </w:r>
      <w:r w:rsidR="00AA371C" w:rsidRPr="002562EE">
        <w:t xml:space="preserve">USG be </w:t>
      </w:r>
      <w:r w:rsidR="00FF3BC6">
        <w:t xml:space="preserve">primarily </w:t>
      </w:r>
      <w:r w:rsidR="00AA371C" w:rsidRPr="002562EE">
        <w:t>delivered via</w:t>
      </w:r>
      <w:r w:rsidR="00AA371C">
        <w:t xml:space="preserve"> the</w:t>
      </w:r>
      <w:r w:rsidR="00AA371C" w:rsidRPr="002562EE">
        <w:t xml:space="preserve"> NBN</w:t>
      </w:r>
      <w:r w:rsidR="00831AA4">
        <w:t>, bolstered by the proposed statutory infrastructure provider (SIP) legislation</w:t>
      </w:r>
      <w:r w:rsidR="00FB1AA9">
        <w:t xml:space="preserve"> currently before Parliament</w:t>
      </w:r>
      <w:r w:rsidR="00831AA4">
        <w:t>. T</w:t>
      </w:r>
      <w:r w:rsidR="00AA371C">
        <w:t xml:space="preserve">he </w:t>
      </w:r>
      <w:r>
        <w:t xml:space="preserve">voice component </w:t>
      </w:r>
      <w:r w:rsidR="00831AA4">
        <w:t xml:space="preserve">of the USG would </w:t>
      </w:r>
      <w:r>
        <w:t xml:space="preserve">be delivered </w:t>
      </w:r>
      <w:r w:rsidR="00831AA4">
        <w:t xml:space="preserve">using the </w:t>
      </w:r>
      <w:r w:rsidR="00AA371C">
        <w:t xml:space="preserve">existing USO contract with Telstra </w:t>
      </w:r>
      <w:r w:rsidR="00831AA4">
        <w:t>for</w:t>
      </w:r>
      <w:r w:rsidR="00AA371C">
        <w:t xml:space="preserve"> the </w:t>
      </w:r>
      <w:r w:rsidR="00831AA4">
        <w:t xml:space="preserve">foreseeable </w:t>
      </w:r>
      <w:r w:rsidR="00AA371C">
        <w:t>future</w:t>
      </w:r>
      <w:r w:rsidR="00995230">
        <w:t xml:space="preserve">. </w:t>
      </w:r>
      <w:r w:rsidR="00831AA4">
        <w:t>Given the USO contract has a limited life</w:t>
      </w:r>
      <w:r w:rsidR="0049145E">
        <w:t>,</w:t>
      </w:r>
      <w:r w:rsidR="00831AA4">
        <w:t xml:space="preserve"> a more robust long term </w:t>
      </w:r>
      <w:r w:rsidR="00D26F5C">
        <w:t xml:space="preserve">USG </w:t>
      </w:r>
      <w:r w:rsidR="00831AA4">
        <w:t>solution is needed. I</w:t>
      </w:r>
      <w:r w:rsidR="002B3102" w:rsidRPr="00B55FF9">
        <w:t xml:space="preserve">n the interim, </w:t>
      </w:r>
      <w:r w:rsidR="00995230">
        <w:t xml:space="preserve">there </w:t>
      </w:r>
      <w:r w:rsidR="0049145E">
        <w:t>will</w:t>
      </w:r>
      <w:r w:rsidR="00995230">
        <w:t xml:space="preserve"> </w:t>
      </w:r>
      <w:r w:rsidR="00FB1AA9">
        <w:t xml:space="preserve">also </w:t>
      </w:r>
      <w:r w:rsidR="00995230">
        <w:t xml:space="preserve">be a </w:t>
      </w:r>
      <w:r w:rsidR="00FB1AA9">
        <w:t xml:space="preserve">sustained </w:t>
      </w:r>
      <w:r w:rsidR="00995230">
        <w:t xml:space="preserve">focus on </w:t>
      </w:r>
      <w:r w:rsidR="00FB1AA9">
        <w:t xml:space="preserve">continuing </w:t>
      </w:r>
      <w:r w:rsidR="002B3102">
        <w:t>improved</w:t>
      </w:r>
      <w:r w:rsidR="002B3102" w:rsidRPr="00B55FF9">
        <w:t xml:space="preserve"> management of the</w:t>
      </w:r>
      <w:r w:rsidR="00995230">
        <w:t xml:space="preserve"> USO contract</w:t>
      </w:r>
      <w:r w:rsidR="002B3102">
        <w:t>.</w:t>
      </w:r>
    </w:p>
    <w:p w14:paraId="0DECCA8A" w14:textId="77777777" w:rsidR="00175FB9" w:rsidRPr="00CD63F5" w:rsidRDefault="00C62011" w:rsidP="007B0CE6">
      <w:pPr>
        <w:spacing w:after="240"/>
      </w:pPr>
      <w:r>
        <w:t>T</w:t>
      </w:r>
      <w:r w:rsidR="007B0CE6" w:rsidRPr="00CD63F5">
        <w:t xml:space="preserve">he </w:t>
      </w:r>
      <w:r>
        <w:t xml:space="preserve">current </w:t>
      </w:r>
      <w:r w:rsidR="007B0CE6" w:rsidRPr="00CD63F5">
        <w:t xml:space="preserve">USO </w:t>
      </w:r>
      <w:r w:rsidR="00831AA4">
        <w:t xml:space="preserve">also </w:t>
      </w:r>
      <w:r w:rsidR="007B0CE6" w:rsidRPr="00CD63F5">
        <w:t xml:space="preserve">funds the provision of Telstra’s public payphones. The preferred </w:t>
      </w:r>
      <w:r w:rsidR="00831AA4">
        <w:t>approach</w:t>
      </w:r>
      <w:r w:rsidR="00831AA4" w:rsidRPr="00CD63F5">
        <w:t xml:space="preserve"> </w:t>
      </w:r>
      <w:r w:rsidR="00831AA4">
        <w:t>here</w:t>
      </w:r>
      <w:r w:rsidR="007B0CE6" w:rsidRPr="00CD63F5">
        <w:t xml:space="preserve"> is to maintain the current contract, while working with Telstra and other stakeholders to </w:t>
      </w:r>
      <w:r w:rsidR="00627162">
        <w:t xml:space="preserve">review </w:t>
      </w:r>
      <w:r w:rsidR="00831AA4">
        <w:t xml:space="preserve">the </w:t>
      </w:r>
      <w:r w:rsidR="00627162">
        <w:t xml:space="preserve">location </w:t>
      </w:r>
      <w:r w:rsidR="002B3102">
        <w:t>of</w:t>
      </w:r>
      <w:r w:rsidR="002B3102" w:rsidRPr="00CD63F5">
        <w:t xml:space="preserve"> </w:t>
      </w:r>
      <w:r w:rsidR="007B0CE6" w:rsidRPr="00CD63F5">
        <w:t>payphones</w:t>
      </w:r>
      <w:r w:rsidR="00E671EE">
        <w:t xml:space="preserve"> to better align them with real need and </w:t>
      </w:r>
      <w:r w:rsidR="00FB1AA9">
        <w:t xml:space="preserve">declining </w:t>
      </w:r>
      <w:r w:rsidR="00E671EE">
        <w:t>usage. Any change would be</w:t>
      </w:r>
      <w:r w:rsidR="007B0CE6" w:rsidRPr="00CD63F5">
        <w:t xml:space="preserve"> </w:t>
      </w:r>
      <w:r w:rsidR="002B3102">
        <w:t xml:space="preserve">subject to </w:t>
      </w:r>
      <w:r w:rsidR="00724A5C" w:rsidRPr="00724A5C">
        <w:t>further market research, testing of community sentiment and satisfactory negotiation with Telstra on savings</w:t>
      </w:r>
      <w:r w:rsidR="007B0CE6" w:rsidRPr="00CD63F5">
        <w:t xml:space="preserve">. </w:t>
      </w:r>
      <w:r w:rsidR="00627162">
        <w:t>T</w:t>
      </w:r>
      <w:r w:rsidR="007B0CE6" w:rsidRPr="00CD63F5">
        <w:t xml:space="preserve">argeted programs </w:t>
      </w:r>
      <w:r w:rsidR="00CD2337">
        <w:t>c</w:t>
      </w:r>
      <w:r w:rsidR="00CD2337" w:rsidRPr="00CD63F5">
        <w:t xml:space="preserve">ould </w:t>
      </w:r>
      <w:r w:rsidR="007B0CE6" w:rsidRPr="00CD63F5">
        <w:t xml:space="preserve">be developed to assist any vulnerable </w:t>
      </w:r>
      <w:r w:rsidR="00BD1B3B">
        <w:t xml:space="preserve">users of </w:t>
      </w:r>
      <w:r w:rsidR="007B0CE6" w:rsidRPr="00CD63F5">
        <w:t xml:space="preserve">payphone </w:t>
      </w:r>
      <w:r w:rsidR="00BD1B3B">
        <w:t xml:space="preserve">who are </w:t>
      </w:r>
      <w:r w:rsidR="007B0CE6" w:rsidRPr="00CD63F5">
        <w:t>adversely affected</w:t>
      </w:r>
      <w:r w:rsidR="009A73F8">
        <w:t xml:space="preserve"> by any changes</w:t>
      </w:r>
      <w:r w:rsidR="007B0CE6" w:rsidRPr="00CD63F5">
        <w:t xml:space="preserve">. </w:t>
      </w:r>
    </w:p>
    <w:p w14:paraId="0DECCA8B" w14:textId="77777777" w:rsidR="00B84AB7" w:rsidRDefault="00175FB9" w:rsidP="009A73F8">
      <w:pPr>
        <w:pStyle w:val="Heading2"/>
      </w:pPr>
      <w:bookmarkStart w:id="28" w:name="_Toc519586572"/>
      <w:bookmarkStart w:id="29" w:name="_Toc519586753"/>
      <w:bookmarkStart w:id="30" w:name="_Toc519590435"/>
      <w:bookmarkStart w:id="31" w:name="_Toc520291774"/>
      <w:bookmarkStart w:id="32" w:name="_Toc520800314"/>
      <w:bookmarkStart w:id="33" w:name="_Toc520801243"/>
      <w:bookmarkStart w:id="34" w:name="_Toc520803612"/>
      <w:bookmarkStart w:id="35" w:name="_Toc520808177"/>
      <w:bookmarkStart w:id="36" w:name="_Toc520810638"/>
      <w:bookmarkStart w:id="37" w:name="_Toc520810805"/>
      <w:bookmarkStart w:id="38" w:name="_Toc520983347"/>
      <w:bookmarkStart w:id="39" w:name="_Toc520986019"/>
      <w:bookmarkEnd w:id="15"/>
      <w:bookmarkEnd w:id="16"/>
      <w:bookmarkEnd w:id="17"/>
      <w:bookmarkEnd w:id="18"/>
      <w:bookmarkEnd w:id="19"/>
      <w:bookmarkEnd w:id="20"/>
      <w:bookmarkEnd w:id="21"/>
      <w:bookmarkEnd w:id="22"/>
      <w:bookmarkEnd w:id="23"/>
      <w:bookmarkEnd w:id="24"/>
      <w:bookmarkEnd w:id="25"/>
      <w:bookmarkEnd w:id="26"/>
      <w:r>
        <w:br w:type="page"/>
      </w:r>
      <w:bookmarkStart w:id="40" w:name="_Toc516842649"/>
      <w:bookmarkStart w:id="41" w:name="_Toc519586573"/>
      <w:bookmarkStart w:id="42" w:name="_Toc519586754"/>
      <w:bookmarkStart w:id="43" w:name="_Toc519590436"/>
      <w:bookmarkStart w:id="44" w:name="_Toc520291775"/>
      <w:bookmarkStart w:id="45" w:name="_Toc520800315"/>
      <w:bookmarkStart w:id="46" w:name="_Toc520801244"/>
      <w:bookmarkStart w:id="47" w:name="_Toc520803615"/>
      <w:bookmarkStart w:id="48" w:name="_Toc520808180"/>
      <w:bookmarkStart w:id="49" w:name="_Toc520810641"/>
      <w:bookmarkStart w:id="50" w:name="_Toc520810808"/>
      <w:bookmarkStart w:id="51" w:name="_Toc520983350"/>
      <w:bookmarkStart w:id="52" w:name="_Toc520986022"/>
      <w:bookmarkStart w:id="53" w:name="_Toc529783717"/>
      <w:bookmarkStart w:id="54" w:name="_Toc382493211"/>
      <w:bookmarkStart w:id="55" w:name="_Toc412126163"/>
      <w:bookmarkEnd w:id="28"/>
      <w:bookmarkEnd w:id="29"/>
      <w:bookmarkEnd w:id="30"/>
      <w:bookmarkEnd w:id="31"/>
      <w:bookmarkEnd w:id="32"/>
      <w:bookmarkEnd w:id="33"/>
      <w:bookmarkEnd w:id="34"/>
      <w:bookmarkEnd w:id="35"/>
      <w:bookmarkEnd w:id="36"/>
      <w:bookmarkEnd w:id="37"/>
      <w:bookmarkEnd w:id="38"/>
      <w:bookmarkEnd w:id="39"/>
      <w:r w:rsidR="00077873">
        <w:lastRenderedPageBreak/>
        <w:t xml:space="preserve">1. </w:t>
      </w:r>
      <w:r w:rsidR="00B84AB7" w:rsidRPr="00CD63F5">
        <w:t>Introduction</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DECCA8C" w14:textId="77777777" w:rsidR="00F47972" w:rsidRDefault="00F47972" w:rsidP="009D45AB">
      <w:r>
        <w:rPr>
          <w:lang w:eastAsia="en-US"/>
        </w:rPr>
        <w:t xml:space="preserve">This document reports on </w:t>
      </w:r>
      <w:r w:rsidR="00591BE5">
        <w:rPr>
          <w:lang w:eastAsia="en-US"/>
        </w:rPr>
        <w:t xml:space="preserve">the department’s </w:t>
      </w:r>
      <w:r>
        <w:rPr>
          <w:lang w:eastAsia="en-US"/>
        </w:rPr>
        <w:t xml:space="preserve">work in 2018 to develop </w:t>
      </w:r>
      <w:r w:rsidR="00411630">
        <w:rPr>
          <w:lang w:eastAsia="en-US"/>
        </w:rPr>
        <w:t xml:space="preserve">options for </w:t>
      </w:r>
      <w:r>
        <w:rPr>
          <w:lang w:eastAsia="en-US"/>
        </w:rPr>
        <w:t xml:space="preserve">a new </w:t>
      </w:r>
      <w:r w:rsidR="0049145E">
        <w:rPr>
          <w:lang w:eastAsia="en-US"/>
        </w:rPr>
        <w:t xml:space="preserve">telecommunications </w:t>
      </w:r>
      <w:r w:rsidR="0023674A">
        <w:rPr>
          <w:lang w:eastAsia="en-US"/>
        </w:rPr>
        <w:t>USG</w:t>
      </w:r>
      <w:r>
        <w:rPr>
          <w:lang w:eastAsia="en-US"/>
        </w:rPr>
        <w:t>.</w:t>
      </w:r>
      <w:r w:rsidR="00DF7565">
        <w:rPr>
          <w:lang w:eastAsia="en-US"/>
        </w:rPr>
        <w:t xml:space="preserve"> </w:t>
      </w:r>
      <w:r w:rsidR="00436DF0">
        <w:rPr>
          <w:lang w:eastAsia="en-US"/>
        </w:rPr>
        <w:t xml:space="preserve">Noting </w:t>
      </w:r>
      <w:r w:rsidR="00C56677">
        <w:rPr>
          <w:lang w:eastAsia="en-US"/>
        </w:rPr>
        <w:t xml:space="preserve">that most </w:t>
      </w:r>
      <w:r>
        <w:rPr>
          <w:lang w:eastAsia="en-US"/>
        </w:rPr>
        <w:t>issues are well understood by stakeholders</w:t>
      </w:r>
      <w:r w:rsidR="00436DF0">
        <w:rPr>
          <w:lang w:eastAsia="en-US"/>
        </w:rPr>
        <w:t xml:space="preserve">, </w:t>
      </w:r>
      <w:r w:rsidR="00C56677">
        <w:rPr>
          <w:lang w:eastAsia="en-US"/>
        </w:rPr>
        <w:t xml:space="preserve">this report seeks to </w:t>
      </w:r>
      <w:r>
        <w:rPr>
          <w:lang w:eastAsia="en-US"/>
        </w:rPr>
        <w:t xml:space="preserve">quickly and clearly </w:t>
      </w:r>
      <w:r w:rsidR="00C56677">
        <w:rPr>
          <w:lang w:eastAsia="en-US"/>
        </w:rPr>
        <w:t xml:space="preserve">summarise what </w:t>
      </w:r>
      <w:r w:rsidR="00831AA4">
        <w:rPr>
          <w:lang w:eastAsia="en-US"/>
        </w:rPr>
        <w:t>we have</w:t>
      </w:r>
      <w:r>
        <w:rPr>
          <w:lang w:eastAsia="en-US"/>
        </w:rPr>
        <w:t xml:space="preserve"> found as a result of </w:t>
      </w:r>
      <w:r w:rsidR="00831AA4">
        <w:rPr>
          <w:lang w:eastAsia="en-US"/>
        </w:rPr>
        <w:t xml:space="preserve">our </w:t>
      </w:r>
      <w:r>
        <w:rPr>
          <w:lang w:eastAsia="en-US"/>
        </w:rPr>
        <w:t>work.</w:t>
      </w:r>
    </w:p>
    <w:p w14:paraId="0DECCA8D" w14:textId="77777777" w:rsidR="00077873" w:rsidRDefault="00077873" w:rsidP="009D45AB">
      <w:r>
        <w:rPr>
          <w:lang w:eastAsia="en-US"/>
        </w:rPr>
        <w:t xml:space="preserve">Some of the report </w:t>
      </w:r>
      <w:r w:rsidR="00DF7565">
        <w:rPr>
          <w:lang w:eastAsia="en-US"/>
        </w:rPr>
        <w:t xml:space="preserve">references </w:t>
      </w:r>
      <w:r w:rsidR="00F826CF">
        <w:rPr>
          <w:lang w:eastAsia="en-US"/>
        </w:rPr>
        <w:t xml:space="preserve">more detailed </w:t>
      </w:r>
      <w:r>
        <w:rPr>
          <w:lang w:eastAsia="en-US"/>
        </w:rPr>
        <w:t xml:space="preserve">information that was provided </w:t>
      </w:r>
      <w:r w:rsidR="00F826CF">
        <w:rPr>
          <w:lang w:eastAsia="en-US"/>
        </w:rPr>
        <w:t xml:space="preserve">to </w:t>
      </w:r>
      <w:r w:rsidR="00571A58">
        <w:rPr>
          <w:lang w:eastAsia="en-US"/>
        </w:rPr>
        <w:t>us</w:t>
      </w:r>
      <w:r w:rsidR="00F826CF">
        <w:rPr>
          <w:lang w:eastAsia="en-US"/>
        </w:rPr>
        <w:t xml:space="preserve"> </w:t>
      </w:r>
      <w:r>
        <w:rPr>
          <w:lang w:eastAsia="en-US"/>
        </w:rPr>
        <w:t>on a commercial</w:t>
      </w:r>
      <w:r w:rsidR="00831AA4">
        <w:rPr>
          <w:lang w:eastAsia="en-US"/>
        </w:rPr>
        <w:t>-</w:t>
      </w:r>
      <w:r>
        <w:rPr>
          <w:lang w:eastAsia="en-US"/>
        </w:rPr>
        <w:t>in</w:t>
      </w:r>
      <w:r w:rsidR="00831AA4">
        <w:rPr>
          <w:lang w:eastAsia="en-US"/>
        </w:rPr>
        <w:t>-</w:t>
      </w:r>
      <w:r>
        <w:rPr>
          <w:lang w:eastAsia="en-US"/>
        </w:rPr>
        <w:t xml:space="preserve">confidence basis. This includes information </w:t>
      </w:r>
      <w:r w:rsidR="00842255">
        <w:rPr>
          <w:lang w:eastAsia="en-US"/>
        </w:rPr>
        <w:t>relating</w:t>
      </w:r>
      <w:r>
        <w:rPr>
          <w:lang w:eastAsia="en-US"/>
        </w:rPr>
        <w:t xml:space="preserve"> to </w:t>
      </w:r>
      <w:r w:rsidR="00F826CF">
        <w:rPr>
          <w:lang w:eastAsia="en-US"/>
        </w:rPr>
        <w:t xml:space="preserve">the number and location of individual USO services, and </w:t>
      </w:r>
      <w:r>
        <w:rPr>
          <w:lang w:eastAsia="en-US"/>
        </w:rPr>
        <w:t>estimate</w:t>
      </w:r>
      <w:r w:rsidR="00C85256">
        <w:rPr>
          <w:lang w:eastAsia="en-US"/>
        </w:rPr>
        <w:t>s</w:t>
      </w:r>
      <w:r>
        <w:rPr>
          <w:lang w:eastAsia="en-US"/>
        </w:rPr>
        <w:t xml:space="preserve"> </w:t>
      </w:r>
      <w:r w:rsidR="00842255">
        <w:rPr>
          <w:lang w:eastAsia="en-US"/>
        </w:rPr>
        <w:t>of the</w:t>
      </w:r>
      <w:r>
        <w:rPr>
          <w:lang w:eastAsia="en-US"/>
        </w:rPr>
        <w:t xml:space="preserve"> costs of providing services in regional, rural and remote Australia</w:t>
      </w:r>
      <w:r w:rsidR="00842255">
        <w:rPr>
          <w:lang w:eastAsia="en-US"/>
        </w:rPr>
        <w:t xml:space="preserve"> from independent cost modelling processes</w:t>
      </w:r>
      <w:r w:rsidR="00F826CF">
        <w:rPr>
          <w:lang w:eastAsia="en-US"/>
        </w:rPr>
        <w:t>. A</w:t>
      </w:r>
      <w:r>
        <w:rPr>
          <w:lang w:eastAsia="en-US"/>
        </w:rPr>
        <w:t xml:space="preserve">s </w:t>
      </w:r>
      <w:r w:rsidR="00F826CF">
        <w:rPr>
          <w:lang w:eastAsia="en-US"/>
        </w:rPr>
        <w:t>the</w:t>
      </w:r>
      <w:r>
        <w:rPr>
          <w:lang w:eastAsia="en-US"/>
        </w:rPr>
        <w:t xml:space="preserve"> </w:t>
      </w:r>
      <w:r w:rsidR="00951570">
        <w:rPr>
          <w:lang w:eastAsia="en-US"/>
        </w:rPr>
        <w:t xml:space="preserve">disclosure </w:t>
      </w:r>
      <w:r w:rsidR="00F826CF">
        <w:rPr>
          <w:lang w:eastAsia="en-US"/>
        </w:rPr>
        <w:t xml:space="preserve">of this information </w:t>
      </w:r>
      <w:r w:rsidR="00951570">
        <w:rPr>
          <w:lang w:eastAsia="en-US"/>
        </w:rPr>
        <w:t xml:space="preserve">could </w:t>
      </w:r>
      <w:r w:rsidR="00411630">
        <w:rPr>
          <w:lang w:eastAsia="en-US"/>
        </w:rPr>
        <w:t xml:space="preserve">limit </w:t>
      </w:r>
      <w:r>
        <w:rPr>
          <w:lang w:eastAsia="en-US"/>
        </w:rPr>
        <w:t xml:space="preserve">future </w:t>
      </w:r>
      <w:r w:rsidR="0023674A">
        <w:rPr>
          <w:lang w:eastAsia="en-US"/>
        </w:rPr>
        <w:t xml:space="preserve">Commonwealth </w:t>
      </w:r>
      <w:r>
        <w:rPr>
          <w:lang w:eastAsia="en-US"/>
        </w:rPr>
        <w:t>negotiation</w:t>
      </w:r>
      <w:r w:rsidR="0023674A">
        <w:rPr>
          <w:lang w:eastAsia="en-US"/>
        </w:rPr>
        <w:t xml:space="preserve"> options</w:t>
      </w:r>
      <w:r w:rsidR="00F826CF">
        <w:rPr>
          <w:lang w:eastAsia="en-US"/>
        </w:rPr>
        <w:t>, it has not been included in this report.</w:t>
      </w:r>
    </w:p>
    <w:p w14:paraId="0DECCA8E" w14:textId="77777777" w:rsidR="00F47972" w:rsidRPr="000D10A9" w:rsidRDefault="00077873">
      <w:pPr>
        <w:pStyle w:val="Heading2"/>
      </w:pPr>
      <w:bookmarkStart w:id="56" w:name="_Toc529783718"/>
      <w:r>
        <w:t>2. Background</w:t>
      </w:r>
      <w:bookmarkEnd w:id="56"/>
    </w:p>
    <w:p w14:paraId="0DECCA8F" w14:textId="77777777" w:rsidR="00220D3D" w:rsidRPr="00DA14B9" w:rsidRDefault="00220D3D" w:rsidP="009344DB">
      <w:pPr>
        <w:pStyle w:val="Heading3"/>
      </w:pPr>
      <w:bookmarkStart w:id="57" w:name="_Toc529783719"/>
      <w:r w:rsidRPr="00DA14B9">
        <w:t>Current USO arrangements</w:t>
      </w:r>
      <w:bookmarkEnd w:id="57"/>
    </w:p>
    <w:p w14:paraId="0DECCA90" w14:textId="77777777" w:rsidR="00220D3D" w:rsidRPr="00DA14B9" w:rsidRDefault="00220D3D" w:rsidP="00220D3D">
      <w:pPr>
        <w:rPr>
          <w:rFonts w:ascii="Calibri" w:eastAsia="PMingLiU" w:hAnsi="Calibri" w:cs="Mangal"/>
        </w:rPr>
      </w:pPr>
      <w:r w:rsidRPr="00DA14B9">
        <w:rPr>
          <w:rFonts w:ascii="Calibri" w:eastAsia="PMingLiU" w:hAnsi="Calibri" w:cs="Mangal"/>
        </w:rPr>
        <w:t>The USO is a legislative safeguard</w:t>
      </w:r>
      <w:r w:rsidR="00BD3A44">
        <w:rPr>
          <w:rFonts w:ascii="Calibri" w:eastAsia="PMingLiU" w:hAnsi="Calibri" w:cs="Mangal"/>
        </w:rPr>
        <w:t xml:space="preserve"> under the </w:t>
      </w:r>
      <w:r w:rsidR="00BD3A44" w:rsidRPr="008E6652">
        <w:rPr>
          <w:rFonts w:ascii="Calibri" w:eastAsia="PMingLiU" w:hAnsi="Calibri" w:cs="Mangal"/>
        </w:rPr>
        <w:t>Telecommunications (Consumer Protection and Service Standards) Act 1999</w:t>
      </w:r>
      <w:r w:rsidR="00BD3A44" w:rsidRPr="00881BE9">
        <w:rPr>
          <w:rFonts w:ascii="Calibri" w:eastAsia="PMingLiU" w:hAnsi="Calibri" w:cs="Mangal"/>
        </w:rPr>
        <w:t xml:space="preserve"> </w:t>
      </w:r>
      <w:r w:rsidR="00BD3A44" w:rsidRPr="00DA14B9">
        <w:rPr>
          <w:rFonts w:ascii="Calibri" w:eastAsia="PMingLiU" w:hAnsi="Calibri" w:cs="Mangal"/>
        </w:rPr>
        <w:t>(TCPSS Act)</w:t>
      </w:r>
      <w:r w:rsidR="00E26A6D">
        <w:rPr>
          <w:rFonts w:ascii="Calibri" w:eastAsia="PMingLiU" w:hAnsi="Calibri" w:cs="Mangal"/>
        </w:rPr>
        <w:t xml:space="preserve">. It </w:t>
      </w:r>
      <w:r w:rsidRPr="00DA14B9">
        <w:rPr>
          <w:rFonts w:ascii="Calibri" w:eastAsia="PMingLiU" w:hAnsi="Calibri" w:cs="Mangal"/>
        </w:rPr>
        <w:t xml:space="preserve">ensures all people in Australia have reasonable access to a </w:t>
      </w:r>
      <w:r w:rsidR="00AA371C">
        <w:rPr>
          <w:rFonts w:ascii="Calibri" w:eastAsia="PMingLiU" w:hAnsi="Calibri" w:cs="Mangal"/>
        </w:rPr>
        <w:t>standard telephone service (</w:t>
      </w:r>
      <w:r w:rsidR="009D3FFA">
        <w:rPr>
          <w:rFonts w:ascii="Calibri" w:eastAsia="PMingLiU" w:hAnsi="Calibri" w:cs="Mangal"/>
        </w:rPr>
        <w:t>voice services</w:t>
      </w:r>
      <w:r w:rsidR="00AA371C">
        <w:rPr>
          <w:rFonts w:ascii="Calibri" w:eastAsia="PMingLiU" w:hAnsi="Calibri" w:cs="Mangal"/>
        </w:rPr>
        <w:t>)</w:t>
      </w:r>
      <w:r w:rsidRPr="00DA14B9">
        <w:rPr>
          <w:rFonts w:ascii="Calibri" w:eastAsia="PMingLiU" w:hAnsi="Calibri" w:cs="Mangal"/>
        </w:rPr>
        <w:t xml:space="preserve"> and payphones, wherever they live or work.</w:t>
      </w:r>
      <w:r w:rsidR="0033595C">
        <w:rPr>
          <w:rFonts w:ascii="Calibri" w:eastAsia="PMingLiU" w:hAnsi="Calibri" w:cs="Mangal"/>
        </w:rPr>
        <w:t xml:space="preserve"> Telstra</w:t>
      </w:r>
      <w:r w:rsidR="0033595C" w:rsidRPr="0033595C">
        <w:rPr>
          <w:rFonts w:ascii="Calibri" w:eastAsia="PMingLiU" w:hAnsi="Calibri" w:cs="Mangal"/>
        </w:rPr>
        <w:t xml:space="preserve"> </w:t>
      </w:r>
      <w:r w:rsidR="0033595C" w:rsidRPr="00DA14B9">
        <w:rPr>
          <w:rFonts w:ascii="Calibri" w:eastAsia="PMingLiU" w:hAnsi="Calibri" w:cs="Mangal"/>
        </w:rPr>
        <w:t xml:space="preserve">is the designated primary </w:t>
      </w:r>
      <w:r w:rsidR="00C56677">
        <w:rPr>
          <w:rFonts w:ascii="Calibri" w:eastAsia="PMingLiU" w:hAnsi="Calibri" w:cs="Mangal"/>
        </w:rPr>
        <w:t xml:space="preserve">universal service </w:t>
      </w:r>
      <w:r w:rsidR="0033595C" w:rsidRPr="00DA14B9">
        <w:rPr>
          <w:rFonts w:ascii="Calibri" w:eastAsia="PMingLiU" w:hAnsi="Calibri" w:cs="Mangal"/>
        </w:rPr>
        <w:t>provider in Australia</w:t>
      </w:r>
      <w:r w:rsidR="0033595C">
        <w:rPr>
          <w:rFonts w:ascii="Calibri" w:eastAsia="PMingLiU" w:hAnsi="Calibri" w:cs="Mangal"/>
        </w:rPr>
        <w:t>.</w:t>
      </w:r>
    </w:p>
    <w:p w14:paraId="0DECCA91" w14:textId="77777777" w:rsidR="00220D3D" w:rsidRPr="00DA14B9" w:rsidRDefault="0033595C" w:rsidP="00220D3D">
      <w:pPr>
        <w:rPr>
          <w:rFonts w:ascii="Calibri" w:eastAsia="PMingLiU" w:hAnsi="Calibri" w:cs="Mangal"/>
        </w:rPr>
      </w:pPr>
      <w:r>
        <w:rPr>
          <w:rFonts w:ascii="Calibri" w:eastAsia="PMingLiU" w:hAnsi="Calibri" w:cs="Mangal"/>
        </w:rPr>
        <w:t>The USO is</w:t>
      </w:r>
      <w:r w:rsidR="00834599">
        <w:rPr>
          <w:rFonts w:ascii="Calibri" w:eastAsia="PMingLiU" w:hAnsi="Calibri" w:cs="Mangal"/>
        </w:rPr>
        <w:t xml:space="preserve"> supported by a </w:t>
      </w:r>
      <w:r>
        <w:rPr>
          <w:rFonts w:ascii="Calibri" w:eastAsia="PMingLiU" w:hAnsi="Calibri" w:cs="Mangal"/>
        </w:rPr>
        <w:t xml:space="preserve">20 year </w:t>
      </w:r>
      <w:r w:rsidR="00834599">
        <w:rPr>
          <w:rFonts w:ascii="Calibri" w:eastAsia="PMingLiU" w:hAnsi="Calibri" w:cs="Mangal"/>
        </w:rPr>
        <w:t>contract between the Commonwealth and Telstra</w:t>
      </w:r>
      <w:r w:rsidR="00185E2C">
        <w:rPr>
          <w:rFonts w:ascii="Calibri" w:eastAsia="PMingLiU" w:hAnsi="Calibri" w:cs="Mangal"/>
        </w:rPr>
        <w:t>;</w:t>
      </w:r>
      <w:r w:rsidR="00834599">
        <w:rPr>
          <w:rFonts w:ascii="Calibri" w:eastAsia="PMingLiU" w:hAnsi="Calibri" w:cs="Mangal"/>
        </w:rPr>
        <w:t xml:space="preserve"> the </w:t>
      </w:r>
      <w:r w:rsidR="00220D3D" w:rsidRPr="00DA14B9">
        <w:rPr>
          <w:rFonts w:ascii="Calibri" w:eastAsia="PMingLiU" w:hAnsi="Calibri" w:cs="Mangal"/>
        </w:rPr>
        <w:t>Telstra</w:t>
      </w:r>
      <w:r w:rsidR="00834599">
        <w:rPr>
          <w:rFonts w:ascii="Calibri" w:eastAsia="PMingLiU" w:hAnsi="Calibri" w:cs="Mangal"/>
        </w:rPr>
        <w:t xml:space="preserve"> USO </w:t>
      </w:r>
      <w:r>
        <w:rPr>
          <w:rFonts w:ascii="Calibri" w:eastAsia="PMingLiU" w:hAnsi="Calibri" w:cs="Mangal"/>
        </w:rPr>
        <w:t>Performance Agreement (</w:t>
      </w:r>
      <w:r w:rsidR="00AD1692">
        <w:rPr>
          <w:rFonts w:ascii="Calibri" w:eastAsia="PMingLiU" w:hAnsi="Calibri" w:cs="Mangal"/>
        </w:rPr>
        <w:t>the USO contract</w:t>
      </w:r>
      <w:r>
        <w:rPr>
          <w:rFonts w:ascii="Calibri" w:eastAsia="PMingLiU" w:hAnsi="Calibri" w:cs="Mangal"/>
        </w:rPr>
        <w:t>)</w:t>
      </w:r>
      <w:r w:rsidR="00E26A6D">
        <w:rPr>
          <w:rFonts w:ascii="Calibri" w:eastAsia="PMingLiU" w:hAnsi="Calibri" w:cs="Mangal"/>
        </w:rPr>
        <w:t xml:space="preserve">. </w:t>
      </w:r>
      <w:r w:rsidR="009E6025">
        <w:rPr>
          <w:rFonts w:ascii="Calibri" w:eastAsia="PMingLiU" w:hAnsi="Calibri" w:cs="Mangal"/>
        </w:rPr>
        <w:t xml:space="preserve">The </w:t>
      </w:r>
      <w:r w:rsidR="00AD1692">
        <w:rPr>
          <w:rFonts w:ascii="Calibri" w:eastAsia="PMingLiU" w:hAnsi="Calibri" w:cs="Mangal"/>
        </w:rPr>
        <w:t xml:space="preserve">USO contract </w:t>
      </w:r>
      <w:r w:rsidR="009E6025">
        <w:rPr>
          <w:rFonts w:ascii="Calibri" w:eastAsia="PMingLiU" w:hAnsi="Calibri" w:cs="Mangal"/>
        </w:rPr>
        <w:t xml:space="preserve">extends from 2012 to 2032. </w:t>
      </w:r>
      <w:r>
        <w:rPr>
          <w:rFonts w:ascii="Calibri" w:eastAsia="PMingLiU" w:hAnsi="Calibri" w:cs="Mangal"/>
        </w:rPr>
        <w:t xml:space="preserve">Under the </w:t>
      </w:r>
      <w:r w:rsidR="00AD1692">
        <w:rPr>
          <w:rFonts w:ascii="Calibri" w:eastAsia="PMingLiU" w:hAnsi="Calibri" w:cs="Mangal"/>
        </w:rPr>
        <w:t>USO contract</w:t>
      </w:r>
      <w:r>
        <w:rPr>
          <w:rFonts w:ascii="Calibri" w:eastAsia="PMingLiU" w:hAnsi="Calibri" w:cs="Mangal"/>
        </w:rPr>
        <w:t xml:space="preserve">, </w:t>
      </w:r>
      <w:r w:rsidR="00220D3D" w:rsidRPr="00DA14B9">
        <w:rPr>
          <w:rFonts w:ascii="Calibri" w:eastAsia="PMingLiU" w:hAnsi="Calibri" w:cs="Mangal"/>
        </w:rPr>
        <w:t>Telstra is contractually oblig</w:t>
      </w:r>
      <w:r w:rsidR="00E26A6D">
        <w:rPr>
          <w:rFonts w:ascii="Calibri" w:eastAsia="PMingLiU" w:hAnsi="Calibri" w:cs="Mangal"/>
        </w:rPr>
        <w:t>at</w:t>
      </w:r>
      <w:r w:rsidR="00220D3D" w:rsidRPr="00DA14B9">
        <w:rPr>
          <w:rFonts w:ascii="Calibri" w:eastAsia="PMingLiU" w:hAnsi="Calibri" w:cs="Mangal"/>
        </w:rPr>
        <w:t>ed to</w:t>
      </w:r>
      <w:r w:rsidR="00185E2C">
        <w:rPr>
          <w:rFonts w:ascii="Calibri" w:eastAsia="PMingLiU" w:hAnsi="Calibri" w:cs="Mangal"/>
        </w:rPr>
        <w:t>, amongst other things,</w:t>
      </w:r>
      <w:r w:rsidR="00220D3D" w:rsidRPr="00DA14B9">
        <w:rPr>
          <w:rFonts w:ascii="Calibri" w:eastAsia="PMingLiU" w:hAnsi="Calibri" w:cs="Mangal"/>
        </w:rPr>
        <w:t xml:space="preserve"> </w:t>
      </w:r>
      <w:r w:rsidR="00185E2C">
        <w:rPr>
          <w:rFonts w:ascii="Calibri" w:eastAsia="PMingLiU" w:hAnsi="Calibri" w:cs="Mangal"/>
        </w:rPr>
        <w:t xml:space="preserve">supply </w:t>
      </w:r>
      <w:r w:rsidR="00AD1692">
        <w:rPr>
          <w:rFonts w:ascii="Calibri" w:eastAsia="PMingLiU" w:hAnsi="Calibri" w:cs="Mangal"/>
        </w:rPr>
        <w:t>fixed voice services</w:t>
      </w:r>
      <w:r w:rsidR="00E26A6D">
        <w:rPr>
          <w:rFonts w:ascii="Calibri" w:eastAsia="PMingLiU" w:hAnsi="Calibri" w:cs="Mangal"/>
        </w:rPr>
        <w:t xml:space="preserve"> on reasonable request,</w:t>
      </w:r>
      <w:r>
        <w:rPr>
          <w:rFonts w:ascii="Calibri" w:eastAsia="PMingLiU" w:hAnsi="Calibri" w:cs="Mangal"/>
        </w:rPr>
        <w:t xml:space="preserve"> and </w:t>
      </w:r>
      <w:r w:rsidR="00185E2C">
        <w:rPr>
          <w:rFonts w:ascii="Calibri" w:eastAsia="PMingLiU" w:hAnsi="Calibri" w:cs="Mangal"/>
        </w:rPr>
        <w:t>supply, install and maintain</w:t>
      </w:r>
      <w:r w:rsidR="00411630">
        <w:rPr>
          <w:rFonts w:ascii="Calibri" w:eastAsia="PMingLiU" w:hAnsi="Calibri" w:cs="Mangal"/>
        </w:rPr>
        <w:t xml:space="preserve"> </w:t>
      </w:r>
      <w:r>
        <w:rPr>
          <w:rFonts w:ascii="Calibri" w:eastAsia="PMingLiU" w:hAnsi="Calibri" w:cs="Mangal"/>
        </w:rPr>
        <w:t>payphone</w:t>
      </w:r>
      <w:r w:rsidR="00E26A6D">
        <w:rPr>
          <w:rFonts w:ascii="Calibri" w:eastAsia="PMingLiU" w:hAnsi="Calibri" w:cs="Mangal"/>
        </w:rPr>
        <w:t xml:space="preserve">s. Telstra </w:t>
      </w:r>
      <w:r>
        <w:rPr>
          <w:rFonts w:ascii="Calibri" w:eastAsia="PMingLiU" w:hAnsi="Calibri" w:cs="Mangal"/>
        </w:rPr>
        <w:t xml:space="preserve">must </w:t>
      </w:r>
      <w:r w:rsidR="00E26A6D">
        <w:rPr>
          <w:rFonts w:ascii="Calibri" w:eastAsia="PMingLiU" w:hAnsi="Calibri" w:cs="Mangal"/>
        </w:rPr>
        <w:t xml:space="preserve">also </w:t>
      </w:r>
      <w:r>
        <w:rPr>
          <w:rFonts w:ascii="Calibri" w:eastAsia="PMingLiU" w:hAnsi="Calibri" w:cs="Mangal"/>
        </w:rPr>
        <w:t>maintain existing copper connections outside the NBN fixed line footprint</w:t>
      </w:r>
      <w:r w:rsidR="00E26A6D">
        <w:rPr>
          <w:rFonts w:ascii="Calibri" w:eastAsia="PMingLiU" w:hAnsi="Calibri" w:cs="Mangal"/>
        </w:rPr>
        <w:t xml:space="preserve">, </w:t>
      </w:r>
      <w:r w:rsidR="00185E2C">
        <w:rPr>
          <w:rFonts w:ascii="Calibri" w:eastAsia="PMingLiU" w:hAnsi="Calibri" w:cs="Mangal"/>
        </w:rPr>
        <w:t>except in a limited circumstances</w:t>
      </w:r>
      <w:r w:rsidR="00220D3D" w:rsidRPr="00DA14B9">
        <w:rPr>
          <w:rFonts w:ascii="Calibri" w:eastAsia="PMingLiU" w:hAnsi="Calibri" w:cs="Mangal"/>
        </w:rPr>
        <w:t>.</w:t>
      </w:r>
      <w:r w:rsidR="009E6025">
        <w:rPr>
          <w:rFonts w:ascii="Calibri" w:eastAsia="PMingLiU" w:hAnsi="Calibri" w:cs="Mangal"/>
        </w:rPr>
        <w:t xml:space="preserve"> This is know</w:t>
      </w:r>
      <w:r w:rsidR="002433C1">
        <w:rPr>
          <w:rFonts w:ascii="Calibri" w:eastAsia="PMingLiU" w:hAnsi="Calibri" w:cs="Mangal"/>
        </w:rPr>
        <w:t>n</w:t>
      </w:r>
      <w:r w:rsidR="009E6025">
        <w:rPr>
          <w:rFonts w:ascii="Calibri" w:eastAsia="PMingLiU" w:hAnsi="Calibri" w:cs="Mangal"/>
        </w:rPr>
        <w:t xml:space="preserve"> as its copper continuity obligation</w:t>
      </w:r>
      <w:r w:rsidR="00222D64">
        <w:rPr>
          <w:rFonts w:ascii="Calibri" w:eastAsia="PMingLiU" w:hAnsi="Calibri" w:cs="Mangal"/>
        </w:rPr>
        <w:t xml:space="preserve"> (CCO)</w:t>
      </w:r>
      <w:r w:rsidR="009E6025">
        <w:rPr>
          <w:rFonts w:ascii="Calibri" w:eastAsia="PMingLiU" w:hAnsi="Calibri" w:cs="Mangal"/>
        </w:rPr>
        <w:t>.</w:t>
      </w:r>
    </w:p>
    <w:p w14:paraId="0DECCA92" w14:textId="77777777" w:rsidR="00611908" w:rsidRPr="00DA14B9" w:rsidRDefault="00E26A6D" w:rsidP="00E671EE">
      <w:pPr>
        <w:spacing w:after="120"/>
        <w:rPr>
          <w:rFonts w:ascii="Calibri" w:eastAsia="PMingLiU" w:hAnsi="Calibri" w:cs="Mangal"/>
        </w:rPr>
      </w:pPr>
      <w:r>
        <w:rPr>
          <w:rFonts w:ascii="Calibri" w:eastAsia="PMingLiU" w:hAnsi="Calibri" w:cs="Mangal"/>
        </w:rPr>
        <w:t>Under t</w:t>
      </w:r>
      <w:r w:rsidR="00220D3D" w:rsidRPr="00B4144B">
        <w:rPr>
          <w:rFonts w:ascii="Calibri" w:eastAsia="PMingLiU" w:hAnsi="Calibri" w:cs="Mangal"/>
        </w:rPr>
        <w:t xml:space="preserve">he </w:t>
      </w:r>
      <w:r w:rsidR="00AD1692">
        <w:rPr>
          <w:rFonts w:ascii="Calibri" w:eastAsia="PMingLiU" w:hAnsi="Calibri" w:cs="Mangal"/>
        </w:rPr>
        <w:t>USO contract</w:t>
      </w:r>
      <w:r>
        <w:rPr>
          <w:rFonts w:ascii="Calibri" w:eastAsia="PMingLiU" w:hAnsi="Calibri" w:cs="Mangal"/>
        </w:rPr>
        <w:t xml:space="preserve">, Telstra receives </w:t>
      </w:r>
      <w:r w:rsidR="00220D3D" w:rsidRPr="00B4144B">
        <w:rPr>
          <w:rFonts w:ascii="Calibri" w:eastAsia="PMingLiU" w:hAnsi="Calibri" w:cs="Mangal"/>
        </w:rPr>
        <w:t>an annual payment of $2</w:t>
      </w:r>
      <w:r w:rsidR="00724A5C">
        <w:rPr>
          <w:rFonts w:ascii="Calibri" w:eastAsia="PMingLiU" w:hAnsi="Calibri" w:cs="Mangal"/>
        </w:rPr>
        <w:t>3</w:t>
      </w:r>
      <w:r w:rsidR="00220D3D" w:rsidRPr="00B4144B">
        <w:rPr>
          <w:rFonts w:ascii="Calibri" w:eastAsia="PMingLiU" w:hAnsi="Calibri" w:cs="Mangal"/>
        </w:rPr>
        <w:t xml:space="preserve">0 million </w:t>
      </w:r>
      <w:r>
        <w:rPr>
          <w:rFonts w:ascii="Calibri" w:eastAsia="PMingLiU" w:hAnsi="Calibri" w:cs="Mangal"/>
        </w:rPr>
        <w:t xml:space="preserve">(GST exclusive) </w:t>
      </w:r>
      <w:r w:rsidR="00220D3D" w:rsidRPr="00B4144B">
        <w:rPr>
          <w:rFonts w:ascii="Calibri" w:eastAsia="PMingLiU" w:hAnsi="Calibri" w:cs="Mangal"/>
        </w:rPr>
        <w:t xml:space="preserve">to deliver </w:t>
      </w:r>
      <w:r w:rsidR="00AD1692">
        <w:rPr>
          <w:rFonts w:ascii="Calibri" w:eastAsia="PMingLiU" w:hAnsi="Calibri" w:cs="Mangal"/>
        </w:rPr>
        <w:t xml:space="preserve">fixed </w:t>
      </w:r>
      <w:r w:rsidR="00724A5C">
        <w:rPr>
          <w:rFonts w:ascii="Calibri" w:eastAsia="PMingLiU" w:hAnsi="Calibri" w:cs="Mangal"/>
        </w:rPr>
        <w:t xml:space="preserve">voice services and $40 million </w:t>
      </w:r>
      <w:r w:rsidR="00411630">
        <w:rPr>
          <w:rFonts w:ascii="Calibri" w:eastAsia="PMingLiU" w:hAnsi="Calibri" w:cs="Mangal"/>
        </w:rPr>
        <w:t xml:space="preserve">(GST exclusive) </w:t>
      </w:r>
      <w:r w:rsidR="00724A5C">
        <w:rPr>
          <w:rFonts w:ascii="Calibri" w:eastAsia="PMingLiU" w:hAnsi="Calibri" w:cs="Mangal"/>
        </w:rPr>
        <w:t>to deliver payphone services</w:t>
      </w:r>
      <w:r w:rsidR="002C4D7E">
        <w:rPr>
          <w:rFonts w:ascii="Calibri" w:eastAsia="PMingLiU" w:hAnsi="Calibri" w:cs="Mangal"/>
        </w:rPr>
        <w:t>.</w:t>
      </w:r>
      <w:r w:rsidR="0023674A">
        <w:rPr>
          <w:rFonts w:ascii="Calibri" w:eastAsia="PMingLiU" w:hAnsi="Calibri" w:cs="Mangal"/>
        </w:rPr>
        <w:t xml:space="preserve"> </w:t>
      </w:r>
      <w:r w:rsidR="002C4D7E">
        <w:rPr>
          <w:rFonts w:ascii="Calibri" w:eastAsia="PMingLiU" w:hAnsi="Calibri" w:cs="Mangal"/>
        </w:rPr>
        <w:t>I</w:t>
      </w:r>
      <w:r w:rsidR="0023674A">
        <w:rPr>
          <w:rFonts w:ascii="Calibri" w:eastAsia="PMingLiU" w:hAnsi="Calibri" w:cs="Mangal"/>
        </w:rPr>
        <w:t>n broad terms,</w:t>
      </w:r>
      <w:r w:rsidR="00B66C26" w:rsidRPr="00B4144B">
        <w:rPr>
          <w:rFonts w:ascii="Calibri" w:eastAsia="PMingLiU" w:hAnsi="Calibri" w:cs="Mangal"/>
        </w:rPr>
        <w:t xml:space="preserve"> the Commonwealth </w:t>
      </w:r>
      <w:r w:rsidR="00411630">
        <w:rPr>
          <w:rFonts w:ascii="Calibri" w:eastAsia="PMingLiU" w:hAnsi="Calibri" w:cs="Mangal"/>
        </w:rPr>
        <w:t>contributes</w:t>
      </w:r>
      <w:r w:rsidR="00411630" w:rsidRPr="00B4144B">
        <w:rPr>
          <w:rFonts w:ascii="Calibri" w:eastAsia="PMingLiU" w:hAnsi="Calibri" w:cs="Mangal"/>
        </w:rPr>
        <w:t xml:space="preserve"> </w:t>
      </w:r>
      <w:r w:rsidR="00B66C26" w:rsidRPr="00B4144B">
        <w:rPr>
          <w:rFonts w:ascii="Calibri" w:eastAsia="PMingLiU" w:hAnsi="Calibri" w:cs="Mangal"/>
        </w:rPr>
        <w:t>$100</w:t>
      </w:r>
      <w:r w:rsidR="00B66C26">
        <w:rPr>
          <w:rFonts w:ascii="Calibri" w:eastAsia="PMingLiU" w:hAnsi="Calibri" w:cs="Mangal"/>
        </w:rPr>
        <w:t> </w:t>
      </w:r>
      <w:r w:rsidR="00B66C26" w:rsidRPr="00B4144B">
        <w:rPr>
          <w:rFonts w:ascii="Calibri" w:eastAsia="PMingLiU" w:hAnsi="Calibri" w:cs="Mangal"/>
        </w:rPr>
        <w:t>m</w:t>
      </w:r>
      <w:r w:rsidR="00B66C26">
        <w:rPr>
          <w:rFonts w:ascii="Calibri" w:eastAsia="PMingLiU" w:hAnsi="Calibri" w:cs="Mangal"/>
        </w:rPr>
        <w:t>illion</w:t>
      </w:r>
      <w:r w:rsidR="00B66C26" w:rsidRPr="00B4144B">
        <w:rPr>
          <w:rFonts w:ascii="Calibri" w:eastAsia="PMingLiU" w:hAnsi="Calibri" w:cs="Mangal"/>
        </w:rPr>
        <w:t xml:space="preserve"> and industry</w:t>
      </w:r>
      <w:r w:rsidR="00667A88">
        <w:rPr>
          <w:rFonts w:ascii="Calibri" w:eastAsia="PMingLiU" w:hAnsi="Calibri" w:cs="Mangal"/>
        </w:rPr>
        <w:t>, including Telstra,</w:t>
      </w:r>
      <w:r w:rsidR="00B66C26" w:rsidRPr="00B4144B">
        <w:rPr>
          <w:rFonts w:ascii="Calibri" w:eastAsia="PMingLiU" w:hAnsi="Calibri" w:cs="Mangal"/>
        </w:rPr>
        <w:t xml:space="preserve"> pays the re</w:t>
      </w:r>
      <w:r w:rsidR="00AD1692">
        <w:rPr>
          <w:rFonts w:ascii="Calibri" w:eastAsia="PMingLiU" w:hAnsi="Calibri" w:cs="Mangal"/>
        </w:rPr>
        <w:t>mainder</w:t>
      </w:r>
      <w:r w:rsidR="00FB1AA9">
        <w:rPr>
          <w:rFonts w:ascii="Calibri" w:eastAsia="PMingLiU" w:hAnsi="Calibri" w:cs="Mangal"/>
        </w:rPr>
        <w:t xml:space="preserve"> via the Telecommunications Industry Levy</w:t>
      </w:r>
      <w:r>
        <w:rPr>
          <w:rFonts w:ascii="Calibri" w:eastAsia="PMingLiU" w:hAnsi="Calibri" w:cs="Mangal"/>
        </w:rPr>
        <w:t>.</w:t>
      </w:r>
    </w:p>
    <w:p w14:paraId="0DECCA93" w14:textId="77777777" w:rsidR="00220D3D" w:rsidRDefault="00B66C26" w:rsidP="00197B2A">
      <w:pPr>
        <w:rPr>
          <w:rFonts w:ascii="Calibri" w:eastAsia="PMingLiU" w:hAnsi="Calibri" w:cs="Mangal"/>
        </w:rPr>
      </w:pPr>
      <w:r>
        <w:rPr>
          <w:rFonts w:ascii="Calibri" w:eastAsia="PMingLiU" w:hAnsi="Calibri" w:cs="Mangal"/>
        </w:rPr>
        <w:t xml:space="preserve">Telstra provides annual performance reports which </w:t>
      </w:r>
      <w:r w:rsidR="0087520C">
        <w:rPr>
          <w:rFonts w:ascii="Calibri" w:eastAsia="PMingLiU" w:hAnsi="Calibri" w:cs="Mangal"/>
        </w:rPr>
        <w:t xml:space="preserve">we </w:t>
      </w:r>
      <w:r>
        <w:rPr>
          <w:rFonts w:ascii="Calibri" w:eastAsia="PMingLiU" w:hAnsi="Calibri" w:cs="Mangal"/>
        </w:rPr>
        <w:t xml:space="preserve">use </w:t>
      </w:r>
      <w:r w:rsidR="00220D3D" w:rsidRPr="00DA14B9">
        <w:rPr>
          <w:rFonts w:ascii="Calibri" w:eastAsia="PMingLiU" w:hAnsi="Calibri" w:cs="Mangal"/>
        </w:rPr>
        <w:t xml:space="preserve">to determine whether </w:t>
      </w:r>
      <w:r>
        <w:rPr>
          <w:rFonts w:ascii="Calibri" w:eastAsia="PMingLiU" w:hAnsi="Calibri" w:cs="Mangal"/>
        </w:rPr>
        <w:t xml:space="preserve">Telstra </w:t>
      </w:r>
      <w:r w:rsidR="00220D3D" w:rsidRPr="00DA14B9">
        <w:rPr>
          <w:rFonts w:ascii="Calibri" w:eastAsia="PMingLiU" w:hAnsi="Calibri" w:cs="Mangal"/>
        </w:rPr>
        <w:t xml:space="preserve">has met </w:t>
      </w:r>
      <w:r w:rsidR="00E25EB4">
        <w:rPr>
          <w:rFonts w:ascii="Calibri" w:eastAsia="PMingLiU" w:hAnsi="Calibri" w:cs="Mangal"/>
        </w:rPr>
        <w:t>i</w:t>
      </w:r>
      <w:r>
        <w:rPr>
          <w:rFonts w:ascii="Calibri" w:eastAsia="PMingLiU" w:hAnsi="Calibri" w:cs="Mangal"/>
        </w:rPr>
        <w:t>t</w:t>
      </w:r>
      <w:r w:rsidR="00E25EB4">
        <w:rPr>
          <w:rFonts w:ascii="Calibri" w:eastAsia="PMingLiU" w:hAnsi="Calibri" w:cs="Mangal"/>
        </w:rPr>
        <w:t>s</w:t>
      </w:r>
      <w:r>
        <w:rPr>
          <w:rFonts w:ascii="Calibri" w:eastAsia="PMingLiU" w:hAnsi="Calibri" w:cs="Mangal"/>
        </w:rPr>
        <w:t xml:space="preserve"> </w:t>
      </w:r>
      <w:r w:rsidR="00220D3D" w:rsidRPr="00DA14B9">
        <w:rPr>
          <w:rFonts w:ascii="Calibri" w:eastAsia="PMingLiU" w:hAnsi="Calibri" w:cs="Mangal"/>
        </w:rPr>
        <w:t xml:space="preserve">contractual </w:t>
      </w:r>
      <w:r>
        <w:rPr>
          <w:rFonts w:ascii="Calibri" w:eastAsia="PMingLiU" w:hAnsi="Calibri" w:cs="Mangal"/>
        </w:rPr>
        <w:t>obligations</w:t>
      </w:r>
      <w:r w:rsidR="00220D3D" w:rsidRPr="00DA14B9">
        <w:rPr>
          <w:rFonts w:ascii="Calibri" w:eastAsia="PMingLiU" w:hAnsi="Calibri" w:cs="Mangal"/>
        </w:rPr>
        <w:t xml:space="preserve">. For </w:t>
      </w:r>
      <w:r w:rsidR="00FB1AA9">
        <w:rPr>
          <w:rFonts w:ascii="Calibri" w:eastAsia="PMingLiU" w:hAnsi="Calibri" w:cs="Mangal"/>
        </w:rPr>
        <w:t xml:space="preserve">USO </w:t>
      </w:r>
      <w:r w:rsidR="00E25EB4">
        <w:rPr>
          <w:rFonts w:ascii="Calibri" w:eastAsia="PMingLiU" w:hAnsi="Calibri" w:cs="Mangal"/>
        </w:rPr>
        <w:t>voice services</w:t>
      </w:r>
      <w:r w:rsidR="00220D3D" w:rsidRPr="00DA14B9">
        <w:rPr>
          <w:rFonts w:ascii="Calibri" w:eastAsia="PMingLiU" w:hAnsi="Calibri" w:cs="Mangal"/>
        </w:rPr>
        <w:t xml:space="preserve">, Telstra’s performance </w:t>
      </w:r>
      <w:r w:rsidR="00E25EB4">
        <w:rPr>
          <w:rFonts w:ascii="Calibri" w:eastAsia="PMingLiU" w:hAnsi="Calibri" w:cs="Mangal"/>
        </w:rPr>
        <w:t xml:space="preserve">is mainly assessed against </w:t>
      </w:r>
      <w:r w:rsidR="00220D3D" w:rsidRPr="00DA14B9">
        <w:rPr>
          <w:rFonts w:ascii="Calibri" w:eastAsia="PMingLiU" w:hAnsi="Calibri" w:cs="Mangal"/>
        </w:rPr>
        <w:t>the regulat</w:t>
      </w:r>
      <w:r w:rsidR="00411630">
        <w:rPr>
          <w:rFonts w:ascii="Calibri" w:eastAsia="PMingLiU" w:hAnsi="Calibri" w:cs="Mangal"/>
        </w:rPr>
        <w:t>ed</w:t>
      </w:r>
      <w:r w:rsidR="00220D3D" w:rsidRPr="00DA14B9">
        <w:rPr>
          <w:rFonts w:ascii="Calibri" w:eastAsia="PMingLiU" w:hAnsi="Calibri" w:cs="Mangal"/>
        </w:rPr>
        <w:t xml:space="preserve"> </w:t>
      </w:r>
      <w:r w:rsidR="002F6F5A">
        <w:rPr>
          <w:rFonts w:ascii="Calibri" w:eastAsia="PMingLiU" w:hAnsi="Calibri" w:cs="Mangal"/>
        </w:rPr>
        <w:t>Customer Service Guarantee</w:t>
      </w:r>
      <w:r w:rsidR="009D3FFA">
        <w:rPr>
          <w:rFonts w:ascii="Calibri" w:eastAsia="PMingLiU" w:hAnsi="Calibri" w:cs="Mangal"/>
        </w:rPr>
        <w:t xml:space="preserve"> (CSG)</w:t>
      </w:r>
      <w:r w:rsidR="00411630">
        <w:rPr>
          <w:rFonts w:ascii="Calibri" w:eastAsia="PMingLiU" w:hAnsi="Calibri" w:cs="Mangal"/>
        </w:rPr>
        <w:t xml:space="preserve"> standard and associated benchmarks</w:t>
      </w:r>
      <w:r w:rsidR="00220D3D" w:rsidRPr="00DA14B9">
        <w:rPr>
          <w:rFonts w:ascii="Calibri" w:eastAsia="PMingLiU" w:hAnsi="Calibri" w:cs="Mangal"/>
        </w:rPr>
        <w:t xml:space="preserve">. For payphones, </w:t>
      </w:r>
      <w:r w:rsidR="0087520C">
        <w:rPr>
          <w:rFonts w:ascii="Calibri" w:eastAsia="PMingLiU" w:hAnsi="Calibri" w:cs="Mangal"/>
        </w:rPr>
        <w:t xml:space="preserve">we </w:t>
      </w:r>
      <w:r w:rsidR="00220D3D" w:rsidRPr="00DA14B9">
        <w:rPr>
          <w:rFonts w:ascii="Calibri" w:eastAsia="PMingLiU" w:hAnsi="Calibri" w:cs="Mangal"/>
        </w:rPr>
        <w:t>assess whether Telstra has met its regulated USO payphone performance standards and benchmarks, as well as public consultation requirements regarding the installation and removal of payphones.</w:t>
      </w:r>
    </w:p>
    <w:p w14:paraId="0DECCA94" w14:textId="77777777" w:rsidR="009127ED" w:rsidRPr="009E3122" w:rsidRDefault="00CB1B53" w:rsidP="00197B2A">
      <w:pPr>
        <w:rPr>
          <w:lang w:eastAsia="en-US"/>
        </w:rPr>
      </w:pPr>
      <w:r>
        <w:rPr>
          <w:lang w:eastAsia="en-US"/>
        </w:rPr>
        <w:t xml:space="preserve">Approximately 580 of Telstra’s payphones are classed as serving Indigenous communities, including in urban settings. </w:t>
      </w:r>
      <w:r w:rsidR="009127ED" w:rsidDel="00881BE9">
        <w:rPr>
          <w:lang w:eastAsia="en-US"/>
        </w:rPr>
        <w:t xml:space="preserve">The Department of </w:t>
      </w:r>
      <w:r w:rsidR="00411630">
        <w:rPr>
          <w:lang w:eastAsia="en-US"/>
        </w:rPr>
        <w:t xml:space="preserve">the </w:t>
      </w:r>
      <w:r w:rsidR="009127ED" w:rsidDel="00881BE9">
        <w:rPr>
          <w:lang w:eastAsia="en-US"/>
        </w:rPr>
        <w:t>Prime Minister and Cabinet also separately funds 245 community phones and 301 </w:t>
      </w:r>
      <w:r w:rsidR="00D63B4C">
        <w:rPr>
          <w:lang w:eastAsia="en-US"/>
        </w:rPr>
        <w:t xml:space="preserve">community phones with </w:t>
      </w:r>
      <w:r w:rsidR="00A02C2C">
        <w:rPr>
          <w:lang w:eastAsia="en-US"/>
        </w:rPr>
        <w:t>Wi-Fi</w:t>
      </w:r>
      <w:r w:rsidR="009127ED" w:rsidDel="00881BE9">
        <w:rPr>
          <w:lang w:eastAsia="en-US"/>
        </w:rPr>
        <w:t xml:space="preserve"> </w:t>
      </w:r>
      <w:r w:rsidR="00D63B4C">
        <w:rPr>
          <w:lang w:eastAsia="en-US"/>
        </w:rPr>
        <w:t xml:space="preserve">capability </w:t>
      </w:r>
      <w:r w:rsidR="009127ED" w:rsidDel="00881BE9">
        <w:rPr>
          <w:lang w:eastAsia="en-US"/>
        </w:rPr>
        <w:t xml:space="preserve">in remote Indigenous communities. These are in smaller communities </w:t>
      </w:r>
      <w:r w:rsidR="00411630">
        <w:rPr>
          <w:lang w:eastAsia="en-US"/>
        </w:rPr>
        <w:t xml:space="preserve">of less than 50 people, </w:t>
      </w:r>
      <w:r w:rsidR="009127ED" w:rsidDel="00881BE9">
        <w:rPr>
          <w:lang w:eastAsia="en-US"/>
        </w:rPr>
        <w:t xml:space="preserve">which Telstra has not historically been required </w:t>
      </w:r>
      <w:r w:rsidR="00AD1692">
        <w:rPr>
          <w:lang w:eastAsia="en-US"/>
        </w:rPr>
        <w:t xml:space="preserve">to </w:t>
      </w:r>
      <w:r w:rsidR="009127ED" w:rsidDel="00881BE9">
        <w:rPr>
          <w:lang w:eastAsia="en-US"/>
        </w:rPr>
        <w:t xml:space="preserve">service. </w:t>
      </w:r>
    </w:p>
    <w:p w14:paraId="0DECCA95" w14:textId="77777777" w:rsidR="007A27D8" w:rsidRPr="009E3122" w:rsidRDefault="007A27D8" w:rsidP="009E3122">
      <w:pPr>
        <w:pStyle w:val="Heading3"/>
      </w:pPr>
      <w:bookmarkStart w:id="58" w:name="_Toc529783720"/>
      <w:r w:rsidRPr="009E3122">
        <w:t>Statement of Expectations and Statutory Infrastructure Provider obligations</w:t>
      </w:r>
      <w:bookmarkEnd w:id="58"/>
    </w:p>
    <w:p w14:paraId="0DECCA96" w14:textId="77777777" w:rsidR="007A27D8" w:rsidRDefault="003D2E66" w:rsidP="003D2E66">
      <w:pPr>
        <w:rPr>
          <w:rFonts w:ascii="Calibri" w:eastAsia="PMingLiU" w:hAnsi="Calibri" w:cs="Mangal"/>
        </w:rPr>
      </w:pPr>
      <w:r w:rsidRPr="009E3122">
        <w:rPr>
          <w:rFonts w:ascii="Calibri" w:eastAsia="PMingLiU" w:hAnsi="Calibri" w:cs="Mangal"/>
        </w:rPr>
        <w:t xml:space="preserve">The </w:t>
      </w:r>
      <w:r w:rsidR="00257CD4">
        <w:rPr>
          <w:rFonts w:ascii="Calibri" w:eastAsia="PMingLiU" w:hAnsi="Calibri" w:cs="Mangal"/>
        </w:rPr>
        <w:t>Statement of Expectations</w:t>
      </w:r>
      <w:r w:rsidR="00667A88">
        <w:rPr>
          <w:rFonts w:ascii="Calibri" w:eastAsia="PMingLiU" w:hAnsi="Calibri" w:cs="Mangal"/>
        </w:rPr>
        <w:t xml:space="preserve"> to NBN Co</w:t>
      </w:r>
      <w:r w:rsidR="00257CD4">
        <w:rPr>
          <w:rFonts w:ascii="Calibri" w:eastAsia="PMingLiU" w:hAnsi="Calibri" w:cs="Mangal"/>
        </w:rPr>
        <w:t xml:space="preserve">, or </w:t>
      </w:r>
      <w:proofErr w:type="spellStart"/>
      <w:r w:rsidR="00257CD4">
        <w:rPr>
          <w:rFonts w:ascii="Calibri" w:eastAsia="PMingLiU" w:hAnsi="Calibri" w:cs="Mangal"/>
        </w:rPr>
        <w:t>SoE</w:t>
      </w:r>
      <w:proofErr w:type="spellEnd"/>
      <w:r w:rsidR="00257CD4">
        <w:rPr>
          <w:rFonts w:ascii="Calibri" w:eastAsia="PMingLiU" w:hAnsi="Calibri" w:cs="Mangal"/>
        </w:rPr>
        <w:t xml:space="preserve">, </w:t>
      </w:r>
      <w:r>
        <w:rPr>
          <w:rFonts w:ascii="Calibri" w:eastAsia="PMingLiU" w:hAnsi="Calibri" w:cs="Mangal"/>
        </w:rPr>
        <w:t xml:space="preserve">provides guidance to NBN Co on </w:t>
      </w:r>
      <w:r w:rsidR="00FB1AA9">
        <w:rPr>
          <w:rFonts w:ascii="Calibri" w:eastAsia="PMingLiU" w:hAnsi="Calibri" w:cs="Mangal"/>
        </w:rPr>
        <w:t xml:space="preserve">the </w:t>
      </w:r>
      <w:r w:rsidR="00591BE5">
        <w:rPr>
          <w:rFonts w:ascii="Calibri" w:eastAsia="PMingLiU" w:hAnsi="Calibri" w:cs="Mangal"/>
        </w:rPr>
        <w:t>G</w:t>
      </w:r>
      <w:r w:rsidR="00FB1AA9">
        <w:rPr>
          <w:rFonts w:ascii="Calibri" w:eastAsia="PMingLiU" w:hAnsi="Calibri" w:cs="Mangal"/>
        </w:rPr>
        <w:t xml:space="preserve">overnment’s </w:t>
      </w:r>
      <w:r>
        <w:rPr>
          <w:rFonts w:ascii="Calibri" w:eastAsia="PMingLiU" w:hAnsi="Calibri" w:cs="Mangal"/>
        </w:rPr>
        <w:t xml:space="preserve">expectations for the rollout of the NBN. The </w:t>
      </w:r>
      <w:proofErr w:type="spellStart"/>
      <w:r>
        <w:rPr>
          <w:rFonts w:ascii="Calibri" w:eastAsia="PMingLiU" w:hAnsi="Calibri" w:cs="Mangal"/>
        </w:rPr>
        <w:t>S</w:t>
      </w:r>
      <w:r w:rsidR="00C520D3">
        <w:rPr>
          <w:rFonts w:ascii="Calibri" w:eastAsia="PMingLiU" w:hAnsi="Calibri" w:cs="Mangal"/>
        </w:rPr>
        <w:t>o</w:t>
      </w:r>
      <w:r>
        <w:rPr>
          <w:rFonts w:ascii="Calibri" w:eastAsia="PMingLiU" w:hAnsi="Calibri" w:cs="Mangal"/>
        </w:rPr>
        <w:t>E</w:t>
      </w:r>
      <w:proofErr w:type="spellEnd"/>
      <w:r>
        <w:rPr>
          <w:rFonts w:ascii="Calibri" w:eastAsia="PMingLiU" w:hAnsi="Calibri" w:cs="Mangal"/>
        </w:rPr>
        <w:t xml:space="preserve"> </w:t>
      </w:r>
      <w:r w:rsidR="007A27D8">
        <w:rPr>
          <w:rFonts w:ascii="Calibri" w:eastAsia="PMingLiU" w:hAnsi="Calibri" w:cs="Mangal"/>
        </w:rPr>
        <w:t>ensure</w:t>
      </w:r>
      <w:r>
        <w:rPr>
          <w:rFonts w:ascii="Calibri" w:eastAsia="PMingLiU" w:hAnsi="Calibri" w:cs="Mangal"/>
        </w:rPr>
        <w:t xml:space="preserve">s that NBN </w:t>
      </w:r>
      <w:proofErr w:type="spellStart"/>
      <w:r>
        <w:rPr>
          <w:rFonts w:ascii="Calibri" w:eastAsia="PMingLiU" w:hAnsi="Calibri" w:cs="Mangal"/>
        </w:rPr>
        <w:t>Co’s</w:t>
      </w:r>
      <w:proofErr w:type="spellEnd"/>
      <w:r w:rsidR="007A27D8">
        <w:rPr>
          <w:rFonts w:ascii="Calibri" w:eastAsia="PMingLiU" w:hAnsi="Calibri" w:cs="Mangal"/>
        </w:rPr>
        <w:t xml:space="preserve"> strategic direction aligns with the </w:t>
      </w:r>
      <w:r w:rsidR="00571A58">
        <w:rPr>
          <w:rFonts w:ascii="Calibri" w:eastAsia="PMingLiU" w:hAnsi="Calibri" w:cs="Mangal"/>
        </w:rPr>
        <w:t>G</w:t>
      </w:r>
      <w:r w:rsidR="00AD1692">
        <w:rPr>
          <w:rFonts w:ascii="Calibri" w:eastAsia="PMingLiU" w:hAnsi="Calibri" w:cs="Mangal"/>
        </w:rPr>
        <w:t xml:space="preserve">overnment’s </w:t>
      </w:r>
      <w:r w:rsidR="007A27D8">
        <w:rPr>
          <w:rFonts w:ascii="Calibri" w:eastAsia="PMingLiU" w:hAnsi="Calibri" w:cs="Mangal"/>
        </w:rPr>
        <w:t>objectives for delivery of the network</w:t>
      </w:r>
      <w:r w:rsidR="00257CD4">
        <w:rPr>
          <w:rFonts w:ascii="Calibri" w:eastAsia="PMingLiU" w:hAnsi="Calibri" w:cs="Mangal"/>
        </w:rPr>
        <w:t xml:space="preserve"> and</w:t>
      </w:r>
      <w:r>
        <w:rPr>
          <w:rFonts w:ascii="Calibri" w:eastAsia="PMingLiU" w:hAnsi="Calibri" w:cs="Mangal"/>
        </w:rPr>
        <w:t xml:space="preserve"> s</w:t>
      </w:r>
      <w:r w:rsidR="007A27D8">
        <w:rPr>
          <w:rFonts w:ascii="Calibri" w:eastAsia="PMingLiU" w:hAnsi="Calibri" w:cs="Mangal"/>
        </w:rPr>
        <w:t xml:space="preserve">pecifically </w:t>
      </w:r>
      <w:r w:rsidR="00257CD4">
        <w:rPr>
          <w:rFonts w:ascii="Calibri" w:eastAsia="PMingLiU" w:hAnsi="Calibri" w:cs="Mangal"/>
        </w:rPr>
        <w:t xml:space="preserve">requires </w:t>
      </w:r>
      <w:r w:rsidR="007A27D8">
        <w:rPr>
          <w:rFonts w:ascii="Calibri" w:eastAsia="PMingLiU" w:hAnsi="Calibri" w:cs="Mangal"/>
        </w:rPr>
        <w:t>that all</w:t>
      </w:r>
      <w:r w:rsidR="00411630">
        <w:rPr>
          <w:rFonts w:ascii="Calibri" w:eastAsia="PMingLiU" w:hAnsi="Calibri" w:cs="Mangal"/>
        </w:rPr>
        <w:t xml:space="preserve"> </w:t>
      </w:r>
      <w:r w:rsidR="007A27D8">
        <w:rPr>
          <w:rFonts w:ascii="Calibri" w:eastAsia="PMingLiU" w:hAnsi="Calibri" w:cs="Mangal"/>
        </w:rPr>
        <w:t>Australia</w:t>
      </w:r>
      <w:r w:rsidR="00D26F5C">
        <w:rPr>
          <w:rFonts w:ascii="Calibri" w:eastAsia="PMingLiU" w:hAnsi="Calibri" w:cs="Mangal"/>
        </w:rPr>
        <w:t>n premises</w:t>
      </w:r>
      <w:r w:rsidR="007A27D8">
        <w:rPr>
          <w:rFonts w:ascii="Calibri" w:eastAsia="PMingLiU" w:hAnsi="Calibri" w:cs="Mangal"/>
        </w:rPr>
        <w:t xml:space="preserve"> have access to </w:t>
      </w:r>
      <w:r w:rsidR="00D7696A">
        <w:rPr>
          <w:rFonts w:ascii="Calibri" w:eastAsia="PMingLiU" w:hAnsi="Calibri" w:cs="Mangal"/>
        </w:rPr>
        <w:t>very fast</w:t>
      </w:r>
      <w:r w:rsidR="004D54F3" w:rsidRPr="007A27D8">
        <w:rPr>
          <w:rFonts w:ascii="Calibri" w:eastAsia="PMingLiU" w:hAnsi="Calibri" w:cs="Mangal"/>
        </w:rPr>
        <w:t xml:space="preserve"> </w:t>
      </w:r>
      <w:r>
        <w:rPr>
          <w:rFonts w:ascii="Calibri" w:eastAsia="PMingLiU" w:hAnsi="Calibri" w:cs="Mangal"/>
        </w:rPr>
        <w:t>broadband at affordable prices.</w:t>
      </w:r>
    </w:p>
    <w:p w14:paraId="0DECCA97" w14:textId="77777777" w:rsidR="00AD1692" w:rsidRDefault="00257CD4" w:rsidP="00257CD4">
      <w:pPr>
        <w:spacing w:before="120" w:after="120"/>
      </w:pPr>
      <w:r>
        <w:rPr>
          <w:rFonts w:ascii="Calibri" w:eastAsia="PMingLiU" w:hAnsi="Calibri" w:cs="Mangal"/>
        </w:rPr>
        <w:lastRenderedPageBreak/>
        <w:t xml:space="preserve">In addition to the </w:t>
      </w:r>
      <w:proofErr w:type="spellStart"/>
      <w:r>
        <w:rPr>
          <w:rFonts w:ascii="Calibri" w:eastAsia="PMingLiU" w:hAnsi="Calibri" w:cs="Mangal"/>
        </w:rPr>
        <w:t>SoE</w:t>
      </w:r>
      <w:proofErr w:type="spellEnd"/>
      <w:r>
        <w:rPr>
          <w:rFonts w:ascii="Calibri" w:eastAsia="PMingLiU" w:hAnsi="Calibri" w:cs="Mangal"/>
        </w:rPr>
        <w:t xml:space="preserve">, </w:t>
      </w:r>
      <w:r>
        <w:t>t</w:t>
      </w:r>
      <w:r w:rsidRPr="00C44413">
        <w:t xml:space="preserve">he </w:t>
      </w:r>
      <w:r w:rsidR="00D91607" w:rsidRPr="00C44413">
        <w:t>S</w:t>
      </w:r>
      <w:r w:rsidR="00D91607">
        <w:t xml:space="preserve">tatutory </w:t>
      </w:r>
      <w:r w:rsidR="00D91607" w:rsidRPr="00C44413">
        <w:t>I</w:t>
      </w:r>
      <w:r w:rsidR="00D91607">
        <w:t xml:space="preserve">nfrastructure </w:t>
      </w:r>
      <w:r w:rsidRPr="00C44413">
        <w:t>P</w:t>
      </w:r>
      <w:r w:rsidR="00D91607">
        <w:t>rovider (SIP)</w:t>
      </w:r>
      <w:r w:rsidRPr="00C44413">
        <w:t xml:space="preserve"> legislation, currently bef</w:t>
      </w:r>
      <w:r>
        <w:t xml:space="preserve">ore Parliament, will require </w:t>
      </w:r>
      <w:r w:rsidRPr="00C44413">
        <w:t>NBN Co (and other carriers</w:t>
      </w:r>
      <w:r w:rsidR="00AD1692">
        <w:t>,</w:t>
      </w:r>
      <w:r w:rsidRPr="00C44413">
        <w:t xml:space="preserve"> </w:t>
      </w:r>
      <w:r w:rsidR="00411630">
        <w:t>as</w:t>
      </w:r>
      <w:r w:rsidRPr="00C44413">
        <w:t xml:space="preserve"> appropriate) to provide the necessary infrastructure to ensure all Australian premises are able to access broadband services offering peak wholesale download speeds of at least 25</w:t>
      </w:r>
      <w:r w:rsidR="000E78C4">
        <w:t xml:space="preserve"> </w:t>
      </w:r>
      <w:r w:rsidRPr="00C44413">
        <w:t>M</w:t>
      </w:r>
      <w:r w:rsidR="00411630">
        <w:t xml:space="preserve">egabits </w:t>
      </w:r>
      <w:r w:rsidRPr="00C44413">
        <w:t>p</w:t>
      </w:r>
      <w:r w:rsidR="00411630">
        <w:t xml:space="preserve">er </w:t>
      </w:r>
      <w:r w:rsidRPr="00C44413">
        <w:t>s</w:t>
      </w:r>
      <w:r w:rsidR="00411630">
        <w:t>econd (Mbps) and upload speeds of at least 5 Mbps</w:t>
      </w:r>
      <w:r w:rsidRPr="00C44413">
        <w:t xml:space="preserve">. </w:t>
      </w:r>
      <w:r w:rsidR="00436DF0">
        <w:t>Subject to the Parliament passing this legislation</w:t>
      </w:r>
      <w:r>
        <w:t xml:space="preserve">, </w:t>
      </w:r>
      <w:r w:rsidRPr="00C44413">
        <w:t xml:space="preserve">NBN Co will become the default SIP, with a legal obligation to connect premises and supply wholesale broadband services on reasonable request. Under the SIP regime, </w:t>
      </w:r>
      <w:r w:rsidR="00AD1692">
        <w:t xml:space="preserve">broadband </w:t>
      </w:r>
      <w:r w:rsidRPr="00C44413">
        <w:t xml:space="preserve">services provided on fixed line and fixed wireless networks will also have to support voice services for consumers. </w:t>
      </w:r>
      <w:r>
        <w:t>The remaining 3</w:t>
      </w:r>
      <w:r w:rsidR="00C51986">
        <w:t>%</w:t>
      </w:r>
      <w:r w:rsidRPr="00C44413">
        <w:t xml:space="preserve"> of premises </w:t>
      </w:r>
      <w:r w:rsidR="00A70065">
        <w:t xml:space="preserve">located in areas served by the </w:t>
      </w:r>
      <w:r w:rsidR="003E11FE">
        <w:t>NBN</w:t>
      </w:r>
      <w:r w:rsidRPr="00C44413">
        <w:t xml:space="preserve"> Sky Muster satellite</w:t>
      </w:r>
      <w:r w:rsidR="00A70065">
        <w:t xml:space="preserve"> service</w:t>
      </w:r>
      <w:r w:rsidR="00AD1692">
        <w:t xml:space="preserve"> require voice solution</w:t>
      </w:r>
      <w:r w:rsidR="00667A88">
        <w:t xml:space="preserve">s over alternative infrastructure </w:t>
      </w:r>
      <w:r w:rsidR="00AD1692">
        <w:t>because of the</w:t>
      </w:r>
      <w:r w:rsidR="00436DF0">
        <w:t xml:space="preserve"> technical limitations of these </w:t>
      </w:r>
      <w:r w:rsidR="00AD1692">
        <w:t xml:space="preserve">satellites in delivering </w:t>
      </w:r>
      <w:r w:rsidR="00436DF0">
        <w:t xml:space="preserve">acceptable </w:t>
      </w:r>
      <w:r w:rsidR="00AD1692">
        <w:t>voice services.</w:t>
      </w:r>
    </w:p>
    <w:p w14:paraId="0DECCA98" w14:textId="77777777" w:rsidR="00D26F5C" w:rsidRDefault="00D26F5C" w:rsidP="00D26F5C">
      <w:pPr>
        <w:spacing w:before="120" w:after="120"/>
      </w:pPr>
      <w:r>
        <w:t>The Regional Broadband Scheme</w:t>
      </w:r>
      <w:r w:rsidRPr="00C64D9A">
        <w:t xml:space="preserve"> </w:t>
      </w:r>
      <w:r>
        <w:t xml:space="preserve">(RBS) will provide funding support for NBN </w:t>
      </w:r>
      <w:proofErr w:type="spellStart"/>
      <w:r>
        <w:t>Co’s</w:t>
      </w:r>
      <w:proofErr w:type="spellEnd"/>
      <w:r>
        <w:t xml:space="preserve"> SIP obligations by establishing a long term funding mechanism for NBN </w:t>
      </w:r>
      <w:proofErr w:type="spellStart"/>
      <w:r>
        <w:t>Co’s</w:t>
      </w:r>
      <w:proofErr w:type="spellEnd"/>
      <w:r>
        <w:t xml:space="preserve"> fixed wireless and satellite networks. It will level the playing field between NBN Co and its fixed line competitors by requiring all high-speed fixed line carriers, including NBN Co, to contribute to the cost of providing high speed broadband access to regional Australia. The RBS is before the Parliament al</w:t>
      </w:r>
      <w:r w:rsidR="00571A58">
        <w:t xml:space="preserve">ongside the SIP </w:t>
      </w:r>
      <w:r w:rsidR="00D7696A">
        <w:t xml:space="preserve">legislation </w:t>
      </w:r>
      <w:r w:rsidR="00571A58">
        <w:t>as part of the G</w:t>
      </w:r>
      <w:r>
        <w:t>overnment’s Telecommunications Reform Package.</w:t>
      </w:r>
    </w:p>
    <w:p w14:paraId="0DECCA99" w14:textId="77777777" w:rsidR="00DD4E54" w:rsidRDefault="000D10A9" w:rsidP="009344DB">
      <w:pPr>
        <w:pStyle w:val="Heading3"/>
      </w:pPr>
      <w:bookmarkStart w:id="59" w:name="_Toc529783721"/>
      <w:r>
        <w:t>Pressures for</w:t>
      </w:r>
      <w:r w:rsidR="00DD4E54">
        <w:t xml:space="preserve"> change</w:t>
      </w:r>
      <w:bookmarkEnd w:id="59"/>
    </w:p>
    <w:p w14:paraId="0DECCA9A" w14:textId="77777777" w:rsidR="00311BBB" w:rsidRDefault="00133B2A" w:rsidP="00DD4E54">
      <w:r>
        <w:t>Since the USO</w:t>
      </w:r>
      <w:r w:rsidR="000D10A9">
        <w:t xml:space="preserve"> was established</w:t>
      </w:r>
      <w:r>
        <w:t xml:space="preserve">, </w:t>
      </w:r>
      <w:r w:rsidR="000D10A9">
        <w:t xml:space="preserve">there have been significant changes in technology, the marketplace and </w:t>
      </w:r>
      <w:r w:rsidR="00311BBB" w:rsidRPr="00DD4E54">
        <w:t>customer preferences</w:t>
      </w:r>
      <w:r>
        <w:t xml:space="preserve">. There </w:t>
      </w:r>
      <w:r w:rsidR="000D10A9">
        <w:t xml:space="preserve">has been </w:t>
      </w:r>
      <w:r>
        <w:t xml:space="preserve">increasing </w:t>
      </w:r>
      <w:r w:rsidR="00311BBB" w:rsidRPr="00DD4E54">
        <w:t xml:space="preserve">use of data </w:t>
      </w:r>
      <w:r>
        <w:t xml:space="preserve">and </w:t>
      </w:r>
      <w:r w:rsidR="00311BBB" w:rsidRPr="00DD4E54">
        <w:t>greater use of mobile</w:t>
      </w:r>
      <w:r w:rsidR="0033595C">
        <w:t xml:space="preserve"> services</w:t>
      </w:r>
      <w:r>
        <w:t xml:space="preserve">, </w:t>
      </w:r>
      <w:r w:rsidR="00BA6A7C">
        <w:t>contrasting</w:t>
      </w:r>
      <w:r w:rsidR="002F6F5A">
        <w:t xml:space="preserve"> with</w:t>
      </w:r>
      <w:r>
        <w:t xml:space="preserve"> </w:t>
      </w:r>
      <w:r w:rsidR="00311BBB" w:rsidRPr="00DD4E54">
        <w:t>falling use of fixed line voice and payphone</w:t>
      </w:r>
      <w:r>
        <w:t xml:space="preserve"> services. </w:t>
      </w:r>
      <w:r w:rsidR="006E4838">
        <w:t>The</w:t>
      </w:r>
      <w:r w:rsidR="00311BBB" w:rsidRPr="00DD4E54">
        <w:t xml:space="preserve"> </w:t>
      </w:r>
      <w:r w:rsidR="00571A58">
        <w:t>G</w:t>
      </w:r>
      <w:r w:rsidR="00311BBB" w:rsidRPr="00DD4E54">
        <w:t xml:space="preserve">overnment </w:t>
      </w:r>
      <w:r w:rsidR="006E4838">
        <w:t>has</w:t>
      </w:r>
      <w:r w:rsidR="00AD1692">
        <w:t xml:space="preserve"> also</w:t>
      </w:r>
      <w:r w:rsidR="006E4838">
        <w:t xml:space="preserve"> made a significant </w:t>
      </w:r>
      <w:r w:rsidR="00311BBB" w:rsidRPr="00DD4E54">
        <w:t xml:space="preserve">investment in the </w:t>
      </w:r>
      <w:r w:rsidR="003E11FE">
        <w:t>NBN</w:t>
      </w:r>
      <w:r>
        <w:t xml:space="preserve"> </w:t>
      </w:r>
      <w:r w:rsidR="006E4838">
        <w:t>to improve broadband nationally and the</w:t>
      </w:r>
      <w:r>
        <w:t xml:space="preserve"> </w:t>
      </w:r>
      <w:r w:rsidR="00311BBB" w:rsidRPr="00DD4E54">
        <w:t xml:space="preserve">private sector </w:t>
      </w:r>
      <w:r w:rsidR="006E4838">
        <w:t xml:space="preserve">has invested heavily </w:t>
      </w:r>
      <w:r w:rsidR="00311BBB" w:rsidRPr="00DD4E54">
        <w:t xml:space="preserve">in mobile </w:t>
      </w:r>
      <w:r w:rsidR="006E4838">
        <w:t>infrastructure</w:t>
      </w:r>
      <w:r w:rsidR="00316C35">
        <w:t>, supplemented by additional investment by government and community organisations to address mobile blackspots</w:t>
      </w:r>
      <w:r>
        <w:t xml:space="preserve">. </w:t>
      </w:r>
    </w:p>
    <w:p w14:paraId="0DECCA9B" w14:textId="77777777" w:rsidR="006E4838" w:rsidRDefault="00E26A6D" w:rsidP="00E26A6D">
      <w:pPr>
        <w:rPr>
          <w:rFonts w:ascii="Calibri" w:eastAsia="PMingLiU" w:hAnsi="Calibri" w:cs="Mangal"/>
        </w:rPr>
      </w:pPr>
      <w:r>
        <w:rPr>
          <w:rFonts w:ascii="Calibri" w:eastAsia="PMingLiU" w:hAnsi="Calibri" w:cs="Mangal"/>
        </w:rPr>
        <w:t xml:space="preserve">When the </w:t>
      </w:r>
      <w:r w:rsidR="003E11FE">
        <w:rPr>
          <w:rFonts w:ascii="Calibri" w:eastAsia="PMingLiU" w:hAnsi="Calibri" w:cs="Mangal"/>
        </w:rPr>
        <w:t>NBN</w:t>
      </w:r>
      <w:r>
        <w:rPr>
          <w:rFonts w:ascii="Calibri" w:eastAsia="PMingLiU" w:hAnsi="Calibri" w:cs="Mangal"/>
        </w:rPr>
        <w:t xml:space="preserve"> rollout is completed in 2020, all premises </w:t>
      </w:r>
      <w:r w:rsidR="00DB46DF">
        <w:rPr>
          <w:rFonts w:ascii="Calibri" w:eastAsia="PMingLiU" w:hAnsi="Calibri" w:cs="Mangal"/>
        </w:rPr>
        <w:t xml:space="preserve">will </w:t>
      </w:r>
      <w:r w:rsidR="00316C35">
        <w:rPr>
          <w:rFonts w:ascii="Calibri" w:eastAsia="PMingLiU" w:hAnsi="Calibri" w:cs="Mangal"/>
        </w:rPr>
        <w:t xml:space="preserve">be able to </w:t>
      </w:r>
      <w:r>
        <w:rPr>
          <w:rFonts w:ascii="Calibri" w:eastAsia="PMingLiU" w:hAnsi="Calibri" w:cs="Mangal"/>
        </w:rPr>
        <w:t>access</w:t>
      </w:r>
      <w:r w:rsidR="00943C59">
        <w:rPr>
          <w:rFonts w:ascii="Calibri" w:eastAsia="PMingLiU" w:hAnsi="Calibri" w:cs="Mangal"/>
        </w:rPr>
        <w:t xml:space="preserve"> </w:t>
      </w:r>
      <w:r w:rsidR="006E4838">
        <w:rPr>
          <w:rFonts w:ascii="Calibri" w:eastAsia="PMingLiU" w:hAnsi="Calibri" w:cs="Mangal"/>
        </w:rPr>
        <w:t>next</w:t>
      </w:r>
      <w:r w:rsidR="00591BE5">
        <w:rPr>
          <w:rFonts w:ascii="Calibri" w:eastAsia="PMingLiU" w:hAnsi="Calibri" w:cs="Mangal"/>
        </w:rPr>
        <w:t>-</w:t>
      </w:r>
      <w:r w:rsidR="006E4838">
        <w:rPr>
          <w:rFonts w:ascii="Calibri" w:eastAsia="PMingLiU" w:hAnsi="Calibri" w:cs="Mangal"/>
        </w:rPr>
        <w:t xml:space="preserve">generation </w:t>
      </w:r>
      <w:r>
        <w:rPr>
          <w:rFonts w:ascii="Calibri" w:eastAsia="PMingLiU" w:hAnsi="Calibri" w:cs="Mangal"/>
        </w:rPr>
        <w:t>broadband services</w:t>
      </w:r>
      <w:r w:rsidR="0069137F">
        <w:rPr>
          <w:rFonts w:ascii="Calibri" w:eastAsia="PMingLiU" w:hAnsi="Calibri" w:cs="Mangal"/>
        </w:rPr>
        <w:t>, with</w:t>
      </w:r>
      <w:r>
        <w:rPr>
          <w:rFonts w:ascii="Calibri" w:eastAsia="PMingLiU" w:hAnsi="Calibri" w:cs="Mangal"/>
        </w:rPr>
        <w:t xml:space="preserve"> </w:t>
      </w:r>
      <w:r w:rsidR="006E4838">
        <w:rPr>
          <w:rFonts w:ascii="Calibri" w:eastAsia="PMingLiU" w:hAnsi="Calibri" w:cs="Mangal"/>
        </w:rPr>
        <w:t xml:space="preserve">the </w:t>
      </w:r>
      <w:r w:rsidR="003E11FE">
        <w:rPr>
          <w:rFonts w:ascii="Calibri" w:eastAsia="PMingLiU" w:hAnsi="Calibri" w:cs="Mangal"/>
        </w:rPr>
        <w:t>NBN</w:t>
      </w:r>
      <w:r w:rsidR="006E4838">
        <w:rPr>
          <w:rFonts w:ascii="Calibri" w:eastAsia="PMingLiU" w:hAnsi="Calibri" w:cs="Mangal"/>
        </w:rPr>
        <w:t xml:space="preserve"> </w:t>
      </w:r>
      <w:r w:rsidR="0069137F">
        <w:rPr>
          <w:rFonts w:ascii="Calibri" w:eastAsia="PMingLiU" w:hAnsi="Calibri" w:cs="Mangal"/>
        </w:rPr>
        <w:t xml:space="preserve">required to </w:t>
      </w:r>
      <w:r w:rsidR="006E4838">
        <w:rPr>
          <w:rFonts w:ascii="Calibri" w:eastAsia="PMingLiU" w:hAnsi="Calibri" w:cs="Mangal"/>
        </w:rPr>
        <w:t xml:space="preserve">support </w:t>
      </w:r>
      <w:r w:rsidR="00316C35">
        <w:rPr>
          <w:rFonts w:ascii="Calibri" w:eastAsia="PMingLiU" w:hAnsi="Calibri" w:cs="Mangal"/>
        </w:rPr>
        <w:t xml:space="preserve">good quality </w:t>
      </w:r>
      <w:r w:rsidR="006E4838">
        <w:rPr>
          <w:rFonts w:ascii="Calibri" w:eastAsia="PMingLiU" w:hAnsi="Calibri" w:cs="Mangal"/>
        </w:rPr>
        <w:t xml:space="preserve">voice services </w:t>
      </w:r>
      <w:r w:rsidR="00E02DBE">
        <w:rPr>
          <w:rFonts w:ascii="Calibri" w:eastAsia="PMingLiU" w:hAnsi="Calibri" w:cs="Mangal"/>
        </w:rPr>
        <w:t xml:space="preserve">to </w:t>
      </w:r>
      <w:r>
        <w:rPr>
          <w:rFonts w:ascii="Calibri" w:eastAsia="PMingLiU" w:hAnsi="Calibri" w:cs="Mangal"/>
        </w:rPr>
        <w:t>97</w:t>
      </w:r>
      <w:r w:rsidR="00C51986">
        <w:rPr>
          <w:rFonts w:ascii="Calibri" w:eastAsia="PMingLiU" w:hAnsi="Calibri" w:cs="Mangal"/>
        </w:rPr>
        <w:t>%</w:t>
      </w:r>
      <w:r>
        <w:rPr>
          <w:rFonts w:ascii="Calibri" w:eastAsia="PMingLiU" w:hAnsi="Calibri" w:cs="Mangal"/>
        </w:rPr>
        <w:t xml:space="preserve"> of premises </w:t>
      </w:r>
      <w:r w:rsidR="0069137F">
        <w:rPr>
          <w:rFonts w:ascii="Calibri" w:eastAsia="PMingLiU" w:hAnsi="Calibri" w:cs="Mangal"/>
        </w:rPr>
        <w:t xml:space="preserve">(those </w:t>
      </w:r>
      <w:r>
        <w:rPr>
          <w:rFonts w:ascii="Calibri" w:eastAsia="PMingLiU" w:hAnsi="Calibri" w:cs="Mangal"/>
        </w:rPr>
        <w:t xml:space="preserve">in </w:t>
      </w:r>
      <w:r w:rsidR="003E11FE">
        <w:rPr>
          <w:rFonts w:ascii="Calibri" w:eastAsia="PMingLiU" w:hAnsi="Calibri" w:cs="Mangal"/>
        </w:rPr>
        <w:t>the NBN</w:t>
      </w:r>
      <w:r w:rsidR="006E4838">
        <w:rPr>
          <w:rFonts w:ascii="Calibri" w:eastAsia="PMingLiU" w:hAnsi="Calibri" w:cs="Mangal"/>
        </w:rPr>
        <w:t xml:space="preserve"> </w:t>
      </w:r>
      <w:r>
        <w:rPr>
          <w:rFonts w:ascii="Calibri" w:eastAsia="PMingLiU" w:hAnsi="Calibri" w:cs="Mangal"/>
        </w:rPr>
        <w:t xml:space="preserve">fixed line and fixed wireless </w:t>
      </w:r>
      <w:r w:rsidR="006E4838">
        <w:rPr>
          <w:rFonts w:ascii="Calibri" w:eastAsia="PMingLiU" w:hAnsi="Calibri" w:cs="Mangal"/>
        </w:rPr>
        <w:t>footprints</w:t>
      </w:r>
      <w:r w:rsidR="0069137F">
        <w:rPr>
          <w:rFonts w:ascii="Calibri" w:eastAsia="PMingLiU" w:hAnsi="Calibri" w:cs="Mangal"/>
        </w:rPr>
        <w:t>)</w:t>
      </w:r>
      <w:r>
        <w:rPr>
          <w:rFonts w:ascii="Calibri" w:eastAsia="PMingLiU" w:hAnsi="Calibri" w:cs="Mangal"/>
        </w:rPr>
        <w:t xml:space="preserve">. </w:t>
      </w:r>
      <w:r w:rsidR="006E4838">
        <w:rPr>
          <w:rFonts w:ascii="Calibri" w:eastAsia="PMingLiU" w:hAnsi="Calibri" w:cs="Mangal"/>
        </w:rPr>
        <w:t>M</w:t>
      </w:r>
      <w:r>
        <w:rPr>
          <w:rFonts w:ascii="Calibri" w:eastAsia="PMingLiU" w:hAnsi="Calibri" w:cs="Mangal"/>
        </w:rPr>
        <w:t>ore than 99</w:t>
      </w:r>
      <w:r w:rsidR="00C51986">
        <w:rPr>
          <w:rFonts w:ascii="Calibri" w:eastAsia="PMingLiU" w:hAnsi="Calibri" w:cs="Mangal"/>
        </w:rPr>
        <w:t>%</w:t>
      </w:r>
      <w:r>
        <w:rPr>
          <w:rFonts w:ascii="Calibri" w:eastAsia="PMingLiU" w:hAnsi="Calibri" w:cs="Mangal"/>
        </w:rPr>
        <w:t xml:space="preserve"> of Australians currently have access to at least one commercial mobile network, while 96</w:t>
      </w:r>
      <w:r w:rsidR="00AD1692">
        <w:rPr>
          <w:rFonts w:ascii="Calibri" w:eastAsia="PMingLiU" w:hAnsi="Calibri" w:cs="Mangal"/>
        </w:rPr>
        <w:t>%</w:t>
      </w:r>
      <w:r>
        <w:rPr>
          <w:rFonts w:ascii="Calibri" w:eastAsia="PMingLiU" w:hAnsi="Calibri" w:cs="Mangal"/>
        </w:rPr>
        <w:t xml:space="preserve"> of Australians have access to three commercial mobile networks. The</w:t>
      </w:r>
      <w:r w:rsidR="006E4838">
        <w:rPr>
          <w:rFonts w:ascii="Calibri" w:eastAsia="PMingLiU" w:hAnsi="Calibri" w:cs="Mangal"/>
        </w:rPr>
        <w:t xml:space="preserve">se networks are </w:t>
      </w:r>
      <w:r w:rsidR="00AD1692">
        <w:rPr>
          <w:rFonts w:ascii="Calibri" w:eastAsia="PMingLiU" w:hAnsi="Calibri" w:cs="Mangal"/>
        </w:rPr>
        <w:t xml:space="preserve">competing, to varying degrees, with </w:t>
      </w:r>
      <w:r w:rsidR="006E4838">
        <w:rPr>
          <w:rFonts w:ascii="Calibri" w:eastAsia="PMingLiU" w:hAnsi="Calibri" w:cs="Mangal"/>
        </w:rPr>
        <w:t>the copper and wireless net</w:t>
      </w:r>
      <w:r w:rsidR="007E441E">
        <w:rPr>
          <w:rFonts w:ascii="Calibri" w:eastAsia="PMingLiU" w:hAnsi="Calibri" w:cs="Mangal"/>
        </w:rPr>
        <w:t>works</w:t>
      </w:r>
      <w:r w:rsidR="006E4838">
        <w:rPr>
          <w:rFonts w:ascii="Calibri" w:eastAsia="PMingLiU" w:hAnsi="Calibri" w:cs="Mangal"/>
        </w:rPr>
        <w:t xml:space="preserve"> Telstra has historically used to provide voice services under the USO.</w:t>
      </w:r>
    </w:p>
    <w:p w14:paraId="0DECCA9C" w14:textId="77777777" w:rsidR="00311BBB" w:rsidRPr="00311BBB" w:rsidRDefault="00311BBB" w:rsidP="00311BBB">
      <w:r>
        <w:t xml:space="preserve">The 2015 </w:t>
      </w:r>
      <w:r w:rsidRPr="00311BBB">
        <w:t xml:space="preserve">Regional Telecommunications Review </w:t>
      </w:r>
      <w:r>
        <w:t xml:space="preserve">(RTR) </w:t>
      </w:r>
      <w:r w:rsidR="002F6F5A">
        <w:t>c</w:t>
      </w:r>
      <w:r w:rsidRPr="00311BBB">
        <w:t xml:space="preserve">alled into question the existing USO and recommended a new Consumer Communication Standard for voice and data </w:t>
      </w:r>
      <w:r w:rsidR="00E26A6D">
        <w:t xml:space="preserve">that </w:t>
      </w:r>
      <w:r w:rsidR="006E4838">
        <w:t xml:space="preserve">would </w:t>
      </w:r>
      <w:r w:rsidRPr="00311BBB">
        <w:t>provid</w:t>
      </w:r>
      <w:r w:rsidR="00E26A6D">
        <w:t>e</w:t>
      </w:r>
      <w:r w:rsidRPr="00311BBB">
        <w:t xml:space="preserve"> technology neutral standards of availability, accessibility, affordability, performance and reliability</w:t>
      </w:r>
      <w:r w:rsidR="00257CD4">
        <w:t>.</w:t>
      </w:r>
    </w:p>
    <w:p w14:paraId="0DECCA9D" w14:textId="77777777" w:rsidR="000C31BF" w:rsidRDefault="006E4838" w:rsidP="00133B2A">
      <w:pPr>
        <w:rPr>
          <w:rFonts w:ascii="Calibri" w:eastAsia="PMingLiU" w:hAnsi="Calibri" w:cs="Mangal"/>
        </w:rPr>
      </w:pPr>
      <w:r>
        <w:rPr>
          <w:rFonts w:ascii="Calibri" w:eastAsia="PMingLiU" w:hAnsi="Calibri" w:cs="Mangal"/>
        </w:rPr>
        <w:t xml:space="preserve">In response to the 2015 RTR, the Government asked the </w:t>
      </w:r>
      <w:r w:rsidR="00133B2A">
        <w:rPr>
          <w:rFonts w:ascii="Calibri" w:eastAsia="PMingLiU" w:hAnsi="Calibri" w:cs="Mangal"/>
        </w:rPr>
        <w:t xml:space="preserve">Productivity Commission (PC) </w:t>
      </w:r>
      <w:r>
        <w:rPr>
          <w:rFonts w:ascii="Calibri" w:eastAsia="PMingLiU" w:hAnsi="Calibri" w:cs="Mangal"/>
        </w:rPr>
        <w:t>to inquire into the future of the USO. The PC concluded that the USO arrangements were ‘anachronistic and costly’ and recommend</w:t>
      </w:r>
      <w:r w:rsidR="000C31BF">
        <w:rPr>
          <w:rFonts w:ascii="Calibri" w:eastAsia="PMingLiU" w:hAnsi="Calibri" w:cs="Mangal"/>
        </w:rPr>
        <w:t>ed</w:t>
      </w:r>
      <w:r>
        <w:rPr>
          <w:rFonts w:ascii="Calibri" w:eastAsia="PMingLiU" w:hAnsi="Calibri" w:cs="Mangal"/>
        </w:rPr>
        <w:t xml:space="preserve"> they be replaced as soon as possible with a new </w:t>
      </w:r>
      <w:r w:rsidR="000C31BF">
        <w:rPr>
          <w:rFonts w:ascii="Calibri" w:eastAsia="PMingLiU" w:hAnsi="Calibri" w:cs="Mangal"/>
        </w:rPr>
        <w:t xml:space="preserve">modern </w:t>
      </w:r>
      <w:r>
        <w:rPr>
          <w:rFonts w:ascii="Calibri" w:eastAsia="PMingLiU" w:hAnsi="Calibri" w:cs="Mangal"/>
        </w:rPr>
        <w:t>approach</w:t>
      </w:r>
      <w:r w:rsidR="000C31BF">
        <w:rPr>
          <w:rFonts w:ascii="Calibri" w:eastAsia="PMingLiU" w:hAnsi="Calibri" w:cs="Mangal"/>
        </w:rPr>
        <w:t xml:space="preserve"> that covered broadband as well as voice</w:t>
      </w:r>
      <w:r w:rsidR="00881BE9">
        <w:rPr>
          <w:rFonts w:ascii="Calibri" w:eastAsia="PMingLiU" w:hAnsi="Calibri" w:cs="Mangal"/>
        </w:rPr>
        <w:t>,</w:t>
      </w:r>
      <w:r w:rsidR="000C31BF">
        <w:rPr>
          <w:rFonts w:ascii="Calibri" w:eastAsia="PMingLiU" w:hAnsi="Calibri" w:cs="Mangal"/>
        </w:rPr>
        <w:t xml:space="preserve"> and leveraged the </w:t>
      </w:r>
      <w:r w:rsidR="003E11FE">
        <w:rPr>
          <w:rFonts w:ascii="Calibri" w:eastAsia="PMingLiU" w:hAnsi="Calibri" w:cs="Mangal"/>
        </w:rPr>
        <w:t>NBN</w:t>
      </w:r>
      <w:r w:rsidR="000C31BF">
        <w:rPr>
          <w:rFonts w:ascii="Calibri" w:eastAsia="PMingLiU" w:hAnsi="Calibri" w:cs="Mangal"/>
        </w:rPr>
        <w:t xml:space="preserve"> and other commercial </w:t>
      </w:r>
      <w:r w:rsidR="00146D88">
        <w:rPr>
          <w:rFonts w:ascii="Calibri" w:eastAsia="PMingLiU" w:hAnsi="Calibri" w:cs="Mangal"/>
        </w:rPr>
        <w:t>networks</w:t>
      </w:r>
      <w:r w:rsidR="000C31BF">
        <w:rPr>
          <w:rFonts w:ascii="Calibri" w:eastAsia="PMingLiU" w:hAnsi="Calibri" w:cs="Mangal"/>
        </w:rPr>
        <w:t xml:space="preserve">, like mobile, to the greatest extent possible. </w:t>
      </w:r>
    </w:p>
    <w:p w14:paraId="0DECCA9E" w14:textId="77777777" w:rsidR="00133B2A" w:rsidRDefault="000C31BF" w:rsidP="00133B2A">
      <w:pPr>
        <w:rPr>
          <w:rFonts w:ascii="Calibri" w:eastAsia="PMingLiU" w:hAnsi="Calibri" w:cs="Mangal"/>
        </w:rPr>
      </w:pPr>
      <w:r>
        <w:rPr>
          <w:rFonts w:ascii="Calibri" w:eastAsia="PMingLiU" w:hAnsi="Calibri" w:cs="Mangal"/>
        </w:rPr>
        <w:t>In 2017</w:t>
      </w:r>
      <w:r w:rsidR="00146D88">
        <w:rPr>
          <w:rFonts w:ascii="Calibri" w:eastAsia="PMingLiU" w:hAnsi="Calibri" w:cs="Mangal"/>
        </w:rPr>
        <w:t>,</w:t>
      </w:r>
      <w:r w:rsidR="00133B2A">
        <w:rPr>
          <w:rFonts w:ascii="Calibri" w:eastAsia="PMingLiU" w:hAnsi="Calibri" w:cs="Mangal"/>
        </w:rPr>
        <w:t xml:space="preserve"> the Australian National Audit Office (ANAO) </w:t>
      </w:r>
      <w:r>
        <w:rPr>
          <w:rFonts w:ascii="Calibri" w:eastAsia="PMingLiU" w:hAnsi="Calibri" w:cs="Mangal"/>
        </w:rPr>
        <w:t xml:space="preserve">also </w:t>
      </w:r>
      <w:r w:rsidR="00133B2A">
        <w:rPr>
          <w:rFonts w:ascii="Calibri" w:eastAsia="PMingLiU" w:hAnsi="Calibri" w:cs="Mangal"/>
        </w:rPr>
        <w:t xml:space="preserve">conducted a performance audit of the </w:t>
      </w:r>
      <w:r w:rsidR="00571A58">
        <w:rPr>
          <w:rFonts w:ascii="Calibri" w:eastAsia="PMingLiU" w:hAnsi="Calibri" w:cs="Mangal"/>
        </w:rPr>
        <w:t>d</w:t>
      </w:r>
      <w:r w:rsidR="00316C35">
        <w:rPr>
          <w:rFonts w:ascii="Calibri" w:eastAsia="PMingLiU" w:hAnsi="Calibri" w:cs="Mangal"/>
        </w:rPr>
        <w:t xml:space="preserve">epartment’s management of the </w:t>
      </w:r>
      <w:r w:rsidR="0049145E">
        <w:rPr>
          <w:rFonts w:ascii="Calibri" w:eastAsia="PMingLiU" w:hAnsi="Calibri" w:cs="Mangal"/>
        </w:rPr>
        <w:t>USO contract</w:t>
      </w:r>
      <w:r w:rsidR="00316C35">
        <w:rPr>
          <w:rFonts w:ascii="Calibri" w:eastAsia="PMingLiU" w:hAnsi="Calibri" w:cs="Mangal"/>
        </w:rPr>
        <w:t xml:space="preserve">. It </w:t>
      </w:r>
      <w:r>
        <w:rPr>
          <w:rFonts w:ascii="Calibri" w:eastAsia="PMingLiU" w:hAnsi="Calibri" w:cs="Mangal"/>
        </w:rPr>
        <w:t>question</w:t>
      </w:r>
      <w:r w:rsidR="00316C35">
        <w:rPr>
          <w:rFonts w:ascii="Calibri" w:eastAsia="PMingLiU" w:hAnsi="Calibri" w:cs="Mangal"/>
        </w:rPr>
        <w:t>ed</w:t>
      </w:r>
      <w:r>
        <w:rPr>
          <w:rFonts w:ascii="Calibri" w:eastAsia="PMingLiU" w:hAnsi="Calibri" w:cs="Mangal"/>
        </w:rPr>
        <w:t xml:space="preserve"> whether </w:t>
      </w:r>
      <w:r w:rsidR="00316C35">
        <w:rPr>
          <w:rFonts w:ascii="Calibri" w:eastAsia="PMingLiU" w:hAnsi="Calibri" w:cs="Mangal"/>
        </w:rPr>
        <w:t>the contract</w:t>
      </w:r>
      <w:r>
        <w:rPr>
          <w:rFonts w:ascii="Calibri" w:eastAsia="PMingLiU" w:hAnsi="Calibri" w:cs="Mangal"/>
        </w:rPr>
        <w:t xml:space="preserve"> met value for money principles and </w:t>
      </w:r>
      <w:r w:rsidR="0087520C">
        <w:rPr>
          <w:rFonts w:ascii="Calibri" w:eastAsia="PMingLiU" w:hAnsi="Calibri" w:cs="Mangal"/>
        </w:rPr>
        <w:t xml:space="preserve">whether we were </w:t>
      </w:r>
      <w:r>
        <w:rPr>
          <w:rFonts w:ascii="Calibri" w:eastAsia="PMingLiU" w:hAnsi="Calibri" w:cs="Mangal"/>
        </w:rPr>
        <w:t>manag</w:t>
      </w:r>
      <w:r w:rsidR="0087520C">
        <w:rPr>
          <w:rFonts w:ascii="Calibri" w:eastAsia="PMingLiU" w:hAnsi="Calibri" w:cs="Mangal"/>
        </w:rPr>
        <w:t>ing it</w:t>
      </w:r>
      <w:r>
        <w:rPr>
          <w:rFonts w:ascii="Calibri" w:eastAsia="PMingLiU" w:hAnsi="Calibri" w:cs="Mangal"/>
        </w:rPr>
        <w:t xml:space="preserve"> as effectively as </w:t>
      </w:r>
      <w:r w:rsidR="0087520C">
        <w:rPr>
          <w:rFonts w:ascii="Calibri" w:eastAsia="PMingLiU" w:hAnsi="Calibri" w:cs="Mangal"/>
        </w:rPr>
        <w:t xml:space="preserve">we </w:t>
      </w:r>
      <w:r>
        <w:rPr>
          <w:rFonts w:ascii="Calibri" w:eastAsia="PMingLiU" w:hAnsi="Calibri" w:cs="Mangal"/>
        </w:rPr>
        <w:t>should be.</w:t>
      </w:r>
      <w:r w:rsidR="00257CD4">
        <w:rPr>
          <w:rFonts w:ascii="Calibri" w:eastAsia="PMingLiU" w:hAnsi="Calibri" w:cs="Mangal"/>
        </w:rPr>
        <w:t xml:space="preserve"> </w:t>
      </w:r>
      <w:r w:rsidR="00406177">
        <w:rPr>
          <w:rFonts w:ascii="Calibri" w:eastAsia="PMingLiU" w:hAnsi="Calibri" w:cs="Mangal"/>
        </w:rPr>
        <w:t>N</w:t>
      </w:r>
      <w:r w:rsidR="00257CD4">
        <w:rPr>
          <w:rFonts w:ascii="Calibri" w:eastAsia="PMingLiU" w:hAnsi="Calibri" w:cs="Mangal"/>
        </w:rPr>
        <w:t xml:space="preserve">either the PC nor </w:t>
      </w:r>
      <w:r w:rsidR="00316C35">
        <w:rPr>
          <w:rFonts w:ascii="Calibri" w:eastAsia="PMingLiU" w:hAnsi="Calibri" w:cs="Mangal"/>
        </w:rPr>
        <w:t xml:space="preserve">the </w:t>
      </w:r>
      <w:r w:rsidR="00257CD4">
        <w:rPr>
          <w:rFonts w:ascii="Calibri" w:eastAsia="PMingLiU" w:hAnsi="Calibri" w:cs="Mangal"/>
        </w:rPr>
        <w:t>ANAO</w:t>
      </w:r>
      <w:r w:rsidR="00406177">
        <w:rPr>
          <w:rFonts w:ascii="Calibri" w:eastAsia="PMingLiU" w:hAnsi="Calibri" w:cs="Mangal"/>
        </w:rPr>
        <w:t>, however,</w:t>
      </w:r>
      <w:r w:rsidR="00257CD4">
        <w:rPr>
          <w:rFonts w:ascii="Calibri" w:eastAsia="PMingLiU" w:hAnsi="Calibri" w:cs="Mangal"/>
        </w:rPr>
        <w:t xml:space="preserve"> </w:t>
      </w:r>
      <w:r w:rsidR="00316C35">
        <w:rPr>
          <w:rFonts w:ascii="Calibri" w:eastAsia="PMingLiU" w:hAnsi="Calibri" w:cs="Mangal"/>
        </w:rPr>
        <w:t xml:space="preserve">were able to </w:t>
      </w:r>
      <w:r w:rsidR="00257CD4">
        <w:rPr>
          <w:rFonts w:ascii="Calibri" w:eastAsia="PMingLiU" w:hAnsi="Calibri" w:cs="Mangal"/>
        </w:rPr>
        <w:t xml:space="preserve">model the ongoing cost of </w:t>
      </w:r>
      <w:r w:rsidR="008F176B">
        <w:rPr>
          <w:rFonts w:ascii="Calibri" w:eastAsia="PMingLiU" w:hAnsi="Calibri" w:cs="Mangal"/>
        </w:rPr>
        <w:t xml:space="preserve">delivering the USO </w:t>
      </w:r>
      <w:r w:rsidR="00CB1B53">
        <w:rPr>
          <w:rFonts w:ascii="Calibri" w:eastAsia="PMingLiU" w:hAnsi="Calibri" w:cs="Mangal"/>
        </w:rPr>
        <w:t>or</w:t>
      </w:r>
      <w:r w:rsidR="008F176B">
        <w:rPr>
          <w:rFonts w:ascii="Calibri" w:eastAsia="PMingLiU" w:hAnsi="Calibri" w:cs="Mangal"/>
        </w:rPr>
        <w:t xml:space="preserve"> </w:t>
      </w:r>
      <w:r w:rsidR="00257CD4">
        <w:rPr>
          <w:rFonts w:ascii="Calibri" w:eastAsia="PMingLiU" w:hAnsi="Calibri" w:cs="Mangal"/>
        </w:rPr>
        <w:t>operating Telstra’s copper network.</w:t>
      </w:r>
    </w:p>
    <w:p w14:paraId="0DECCA9F" w14:textId="77777777" w:rsidR="006C772C" w:rsidRDefault="00405DE5" w:rsidP="009344DB">
      <w:pPr>
        <w:pStyle w:val="Heading3"/>
      </w:pPr>
      <w:bookmarkStart w:id="60" w:name="_Toc529783722"/>
      <w:r>
        <w:t>Government announcement</w:t>
      </w:r>
      <w:bookmarkEnd w:id="60"/>
      <w:r w:rsidR="00220D3D">
        <w:t xml:space="preserve"> </w:t>
      </w:r>
    </w:p>
    <w:p w14:paraId="0DECCAA0" w14:textId="77777777" w:rsidR="0039487D" w:rsidRDefault="00E41922" w:rsidP="00ED3F9E">
      <w:pPr>
        <w:spacing w:before="120" w:after="120"/>
      </w:pPr>
      <w:r>
        <w:t xml:space="preserve">In December 2017, </w:t>
      </w:r>
      <w:r w:rsidR="00D82FDE">
        <w:t xml:space="preserve">in response to the PC’s report, </w:t>
      </w:r>
      <w:r>
        <w:t xml:space="preserve">the Government announced </w:t>
      </w:r>
      <w:r w:rsidR="0039487D">
        <w:t xml:space="preserve">it would </w:t>
      </w:r>
      <w:r w:rsidR="00D130E0">
        <w:t xml:space="preserve">commence </w:t>
      </w:r>
      <w:r w:rsidR="0039487D">
        <w:t xml:space="preserve">work </w:t>
      </w:r>
      <w:r w:rsidR="00D130E0">
        <w:t xml:space="preserve">to </w:t>
      </w:r>
      <w:r w:rsidR="00D82FDE">
        <w:t>develop</w:t>
      </w:r>
      <w:r w:rsidR="00D130E0">
        <w:t xml:space="preserve"> </w:t>
      </w:r>
      <w:r>
        <w:t xml:space="preserve">a new </w:t>
      </w:r>
      <w:r w:rsidR="006C772C">
        <w:t>USG</w:t>
      </w:r>
      <w:r w:rsidR="00667A88">
        <w:t xml:space="preserve"> policy</w:t>
      </w:r>
      <w:r w:rsidR="0039487D">
        <w:t xml:space="preserve">. </w:t>
      </w:r>
      <w:r w:rsidR="00D82FDE">
        <w:t xml:space="preserve">The USG would modernise the USO by </w:t>
      </w:r>
      <w:r w:rsidR="0039487D" w:rsidRPr="0039487D">
        <w:t>guarantee</w:t>
      </w:r>
      <w:r w:rsidR="00D91607">
        <w:t>ing</w:t>
      </w:r>
      <w:r w:rsidR="0039487D" w:rsidRPr="0039487D">
        <w:t xml:space="preserve"> access to </w:t>
      </w:r>
      <w:r w:rsidR="0039487D" w:rsidRPr="0039487D">
        <w:lastRenderedPageBreak/>
        <w:t>broadband as well as voice services for all Australian premises</w:t>
      </w:r>
      <w:r w:rsidR="00D82FDE">
        <w:t>, while providing ongoing access to community phones or payphones</w:t>
      </w:r>
      <w:r w:rsidR="00222D64">
        <w:t>,</w:t>
      </w:r>
      <w:r w:rsidR="00D82FDE">
        <w:t xml:space="preserve"> where appropriate. </w:t>
      </w:r>
    </w:p>
    <w:p w14:paraId="0DECCAA1" w14:textId="77777777" w:rsidR="00ED3F9E" w:rsidRDefault="00ED3F9E" w:rsidP="00ED3F9E">
      <w:pPr>
        <w:spacing w:before="120" w:after="120"/>
      </w:pPr>
      <w:r w:rsidRPr="00ED3F9E">
        <w:t xml:space="preserve">The Government </w:t>
      </w:r>
      <w:r w:rsidR="00D82FDE">
        <w:t>indicated that four</w:t>
      </w:r>
      <w:r w:rsidRPr="00ED3F9E">
        <w:t xml:space="preserve"> prerequisites would need to be met before any changes would be made to the </w:t>
      </w:r>
      <w:r w:rsidR="0081712B">
        <w:t xml:space="preserve">existing </w:t>
      </w:r>
      <w:r w:rsidRPr="00ED3F9E">
        <w:t xml:space="preserve">USO, </w:t>
      </w:r>
      <w:r w:rsidR="00D82FDE">
        <w:t>namely</w:t>
      </w:r>
      <w:r w:rsidRPr="00ED3F9E">
        <w:t xml:space="preserve"> that:</w:t>
      </w:r>
    </w:p>
    <w:p w14:paraId="0DECCAA2" w14:textId="77777777" w:rsidR="00ED3F9E" w:rsidRDefault="00ED3F9E" w:rsidP="00A761DB">
      <w:pPr>
        <w:pStyle w:val="ListParagraph"/>
        <w:numPr>
          <w:ilvl w:val="0"/>
          <w:numId w:val="24"/>
        </w:numPr>
        <w:spacing w:after="0"/>
        <w:ind w:left="709" w:hanging="352"/>
        <w:contextualSpacing w:val="0"/>
      </w:pPr>
      <w:r>
        <w:t xml:space="preserve">broadband services </w:t>
      </w:r>
      <w:r w:rsidR="00D82FDE">
        <w:t>would need to be</w:t>
      </w:r>
      <w:r>
        <w:t xml:space="preserve"> available to 100</w:t>
      </w:r>
      <w:r w:rsidR="00C51986">
        <w:t>%</w:t>
      </w:r>
      <w:r>
        <w:t xml:space="preserve"> of Australian premises, on request, at the completion of the </w:t>
      </w:r>
      <w:r w:rsidR="003E11FE">
        <w:t>NBN</w:t>
      </w:r>
      <w:r>
        <w:t xml:space="preserve"> rollout in 2020</w:t>
      </w:r>
    </w:p>
    <w:p w14:paraId="0DECCAA3" w14:textId="77777777" w:rsidR="00ED3F9E" w:rsidRDefault="00ED3F9E" w:rsidP="00A761DB">
      <w:pPr>
        <w:pStyle w:val="ListParagraph"/>
        <w:numPr>
          <w:ilvl w:val="0"/>
          <w:numId w:val="24"/>
        </w:numPr>
        <w:spacing w:after="0"/>
        <w:ind w:left="709" w:hanging="352"/>
        <w:contextualSpacing w:val="0"/>
      </w:pPr>
      <w:r>
        <w:t xml:space="preserve">voice services </w:t>
      </w:r>
      <w:r w:rsidR="00D82FDE">
        <w:t>would need to</w:t>
      </w:r>
      <w:r w:rsidR="00591BE5">
        <w:t xml:space="preserve"> be</w:t>
      </w:r>
      <w:r w:rsidR="00D82FDE">
        <w:t xml:space="preserve"> </w:t>
      </w:r>
      <w:r>
        <w:t>available to 100</w:t>
      </w:r>
      <w:r w:rsidR="00C51986">
        <w:t>%</w:t>
      </w:r>
      <w:r>
        <w:t xml:space="preserve"> of Australian premises on request </w:t>
      </w:r>
    </w:p>
    <w:p w14:paraId="0DECCAA4" w14:textId="77777777" w:rsidR="00ED3F9E" w:rsidRDefault="00ED3F9E" w:rsidP="00A761DB">
      <w:pPr>
        <w:pStyle w:val="ListParagraph"/>
        <w:numPr>
          <w:ilvl w:val="0"/>
          <w:numId w:val="24"/>
        </w:numPr>
        <w:spacing w:after="0"/>
        <w:ind w:left="709" w:hanging="352"/>
        <w:contextualSpacing w:val="0"/>
      </w:pPr>
      <w:r>
        <w:t xml:space="preserve">any proposed new service delivery arrangements </w:t>
      </w:r>
      <w:r w:rsidR="00D82FDE">
        <w:t>would need to be</w:t>
      </w:r>
      <w:r>
        <w:t xml:space="preserve"> more cost effective than the existing USO contract (including any transitional costs) </w:t>
      </w:r>
    </w:p>
    <w:p w14:paraId="0DECCAA5" w14:textId="77777777" w:rsidR="00ED3F9E" w:rsidRDefault="00ED3F9E" w:rsidP="00A761DB">
      <w:pPr>
        <w:pStyle w:val="ListParagraph"/>
        <w:numPr>
          <w:ilvl w:val="0"/>
          <w:numId w:val="24"/>
        </w:numPr>
        <w:spacing w:after="0"/>
        <w:ind w:left="709" w:hanging="352"/>
        <w:contextualSpacing w:val="0"/>
      </w:pPr>
      <w:r>
        <w:t xml:space="preserve">a new consumer safeguards framework </w:t>
      </w:r>
      <w:r w:rsidR="00D82FDE">
        <w:t>would need to be</w:t>
      </w:r>
      <w:r>
        <w:t xml:space="preserve"> in place, following a review and associated public consultation process</w:t>
      </w:r>
    </w:p>
    <w:p w14:paraId="0DECCAA6" w14:textId="77777777" w:rsidR="008E2DBB" w:rsidDel="00CD38DD" w:rsidRDefault="00E41922" w:rsidP="00C73282">
      <w:pPr>
        <w:spacing w:before="120" w:after="120"/>
      </w:pPr>
      <w:r w:rsidDel="00CD38DD">
        <w:t xml:space="preserve">The </w:t>
      </w:r>
      <w:r w:rsidR="00B21F00">
        <w:t xml:space="preserve">Government also indicated that the </w:t>
      </w:r>
      <w:r w:rsidDel="00CD38DD">
        <w:t xml:space="preserve">USG </w:t>
      </w:r>
      <w:r w:rsidR="00D82FDE" w:rsidDel="00CD38DD">
        <w:t xml:space="preserve">would </w:t>
      </w:r>
      <w:r w:rsidDel="00CD38DD">
        <w:t xml:space="preserve">make use of the </w:t>
      </w:r>
      <w:r w:rsidR="003E11FE" w:rsidDel="00CD38DD">
        <w:t>NBN</w:t>
      </w:r>
      <w:r w:rsidDel="00CD38DD">
        <w:t xml:space="preserve"> and other commercial networks</w:t>
      </w:r>
      <w:r w:rsidR="00A1555A" w:rsidDel="00CD38DD">
        <w:t>,</w:t>
      </w:r>
      <w:r w:rsidDel="00CD38DD">
        <w:t xml:space="preserve"> </w:t>
      </w:r>
      <w:r w:rsidR="004F70C2" w:rsidDel="00CD38DD">
        <w:t xml:space="preserve">such as </w:t>
      </w:r>
      <w:r w:rsidDel="00CD38DD">
        <w:t>mobile networks</w:t>
      </w:r>
      <w:r w:rsidR="00A1555A" w:rsidDel="00CD38DD">
        <w:t>,</w:t>
      </w:r>
      <w:r w:rsidDel="00CD38DD">
        <w:t xml:space="preserve"> </w:t>
      </w:r>
      <w:r w:rsidR="00E11C07" w:rsidDel="00CD38DD">
        <w:t>in keeping with the Government’s preference for commercial solutions</w:t>
      </w:r>
      <w:r w:rsidR="00A1555A" w:rsidDel="00CD38DD">
        <w:t xml:space="preserve">. </w:t>
      </w:r>
    </w:p>
    <w:p w14:paraId="0DECCAA7" w14:textId="77777777" w:rsidR="000B048E" w:rsidRDefault="00D82FDE" w:rsidP="00C73282">
      <w:pPr>
        <w:spacing w:before="120" w:after="120"/>
      </w:pPr>
      <w:r>
        <w:t>Importantly, the Government indicated that the current USO arrangements would remain in place un</w:t>
      </w:r>
      <w:r w:rsidR="00E36A43">
        <w:t>til</w:t>
      </w:r>
      <w:r w:rsidR="00725D9D" w:rsidRPr="00725D9D" w:rsidDel="00E36A43">
        <w:t xml:space="preserve"> </w:t>
      </w:r>
      <w:r w:rsidR="00E36A43">
        <w:t>these</w:t>
      </w:r>
      <w:r w:rsidR="00D54A28">
        <w:t xml:space="preserve"> </w:t>
      </w:r>
      <w:r>
        <w:t xml:space="preserve">prerequisites could be satisfied. That is, the existing USO arrangements, including Telstra’s </w:t>
      </w:r>
      <w:r w:rsidR="00222D64">
        <w:t>CCO</w:t>
      </w:r>
      <w:r>
        <w:t xml:space="preserve">, would remain the default </w:t>
      </w:r>
      <w:r w:rsidR="000B048E">
        <w:t>unless and until a decision was made to change them.</w:t>
      </w:r>
    </w:p>
    <w:p w14:paraId="0DECCAA8" w14:textId="77777777" w:rsidR="000B048E" w:rsidRPr="004F6122" w:rsidRDefault="0087520C" w:rsidP="009D45AB">
      <w:pPr>
        <w:pStyle w:val="Heading3"/>
      </w:pPr>
      <w:bookmarkStart w:id="61" w:name="_Toc529783723"/>
      <w:r>
        <w:t>Our</w:t>
      </w:r>
      <w:r w:rsidR="000B048E" w:rsidRPr="00626319">
        <w:t xml:space="preserve"> approach to develop</w:t>
      </w:r>
      <w:r w:rsidR="00E36A43">
        <w:t>ing</w:t>
      </w:r>
      <w:r w:rsidR="000B048E" w:rsidRPr="00626319">
        <w:t xml:space="preserve"> the USG</w:t>
      </w:r>
      <w:bookmarkEnd w:id="61"/>
    </w:p>
    <w:p w14:paraId="0DECCAA9" w14:textId="77777777" w:rsidR="00E503ED" w:rsidRDefault="000B048E" w:rsidP="008966BE">
      <w:pPr>
        <w:spacing w:before="120" w:after="120"/>
      </w:pPr>
      <w:r>
        <w:t xml:space="preserve">To develop the USG, </w:t>
      </w:r>
      <w:r w:rsidR="00222D64">
        <w:t xml:space="preserve">we </w:t>
      </w:r>
      <w:r w:rsidR="00D91607">
        <w:t>undertook</w:t>
      </w:r>
      <w:r w:rsidR="00802E02">
        <w:t xml:space="preserve"> </w:t>
      </w:r>
      <w:r w:rsidR="005B3BD2">
        <w:t xml:space="preserve">a program of work </w:t>
      </w:r>
      <w:r>
        <w:t xml:space="preserve">with </w:t>
      </w:r>
      <w:r w:rsidR="00D91607">
        <w:t>the following elements</w:t>
      </w:r>
      <w:r w:rsidR="00E503ED">
        <w:t>:</w:t>
      </w:r>
    </w:p>
    <w:p w14:paraId="0DECCAAA" w14:textId="77777777" w:rsidR="00321225" w:rsidRDefault="000B048E" w:rsidP="009D45AB">
      <w:pPr>
        <w:pStyle w:val="ListParagraph"/>
        <w:numPr>
          <w:ilvl w:val="0"/>
          <w:numId w:val="26"/>
        </w:numPr>
        <w:spacing w:before="120" w:after="120"/>
      </w:pPr>
      <w:r>
        <w:t xml:space="preserve">confirming the number, location, and delivery technology of USO voice </w:t>
      </w:r>
      <w:r w:rsidR="00802E02">
        <w:t>services</w:t>
      </w:r>
    </w:p>
    <w:p w14:paraId="0DECCAAB" w14:textId="77777777" w:rsidR="000B048E" w:rsidRDefault="000B048E" w:rsidP="000B048E">
      <w:pPr>
        <w:pStyle w:val="ListParagraph"/>
        <w:numPr>
          <w:ilvl w:val="0"/>
          <w:numId w:val="26"/>
        </w:numPr>
        <w:spacing w:before="120" w:after="120"/>
      </w:pPr>
      <w:r>
        <w:t>establishing voice quality and reliability benchmarks</w:t>
      </w:r>
    </w:p>
    <w:p w14:paraId="0DECCAAC" w14:textId="77777777" w:rsidR="00E503ED" w:rsidRDefault="00321225" w:rsidP="009D45AB">
      <w:pPr>
        <w:pStyle w:val="ListParagraph"/>
        <w:numPr>
          <w:ilvl w:val="0"/>
          <w:numId w:val="26"/>
        </w:numPr>
        <w:spacing w:before="120" w:after="120"/>
      </w:pPr>
      <w:r>
        <w:t>identify</w:t>
      </w:r>
      <w:r w:rsidR="000B048E">
        <w:t>ing</w:t>
      </w:r>
      <w:r>
        <w:t xml:space="preserve"> </w:t>
      </w:r>
      <w:r w:rsidR="000B048E">
        <w:t xml:space="preserve">possible </w:t>
      </w:r>
      <w:r>
        <w:t xml:space="preserve">alternative </w:t>
      </w:r>
      <w:r w:rsidR="000B048E">
        <w:t xml:space="preserve">voice delivery </w:t>
      </w:r>
      <w:r>
        <w:t>technologies</w:t>
      </w:r>
    </w:p>
    <w:p w14:paraId="0DECCAAD" w14:textId="77777777" w:rsidR="000B048E" w:rsidRDefault="005B3BD2" w:rsidP="009D45AB">
      <w:pPr>
        <w:pStyle w:val="ListParagraph"/>
        <w:numPr>
          <w:ilvl w:val="0"/>
          <w:numId w:val="26"/>
        </w:numPr>
        <w:spacing w:before="120" w:after="120"/>
      </w:pPr>
      <w:r>
        <w:t>cost</w:t>
      </w:r>
      <w:r w:rsidR="00802E02">
        <w:t>ing</w:t>
      </w:r>
      <w:r>
        <w:t xml:space="preserve"> </w:t>
      </w:r>
      <w:r w:rsidR="00321225">
        <w:t xml:space="preserve">alternative </w:t>
      </w:r>
      <w:r w:rsidR="000B048E">
        <w:t>approaches to delivering voice services</w:t>
      </w:r>
    </w:p>
    <w:p w14:paraId="0DECCAAE" w14:textId="77777777" w:rsidR="00E503ED" w:rsidRDefault="000B048E" w:rsidP="009D45AB">
      <w:pPr>
        <w:pStyle w:val="ListParagraph"/>
        <w:numPr>
          <w:ilvl w:val="0"/>
          <w:numId w:val="26"/>
        </w:numPr>
        <w:spacing w:before="120" w:after="120"/>
      </w:pPr>
      <w:r w:rsidRPr="000B048E">
        <w:t xml:space="preserve">costing </w:t>
      </w:r>
      <w:r>
        <w:t xml:space="preserve">the potential </w:t>
      </w:r>
      <w:r w:rsidR="005B3BD2">
        <w:t xml:space="preserve">impact </w:t>
      </w:r>
      <w:r w:rsidR="00802E02">
        <w:t xml:space="preserve">of USG reform on </w:t>
      </w:r>
      <w:r w:rsidR="003E11FE">
        <w:t>NBN</w:t>
      </w:r>
      <w:r>
        <w:t xml:space="preserve"> Co</w:t>
      </w:r>
      <w:r w:rsidR="005B3BD2">
        <w:t xml:space="preserve"> </w:t>
      </w:r>
    </w:p>
    <w:p w14:paraId="0DECCAAF" w14:textId="77777777" w:rsidR="00321225" w:rsidRDefault="00802E02" w:rsidP="00321225">
      <w:pPr>
        <w:pStyle w:val="ListParagraph"/>
        <w:numPr>
          <w:ilvl w:val="0"/>
          <w:numId w:val="26"/>
        </w:numPr>
        <w:spacing w:before="120" w:after="120"/>
      </w:pPr>
      <w:r>
        <w:t>identifying</w:t>
      </w:r>
      <w:r w:rsidR="00321225">
        <w:t xml:space="preserve"> and cost</w:t>
      </w:r>
      <w:r>
        <w:t>ing</w:t>
      </w:r>
      <w:r w:rsidR="00321225">
        <w:t xml:space="preserve"> alternative payphone solutions</w:t>
      </w:r>
    </w:p>
    <w:p w14:paraId="0DECCAB0" w14:textId="77777777" w:rsidR="007E441E" w:rsidRDefault="007E441E" w:rsidP="00321225">
      <w:pPr>
        <w:pStyle w:val="ListParagraph"/>
        <w:numPr>
          <w:ilvl w:val="0"/>
          <w:numId w:val="26"/>
        </w:numPr>
        <w:spacing w:before="120" w:after="120"/>
      </w:pPr>
      <w:r>
        <w:t>reviewing comparable developments in other key countries</w:t>
      </w:r>
    </w:p>
    <w:p w14:paraId="0DECCAB1" w14:textId="77777777" w:rsidR="007E441E" w:rsidRDefault="007E441E" w:rsidP="00321225">
      <w:pPr>
        <w:pStyle w:val="ListParagraph"/>
        <w:numPr>
          <w:ilvl w:val="0"/>
          <w:numId w:val="26"/>
        </w:numPr>
        <w:spacing w:before="120" w:after="120"/>
      </w:pPr>
      <w:r>
        <w:t>considering potential contestability models</w:t>
      </w:r>
    </w:p>
    <w:p w14:paraId="0DECCAB2" w14:textId="77777777" w:rsidR="007E441E" w:rsidRDefault="007E441E" w:rsidP="00321225">
      <w:pPr>
        <w:pStyle w:val="ListParagraph"/>
        <w:numPr>
          <w:ilvl w:val="0"/>
          <w:numId w:val="26"/>
        </w:numPr>
        <w:spacing w:before="120" w:after="120"/>
      </w:pPr>
      <w:r>
        <w:t>considering potential legislative and regulatory change</w:t>
      </w:r>
      <w:r w:rsidR="00CD38DD">
        <w:t>s</w:t>
      </w:r>
    </w:p>
    <w:p w14:paraId="0DECCAB3" w14:textId="77777777" w:rsidR="007E441E" w:rsidRDefault="007E441E" w:rsidP="00321225">
      <w:pPr>
        <w:pStyle w:val="ListParagraph"/>
        <w:numPr>
          <w:ilvl w:val="0"/>
          <w:numId w:val="26"/>
        </w:numPr>
        <w:spacing w:before="120" w:after="120"/>
      </w:pPr>
      <w:r>
        <w:t xml:space="preserve">considering </w:t>
      </w:r>
      <w:r w:rsidR="00637F6C">
        <w:t xml:space="preserve">the </w:t>
      </w:r>
      <w:r>
        <w:t>likely evolution of the current marketplace absent further intervention</w:t>
      </w:r>
    </w:p>
    <w:p w14:paraId="0DECCAB4" w14:textId="77777777" w:rsidR="000B048E" w:rsidRDefault="000B048E" w:rsidP="000B048E">
      <w:pPr>
        <w:pStyle w:val="ListParagraph"/>
        <w:numPr>
          <w:ilvl w:val="0"/>
          <w:numId w:val="26"/>
        </w:numPr>
        <w:spacing w:before="120" w:after="120"/>
      </w:pPr>
      <w:r>
        <w:t>consulting with stakeholders</w:t>
      </w:r>
      <w:r w:rsidR="00637F6C">
        <w:t>,</w:t>
      </w:r>
      <w:r>
        <w:t xml:space="preserve"> including consumer groups and industry representatives</w:t>
      </w:r>
    </w:p>
    <w:p w14:paraId="0DECCAB5" w14:textId="77777777" w:rsidR="00B0049F" w:rsidRDefault="00B0049F" w:rsidP="008E2DBB">
      <w:pPr>
        <w:spacing w:before="120" w:after="120"/>
      </w:pPr>
      <w:r>
        <w:t>Th</w:t>
      </w:r>
      <w:r w:rsidR="00146D88">
        <w:t>e</w:t>
      </w:r>
      <w:r>
        <w:t xml:space="preserve"> </w:t>
      </w:r>
      <w:r w:rsidR="009B7A2D">
        <w:t xml:space="preserve">discussion of </w:t>
      </w:r>
      <w:r>
        <w:t>finding</w:t>
      </w:r>
      <w:r w:rsidR="007E441E">
        <w:t>s</w:t>
      </w:r>
      <w:r>
        <w:t xml:space="preserve"> in the following section</w:t>
      </w:r>
      <w:r w:rsidR="00146D88">
        <w:t xml:space="preserve"> reflect</w:t>
      </w:r>
      <w:r w:rsidR="009B7A2D">
        <w:t>s</w:t>
      </w:r>
      <w:r w:rsidR="00146D88">
        <w:t xml:space="preserve"> this approach</w:t>
      </w:r>
      <w:r>
        <w:t>.</w:t>
      </w:r>
    </w:p>
    <w:p w14:paraId="0DECCAB6" w14:textId="77777777" w:rsidR="00B0049F" w:rsidRDefault="00B0049F" w:rsidP="008E2DBB">
      <w:pPr>
        <w:spacing w:before="120" w:after="120"/>
      </w:pPr>
      <w:r>
        <w:t xml:space="preserve">In costing the delivery of voice services, </w:t>
      </w:r>
      <w:r w:rsidR="0087520C">
        <w:t xml:space="preserve">we </w:t>
      </w:r>
      <w:r>
        <w:t xml:space="preserve">considered </w:t>
      </w:r>
      <w:r w:rsidR="00146D88">
        <w:t xml:space="preserve">three </w:t>
      </w:r>
      <w:r>
        <w:t>broad options:</w:t>
      </w:r>
    </w:p>
    <w:p w14:paraId="0DECCAB7" w14:textId="77777777" w:rsidR="00B0049F" w:rsidRDefault="00B0049F" w:rsidP="000A118F">
      <w:pPr>
        <w:pStyle w:val="ListParagraph"/>
        <w:numPr>
          <w:ilvl w:val="0"/>
          <w:numId w:val="33"/>
        </w:numPr>
        <w:spacing w:before="120" w:after="120"/>
        <w:ind w:left="714" w:hanging="357"/>
        <w:contextualSpacing w:val="0"/>
      </w:pPr>
      <w:r>
        <w:t xml:space="preserve">retaining the current </w:t>
      </w:r>
      <w:r w:rsidR="0049145E">
        <w:t xml:space="preserve">USO contractual </w:t>
      </w:r>
      <w:r>
        <w:t xml:space="preserve">arrangements, including the </w:t>
      </w:r>
      <w:r w:rsidR="00222D64">
        <w:t>CCO</w:t>
      </w:r>
      <w:r w:rsidR="00637F6C">
        <w:t xml:space="preserve"> (</w:t>
      </w:r>
      <w:r w:rsidR="00990AB1">
        <w:t>to set a</w:t>
      </w:r>
      <w:r w:rsidR="00637F6C">
        <w:t xml:space="preserve"> benchmark)</w:t>
      </w:r>
      <w:r>
        <w:t xml:space="preserve"> </w:t>
      </w:r>
    </w:p>
    <w:p w14:paraId="0DECCAB8" w14:textId="77777777" w:rsidR="00B0049F" w:rsidRDefault="00B0049F" w:rsidP="000A118F">
      <w:pPr>
        <w:pStyle w:val="ListParagraph"/>
        <w:numPr>
          <w:ilvl w:val="0"/>
          <w:numId w:val="33"/>
        </w:numPr>
        <w:spacing w:before="120" w:after="120"/>
        <w:ind w:left="714" w:hanging="357"/>
        <w:contextualSpacing w:val="0"/>
      </w:pPr>
      <w:r>
        <w:t xml:space="preserve">retaining the current </w:t>
      </w:r>
      <w:r w:rsidR="0049145E">
        <w:t>USO contractual</w:t>
      </w:r>
      <w:r w:rsidR="0049145E" w:rsidDel="0049145E">
        <w:t xml:space="preserve"> </w:t>
      </w:r>
      <w:r>
        <w:t xml:space="preserve">arrangements, but removing the </w:t>
      </w:r>
      <w:r w:rsidRPr="00345381">
        <w:t>CCO</w:t>
      </w:r>
      <w:r>
        <w:t xml:space="preserve"> – i.e. allowing Telstra to use the most cost-effective technology</w:t>
      </w:r>
      <w:r w:rsidR="00B62A03">
        <w:t xml:space="preserve"> outside NBN fixed</w:t>
      </w:r>
      <w:r w:rsidR="009B7A2D">
        <w:t xml:space="preserve"> </w:t>
      </w:r>
      <w:r w:rsidR="00B62A03">
        <w:t xml:space="preserve">line areas </w:t>
      </w:r>
      <w:r w:rsidR="009B7A2D">
        <w:t>– and reducing the number of payphones</w:t>
      </w:r>
      <w:r w:rsidR="00DF7565">
        <w:t>, and</w:t>
      </w:r>
    </w:p>
    <w:p w14:paraId="0DECCAB9" w14:textId="77777777" w:rsidR="00B0049F" w:rsidRDefault="00B0049F" w:rsidP="000A118F">
      <w:pPr>
        <w:pStyle w:val="ListParagraph"/>
        <w:numPr>
          <w:ilvl w:val="0"/>
          <w:numId w:val="33"/>
        </w:numPr>
        <w:spacing w:before="120" w:after="120"/>
        <w:ind w:left="714" w:hanging="357"/>
        <w:contextualSpacing w:val="0"/>
      </w:pPr>
      <w:proofErr w:type="gramStart"/>
      <w:r>
        <w:t>terminating</w:t>
      </w:r>
      <w:proofErr w:type="gramEnd"/>
      <w:r>
        <w:t xml:space="preserve"> the </w:t>
      </w:r>
      <w:r w:rsidR="0049145E">
        <w:t xml:space="preserve">USO contract </w:t>
      </w:r>
      <w:r>
        <w:t xml:space="preserve">and relying on commercial delivery and targeted programs against the background of the </w:t>
      </w:r>
      <w:r w:rsidR="00B62A03">
        <w:t>proposed</w:t>
      </w:r>
      <w:r>
        <w:t xml:space="preserve"> </w:t>
      </w:r>
      <w:r w:rsidR="00446BA7">
        <w:t>SIP</w:t>
      </w:r>
      <w:r>
        <w:t xml:space="preserve"> legislation</w:t>
      </w:r>
      <w:r w:rsidR="00DF7565">
        <w:t>.</w:t>
      </w:r>
    </w:p>
    <w:p w14:paraId="0DECCABA" w14:textId="77777777" w:rsidR="000B048E" w:rsidRDefault="000B048E" w:rsidP="008E2DBB">
      <w:pPr>
        <w:spacing w:before="120" w:after="120"/>
      </w:pPr>
      <w:r>
        <w:t>To assist us</w:t>
      </w:r>
      <w:r w:rsidR="00591BE5">
        <w:t xml:space="preserve"> in</w:t>
      </w:r>
      <w:r>
        <w:t xml:space="preserve"> </w:t>
      </w:r>
      <w:r w:rsidR="009B7A2D">
        <w:t>identify</w:t>
      </w:r>
      <w:r w:rsidR="00591BE5">
        <w:t xml:space="preserve">ing </w:t>
      </w:r>
      <w:r>
        <w:t>alternative delivery technologies and cost alternative delivery approaches, we con</w:t>
      </w:r>
      <w:r w:rsidR="00B0049F">
        <w:t>tracted Network S</w:t>
      </w:r>
      <w:r>
        <w:t xml:space="preserve">trategies, a long-established </w:t>
      </w:r>
      <w:r w:rsidR="00B0049F">
        <w:t xml:space="preserve">specialist </w:t>
      </w:r>
      <w:r>
        <w:t>telecommunications consultancy</w:t>
      </w:r>
      <w:r w:rsidR="00B0049F">
        <w:t>.</w:t>
      </w:r>
      <w:r>
        <w:t xml:space="preserve"> </w:t>
      </w:r>
    </w:p>
    <w:p w14:paraId="0DECCABB" w14:textId="77777777" w:rsidR="00437E85" w:rsidRDefault="00272B1F" w:rsidP="008E2DBB">
      <w:pPr>
        <w:spacing w:before="120" w:after="120"/>
      </w:pPr>
      <w:r>
        <w:t>T</w:t>
      </w:r>
      <w:r w:rsidR="00437E85">
        <w:t xml:space="preserve">he USG </w:t>
      </w:r>
      <w:r>
        <w:t>will</w:t>
      </w:r>
      <w:r w:rsidR="00437E85">
        <w:t xml:space="preserve"> be complemented by</w:t>
      </w:r>
      <w:r>
        <w:t xml:space="preserve">, and </w:t>
      </w:r>
      <w:r w:rsidR="00D7696A">
        <w:t xml:space="preserve">coordinated </w:t>
      </w:r>
      <w:r>
        <w:t>with,</w:t>
      </w:r>
      <w:r w:rsidR="00437E85">
        <w:t xml:space="preserve"> a new consumer protection framework th</w:t>
      </w:r>
      <w:r>
        <w:t>at the department is also undertaking</w:t>
      </w:r>
      <w:r w:rsidR="00437E85">
        <w:t xml:space="preserve">. The USG work has also been co-ordinated with the 2018 </w:t>
      </w:r>
      <w:r w:rsidR="00CD38DD">
        <w:t>RTR</w:t>
      </w:r>
      <w:r w:rsidR="00437E85">
        <w:t>.</w:t>
      </w:r>
    </w:p>
    <w:p w14:paraId="0DECCABC" w14:textId="77777777" w:rsidR="0037227B" w:rsidRDefault="0037227B" w:rsidP="008E2DBB">
      <w:pPr>
        <w:spacing w:before="120" w:after="120"/>
      </w:pPr>
      <w:r>
        <w:lastRenderedPageBreak/>
        <w:t xml:space="preserve">The affordability of services is a key part of any universal </w:t>
      </w:r>
      <w:r w:rsidR="00637F6C">
        <w:t>service</w:t>
      </w:r>
      <w:r>
        <w:t xml:space="preserve"> arrangements. The working assumption of the USG is that retail prices </w:t>
      </w:r>
      <w:r w:rsidR="005678B6">
        <w:t xml:space="preserve">in regional Australia </w:t>
      </w:r>
      <w:r>
        <w:t>should be on par with the prices generally available in the community for comparable services.</w:t>
      </w:r>
    </w:p>
    <w:p w14:paraId="0DECCABD" w14:textId="77777777" w:rsidR="00802E02" w:rsidRDefault="00FB6BE8" w:rsidP="009D45AB">
      <w:pPr>
        <w:pStyle w:val="Heading3"/>
      </w:pPr>
      <w:bookmarkStart w:id="62" w:name="_Toc529783724"/>
      <w:r>
        <w:t>Geographical s</w:t>
      </w:r>
      <w:r w:rsidR="00802E02">
        <w:t>cope</w:t>
      </w:r>
      <w:bookmarkEnd w:id="62"/>
    </w:p>
    <w:p w14:paraId="0DECCABE" w14:textId="77777777" w:rsidR="00FB6BE8" w:rsidRDefault="00FB6BE8">
      <w:pPr>
        <w:spacing w:before="120" w:after="120"/>
      </w:pPr>
      <w:r>
        <w:t xml:space="preserve">The USO has always </w:t>
      </w:r>
      <w:r w:rsidR="00405DE5">
        <w:t>taken a national approach</w:t>
      </w:r>
      <w:r w:rsidR="00E02DBE">
        <w:t>,</w:t>
      </w:r>
      <w:r>
        <w:t xml:space="preserve"> and the USG would also </w:t>
      </w:r>
      <w:r w:rsidR="00DB46DF">
        <w:t>need to cover all premises in Australia in order to meet the</w:t>
      </w:r>
      <w:r>
        <w:t xml:space="preserve"> prerequisites set by the </w:t>
      </w:r>
      <w:r w:rsidR="00591BE5">
        <w:t>G</w:t>
      </w:r>
      <w:r>
        <w:t>overnment.</w:t>
      </w:r>
      <w:r w:rsidR="00E02DBE" w:rsidDel="00E02DBE">
        <w:t xml:space="preserve"> </w:t>
      </w:r>
    </w:p>
    <w:p w14:paraId="0DECCABF" w14:textId="77777777" w:rsidR="00FB6BE8" w:rsidRDefault="00FB6BE8">
      <w:pPr>
        <w:spacing w:before="120" w:after="120"/>
      </w:pPr>
      <w:r>
        <w:t xml:space="preserve">For the most part, broadband and voice services will be provided by NBN </w:t>
      </w:r>
      <w:proofErr w:type="spellStart"/>
      <w:r>
        <w:t>Co’s</w:t>
      </w:r>
      <w:proofErr w:type="spellEnd"/>
      <w:r>
        <w:t xml:space="preserve"> fixed line network, an area in which there is also </w:t>
      </w:r>
      <w:r w:rsidR="00E02DBE">
        <w:t xml:space="preserve">extensive </w:t>
      </w:r>
      <w:r>
        <w:t xml:space="preserve">mobile coverage. The key issue for the department has been the optimal arrangements for the delivery of services outside NBN </w:t>
      </w:r>
      <w:proofErr w:type="spellStart"/>
      <w:r>
        <w:t>Co’s</w:t>
      </w:r>
      <w:proofErr w:type="spellEnd"/>
      <w:r>
        <w:t xml:space="preserve"> fixed line footprint</w:t>
      </w:r>
      <w:r w:rsidR="00D91607">
        <w:t xml:space="preserve"> – that is, all areas serviced by NBN </w:t>
      </w:r>
      <w:proofErr w:type="spellStart"/>
      <w:r w:rsidR="00D91607">
        <w:t>Co’s</w:t>
      </w:r>
      <w:proofErr w:type="spellEnd"/>
      <w:r w:rsidR="00D91607">
        <w:t xml:space="preserve"> fixed wireless and satellite networks</w:t>
      </w:r>
      <w:r>
        <w:t>.</w:t>
      </w:r>
    </w:p>
    <w:p w14:paraId="0DECCAC0" w14:textId="77777777" w:rsidR="00CE45E6" w:rsidRDefault="00FB6BE8">
      <w:pPr>
        <w:spacing w:before="120" w:after="120"/>
      </w:pPr>
      <w:r>
        <w:t xml:space="preserve">In this regard, the </w:t>
      </w:r>
      <w:r w:rsidR="00CE45E6">
        <w:t xml:space="preserve">PC </w:t>
      </w:r>
      <w:r>
        <w:t xml:space="preserve">saw the key issue as </w:t>
      </w:r>
      <w:r w:rsidR="00CE45E6">
        <w:t xml:space="preserve">how best to provide acceptable voice services to an estimated 90,000 premises in </w:t>
      </w:r>
      <w:r w:rsidR="003E11FE">
        <w:t>NBN</w:t>
      </w:r>
      <w:r w:rsidR="00CE45E6">
        <w:t xml:space="preserve"> </w:t>
      </w:r>
      <w:proofErr w:type="spellStart"/>
      <w:r w:rsidR="00CE45E6">
        <w:t>Co’s</w:t>
      </w:r>
      <w:proofErr w:type="spellEnd"/>
      <w:r w:rsidR="00CE45E6">
        <w:t xml:space="preserve"> satellite </w:t>
      </w:r>
      <w:proofErr w:type="gramStart"/>
      <w:r w:rsidR="00CE45E6">
        <w:t>footprint, that</w:t>
      </w:r>
      <w:proofErr w:type="gramEnd"/>
      <w:r w:rsidR="00CE45E6">
        <w:t xml:space="preserve"> </w:t>
      </w:r>
      <w:r w:rsidR="003D0D99">
        <w:t xml:space="preserve">it estimated do </w:t>
      </w:r>
      <w:r w:rsidR="00CE45E6">
        <w:t xml:space="preserve">not have mobile coverage. </w:t>
      </w:r>
      <w:r w:rsidR="003D0D99">
        <w:t>This has therefore been one foc</w:t>
      </w:r>
      <w:r w:rsidR="0049145E">
        <w:t>u</w:t>
      </w:r>
      <w:r w:rsidR="003D0D99">
        <w:t>s of our work.</w:t>
      </w:r>
    </w:p>
    <w:p w14:paraId="0DECCAC1" w14:textId="77777777" w:rsidR="00CE45E6" w:rsidRDefault="003D0D99">
      <w:pPr>
        <w:spacing w:before="120" w:after="120"/>
      </w:pPr>
      <w:r>
        <w:t>However, g</w:t>
      </w:r>
      <w:r w:rsidR="00CE45E6">
        <w:t xml:space="preserve">iven </w:t>
      </w:r>
      <w:r w:rsidR="003E11FE">
        <w:t>NBN</w:t>
      </w:r>
      <w:r w:rsidR="00CE45E6" w:rsidRPr="00CE45E6">
        <w:t xml:space="preserve"> </w:t>
      </w:r>
      <w:proofErr w:type="spellStart"/>
      <w:r w:rsidR="00CE45E6" w:rsidRPr="00CE45E6">
        <w:t>Co’s</w:t>
      </w:r>
      <w:proofErr w:type="spellEnd"/>
      <w:r w:rsidR="00CE45E6" w:rsidRPr="00CE45E6">
        <w:t xml:space="preserve"> concerns about the potential cost impacts on it of USO reform, </w:t>
      </w:r>
      <w:r w:rsidR="00446BA7">
        <w:t>we</w:t>
      </w:r>
      <w:r w:rsidR="00CE45E6" w:rsidRPr="00CE45E6">
        <w:t xml:space="preserve"> </w:t>
      </w:r>
      <w:r>
        <w:t xml:space="preserve">also </w:t>
      </w:r>
      <w:r w:rsidR="00CE45E6" w:rsidRPr="00CE45E6">
        <w:t xml:space="preserve">took a broader perspective, looking at the overall delivery of voice services outside </w:t>
      </w:r>
      <w:r w:rsidR="003E11FE">
        <w:t>NBN</w:t>
      </w:r>
      <w:r w:rsidR="00CE45E6">
        <w:t xml:space="preserve"> </w:t>
      </w:r>
      <w:proofErr w:type="spellStart"/>
      <w:r w:rsidR="00CE45E6">
        <w:t>Co’s</w:t>
      </w:r>
      <w:proofErr w:type="spellEnd"/>
      <w:r w:rsidR="00CE45E6">
        <w:t xml:space="preserve"> fixed line footprint -</w:t>
      </w:r>
      <w:r w:rsidR="00CE45E6" w:rsidRPr="00CE45E6">
        <w:t xml:space="preserve"> that is, all areas serviced by </w:t>
      </w:r>
      <w:r w:rsidR="003E11FE">
        <w:t>NBN</w:t>
      </w:r>
      <w:r w:rsidR="00CE45E6" w:rsidRPr="00CE45E6">
        <w:t xml:space="preserve"> </w:t>
      </w:r>
      <w:proofErr w:type="spellStart"/>
      <w:r w:rsidR="00CE45E6" w:rsidRPr="00CE45E6">
        <w:t>Co’s</w:t>
      </w:r>
      <w:proofErr w:type="spellEnd"/>
      <w:r w:rsidR="00CE45E6" w:rsidRPr="00CE45E6">
        <w:t xml:space="preserve"> fixed wireless and satellite networks.</w:t>
      </w:r>
    </w:p>
    <w:p w14:paraId="0DECCAC2" w14:textId="77777777" w:rsidR="003D0D99" w:rsidRDefault="003D0D99">
      <w:pPr>
        <w:spacing w:before="120" w:after="120"/>
      </w:pPr>
      <w:r>
        <w:t xml:space="preserve">Our aim in doing this was to fully understand the potential cost impact of USO reform, </w:t>
      </w:r>
      <w:r w:rsidR="003830E2">
        <w:t xml:space="preserve">given </w:t>
      </w:r>
      <w:r w:rsidR="00D26F5C">
        <w:t>the Government’s</w:t>
      </w:r>
      <w:r w:rsidR="00FA122D">
        <w:t xml:space="preserve"> </w:t>
      </w:r>
      <w:r>
        <w:t>prerequisite for USO reform to be more cost-effective than the existing arrangements.</w:t>
      </w:r>
    </w:p>
    <w:p w14:paraId="0DECCAC3" w14:textId="77777777" w:rsidR="00077873" w:rsidRPr="009E3122" w:rsidRDefault="00077873" w:rsidP="000A118F">
      <w:pPr>
        <w:pStyle w:val="Heading2"/>
      </w:pPr>
      <w:bookmarkStart w:id="63" w:name="_Toc529783725"/>
      <w:bookmarkStart w:id="64" w:name="_Toc514423477"/>
      <w:bookmarkStart w:id="65" w:name="_Toc519870989"/>
      <w:r w:rsidRPr="009E3122">
        <w:t>3. Findings</w:t>
      </w:r>
      <w:bookmarkEnd w:id="63"/>
    </w:p>
    <w:p w14:paraId="0DECCAC4" w14:textId="77777777" w:rsidR="00077873" w:rsidRPr="00950DB6" w:rsidRDefault="00077873" w:rsidP="00950DB6">
      <w:pPr>
        <w:pStyle w:val="Heading3"/>
      </w:pPr>
      <w:bookmarkStart w:id="66" w:name="_Toc529783726"/>
      <w:r w:rsidRPr="00950DB6">
        <w:t>Services in operation</w:t>
      </w:r>
      <w:r w:rsidR="00234A33" w:rsidRPr="00950DB6">
        <w:t xml:space="preserve"> – fixed</w:t>
      </w:r>
      <w:bookmarkEnd w:id="66"/>
    </w:p>
    <w:p w14:paraId="0DECCAC5" w14:textId="77777777" w:rsidR="009E6025" w:rsidRDefault="009E6025" w:rsidP="009D45AB">
      <w:r>
        <w:t xml:space="preserve">The PC </w:t>
      </w:r>
      <w:r w:rsidR="00033A54">
        <w:t xml:space="preserve">acknowledged that it </w:t>
      </w:r>
      <w:r>
        <w:t xml:space="preserve">was hindered in its work by a lack of access to </w:t>
      </w:r>
      <w:r w:rsidR="00637F6C">
        <w:t xml:space="preserve">detailed </w:t>
      </w:r>
      <w:r>
        <w:t xml:space="preserve">data about </w:t>
      </w:r>
      <w:r w:rsidR="00FA122D">
        <w:t xml:space="preserve">Telstra’s </w:t>
      </w:r>
      <w:r>
        <w:t xml:space="preserve">services in operation under the USO. </w:t>
      </w:r>
      <w:r w:rsidR="0087520C">
        <w:t xml:space="preserve">We </w:t>
      </w:r>
      <w:r>
        <w:t xml:space="preserve">negotiated access to such data with Telstra, albeit subject to </w:t>
      </w:r>
      <w:r w:rsidR="00FA122D">
        <w:t xml:space="preserve">strict </w:t>
      </w:r>
      <w:r>
        <w:t>confidentiality rules.</w:t>
      </w:r>
    </w:p>
    <w:p w14:paraId="0DECCAC6" w14:textId="77777777" w:rsidR="009E6025" w:rsidRDefault="003D37C1" w:rsidP="009D45AB">
      <w:r>
        <w:rPr>
          <w:lang w:eastAsia="en-US"/>
        </w:rPr>
        <w:t xml:space="preserve">Optus, Vodafone and </w:t>
      </w:r>
      <w:r w:rsidR="003E11FE">
        <w:rPr>
          <w:lang w:eastAsia="en-US"/>
        </w:rPr>
        <w:t>NBN Co</w:t>
      </w:r>
      <w:r w:rsidR="009E6025">
        <w:rPr>
          <w:lang w:eastAsia="en-US"/>
        </w:rPr>
        <w:t xml:space="preserve"> also provided a range of useful data, particularly </w:t>
      </w:r>
      <w:r w:rsidR="00591BE5">
        <w:rPr>
          <w:lang w:eastAsia="en-US"/>
        </w:rPr>
        <w:t>on</w:t>
      </w:r>
      <w:r w:rsidR="009E6025">
        <w:rPr>
          <w:lang w:eastAsia="en-US"/>
        </w:rPr>
        <w:t xml:space="preserve"> network coverage. Other data, especially on </w:t>
      </w:r>
      <w:r w:rsidR="00CE45E6">
        <w:rPr>
          <w:lang w:eastAsia="en-US"/>
        </w:rPr>
        <w:t>service</w:t>
      </w:r>
      <w:r w:rsidR="009E6025">
        <w:rPr>
          <w:lang w:eastAsia="en-US"/>
        </w:rPr>
        <w:t xml:space="preserve"> take-up, usage and expenditure, was sourced from Ni</w:t>
      </w:r>
      <w:r w:rsidR="003E185A">
        <w:rPr>
          <w:lang w:eastAsia="en-US"/>
        </w:rPr>
        <w:t>e</w:t>
      </w:r>
      <w:r w:rsidR="009E6025">
        <w:rPr>
          <w:lang w:eastAsia="en-US"/>
        </w:rPr>
        <w:t>lsen.</w:t>
      </w:r>
    </w:p>
    <w:p w14:paraId="0DECCAC7" w14:textId="77777777" w:rsidR="00234A33" w:rsidRDefault="00185E2C" w:rsidP="009D45AB">
      <w:pPr>
        <w:spacing w:after="160" w:line="259" w:lineRule="auto"/>
        <w:rPr>
          <w:lang w:eastAsia="en-US"/>
        </w:rPr>
      </w:pPr>
      <w:r>
        <w:rPr>
          <w:lang w:eastAsia="en-US"/>
        </w:rPr>
        <w:t xml:space="preserve">According to </w:t>
      </w:r>
      <w:r w:rsidR="003E11FE">
        <w:rPr>
          <w:lang w:eastAsia="en-US"/>
        </w:rPr>
        <w:t>NBN</w:t>
      </w:r>
      <w:r w:rsidR="00234A33">
        <w:rPr>
          <w:lang w:eastAsia="en-US"/>
        </w:rPr>
        <w:t xml:space="preserve"> Co, there </w:t>
      </w:r>
      <w:r w:rsidR="003830E2">
        <w:rPr>
          <w:lang w:eastAsia="en-US"/>
        </w:rPr>
        <w:t xml:space="preserve">will be </w:t>
      </w:r>
      <w:r w:rsidR="00234A33">
        <w:rPr>
          <w:lang w:eastAsia="en-US"/>
        </w:rPr>
        <w:t>11.</w:t>
      </w:r>
      <w:r w:rsidR="00160D83">
        <w:rPr>
          <w:lang w:eastAsia="en-US"/>
        </w:rPr>
        <w:t>6</w:t>
      </w:r>
      <w:r w:rsidR="00197B2A">
        <w:rPr>
          <w:lang w:eastAsia="en-US"/>
        </w:rPr>
        <w:t xml:space="preserve"> </w:t>
      </w:r>
      <w:r w:rsidR="00234A33">
        <w:rPr>
          <w:lang w:eastAsia="en-US"/>
        </w:rPr>
        <w:t>million serviceable premises in Australia</w:t>
      </w:r>
      <w:r w:rsidR="00AA4EDC">
        <w:rPr>
          <w:lang w:eastAsia="en-US"/>
        </w:rPr>
        <w:t xml:space="preserve"> by 2020</w:t>
      </w:r>
      <w:r w:rsidR="00234A33">
        <w:rPr>
          <w:lang w:eastAsia="en-US"/>
        </w:rPr>
        <w:t xml:space="preserve">. Of these, </w:t>
      </w:r>
      <w:r w:rsidR="00A5796F">
        <w:rPr>
          <w:lang w:eastAsia="en-US"/>
        </w:rPr>
        <w:t xml:space="preserve">approximately </w:t>
      </w:r>
      <w:r w:rsidR="00CE45E6">
        <w:rPr>
          <w:lang w:eastAsia="en-US"/>
        </w:rPr>
        <w:t>10.</w:t>
      </w:r>
      <w:r w:rsidR="00AA4EDC">
        <w:rPr>
          <w:lang w:eastAsia="en-US"/>
        </w:rPr>
        <w:t>5</w:t>
      </w:r>
      <w:r w:rsidR="00234A33">
        <w:rPr>
          <w:lang w:eastAsia="en-US"/>
        </w:rPr>
        <w:t xml:space="preserve"> million </w:t>
      </w:r>
      <w:r w:rsidR="00033A54">
        <w:rPr>
          <w:lang w:eastAsia="en-US"/>
        </w:rPr>
        <w:t xml:space="preserve">premises </w:t>
      </w:r>
      <w:r w:rsidR="00AA4EDC">
        <w:rPr>
          <w:lang w:eastAsia="en-US"/>
        </w:rPr>
        <w:t>will be</w:t>
      </w:r>
      <w:r w:rsidR="00234A33">
        <w:rPr>
          <w:lang w:eastAsia="en-US"/>
        </w:rPr>
        <w:t xml:space="preserve"> </w:t>
      </w:r>
      <w:r w:rsidR="00FA122D">
        <w:rPr>
          <w:lang w:eastAsia="en-US"/>
        </w:rPr>
        <w:t>with</w:t>
      </w:r>
      <w:r w:rsidR="00234A33">
        <w:rPr>
          <w:lang w:eastAsia="en-US"/>
        </w:rPr>
        <w:t xml:space="preserve">in its fixed line footprint, </w:t>
      </w:r>
      <w:r w:rsidR="00CE45E6">
        <w:rPr>
          <w:lang w:eastAsia="en-US"/>
        </w:rPr>
        <w:t>600</w:t>
      </w:r>
      <w:r w:rsidR="00234A33">
        <w:rPr>
          <w:lang w:eastAsia="en-US"/>
        </w:rPr>
        <w:t>,000</w:t>
      </w:r>
      <w:r w:rsidR="00B54598">
        <w:rPr>
          <w:lang w:eastAsia="en-US"/>
        </w:rPr>
        <w:t xml:space="preserve"> will be</w:t>
      </w:r>
      <w:r w:rsidR="00234A33">
        <w:rPr>
          <w:lang w:eastAsia="en-US"/>
        </w:rPr>
        <w:t xml:space="preserve"> in its fixed wireless footprint and </w:t>
      </w:r>
      <w:r w:rsidR="00CE45E6">
        <w:rPr>
          <w:lang w:eastAsia="en-US"/>
        </w:rPr>
        <w:t>400</w:t>
      </w:r>
      <w:r w:rsidR="00234A33">
        <w:rPr>
          <w:lang w:eastAsia="en-US"/>
        </w:rPr>
        <w:t>,</w:t>
      </w:r>
      <w:r w:rsidR="00B54598">
        <w:rPr>
          <w:lang w:eastAsia="en-US"/>
        </w:rPr>
        <w:t xml:space="preserve">000 will be </w:t>
      </w:r>
      <w:r w:rsidR="00234A33">
        <w:rPr>
          <w:lang w:eastAsia="en-US"/>
        </w:rPr>
        <w:t>in its satellite footprint.</w:t>
      </w:r>
    </w:p>
    <w:p w14:paraId="0DECCAC8" w14:textId="77777777" w:rsidR="00234A33" w:rsidRDefault="00234A33" w:rsidP="009D45AB">
      <w:pPr>
        <w:spacing w:after="160" w:line="259" w:lineRule="auto"/>
        <w:rPr>
          <w:lang w:eastAsia="en-US"/>
        </w:rPr>
      </w:pPr>
      <w:r>
        <w:rPr>
          <w:lang w:eastAsia="en-US"/>
        </w:rPr>
        <w:t>Not all premises will take</w:t>
      </w:r>
      <w:r w:rsidR="00FA122D">
        <w:rPr>
          <w:lang w:eastAsia="en-US"/>
        </w:rPr>
        <w:t xml:space="preserve"> up</w:t>
      </w:r>
      <w:r>
        <w:rPr>
          <w:lang w:eastAsia="en-US"/>
        </w:rPr>
        <w:t xml:space="preserve"> a</w:t>
      </w:r>
      <w:r w:rsidR="00FA122D">
        <w:rPr>
          <w:lang w:eastAsia="en-US"/>
        </w:rPr>
        <w:t>n</w:t>
      </w:r>
      <w:r>
        <w:rPr>
          <w:lang w:eastAsia="en-US"/>
        </w:rPr>
        <w:t xml:space="preserve"> </w:t>
      </w:r>
      <w:r w:rsidR="003E11FE">
        <w:rPr>
          <w:lang w:eastAsia="en-US"/>
        </w:rPr>
        <w:t>NBN</w:t>
      </w:r>
      <w:r w:rsidR="00C667C5">
        <w:rPr>
          <w:lang w:eastAsia="en-US"/>
        </w:rPr>
        <w:t xml:space="preserve"> </w:t>
      </w:r>
      <w:r>
        <w:rPr>
          <w:lang w:eastAsia="en-US"/>
        </w:rPr>
        <w:t xml:space="preserve">service. </w:t>
      </w:r>
      <w:r w:rsidR="00C667C5">
        <w:rPr>
          <w:lang w:eastAsia="en-US"/>
        </w:rPr>
        <w:t>This is because s</w:t>
      </w:r>
      <w:r>
        <w:rPr>
          <w:lang w:eastAsia="en-US"/>
        </w:rPr>
        <w:t>ome premise</w:t>
      </w:r>
      <w:r w:rsidR="00FB1AA9">
        <w:rPr>
          <w:lang w:eastAsia="en-US"/>
        </w:rPr>
        <w:t>s</w:t>
      </w:r>
      <w:r>
        <w:rPr>
          <w:lang w:eastAsia="en-US"/>
        </w:rPr>
        <w:t xml:space="preserve"> may be vacant, some occupants may not </w:t>
      </w:r>
      <w:r w:rsidR="00AF70F6">
        <w:rPr>
          <w:lang w:eastAsia="en-US"/>
        </w:rPr>
        <w:t>want a</w:t>
      </w:r>
      <w:r>
        <w:rPr>
          <w:lang w:eastAsia="en-US"/>
        </w:rPr>
        <w:t xml:space="preserve"> service,</w:t>
      </w:r>
      <w:r w:rsidR="00197B2A">
        <w:rPr>
          <w:lang w:eastAsia="en-US"/>
        </w:rPr>
        <w:t xml:space="preserve"> </w:t>
      </w:r>
      <w:r w:rsidR="00AF70F6">
        <w:rPr>
          <w:lang w:eastAsia="en-US"/>
        </w:rPr>
        <w:t xml:space="preserve">will </w:t>
      </w:r>
      <w:r w:rsidR="00197B2A">
        <w:rPr>
          <w:lang w:eastAsia="en-US"/>
        </w:rPr>
        <w:t xml:space="preserve">take up a </w:t>
      </w:r>
      <w:r w:rsidR="0003399A">
        <w:rPr>
          <w:lang w:eastAsia="en-US"/>
        </w:rPr>
        <w:t xml:space="preserve">fixed </w:t>
      </w:r>
      <w:r w:rsidR="00197B2A">
        <w:rPr>
          <w:lang w:eastAsia="en-US"/>
        </w:rPr>
        <w:t>service with another provider</w:t>
      </w:r>
      <w:r w:rsidR="00A5796F">
        <w:rPr>
          <w:lang w:eastAsia="en-US"/>
        </w:rPr>
        <w:t>,</w:t>
      </w:r>
      <w:r>
        <w:rPr>
          <w:lang w:eastAsia="en-US"/>
        </w:rPr>
        <w:t xml:space="preserve"> or may prefer to rely </w:t>
      </w:r>
      <w:r w:rsidR="0003399A">
        <w:rPr>
          <w:lang w:eastAsia="en-US"/>
        </w:rPr>
        <w:t xml:space="preserve">exclusively </w:t>
      </w:r>
      <w:r>
        <w:rPr>
          <w:lang w:eastAsia="en-US"/>
        </w:rPr>
        <w:t xml:space="preserve">on a mobile </w:t>
      </w:r>
      <w:r w:rsidR="00CE45E6">
        <w:rPr>
          <w:lang w:eastAsia="en-US"/>
        </w:rPr>
        <w:t>service</w:t>
      </w:r>
      <w:r>
        <w:rPr>
          <w:lang w:eastAsia="en-US"/>
        </w:rPr>
        <w:t>.</w:t>
      </w:r>
      <w:r w:rsidR="00197B2A">
        <w:rPr>
          <w:lang w:eastAsia="en-US"/>
        </w:rPr>
        <w:t xml:space="preserve"> In </w:t>
      </w:r>
      <w:r w:rsidR="00197B2A" w:rsidRPr="00B54598">
        <w:rPr>
          <w:lang w:eastAsia="en-US"/>
        </w:rPr>
        <w:t xml:space="preserve">its </w:t>
      </w:r>
      <w:r w:rsidR="003E11FE" w:rsidRPr="00A761DB">
        <w:rPr>
          <w:lang w:eastAsia="en-US"/>
        </w:rPr>
        <w:t>NBN</w:t>
      </w:r>
      <w:r w:rsidR="00197B2A" w:rsidRPr="00A761DB">
        <w:rPr>
          <w:lang w:eastAsia="en-US"/>
        </w:rPr>
        <w:t xml:space="preserve"> Corporate Plan 2019</w:t>
      </w:r>
      <w:r w:rsidR="00FA122D">
        <w:rPr>
          <w:rFonts w:ascii="Arial" w:hAnsi="Arial" w:cs="Arial"/>
          <w:lang w:eastAsia="en-US"/>
        </w:rPr>
        <w:t>‒</w:t>
      </w:r>
      <w:r w:rsidR="00197B2A" w:rsidRPr="00A761DB">
        <w:rPr>
          <w:lang w:eastAsia="en-US"/>
        </w:rPr>
        <w:t>2022</w:t>
      </w:r>
      <w:r w:rsidR="00197B2A">
        <w:rPr>
          <w:lang w:eastAsia="en-US"/>
        </w:rPr>
        <w:t xml:space="preserve">, </w:t>
      </w:r>
      <w:r w:rsidR="003E11FE">
        <w:rPr>
          <w:lang w:eastAsia="en-US"/>
        </w:rPr>
        <w:t>NBN</w:t>
      </w:r>
      <w:r w:rsidR="00197B2A">
        <w:rPr>
          <w:lang w:eastAsia="en-US"/>
        </w:rPr>
        <w:t xml:space="preserve"> Co estimates that approximately 73</w:t>
      </w:r>
      <w:r w:rsidR="00FA122D">
        <w:rPr>
          <w:rFonts w:ascii="Arial" w:hAnsi="Arial" w:cs="Arial"/>
          <w:lang w:eastAsia="en-US"/>
        </w:rPr>
        <w:t>‒</w:t>
      </w:r>
      <w:r w:rsidR="00197B2A">
        <w:rPr>
          <w:lang w:eastAsia="en-US"/>
        </w:rPr>
        <w:t>75</w:t>
      </w:r>
      <w:r w:rsidR="00C51986">
        <w:rPr>
          <w:lang w:eastAsia="en-US"/>
        </w:rPr>
        <w:t>%</w:t>
      </w:r>
      <w:r w:rsidR="00197B2A">
        <w:rPr>
          <w:lang w:eastAsia="en-US"/>
        </w:rPr>
        <w:t xml:space="preserve"> of </w:t>
      </w:r>
      <w:r w:rsidR="00591BE5">
        <w:rPr>
          <w:lang w:eastAsia="en-US"/>
        </w:rPr>
        <w:t xml:space="preserve">all </w:t>
      </w:r>
      <w:r w:rsidR="00197B2A">
        <w:rPr>
          <w:lang w:eastAsia="en-US"/>
        </w:rPr>
        <w:t xml:space="preserve">premises will take up an </w:t>
      </w:r>
      <w:r w:rsidR="003E11FE">
        <w:rPr>
          <w:lang w:eastAsia="en-US"/>
        </w:rPr>
        <w:t>NBN</w:t>
      </w:r>
      <w:r w:rsidR="00197B2A">
        <w:rPr>
          <w:lang w:eastAsia="en-US"/>
        </w:rPr>
        <w:t xml:space="preserve"> service</w:t>
      </w:r>
      <w:r w:rsidR="0003399A">
        <w:rPr>
          <w:lang w:eastAsia="en-US"/>
        </w:rPr>
        <w:t xml:space="preserve"> by financial year 2022</w:t>
      </w:r>
      <w:r w:rsidR="00197B2A">
        <w:rPr>
          <w:lang w:eastAsia="en-US"/>
        </w:rPr>
        <w:t>. However, take</w:t>
      </w:r>
      <w:r w:rsidR="00A5796F">
        <w:rPr>
          <w:lang w:eastAsia="en-US"/>
        </w:rPr>
        <w:t>-</w:t>
      </w:r>
      <w:r w:rsidR="00197B2A">
        <w:rPr>
          <w:lang w:eastAsia="en-US"/>
        </w:rPr>
        <w:t xml:space="preserve">up rates are expected to be lower outside the fixed line footprint, with an estimated </w:t>
      </w:r>
      <w:r w:rsidR="00AA4EDC">
        <w:rPr>
          <w:lang w:eastAsia="en-US"/>
        </w:rPr>
        <w:t>50</w:t>
      </w:r>
      <w:r w:rsidR="00C51986">
        <w:rPr>
          <w:lang w:eastAsia="en-US"/>
        </w:rPr>
        <w:t>%</w:t>
      </w:r>
      <w:r w:rsidR="00197B2A">
        <w:rPr>
          <w:lang w:eastAsia="en-US"/>
        </w:rPr>
        <w:t xml:space="preserve"> of premises in the fixed wireless footprint and 25</w:t>
      </w:r>
      <w:r w:rsidR="00C51986">
        <w:rPr>
          <w:lang w:eastAsia="en-US"/>
        </w:rPr>
        <w:t>%</w:t>
      </w:r>
      <w:r w:rsidR="00197B2A">
        <w:rPr>
          <w:lang w:eastAsia="en-US"/>
        </w:rPr>
        <w:t xml:space="preserve"> of premises in the satellite footprint taking up an </w:t>
      </w:r>
      <w:r w:rsidR="003E11FE">
        <w:rPr>
          <w:lang w:eastAsia="en-US"/>
        </w:rPr>
        <w:t>NBN</w:t>
      </w:r>
      <w:r w:rsidR="00197B2A">
        <w:rPr>
          <w:lang w:eastAsia="en-US"/>
        </w:rPr>
        <w:t xml:space="preserve"> servic</w:t>
      </w:r>
      <w:r w:rsidR="00197B2A" w:rsidRPr="00FA122D">
        <w:rPr>
          <w:lang w:eastAsia="en-US"/>
        </w:rPr>
        <w:t>e</w:t>
      </w:r>
      <w:r w:rsidR="00446BA7" w:rsidRPr="00FA122D">
        <w:rPr>
          <w:lang w:eastAsia="en-US"/>
        </w:rPr>
        <w:t>.</w:t>
      </w:r>
      <w:r w:rsidR="00197B2A" w:rsidRPr="00FA122D">
        <w:rPr>
          <w:rStyle w:val="FootnoteReference"/>
          <w:lang w:eastAsia="en-US"/>
        </w:rPr>
        <w:footnoteReference w:id="2"/>
      </w:r>
    </w:p>
    <w:p w14:paraId="0DECCAC9" w14:textId="77777777" w:rsidR="00E30A9C" w:rsidRPr="00A761DB" w:rsidRDefault="00234A33" w:rsidP="009D45AB">
      <w:pPr>
        <w:spacing w:after="160" w:line="259" w:lineRule="auto"/>
        <w:rPr>
          <w:lang w:eastAsia="en-US"/>
        </w:rPr>
      </w:pPr>
      <w:r w:rsidRPr="00A761DB">
        <w:rPr>
          <w:lang w:eastAsia="en-US"/>
        </w:rPr>
        <w:t xml:space="preserve">Data obtained from Nielsen </w:t>
      </w:r>
      <w:r w:rsidR="00E30A9C" w:rsidRPr="00A761DB">
        <w:rPr>
          <w:lang w:eastAsia="en-US"/>
        </w:rPr>
        <w:t xml:space="preserve">Consumer and Media View </w:t>
      </w:r>
      <w:r w:rsidRPr="00A761DB">
        <w:rPr>
          <w:lang w:eastAsia="en-US"/>
        </w:rPr>
        <w:t>indicates that</w:t>
      </w:r>
      <w:r w:rsidR="00370908" w:rsidRPr="00A761DB">
        <w:rPr>
          <w:lang w:eastAsia="en-US"/>
        </w:rPr>
        <w:t>,</w:t>
      </w:r>
      <w:r w:rsidRPr="00A761DB">
        <w:rPr>
          <w:lang w:eastAsia="en-US"/>
        </w:rPr>
        <w:t xml:space="preserve"> </w:t>
      </w:r>
      <w:r w:rsidR="003E185A" w:rsidRPr="00A761DB">
        <w:rPr>
          <w:lang w:eastAsia="en-US"/>
        </w:rPr>
        <w:t>in 2017</w:t>
      </w:r>
      <w:r w:rsidR="00FA122D">
        <w:rPr>
          <w:rFonts w:ascii="Arial" w:hAnsi="Arial" w:cs="Arial"/>
          <w:lang w:eastAsia="en-US"/>
        </w:rPr>
        <w:t>‒</w:t>
      </w:r>
      <w:r w:rsidR="003E185A" w:rsidRPr="00A761DB">
        <w:rPr>
          <w:lang w:eastAsia="en-US"/>
        </w:rPr>
        <w:t>18,</w:t>
      </w:r>
      <w:r w:rsidRPr="00A761DB">
        <w:rPr>
          <w:lang w:eastAsia="en-US"/>
        </w:rPr>
        <w:t xml:space="preserve"> about </w:t>
      </w:r>
      <w:r w:rsidR="00C1137B" w:rsidRPr="00A761DB">
        <w:rPr>
          <w:lang w:eastAsia="en-US"/>
        </w:rPr>
        <w:t>44</w:t>
      </w:r>
      <w:r w:rsidR="003E185A" w:rsidRPr="00A761DB">
        <w:rPr>
          <w:lang w:eastAsia="en-US"/>
        </w:rPr>
        <w:t>%</w:t>
      </w:r>
      <w:r w:rsidRPr="00A761DB">
        <w:rPr>
          <w:lang w:eastAsia="en-US"/>
        </w:rPr>
        <w:t xml:space="preserve"> of </w:t>
      </w:r>
      <w:r w:rsidR="00E30A9C" w:rsidRPr="00A761DB">
        <w:rPr>
          <w:lang w:eastAsia="en-US"/>
        </w:rPr>
        <w:t>Australians (aged 14+)</w:t>
      </w:r>
      <w:r w:rsidRPr="00A761DB">
        <w:rPr>
          <w:lang w:eastAsia="en-US"/>
        </w:rPr>
        <w:t xml:space="preserve"> did not have a fixed home phone</w:t>
      </w:r>
      <w:r w:rsidR="00E30A9C" w:rsidRPr="00A761DB">
        <w:rPr>
          <w:lang w:eastAsia="en-US"/>
        </w:rPr>
        <w:t xml:space="preserve">. This </w:t>
      </w:r>
      <w:r w:rsidRPr="00A761DB">
        <w:rPr>
          <w:lang w:eastAsia="en-US"/>
        </w:rPr>
        <w:t xml:space="preserve">was </w:t>
      </w:r>
      <w:r w:rsidR="003E185A" w:rsidRPr="00A761DB">
        <w:rPr>
          <w:lang w:eastAsia="en-US"/>
        </w:rPr>
        <w:t>consistent across both metropolitan and</w:t>
      </w:r>
      <w:r w:rsidRPr="00A761DB">
        <w:rPr>
          <w:lang w:eastAsia="en-US"/>
        </w:rPr>
        <w:t xml:space="preserve"> regional Australi</w:t>
      </w:r>
      <w:r w:rsidR="003E185A" w:rsidRPr="00A761DB">
        <w:rPr>
          <w:lang w:eastAsia="en-US"/>
        </w:rPr>
        <w:t>a</w:t>
      </w:r>
      <w:r w:rsidRPr="00A761DB">
        <w:rPr>
          <w:lang w:eastAsia="en-US"/>
        </w:rPr>
        <w:t>. The data also indicate</w:t>
      </w:r>
      <w:r w:rsidR="003E185A" w:rsidRPr="00A761DB">
        <w:rPr>
          <w:lang w:eastAsia="en-US"/>
        </w:rPr>
        <w:t>d</w:t>
      </w:r>
      <w:r w:rsidRPr="00A761DB">
        <w:rPr>
          <w:lang w:eastAsia="en-US"/>
        </w:rPr>
        <w:t xml:space="preserve"> that </w:t>
      </w:r>
      <w:r w:rsidR="00CE45E6" w:rsidRPr="00A761DB">
        <w:rPr>
          <w:lang w:eastAsia="en-US"/>
        </w:rPr>
        <w:t>9.5</w:t>
      </w:r>
      <w:r w:rsidR="003E185A" w:rsidRPr="00A761DB">
        <w:rPr>
          <w:lang w:eastAsia="en-US"/>
        </w:rPr>
        <w:t>%</w:t>
      </w:r>
      <w:r w:rsidRPr="00A761DB">
        <w:rPr>
          <w:lang w:eastAsia="en-US"/>
        </w:rPr>
        <w:t xml:space="preserve"> of </w:t>
      </w:r>
      <w:r w:rsidR="00C1137B" w:rsidRPr="00A761DB">
        <w:rPr>
          <w:lang w:eastAsia="en-US"/>
        </w:rPr>
        <w:t xml:space="preserve">all </w:t>
      </w:r>
      <w:r w:rsidR="00E30A9C" w:rsidRPr="00A761DB">
        <w:rPr>
          <w:lang w:eastAsia="en-US"/>
        </w:rPr>
        <w:t xml:space="preserve">home phone users </w:t>
      </w:r>
      <w:r w:rsidRPr="00A761DB">
        <w:rPr>
          <w:lang w:eastAsia="en-US"/>
        </w:rPr>
        <w:t xml:space="preserve">were considering </w:t>
      </w:r>
      <w:r w:rsidRPr="00A761DB">
        <w:rPr>
          <w:lang w:eastAsia="en-US"/>
        </w:rPr>
        <w:lastRenderedPageBreak/>
        <w:t xml:space="preserve">disconnecting their </w:t>
      </w:r>
      <w:r w:rsidR="00E30A9C" w:rsidRPr="00A761DB">
        <w:rPr>
          <w:lang w:eastAsia="en-US"/>
        </w:rPr>
        <w:t>service</w:t>
      </w:r>
      <w:r w:rsidRPr="00A761DB">
        <w:rPr>
          <w:lang w:eastAsia="en-US"/>
        </w:rPr>
        <w:t xml:space="preserve"> </w:t>
      </w:r>
      <w:r w:rsidR="003E185A" w:rsidRPr="00A761DB">
        <w:rPr>
          <w:lang w:eastAsia="en-US"/>
        </w:rPr>
        <w:t>with</w:t>
      </w:r>
      <w:r w:rsidRPr="00A761DB">
        <w:rPr>
          <w:lang w:eastAsia="en-US"/>
        </w:rPr>
        <w:t xml:space="preserve">in the coming 12 months, </w:t>
      </w:r>
      <w:r w:rsidR="003E185A" w:rsidRPr="00A761DB">
        <w:rPr>
          <w:lang w:eastAsia="en-US"/>
        </w:rPr>
        <w:t xml:space="preserve">which was </w:t>
      </w:r>
      <w:r w:rsidR="00C1137B" w:rsidRPr="00A761DB">
        <w:rPr>
          <w:lang w:eastAsia="en-US"/>
        </w:rPr>
        <w:t>higher in metro areas (10.5</w:t>
      </w:r>
      <w:r w:rsidR="003E185A" w:rsidRPr="00A761DB">
        <w:rPr>
          <w:lang w:eastAsia="en-US"/>
        </w:rPr>
        <w:t>%</w:t>
      </w:r>
      <w:r w:rsidR="00C1137B" w:rsidRPr="00A761DB">
        <w:rPr>
          <w:lang w:eastAsia="en-US"/>
        </w:rPr>
        <w:t xml:space="preserve">) compared to </w:t>
      </w:r>
      <w:r w:rsidRPr="00A761DB">
        <w:rPr>
          <w:lang w:eastAsia="en-US"/>
        </w:rPr>
        <w:t>regional Australia (</w:t>
      </w:r>
      <w:r w:rsidR="00CE45E6" w:rsidRPr="00A761DB">
        <w:rPr>
          <w:lang w:eastAsia="en-US"/>
        </w:rPr>
        <w:t>7.2</w:t>
      </w:r>
      <w:r w:rsidR="003E185A" w:rsidRPr="00A761DB">
        <w:rPr>
          <w:lang w:eastAsia="en-US"/>
        </w:rPr>
        <w:t>%</w:t>
      </w:r>
      <w:r w:rsidRPr="00A761DB">
        <w:rPr>
          <w:lang w:eastAsia="en-US"/>
        </w:rPr>
        <w:t>).</w:t>
      </w:r>
      <w:r w:rsidR="00272B1F">
        <w:rPr>
          <w:rStyle w:val="FootnoteReference"/>
          <w:lang w:eastAsia="en-US"/>
        </w:rPr>
        <w:footnoteReference w:id="3"/>
      </w:r>
    </w:p>
    <w:p w14:paraId="0DECCACA" w14:textId="77777777" w:rsidR="00234A33" w:rsidRDefault="00234A33" w:rsidP="009D45AB">
      <w:pPr>
        <w:spacing w:after="160" w:line="259" w:lineRule="auto"/>
        <w:rPr>
          <w:lang w:eastAsia="en-US"/>
        </w:rPr>
      </w:pPr>
      <w:r w:rsidRPr="00A761DB">
        <w:rPr>
          <w:lang w:eastAsia="en-US"/>
        </w:rPr>
        <w:t xml:space="preserve">By contrast, </w:t>
      </w:r>
      <w:r w:rsidR="00EF7D05" w:rsidRPr="00A761DB">
        <w:rPr>
          <w:lang w:eastAsia="en-US"/>
        </w:rPr>
        <w:t>mobile penetration was high</w:t>
      </w:r>
      <w:r w:rsidR="00E30A9C" w:rsidRPr="00A761DB">
        <w:rPr>
          <w:lang w:eastAsia="en-US"/>
        </w:rPr>
        <w:t xml:space="preserve"> across Australia</w:t>
      </w:r>
      <w:r w:rsidR="00EF7D05" w:rsidRPr="00A761DB">
        <w:rPr>
          <w:lang w:eastAsia="en-US"/>
        </w:rPr>
        <w:t xml:space="preserve">, with </w:t>
      </w:r>
      <w:r w:rsidR="00E30A9C" w:rsidRPr="00A761DB">
        <w:rPr>
          <w:lang w:eastAsia="en-US"/>
        </w:rPr>
        <w:t>Nielsen Consumer and Media View</w:t>
      </w:r>
      <w:r w:rsidR="00EF7D05" w:rsidRPr="00A761DB">
        <w:rPr>
          <w:lang w:eastAsia="en-US"/>
        </w:rPr>
        <w:t xml:space="preserve"> data indicating</w:t>
      </w:r>
      <w:r w:rsidRPr="00A761DB">
        <w:rPr>
          <w:lang w:eastAsia="en-US"/>
        </w:rPr>
        <w:t xml:space="preserve"> that </w:t>
      </w:r>
      <w:r w:rsidR="00CE45E6" w:rsidRPr="00A761DB">
        <w:rPr>
          <w:lang w:eastAsia="en-US"/>
        </w:rPr>
        <w:t>93.8</w:t>
      </w:r>
      <w:r w:rsidR="003E185A" w:rsidRPr="00A761DB">
        <w:rPr>
          <w:lang w:eastAsia="en-US"/>
        </w:rPr>
        <w:t>%</w:t>
      </w:r>
      <w:r w:rsidRPr="00A761DB">
        <w:rPr>
          <w:lang w:eastAsia="en-US"/>
        </w:rPr>
        <w:t xml:space="preserve"> of people had mobile phones, with </w:t>
      </w:r>
      <w:r w:rsidR="00FC5AE7" w:rsidRPr="00A761DB">
        <w:rPr>
          <w:lang w:eastAsia="en-US"/>
        </w:rPr>
        <w:t xml:space="preserve">slightly </w:t>
      </w:r>
      <w:r w:rsidR="00E30A9C" w:rsidRPr="00A761DB">
        <w:rPr>
          <w:lang w:eastAsia="en-US"/>
        </w:rPr>
        <w:t>higher rates of ownership</w:t>
      </w:r>
      <w:r w:rsidR="00FC5AE7" w:rsidRPr="00A761DB">
        <w:rPr>
          <w:lang w:eastAsia="en-US"/>
        </w:rPr>
        <w:t xml:space="preserve"> </w:t>
      </w:r>
      <w:r w:rsidRPr="00A761DB">
        <w:rPr>
          <w:lang w:eastAsia="en-US"/>
        </w:rPr>
        <w:t>in regional Australia (</w:t>
      </w:r>
      <w:r w:rsidR="00CE45E6" w:rsidRPr="00A761DB">
        <w:rPr>
          <w:lang w:eastAsia="en-US"/>
        </w:rPr>
        <w:t>94.3</w:t>
      </w:r>
      <w:r w:rsidR="003E185A" w:rsidRPr="00A761DB">
        <w:rPr>
          <w:lang w:eastAsia="en-US"/>
        </w:rPr>
        <w:t>%</w:t>
      </w:r>
      <w:r w:rsidRPr="00A761DB">
        <w:rPr>
          <w:lang w:eastAsia="en-US"/>
        </w:rPr>
        <w:t>).</w:t>
      </w:r>
    </w:p>
    <w:p w14:paraId="0DECCACB" w14:textId="77777777" w:rsidR="00A8222D" w:rsidRPr="00975DF2" w:rsidRDefault="00313511" w:rsidP="00A8222D">
      <w:pPr>
        <w:spacing w:after="160" w:line="259" w:lineRule="auto"/>
      </w:pPr>
      <w:r>
        <w:rPr>
          <w:lang w:eastAsia="en-US"/>
        </w:rPr>
        <w:t>As at September 2018</w:t>
      </w:r>
      <w:r w:rsidR="00A776D2" w:rsidRPr="00351836">
        <w:rPr>
          <w:lang w:eastAsia="en-US"/>
        </w:rPr>
        <w:t xml:space="preserve">, Telstra </w:t>
      </w:r>
      <w:r w:rsidR="00FC5AE7">
        <w:rPr>
          <w:lang w:eastAsia="en-US"/>
        </w:rPr>
        <w:t>provided</w:t>
      </w:r>
      <w:r w:rsidR="00FC5AE7" w:rsidRPr="00351836">
        <w:rPr>
          <w:lang w:eastAsia="en-US"/>
        </w:rPr>
        <w:t xml:space="preserve"> </w:t>
      </w:r>
      <w:r w:rsidR="00A776D2" w:rsidRPr="00351836">
        <w:rPr>
          <w:lang w:eastAsia="en-US"/>
        </w:rPr>
        <w:t>approximately 4.9</w:t>
      </w:r>
      <w:r w:rsidR="00FA122D">
        <w:rPr>
          <w:lang w:eastAsia="en-US"/>
        </w:rPr>
        <w:t xml:space="preserve"> </w:t>
      </w:r>
      <w:r w:rsidR="00A776D2" w:rsidRPr="00351836">
        <w:rPr>
          <w:lang w:eastAsia="en-US"/>
        </w:rPr>
        <w:t>m</w:t>
      </w:r>
      <w:r w:rsidR="00FA122D">
        <w:rPr>
          <w:lang w:eastAsia="en-US"/>
        </w:rPr>
        <w:t>illion</w:t>
      </w:r>
      <w:r w:rsidR="00A776D2" w:rsidRPr="00351836">
        <w:rPr>
          <w:lang w:eastAsia="en-US"/>
        </w:rPr>
        <w:t xml:space="preserve"> retail fixed voice services</w:t>
      </w:r>
      <w:r w:rsidR="00FC5AE7">
        <w:rPr>
          <w:lang w:eastAsia="en-US"/>
        </w:rPr>
        <w:t xml:space="preserve"> nationally</w:t>
      </w:r>
      <w:r w:rsidR="00A776D2" w:rsidRPr="00351836">
        <w:rPr>
          <w:lang w:eastAsia="en-US"/>
        </w:rPr>
        <w:t xml:space="preserve">, </w:t>
      </w:r>
      <w:r w:rsidR="00185E2C">
        <w:rPr>
          <w:lang w:eastAsia="en-US"/>
        </w:rPr>
        <w:t>largely</w:t>
      </w:r>
      <w:r w:rsidR="00185E2C" w:rsidRPr="00351836">
        <w:rPr>
          <w:lang w:eastAsia="en-US"/>
        </w:rPr>
        <w:t xml:space="preserve"> </w:t>
      </w:r>
      <w:r w:rsidR="00A776D2" w:rsidRPr="00351836">
        <w:rPr>
          <w:lang w:eastAsia="en-US"/>
        </w:rPr>
        <w:t xml:space="preserve">in fulfilment of </w:t>
      </w:r>
      <w:r w:rsidR="003F3B71">
        <w:rPr>
          <w:lang w:eastAsia="en-US"/>
        </w:rPr>
        <w:t>its</w:t>
      </w:r>
      <w:r w:rsidR="00A776D2" w:rsidRPr="00351836">
        <w:rPr>
          <w:lang w:eastAsia="en-US"/>
        </w:rPr>
        <w:t xml:space="preserve"> </w:t>
      </w:r>
      <w:r w:rsidR="00C667C5">
        <w:rPr>
          <w:lang w:eastAsia="en-US"/>
        </w:rPr>
        <w:t xml:space="preserve">USO </w:t>
      </w:r>
      <w:r w:rsidR="00A776D2" w:rsidRPr="00351836">
        <w:rPr>
          <w:lang w:eastAsia="en-US"/>
        </w:rPr>
        <w:t xml:space="preserve">obligations. Of these, </w:t>
      </w:r>
      <w:r w:rsidR="00033A54">
        <w:rPr>
          <w:lang w:eastAsia="en-US"/>
        </w:rPr>
        <w:t xml:space="preserve">we estimate </w:t>
      </w:r>
      <w:r w:rsidR="00A776D2" w:rsidRPr="00351836">
        <w:rPr>
          <w:lang w:eastAsia="en-US"/>
        </w:rPr>
        <w:t xml:space="preserve">approximately </w:t>
      </w:r>
      <w:r w:rsidR="00033A54">
        <w:rPr>
          <w:lang w:eastAsia="en-US"/>
        </w:rPr>
        <w:t>600,000 services</w:t>
      </w:r>
      <w:r w:rsidR="00A776D2" w:rsidRPr="000A118F">
        <w:rPr>
          <w:lang w:eastAsia="en-US"/>
        </w:rPr>
        <w:t xml:space="preserve"> (</w:t>
      </w:r>
      <w:r w:rsidRPr="000A118F">
        <w:rPr>
          <w:lang w:eastAsia="en-US"/>
        </w:rPr>
        <w:t>12</w:t>
      </w:r>
      <w:r w:rsidR="00A776D2" w:rsidRPr="000A118F">
        <w:rPr>
          <w:lang w:eastAsia="en-US"/>
        </w:rPr>
        <w:t>%)</w:t>
      </w:r>
      <w:r w:rsidR="00A776D2" w:rsidRPr="00351836">
        <w:rPr>
          <w:lang w:eastAsia="en-US"/>
        </w:rPr>
        <w:t xml:space="preserve"> were </w:t>
      </w:r>
      <w:r w:rsidR="00033A54">
        <w:rPr>
          <w:lang w:eastAsia="en-US"/>
        </w:rPr>
        <w:t xml:space="preserve">provided to premises located </w:t>
      </w:r>
      <w:r w:rsidR="00A776D2" w:rsidRPr="00351836">
        <w:rPr>
          <w:lang w:eastAsia="en-US"/>
        </w:rPr>
        <w:t xml:space="preserve">outside the </w:t>
      </w:r>
      <w:r w:rsidR="003E11FE">
        <w:rPr>
          <w:lang w:eastAsia="en-US"/>
        </w:rPr>
        <w:t>NBN</w:t>
      </w:r>
      <w:r w:rsidR="00A776D2" w:rsidRPr="00351836">
        <w:rPr>
          <w:lang w:eastAsia="en-US"/>
        </w:rPr>
        <w:t xml:space="preserve"> fixed</w:t>
      </w:r>
      <w:r w:rsidR="00FA122D">
        <w:rPr>
          <w:lang w:eastAsia="en-US"/>
        </w:rPr>
        <w:t xml:space="preserve"> </w:t>
      </w:r>
      <w:r w:rsidR="00A776D2" w:rsidRPr="00351836">
        <w:rPr>
          <w:lang w:eastAsia="en-US"/>
        </w:rPr>
        <w:t>line footprint</w:t>
      </w:r>
      <w:r w:rsidR="003F3B71">
        <w:rPr>
          <w:lang w:eastAsia="en-US"/>
        </w:rPr>
        <w:t>.</w:t>
      </w:r>
      <w:r>
        <w:t xml:space="preserve"> </w:t>
      </w:r>
      <w:r w:rsidR="00CE45E6">
        <w:t>I</w:t>
      </w:r>
      <w:r w:rsidR="00A776D2" w:rsidRPr="00D87AF9">
        <w:t xml:space="preserve">n addition, there </w:t>
      </w:r>
      <w:r w:rsidR="00217233">
        <w:t>we</w:t>
      </w:r>
      <w:r w:rsidR="00217233" w:rsidRPr="00D87AF9">
        <w:t xml:space="preserve">re </w:t>
      </w:r>
      <w:r w:rsidR="00A776D2" w:rsidRPr="00D87AF9">
        <w:t xml:space="preserve">approximately </w:t>
      </w:r>
      <w:r w:rsidR="00A776D2" w:rsidRPr="000A118F">
        <w:t>2</w:t>
      </w:r>
      <w:r w:rsidR="00E570C7" w:rsidRPr="000A118F">
        <w:t>3</w:t>
      </w:r>
      <w:r w:rsidR="00A776D2" w:rsidRPr="000A118F">
        <w:t>5,000</w:t>
      </w:r>
      <w:r w:rsidR="00A776D2" w:rsidRPr="00D87AF9">
        <w:t xml:space="preserve"> ADSL </w:t>
      </w:r>
      <w:r w:rsidR="00A776D2" w:rsidRPr="00975DF2">
        <w:t xml:space="preserve">broadband services still in operation </w:t>
      </w:r>
      <w:r w:rsidR="00B54598" w:rsidRPr="00975DF2">
        <w:t xml:space="preserve">on Telstra’s copper network </w:t>
      </w:r>
      <w:r w:rsidR="00A776D2" w:rsidRPr="00975DF2">
        <w:t xml:space="preserve">outside the </w:t>
      </w:r>
      <w:r w:rsidR="003E11FE" w:rsidRPr="00975DF2">
        <w:t>NBN</w:t>
      </w:r>
      <w:r w:rsidR="00A776D2" w:rsidRPr="00975DF2">
        <w:t xml:space="preserve"> fixed line footprint.</w:t>
      </w:r>
      <w:r w:rsidR="00A776D2" w:rsidRPr="00975DF2">
        <w:rPr>
          <w:rStyle w:val="FootnoteReference"/>
        </w:rPr>
        <w:footnoteReference w:id="4"/>
      </w:r>
    </w:p>
    <w:p w14:paraId="0DECCACD" w14:textId="5A56A270" w:rsidR="00CE45E6" w:rsidRDefault="00A8222D" w:rsidP="00A8222D">
      <w:pPr>
        <w:spacing w:after="160" w:line="259" w:lineRule="auto"/>
      </w:pPr>
      <w:r w:rsidRPr="00975DF2">
        <w:rPr>
          <w:lang w:eastAsia="en-US"/>
        </w:rPr>
        <w:t xml:space="preserve">Telstra provides the vast majority </w:t>
      </w:r>
      <w:r w:rsidR="00943C59">
        <w:rPr>
          <w:lang w:eastAsia="en-US"/>
        </w:rPr>
        <w:t xml:space="preserve">(96%) </w:t>
      </w:r>
      <w:r w:rsidR="00313511" w:rsidRPr="00975DF2">
        <w:rPr>
          <w:lang w:eastAsia="en-US"/>
        </w:rPr>
        <w:t xml:space="preserve">of fixed </w:t>
      </w:r>
      <w:r w:rsidR="00A776D2" w:rsidRPr="00975DF2">
        <w:rPr>
          <w:lang w:eastAsia="en-US"/>
        </w:rPr>
        <w:t xml:space="preserve">voice services </w:t>
      </w:r>
      <w:r w:rsidR="003F3B71" w:rsidRPr="00975DF2">
        <w:rPr>
          <w:lang w:eastAsia="en-US"/>
        </w:rPr>
        <w:t xml:space="preserve">outside the </w:t>
      </w:r>
      <w:r w:rsidR="003E11FE" w:rsidRPr="00975DF2">
        <w:rPr>
          <w:lang w:eastAsia="en-US"/>
        </w:rPr>
        <w:t>NBN</w:t>
      </w:r>
      <w:r w:rsidR="003F3B71" w:rsidRPr="00975DF2">
        <w:rPr>
          <w:lang w:eastAsia="en-US"/>
        </w:rPr>
        <w:t xml:space="preserve"> fixed line footprint </w:t>
      </w:r>
      <w:r w:rsidR="00A776D2" w:rsidRPr="00975DF2">
        <w:rPr>
          <w:lang w:eastAsia="en-US"/>
        </w:rPr>
        <w:t>over its own copper network. A small number of services</w:t>
      </w:r>
      <w:r w:rsidR="00217233">
        <w:rPr>
          <w:lang w:eastAsia="en-US"/>
        </w:rPr>
        <w:t xml:space="preserve"> </w:t>
      </w:r>
      <w:r w:rsidR="00217233" w:rsidRPr="00975DF2">
        <w:rPr>
          <w:lang w:eastAsia="en-US"/>
        </w:rPr>
        <w:t>in rural and remote areas</w:t>
      </w:r>
      <w:r w:rsidR="00A776D2" w:rsidRPr="00975DF2">
        <w:rPr>
          <w:lang w:eastAsia="en-US"/>
        </w:rPr>
        <w:t xml:space="preserve"> </w:t>
      </w:r>
      <w:r w:rsidR="00CE45E6" w:rsidRPr="00975DF2">
        <w:rPr>
          <w:lang w:eastAsia="en-US"/>
        </w:rPr>
        <w:t xml:space="preserve">(around </w:t>
      </w:r>
      <w:r w:rsidR="00943C59" w:rsidRPr="000A118F">
        <w:rPr>
          <w:lang w:eastAsia="en-US"/>
        </w:rPr>
        <w:t>2</w:t>
      </w:r>
      <w:r w:rsidR="00943C59">
        <w:rPr>
          <w:lang w:eastAsia="en-US"/>
        </w:rPr>
        <w:t>2</w:t>
      </w:r>
      <w:r w:rsidR="00F44991" w:rsidRPr="000A118F">
        <w:rPr>
          <w:lang w:eastAsia="en-US"/>
        </w:rPr>
        <w:t>,000</w:t>
      </w:r>
      <w:r w:rsidR="00B54598" w:rsidRPr="000A118F">
        <w:rPr>
          <w:lang w:eastAsia="en-US"/>
        </w:rPr>
        <w:t>)</w:t>
      </w:r>
      <w:r w:rsidR="00F44991" w:rsidRPr="00975DF2">
        <w:rPr>
          <w:lang w:eastAsia="en-US"/>
        </w:rPr>
        <w:t xml:space="preserve"> </w:t>
      </w:r>
      <w:r w:rsidR="00A776D2" w:rsidRPr="00975DF2">
        <w:rPr>
          <w:lang w:eastAsia="en-US"/>
        </w:rPr>
        <w:t>are provided via alternative network technologies including</w:t>
      </w:r>
      <w:r w:rsidR="00FA122D">
        <w:rPr>
          <w:lang w:eastAsia="en-US"/>
        </w:rPr>
        <w:t xml:space="preserve"> high-capacity </w:t>
      </w:r>
      <w:r w:rsidR="00A776D2" w:rsidRPr="00975DF2">
        <w:rPr>
          <w:lang w:eastAsia="en-US"/>
        </w:rPr>
        <w:t>radio concentrator</w:t>
      </w:r>
      <w:r w:rsidR="00FC5AE7" w:rsidRPr="00975DF2">
        <w:rPr>
          <w:lang w:eastAsia="en-US"/>
        </w:rPr>
        <w:t xml:space="preserve"> (HCRC)</w:t>
      </w:r>
      <w:r w:rsidR="00A776D2" w:rsidRPr="00975DF2">
        <w:rPr>
          <w:lang w:eastAsia="en-US"/>
        </w:rPr>
        <w:t>, Next</w:t>
      </w:r>
      <w:r w:rsidR="00C56677" w:rsidRPr="00975DF2">
        <w:rPr>
          <w:lang w:eastAsia="en-US"/>
        </w:rPr>
        <w:t xml:space="preserve"> </w:t>
      </w:r>
      <w:r w:rsidR="00A776D2" w:rsidRPr="00975DF2">
        <w:rPr>
          <w:lang w:eastAsia="en-US"/>
        </w:rPr>
        <w:t xml:space="preserve">G </w:t>
      </w:r>
      <w:r w:rsidR="00313511" w:rsidRPr="00975DF2">
        <w:rPr>
          <w:lang w:eastAsia="en-US"/>
        </w:rPr>
        <w:t>W</w:t>
      </w:r>
      <w:r w:rsidR="00A776D2" w:rsidRPr="00975DF2">
        <w:rPr>
          <w:lang w:eastAsia="en-US"/>
        </w:rPr>
        <w:t xml:space="preserve">ireless </w:t>
      </w:r>
      <w:r w:rsidR="00313511" w:rsidRPr="00975DF2">
        <w:rPr>
          <w:lang w:eastAsia="en-US"/>
        </w:rPr>
        <w:t>L</w:t>
      </w:r>
      <w:r w:rsidR="00C52529" w:rsidRPr="00975DF2">
        <w:rPr>
          <w:lang w:eastAsia="en-US"/>
        </w:rPr>
        <w:t>ink</w:t>
      </w:r>
      <w:r w:rsidR="00A776D2" w:rsidRPr="00975DF2">
        <w:rPr>
          <w:lang w:eastAsia="en-US"/>
        </w:rPr>
        <w:t xml:space="preserve"> (NGWL) and Telstra satellite.</w:t>
      </w:r>
      <w:r w:rsidR="003F3B71" w:rsidRPr="00975DF2">
        <w:rPr>
          <w:lang w:eastAsia="en-US"/>
        </w:rPr>
        <w:t xml:space="preserve"> Telstra also has a small number</w:t>
      </w:r>
      <w:r w:rsidR="00B13A97" w:rsidRPr="00975DF2">
        <w:rPr>
          <w:lang w:eastAsia="en-US"/>
        </w:rPr>
        <w:t xml:space="preserve"> </w:t>
      </w:r>
      <w:r w:rsidR="003F3B71" w:rsidRPr="00975DF2">
        <w:rPr>
          <w:lang w:eastAsia="en-US"/>
        </w:rPr>
        <w:t xml:space="preserve">of fibre </w:t>
      </w:r>
      <w:r w:rsidR="00B13A97" w:rsidRPr="00975DF2">
        <w:rPr>
          <w:lang w:eastAsia="en-US"/>
        </w:rPr>
        <w:t>services</w:t>
      </w:r>
      <w:r w:rsidR="00185E2C">
        <w:rPr>
          <w:lang w:eastAsia="en-US"/>
        </w:rPr>
        <w:t xml:space="preserve"> (approximately 1</w:t>
      </w:r>
      <w:r w:rsidR="00FA122D">
        <w:rPr>
          <w:lang w:eastAsia="en-US"/>
        </w:rPr>
        <w:t>,</w:t>
      </w:r>
      <w:r w:rsidR="00185E2C">
        <w:rPr>
          <w:lang w:eastAsia="en-US"/>
        </w:rPr>
        <w:t>000) i</w:t>
      </w:r>
      <w:r w:rsidR="003F3B71" w:rsidRPr="00975DF2">
        <w:rPr>
          <w:lang w:eastAsia="en-US"/>
        </w:rPr>
        <w:t>n rural areas adjacent to regional centres.</w:t>
      </w:r>
      <w:r w:rsidR="003D5C14">
        <w:t xml:space="preserve"> </w:t>
      </w:r>
      <w:r w:rsidR="00CE45E6" w:rsidRPr="000A118F">
        <w:rPr>
          <w:lang w:eastAsia="en-US"/>
        </w:rPr>
        <w:t xml:space="preserve">Map 1 </w:t>
      </w:r>
      <w:r w:rsidR="00C667C5" w:rsidRPr="000A118F">
        <w:rPr>
          <w:lang w:eastAsia="en-US"/>
        </w:rPr>
        <w:t xml:space="preserve">below </w:t>
      </w:r>
      <w:r w:rsidR="00CE45E6" w:rsidRPr="000A118F">
        <w:rPr>
          <w:lang w:eastAsia="en-US"/>
        </w:rPr>
        <w:t xml:space="preserve">shows the distribution of </w:t>
      </w:r>
      <w:r w:rsidR="00C511F7">
        <w:rPr>
          <w:lang w:eastAsia="en-US"/>
        </w:rPr>
        <w:t xml:space="preserve">the 600,000 </w:t>
      </w:r>
      <w:r w:rsidR="00CE45E6" w:rsidRPr="000A118F">
        <w:rPr>
          <w:lang w:eastAsia="en-US"/>
        </w:rPr>
        <w:t>fixed voice services</w:t>
      </w:r>
      <w:r w:rsidR="00C511F7">
        <w:rPr>
          <w:lang w:eastAsia="en-US"/>
        </w:rPr>
        <w:t xml:space="preserve"> outside the NBN fixed line footprint, according to</w:t>
      </w:r>
      <w:r w:rsidR="00CE45E6" w:rsidRPr="000A118F">
        <w:rPr>
          <w:lang w:eastAsia="en-US"/>
        </w:rPr>
        <w:t xml:space="preserve"> technology and relative to </w:t>
      </w:r>
      <w:r w:rsidR="005C3E4C">
        <w:rPr>
          <w:lang w:eastAsia="en-US"/>
        </w:rPr>
        <w:t xml:space="preserve">Telstra </w:t>
      </w:r>
      <w:r w:rsidR="00CE45E6" w:rsidRPr="000A118F">
        <w:rPr>
          <w:lang w:eastAsia="en-US"/>
        </w:rPr>
        <w:t>3G</w:t>
      </w:r>
      <w:r w:rsidR="00C667C5" w:rsidRPr="000A118F">
        <w:rPr>
          <w:lang w:eastAsia="en-US"/>
        </w:rPr>
        <w:t> </w:t>
      </w:r>
      <w:r w:rsidR="00CE45E6" w:rsidRPr="000A118F">
        <w:rPr>
          <w:lang w:eastAsia="en-US"/>
        </w:rPr>
        <w:t>mobile coverage.</w:t>
      </w:r>
    </w:p>
    <w:p w14:paraId="0DECCACF" w14:textId="16B8C0DB" w:rsidR="00CE45E6" w:rsidRPr="00241613" w:rsidRDefault="003D5C14" w:rsidP="00241613">
      <w:pPr>
        <w:spacing w:before="60" w:after="0" w:line="259" w:lineRule="auto"/>
        <w:jc w:val="both"/>
        <w:rPr>
          <w:i/>
          <w:iCs/>
          <w:color w:val="001C40" w:themeColor="text2"/>
          <w:sz w:val="18"/>
          <w:szCs w:val="18"/>
        </w:rPr>
      </w:pPr>
      <w:r w:rsidRPr="003D5C14">
        <w:rPr>
          <w:noProof/>
          <w:lang w:eastAsia="en-AU"/>
        </w:rPr>
        <w:drawing>
          <wp:inline distT="0" distB="0" distL="0" distR="0" wp14:anchorId="669A6CFD" wp14:editId="14CB9416">
            <wp:extent cx="5783580" cy="4008803"/>
            <wp:effectExtent l="0" t="0" r="7620" b="0"/>
            <wp:docPr id="9" name="Picture 9" descr="This is a map of Australia, with individual fixed voice services represented as coloured dots according to the technology used by Telstra. It shows a dense distribution of copper services along the East cost and areas surrounding capital cities, with more scattered radio, wireless and satellite services in more remote parts of the country. Telstra's 3G mobile coverage footprint is overlayed, showing most areas with fixed voice services also have acess to mobile. " title="Map 1 – Telstra voice service SIO sites by service technology and 3G mobile coverage (internal and external antenna cove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2591" cy="4015049"/>
                    </a:xfrm>
                    <a:prstGeom prst="rect">
                      <a:avLst/>
                    </a:prstGeom>
                    <a:noFill/>
                  </pic:spPr>
                </pic:pic>
              </a:graphicData>
            </a:graphic>
          </wp:inline>
        </w:drawing>
      </w:r>
      <w:r w:rsidR="001100CE" w:rsidRPr="003D5C14">
        <w:rPr>
          <w:i/>
          <w:iCs/>
          <w:color w:val="001C40" w:themeColor="text2"/>
          <w:sz w:val="18"/>
          <w:szCs w:val="18"/>
        </w:rPr>
        <w:t>Map 1</w:t>
      </w:r>
      <w:r w:rsidR="00A8222D" w:rsidRPr="003D5C14">
        <w:rPr>
          <w:i/>
          <w:iCs/>
          <w:color w:val="001C40" w:themeColor="text2"/>
          <w:sz w:val="18"/>
          <w:szCs w:val="18"/>
        </w:rPr>
        <w:t xml:space="preserve"> –</w:t>
      </w:r>
      <w:r w:rsidR="001100CE" w:rsidRPr="003D5C14">
        <w:rPr>
          <w:i/>
          <w:iCs/>
          <w:color w:val="001C40" w:themeColor="text2"/>
          <w:sz w:val="18"/>
          <w:szCs w:val="18"/>
        </w:rPr>
        <w:t xml:space="preserve"> Telstra </w:t>
      </w:r>
      <w:r w:rsidR="009D3FFA" w:rsidRPr="003D5C14">
        <w:rPr>
          <w:i/>
          <w:iCs/>
          <w:color w:val="001C40" w:themeColor="text2"/>
          <w:sz w:val="18"/>
          <w:szCs w:val="18"/>
        </w:rPr>
        <w:t xml:space="preserve">voice service </w:t>
      </w:r>
      <w:r w:rsidR="001100CE" w:rsidRPr="003D5C14">
        <w:rPr>
          <w:i/>
          <w:iCs/>
          <w:color w:val="001C40" w:themeColor="text2"/>
          <w:sz w:val="18"/>
          <w:szCs w:val="18"/>
        </w:rPr>
        <w:t xml:space="preserve">SIO sites </w:t>
      </w:r>
      <w:r w:rsidR="00A8222D" w:rsidRPr="003D5C14">
        <w:rPr>
          <w:i/>
          <w:iCs/>
          <w:color w:val="001C40" w:themeColor="text2"/>
          <w:sz w:val="18"/>
          <w:szCs w:val="18"/>
        </w:rPr>
        <w:t xml:space="preserve">by service technology </w:t>
      </w:r>
      <w:r w:rsidR="00667A88" w:rsidRPr="003D5C14">
        <w:rPr>
          <w:i/>
          <w:iCs/>
          <w:color w:val="001C40" w:themeColor="text2"/>
          <w:sz w:val="18"/>
          <w:szCs w:val="18"/>
        </w:rPr>
        <w:t xml:space="preserve">and </w:t>
      </w:r>
      <w:r w:rsidRPr="003D5C14">
        <w:rPr>
          <w:i/>
          <w:iCs/>
          <w:color w:val="001C40" w:themeColor="text2"/>
          <w:sz w:val="18"/>
          <w:szCs w:val="18"/>
        </w:rPr>
        <w:t xml:space="preserve">Telstra </w:t>
      </w:r>
      <w:r w:rsidR="001100CE" w:rsidRPr="003D5C14">
        <w:rPr>
          <w:i/>
          <w:iCs/>
          <w:color w:val="001C40" w:themeColor="text2"/>
          <w:sz w:val="18"/>
          <w:szCs w:val="18"/>
        </w:rPr>
        <w:t>3G mobile coverage (internal and external</w:t>
      </w:r>
      <w:r w:rsidR="0003399A" w:rsidRPr="003D5C14">
        <w:rPr>
          <w:i/>
          <w:iCs/>
          <w:color w:val="001C40" w:themeColor="text2"/>
          <w:sz w:val="18"/>
          <w:szCs w:val="18"/>
        </w:rPr>
        <w:t xml:space="preserve"> antenna coverage</w:t>
      </w:r>
      <w:r w:rsidRPr="003D5C14">
        <w:rPr>
          <w:i/>
          <w:iCs/>
          <w:color w:val="001C40" w:themeColor="text2"/>
          <w:sz w:val="18"/>
          <w:szCs w:val="18"/>
        </w:rPr>
        <w:t>), as at September 2018</w:t>
      </w:r>
    </w:p>
    <w:p w14:paraId="583224C0" w14:textId="77777777" w:rsidR="003D5C14" w:rsidRPr="003D5C14" w:rsidRDefault="003D5C14" w:rsidP="003D5C14">
      <w:pPr>
        <w:spacing w:after="0" w:line="259" w:lineRule="auto"/>
        <w:jc w:val="both"/>
        <w:rPr>
          <w:highlight w:val="yellow"/>
          <w:lang w:eastAsia="en-US"/>
        </w:rPr>
      </w:pPr>
    </w:p>
    <w:p w14:paraId="0DECCAD0" w14:textId="77777777" w:rsidR="003F3B71" w:rsidRDefault="003F3B71" w:rsidP="009D45AB">
      <w:pPr>
        <w:spacing w:after="160" w:line="259" w:lineRule="auto"/>
      </w:pPr>
      <w:r>
        <w:rPr>
          <w:lang w:eastAsia="en-US"/>
        </w:rPr>
        <w:t xml:space="preserve">Telstra has advised that it has </w:t>
      </w:r>
      <w:r w:rsidRPr="00975DF2">
        <w:rPr>
          <w:lang w:eastAsia="en-US"/>
        </w:rPr>
        <w:t xml:space="preserve">approximately </w:t>
      </w:r>
      <w:r w:rsidRPr="000A118F">
        <w:rPr>
          <w:lang w:eastAsia="en-US"/>
        </w:rPr>
        <w:t xml:space="preserve">8,000 </w:t>
      </w:r>
      <w:r w:rsidRPr="00975DF2">
        <w:rPr>
          <w:lang w:eastAsia="en-US"/>
        </w:rPr>
        <w:t xml:space="preserve">special services in operation outside </w:t>
      </w:r>
      <w:r w:rsidR="003E11FE" w:rsidRPr="00975DF2">
        <w:rPr>
          <w:lang w:eastAsia="en-US"/>
        </w:rPr>
        <w:t>NBN</w:t>
      </w:r>
      <w:r w:rsidRPr="00975DF2">
        <w:rPr>
          <w:lang w:eastAsia="en-US"/>
        </w:rPr>
        <w:t xml:space="preserve"> </w:t>
      </w:r>
      <w:proofErr w:type="spellStart"/>
      <w:r w:rsidRPr="00975DF2">
        <w:rPr>
          <w:lang w:eastAsia="en-US"/>
        </w:rPr>
        <w:t>Co’s</w:t>
      </w:r>
      <w:proofErr w:type="spellEnd"/>
      <w:r w:rsidRPr="00975DF2">
        <w:rPr>
          <w:lang w:eastAsia="en-US"/>
        </w:rPr>
        <w:t xml:space="preserve"> fixed line footprint. </w:t>
      </w:r>
      <w:r w:rsidR="00CE45E6" w:rsidRPr="00975DF2">
        <w:rPr>
          <w:lang w:eastAsia="en-US"/>
        </w:rPr>
        <w:t xml:space="preserve">Special </w:t>
      </w:r>
      <w:r w:rsidR="00C52529" w:rsidRPr="00975DF2">
        <w:rPr>
          <w:lang w:eastAsia="en-US"/>
        </w:rPr>
        <w:t>s</w:t>
      </w:r>
      <w:r w:rsidR="00CE45E6" w:rsidRPr="00975DF2">
        <w:rPr>
          <w:lang w:eastAsia="en-US"/>
        </w:rPr>
        <w:t>ervices are a set of telecommunication</w:t>
      </w:r>
      <w:r w:rsidR="00CE45E6" w:rsidRPr="00CE45E6">
        <w:rPr>
          <w:lang w:eastAsia="en-US"/>
        </w:rPr>
        <w:t xml:space="preserve"> products delivered on </w:t>
      </w:r>
      <w:r w:rsidR="00380415">
        <w:rPr>
          <w:lang w:eastAsia="en-US"/>
        </w:rPr>
        <w:t xml:space="preserve">Telstra’s </w:t>
      </w:r>
      <w:r w:rsidR="00CE45E6" w:rsidRPr="00CE45E6">
        <w:rPr>
          <w:lang w:eastAsia="en-US"/>
        </w:rPr>
        <w:t>copper</w:t>
      </w:r>
      <w:r w:rsidR="00380415">
        <w:rPr>
          <w:lang w:eastAsia="en-US"/>
        </w:rPr>
        <w:t xml:space="preserve"> network</w:t>
      </w:r>
      <w:r w:rsidR="00CE45E6" w:rsidRPr="00CE45E6">
        <w:rPr>
          <w:lang w:eastAsia="en-US"/>
        </w:rPr>
        <w:t xml:space="preserve">, other than </w:t>
      </w:r>
      <w:r w:rsidR="00FC5AE7">
        <w:rPr>
          <w:lang w:eastAsia="en-US"/>
        </w:rPr>
        <w:t>the</w:t>
      </w:r>
      <w:r w:rsidR="00FC5AE7" w:rsidRPr="00CE45E6">
        <w:rPr>
          <w:lang w:eastAsia="en-US"/>
        </w:rPr>
        <w:t xml:space="preserve"> </w:t>
      </w:r>
      <w:r w:rsidR="00CE45E6" w:rsidRPr="00CE45E6">
        <w:rPr>
          <w:lang w:eastAsia="en-US"/>
        </w:rPr>
        <w:t>standard landline phone or internet services, generally used by business segments</w:t>
      </w:r>
      <w:r w:rsidR="00FC5AE7">
        <w:rPr>
          <w:lang w:eastAsia="en-US"/>
        </w:rPr>
        <w:t>.</w:t>
      </w:r>
    </w:p>
    <w:p w14:paraId="0DECCAD1" w14:textId="77777777" w:rsidR="00234A33" w:rsidRPr="00950DB6" w:rsidRDefault="00234A33" w:rsidP="00950DB6">
      <w:pPr>
        <w:pStyle w:val="Heading3"/>
      </w:pPr>
      <w:bookmarkStart w:id="67" w:name="_Toc529783727"/>
      <w:r w:rsidRPr="00950DB6">
        <w:t xml:space="preserve">Services in operation – </w:t>
      </w:r>
      <w:r w:rsidR="00B56B69" w:rsidRPr="00950DB6">
        <w:t>payphones</w:t>
      </w:r>
      <w:bookmarkEnd w:id="67"/>
    </w:p>
    <w:p w14:paraId="0DECCAD2" w14:textId="77777777" w:rsidR="00F93C85" w:rsidRDefault="00F93C85" w:rsidP="000E78C4">
      <w:pPr>
        <w:spacing w:after="120"/>
        <w:rPr>
          <w:lang w:eastAsia="en-US"/>
        </w:rPr>
      </w:pPr>
      <w:r w:rsidRPr="00A776D2">
        <w:rPr>
          <w:lang w:eastAsia="en-US"/>
        </w:rPr>
        <w:t xml:space="preserve">As at </w:t>
      </w:r>
      <w:r w:rsidR="00370908">
        <w:rPr>
          <w:lang w:eastAsia="en-US"/>
        </w:rPr>
        <w:t>September</w:t>
      </w:r>
      <w:r w:rsidR="00370908" w:rsidRPr="00A776D2">
        <w:rPr>
          <w:lang w:eastAsia="en-US"/>
        </w:rPr>
        <w:t xml:space="preserve"> </w:t>
      </w:r>
      <w:r w:rsidRPr="00A776D2">
        <w:rPr>
          <w:lang w:eastAsia="en-US"/>
        </w:rPr>
        <w:t xml:space="preserve">2018, there </w:t>
      </w:r>
      <w:r w:rsidRPr="00033A54">
        <w:rPr>
          <w:lang w:eastAsia="en-US"/>
        </w:rPr>
        <w:t xml:space="preserve">were </w:t>
      </w:r>
      <w:r w:rsidRPr="000A118F">
        <w:rPr>
          <w:lang w:eastAsia="en-US"/>
        </w:rPr>
        <w:t>1</w:t>
      </w:r>
      <w:r w:rsidR="00313511" w:rsidRPr="000A118F">
        <w:rPr>
          <w:lang w:eastAsia="en-US"/>
        </w:rPr>
        <w:t>5</w:t>
      </w:r>
      <w:r w:rsidRPr="000A118F">
        <w:rPr>
          <w:lang w:eastAsia="en-US"/>
        </w:rPr>
        <w:t>,</w:t>
      </w:r>
      <w:r w:rsidR="00313511" w:rsidRPr="00033A54">
        <w:rPr>
          <w:lang w:eastAsia="en-US"/>
        </w:rPr>
        <w:t xml:space="preserve">997 </w:t>
      </w:r>
      <w:r w:rsidRPr="00033A54">
        <w:rPr>
          <w:lang w:eastAsia="en-US"/>
        </w:rPr>
        <w:t>Telstra-operated public payphones</w:t>
      </w:r>
      <w:r w:rsidR="00B56B69" w:rsidRPr="00033A54">
        <w:rPr>
          <w:lang w:eastAsia="en-US"/>
        </w:rPr>
        <w:t xml:space="preserve">. </w:t>
      </w:r>
      <w:r w:rsidR="00B56B69" w:rsidRPr="000A118F">
        <w:rPr>
          <w:lang w:eastAsia="en-US"/>
        </w:rPr>
        <w:t xml:space="preserve">Table 1 </w:t>
      </w:r>
      <w:r w:rsidR="00692BDD" w:rsidRPr="000A118F">
        <w:rPr>
          <w:lang w:eastAsia="en-US"/>
        </w:rPr>
        <w:t xml:space="preserve">below </w:t>
      </w:r>
      <w:r w:rsidR="00B56B69" w:rsidRPr="000A118F">
        <w:rPr>
          <w:lang w:eastAsia="en-US"/>
        </w:rPr>
        <w:t xml:space="preserve">shows the distribution of these payphones </w:t>
      </w:r>
      <w:r w:rsidR="003C6740" w:rsidRPr="000A118F">
        <w:rPr>
          <w:lang w:eastAsia="en-US"/>
        </w:rPr>
        <w:t xml:space="preserve">by </w:t>
      </w:r>
      <w:r w:rsidR="00EA25E0">
        <w:rPr>
          <w:lang w:eastAsia="en-US"/>
        </w:rPr>
        <w:t xml:space="preserve">locality </w:t>
      </w:r>
      <w:r w:rsidR="003C6740" w:rsidRPr="000A118F">
        <w:rPr>
          <w:lang w:eastAsia="en-US"/>
        </w:rPr>
        <w:t>and population</w:t>
      </w:r>
      <w:r w:rsidR="00B56B69" w:rsidRPr="000A118F">
        <w:rPr>
          <w:lang w:eastAsia="en-US"/>
        </w:rPr>
        <w:t>.</w:t>
      </w:r>
    </w:p>
    <w:p w14:paraId="0DECCAD3" w14:textId="77777777" w:rsidR="000E78C4" w:rsidRPr="000E78C4" w:rsidRDefault="000E78C4" w:rsidP="009D45AB">
      <w:pPr>
        <w:rPr>
          <w:sz w:val="16"/>
          <w:szCs w:val="16"/>
          <w:lang w:eastAsia="en-US"/>
        </w:rPr>
      </w:pPr>
    </w:p>
    <w:tbl>
      <w:tblPr>
        <w:tblpPr w:leftFromText="180" w:rightFromText="180" w:vertAnchor="text" w:horzAnchor="margin" w:tblpY="-18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 Distribution of Telstra public payphones"/>
      </w:tblPr>
      <w:tblGrid>
        <w:gridCol w:w="3295"/>
        <w:gridCol w:w="1808"/>
        <w:gridCol w:w="2308"/>
        <w:gridCol w:w="1940"/>
      </w:tblGrid>
      <w:tr w:rsidR="000E78C4" w:rsidRPr="00950637" w14:paraId="0DECCAD8" w14:textId="77777777" w:rsidTr="00241613">
        <w:tc>
          <w:tcPr>
            <w:tcW w:w="3295" w:type="dxa"/>
            <w:shd w:val="clear" w:color="auto" w:fill="EAE9E9" w:themeFill="accent6" w:themeFillTint="66"/>
            <w:tcMar>
              <w:top w:w="0" w:type="dxa"/>
              <w:left w:w="108" w:type="dxa"/>
              <w:bottom w:w="0" w:type="dxa"/>
              <w:right w:w="108" w:type="dxa"/>
            </w:tcMar>
          </w:tcPr>
          <w:p w14:paraId="0DECCAD4" w14:textId="01A4B81C" w:rsidR="000E78C4" w:rsidRPr="00185976" w:rsidRDefault="00185976" w:rsidP="00EF7D05">
            <w:pPr>
              <w:spacing w:after="0"/>
              <w:rPr>
                <w:b/>
                <w:sz w:val="20"/>
                <w:szCs w:val="20"/>
                <w:lang w:eastAsia="en-US"/>
              </w:rPr>
            </w:pPr>
            <w:r w:rsidRPr="00185976">
              <w:rPr>
                <w:b/>
                <w:sz w:val="20"/>
                <w:szCs w:val="20"/>
                <w:lang w:eastAsia="en-US"/>
              </w:rPr>
              <w:t>Location</w:t>
            </w:r>
            <w:bookmarkStart w:id="68" w:name="_GoBack"/>
            <w:bookmarkEnd w:id="68"/>
          </w:p>
        </w:tc>
        <w:tc>
          <w:tcPr>
            <w:tcW w:w="1808" w:type="dxa"/>
            <w:shd w:val="clear" w:color="auto" w:fill="EAE9E9" w:themeFill="accent6" w:themeFillTint="66"/>
            <w:tcMar>
              <w:top w:w="0" w:type="dxa"/>
              <w:left w:w="108" w:type="dxa"/>
              <w:bottom w:w="0" w:type="dxa"/>
              <w:right w:w="108" w:type="dxa"/>
            </w:tcMar>
            <w:hideMark/>
          </w:tcPr>
          <w:p w14:paraId="0DECCAD5" w14:textId="77777777" w:rsidR="000E78C4" w:rsidRPr="00A761DB" w:rsidRDefault="00313511" w:rsidP="00241613">
            <w:pPr>
              <w:spacing w:after="0"/>
              <w:jc w:val="right"/>
              <w:rPr>
                <w:b/>
                <w:sz w:val="20"/>
                <w:szCs w:val="20"/>
                <w:lang w:eastAsia="en-US"/>
              </w:rPr>
            </w:pPr>
            <w:r w:rsidRPr="007A7DF2">
              <w:rPr>
                <w:b/>
                <w:sz w:val="20"/>
                <w:szCs w:val="20"/>
              </w:rPr>
              <w:t>Number of</w:t>
            </w:r>
            <w:r>
              <w:rPr>
                <w:b/>
                <w:sz w:val="20"/>
                <w:szCs w:val="20"/>
              </w:rPr>
              <w:t xml:space="preserve"> </w:t>
            </w:r>
            <w:r w:rsidRPr="007A7DF2">
              <w:rPr>
                <w:b/>
                <w:sz w:val="20"/>
                <w:szCs w:val="20"/>
              </w:rPr>
              <w:t>payphones</w:t>
            </w:r>
          </w:p>
        </w:tc>
        <w:tc>
          <w:tcPr>
            <w:tcW w:w="2308" w:type="dxa"/>
            <w:shd w:val="clear" w:color="auto" w:fill="EAE9E9" w:themeFill="accent6" w:themeFillTint="66"/>
            <w:tcMar>
              <w:top w:w="0" w:type="dxa"/>
              <w:left w:w="108" w:type="dxa"/>
              <w:bottom w:w="0" w:type="dxa"/>
              <w:right w:w="108" w:type="dxa"/>
            </w:tcMar>
            <w:hideMark/>
          </w:tcPr>
          <w:p w14:paraId="0DECCAD6" w14:textId="77777777" w:rsidR="000E78C4" w:rsidRPr="00A761DB" w:rsidRDefault="00313511" w:rsidP="00241613">
            <w:pPr>
              <w:spacing w:after="0"/>
              <w:jc w:val="right"/>
              <w:rPr>
                <w:b/>
                <w:sz w:val="20"/>
                <w:szCs w:val="20"/>
                <w:lang w:eastAsia="en-US"/>
              </w:rPr>
            </w:pPr>
            <w:r w:rsidRPr="007A7DF2">
              <w:rPr>
                <w:b/>
                <w:sz w:val="20"/>
                <w:szCs w:val="20"/>
              </w:rPr>
              <w:t>2016 population</w:t>
            </w:r>
            <w:r w:rsidRPr="007A7DF2">
              <w:rPr>
                <w:rStyle w:val="FootnoteReference"/>
                <w:b/>
                <w:sz w:val="20"/>
                <w:szCs w:val="20"/>
              </w:rPr>
              <w:footnoteReference w:id="5"/>
            </w:r>
          </w:p>
        </w:tc>
        <w:tc>
          <w:tcPr>
            <w:tcW w:w="1940" w:type="dxa"/>
            <w:shd w:val="clear" w:color="auto" w:fill="EAE9E9" w:themeFill="accent6" w:themeFillTint="66"/>
            <w:tcMar>
              <w:top w:w="0" w:type="dxa"/>
              <w:left w:w="108" w:type="dxa"/>
              <w:bottom w:w="0" w:type="dxa"/>
              <w:right w:w="108" w:type="dxa"/>
            </w:tcMar>
            <w:hideMark/>
          </w:tcPr>
          <w:p w14:paraId="0DECCAD7" w14:textId="77777777" w:rsidR="000E78C4" w:rsidRPr="00A761DB" w:rsidRDefault="00313511" w:rsidP="00241613">
            <w:pPr>
              <w:spacing w:after="0"/>
              <w:jc w:val="right"/>
              <w:rPr>
                <w:b/>
                <w:sz w:val="20"/>
                <w:szCs w:val="20"/>
                <w:lang w:eastAsia="en-US"/>
              </w:rPr>
            </w:pPr>
            <w:r w:rsidRPr="007A7DF2">
              <w:rPr>
                <w:b/>
                <w:sz w:val="20"/>
                <w:szCs w:val="20"/>
              </w:rPr>
              <w:t>Number of people per payphone</w:t>
            </w:r>
          </w:p>
        </w:tc>
      </w:tr>
      <w:tr w:rsidR="000E78C4" w:rsidRPr="008959C0" w14:paraId="0DECCADD" w14:textId="77777777" w:rsidTr="00943C59">
        <w:tc>
          <w:tcPr>
            <w:tcW w:w="3295" w:type="dxa"/>
            <w:shd w:val="clear" w:color="auto" w:fill="F4F4F4" w:themeFill="accent6" w:themeFillTint="33"/>
            <w:tcMar>
              <w:top w:w="0" w:type="dxa"/>
              <w:left w:w="108" w:type="dxa"/>
              <w:bottom w:w="0" w:type="dxa"/>
              <w:right w:w="108" w:type="dxa"/>
            </w:tcMar>
            <w:hideMark/>
          </w:tcPr>
          <w:p w14:paraId="0DECCAD9" w14:textId="77777777" w:rsidR="000E78C4" w:rsidRPr="00A761DB" w:rsidRDefault="00313511" w:rsidP="00EF7D05">
            <w:pPr>
              <w:spacing w:after="0"/>
              <w:rPr>
                <w:sz w:val="20"/>
                <w:szCs w:val="20"/>
                <w:highlight w:val="yellow"/>
                <w:lang w:eastAsia="en-US"/>
              </w:rPr>
            </w:pPr>
            <w:r w:rsidRPr="007A7DF2">
              <w:rPr>
                <w:sz w:val="20"/>
                <w:szCs w:val="20"/>
              </w:rPr>
              <w:t>Major cities (100,000 or more)</w:t>
            </w:r>
          </w:p>
        </w:tc>
        <w:tc>
          <w:tcPr>
            <w:tcW w:w="1808" w:type="dxa"/>
            <w:tcMar>
              <w:top w:w="0" w:type="dxa"/>
              <w:left w:w="108" w:type="dxa"/>
              <w:bottom w:w="0" w:type="dxa"/>
              <w:right w:w="108" w:type="dxa"/>
            </w:tcMar>
            <w:hideMark/>
          </w:tcPr>
          <w:p w14:paraId="0DECCADA" w14:textId="77777777" w:rsidR="000E78C4" w:rsidRPr="000A118F" w:rsidRDefault="00313511" w:rsidP="00057A7C">
            <w:pPr>
              <w:spacing w:after="0"/>
              <w:jc w:val="right"/>
              <w:rPr>
                <w:sz w:val="20"/>
                <w:szCs w:val="20"/>
                <w:lang w:eastAsia="en-US"/>
              </w:rPr>
            </w:pPr>
            <w:r w:rsidRPr="000A118F">
              <w:rPr>
                <w:sz w:val="20"/>
                <w:szCs w:val="20"/>
              </w:rPr>
              <w:t xml:space="preserve"> 9,02</w:t>
            </w:r>
            <w:r w:rsidR="00E628A9" w:rsidRPr="000A118F">
              <w:rPr>
                <w:sz w:val="20"/>
                <w:szCs w:val="20"/>
              </w:rPr>
              <w:t>3</w:t>
            </w:r>
          </w:p>
        </w:tc>
        <w:tc>
          <w:tcPr>
            <w:tcW w:w="2308" w:type="dxa"/>
            <w:tcMar>
              <w:top w:w="0" w:type="dxa"/>
              <w:left w:w="108" w:type="dxa"/>
              <w:bottom w:w="0" w:type="dxa"/>
              <w:right w:w="108" w:type="dxa"/>
            </w:tcMar>
            <w:hideMark/>
          </w:tcPr>
          <w:p w14:paraId="0DECCADB" w14:textId="77777777" w:rsidR="000E78C4" w:rsidRPr="00057A7C" w:rsidRDefault="00313511" w:rsidP="00057A7C">
            <w:pPr>
              <w:spacing w:after="0"/>
              <w:jc w:val="right"/>
              <w:rPr>
                <w:sz w:val="20"/>
                <w:szCs w:val="20"/>
              </w:rPr>
            </w:pPr>
            <w:r w:rsidRPr="007A7DF2">
              <w:rPr>
                <w:sz w:val="20"/>
                <w:szCs w:val="20"/>
              </w:rPr>
              <w:t xml:space="preserve"> 16,647,383 </w:t>
            </w:r>
          </w:p>
        </w:tc>
        <w:tc>
          <w:tcPr>
            <w:tcW w:w="1940" w:type="dxa"/>
            <w:tcMar>
              <w:top w:w="0" w:type="dxa"/>
              <w:left w:w="108" w:type="dxa"/>
              <w:bottom w:w="0" w:type="dxa"/>
              <w:right w:w="108" w:type="dxa"/>
            </w:tcMar>
            <w:hideMark/>
          </w:tcPr>
          <w:p w14:paraId="0DECCADC" w14:textId="77777777" w:rsidR="000E78C4" w:rsidRPr="000A118F" w:rsidRDefault="00313511" w:rsidP="00057A7C">
            <w:pPr>
              <w:spacing w:after="0"/>
              <w:jc w:val="right"/>
              <w:rPr>
                <w:sz w:val="20"/>
                <w:szCs w:val="20"/>
              </w:rPr>
            </w:pPr>
            <w:r w:rsidRPr="000A118F">
              <w:rPr>
                <w:sz w:val="20"/>
                <w:szCs w:val="20"/>
              </w:rPr>
              <w:t xml:space="preserve"> 1,84</w:t>
            </w:r>
            <w:r w:rsidR="00E628A9" w:rsidRPr="000A118F">
              <w:rPr>
                <w:sz w:val="20"/>
                <w:szCs w:val="20"/>
              </w:rPr>
              <w:t>5</w:t>
            </w:r>
          </w:p>
        </w:tc>
      </w:tr>
      <w:tr w:rsidR="000E78C4" w:rsidRPr="008959C0" w14:paraId="0DECCAE2" w14:textId="77777777" w:rsidTr="00943C59">
        <w:tc>
          <w:tcPr>
            <w:tcW w:w="3295" w:type="dxa"/>
            <w:shd w:val="clear" w:color="auto" w:fill="F4F4F4" w:themeFill="accent6" w:themeFillTint="33"/>
            <w:tcMar>
              <w:top w:w="0" w:type="dxa"/>
              <w:left w:w="108" w:type="dxa"/>
              <w:bottom w:w="0" w:type="dxa"/>
              <w:right w:w="108" w:type="dxa"/>
            </w:tcMar>
            <w:hideMark/>
          </w:tcPr>
          <w:p w14:paraId="0DECCADE" w14:textId="77777777" w:rsidR="000E78C4" w:rsidRPr="00A761DB" w:rsidRDefault="00313511" w:rsidP="00EF7D05">
            <w:pPr>
              <w:spacing w:after="0"/>
              <w:rPr>
                <w:sz w:val="20"/>
                <w:szCs w:val="20"/>
                <w:highlight w:val="yellow"/>
                <w:lang w:eastAsia="en-US"/>
              </w:rPr>
            </w:pPr>
            <w:r w:rsidRPr="007A7DF2">
              <w:rPr>
                <w:sz w:val="20"/>
                <w:szCs w:val="20"/>
              </w:rPr>
              <w:t>Large towns (50,000 to 99,999)</w:t>
            </w:r>
          </w:p>
        </w:tc>
        <w:tc>
          <w:tcPr>
            <w:tcW w:w="1808" w:type="dxa"/>
            <w:tcMar>
              <w:top w:w="0" w:type="dxa"/>
              <w:left w:w="108" w:type="dxa"/>
              <w:bottom w:w="0" w:type="dxa"/>
              <w:right w:w="108" w:type="dxa"/>
            </w:tcMar>
            <w:hideMark/>
          </w:tcPr>
          <w:p w14:paraId="0DECCADF" w14:textId="77777777" w:rsidR="000E78C4" w:rsidRPr="000A118F" w:rsidRDefault="00313511" w:rsidP="00057A7C">
            <w:pPr>
              <w:spacing w:after="0"/>
              <w:jc w:val="right"/>
              <w:rPr>
                <w:sz w:val="20"/>
                <w:szCs w:val="20"/>
                <w:lang w:eastAsia="en-US"/>
              </w:rPr>
            </w:pPr>
            <w:r w:rsidRPr="000A118F">
              <w:rPr>
                <w:sz w:val="20"/>
                <w:szCs w:val="20"/>
              </w:rPr>
              <w:t xml:space="preserve"> 490 </w:t>
            </w:r>
          </w:p>
        </w:tc>
        <w:tc>
          <w:tcPr>
            <w:tcW w:w="2308" w:type="dxa"/>
            <w:tcMar>
              <w:top w:w="0" w:type="dxa"/>
              <w:left w:w="108" w:type="dxa"/>
              <w:bottom w:w="0" w:type="dxa"/>
              <w:right w:w="108" w:type="dxa"/>
            </w:tcMar>
            <w:hideMark/>
          </w:tcPr>
          <w:p w14:paraId="0DECCAE0" w14:textId="77777777" w:rsidR="000E78C4" w:rsidRPr="00057A7C" w:rsidRDefault="00313511" w:rsidP="00057A7C">
            <w:pPr>
              <w:spacing w:after="0"/>
              <w:jc w:val="right"/>
              <w:rPr>
                <w:sz w:val="20"/>
                <w:szCs w:val="20"/>
              </w:rPr>
            </w:pPr>
            <w:r w:rsidRPr="007A7DF2">
              <w:rPr>
                <w:sz w:val="20"/>
                <w:szCs w:val="20"/>
              </w:rPr>
              <w:t xml:space="preserve"> 787,288 </w:t>
            </w:r>
          </w:p>
        </w:tc>
        <w:tc>
          <w:tcPr>
            <w:tcW w:w="1940" w:type="dxa"/>
            <w:tcMar>
              <w:top w:w="0" w:type="dxa"/>
              <w:left w:w="108" w:type="dxa"/>
              <w:bottom w:w="0" w:type="dxa"/>
              <w:right w:w="108" w:type="dxa"/>
            </w:tcMar>
            <w:hideMark/>
          </w:tcPr>
          <w:p w14:paraId="0DECCAE1" w14:textId="77777777" w:rsidR="000E78C4" w:rsidRPr="000A118F" w:rsidRDefault="00313511" w:rsidP="00057A7C">
            <w:pPr>
              <w:spacing w:after="0"/>
              <w:jc w:val="right"/>
              <w:rPr>
                <w:sz w:val="20"/>
                <w:szCs w:val="20"/>
              </w:rPr>
            </w:pPr>
            <w:r w:rsidRPr="000A118F">
              <w:rPr>
                <w:sz w:val="20"/>
                <w:szCs w:val="20"/>
              </w:rPr>
              <w:t xml:space="preserve"> 1,607 </w:t>
            </w:r>
          </w:p>
        </w:tc>
      </w:tr>
      <w:tr w:rsidR="000E78C4" w:rsidRPr="008959C0" w14:paraId="0DECCAE7" w14:textId="77777777" w:rsidTr="00943C59">
        <w:tc>
          <w:tcPr>
            <w:tcW w:w="3295" w:type="dxa"/>
            <w:shd w:val="clear" w:color="auto" w:fill="F4F4F4" w:themeFill="accent6" w:themeFillTint="33"/>
            <w:tcMar>
              <w:top w:w="0" w:type="dxa"/>
              <w:left w:w="108" w:type="dxa"/>
              <w:bottom w:w="0" w:type="dxa"/>
              <w:right w:w="108" w:type="dxa"/>
            </w:tcMar>
            <w:hideMark/>
          </w:tcPr>
          <w:p w14:paraId="0DECCAE3" w14:textId="77777777" w:rsidR="000E78C4" w:rsidRPr="00A761DB" w:rsidRDefault="00313511" w:rsidP="00EF7D05">
            <w:pPr>
              <w:spacing w:after="0"/>
              <w:rPr>
                <w:sz w:val="20"/>
                <w:szCs w:val="20"/>
                <w:highlight w:val="yellow"/>
                <w:lang w:eastAsia="en-US"/>
              </w:rPr>
            </w:pPr>
            <w:r w:rsidRPr="007A7DF2">
              <w:rPr>
                <w:sz w:val="20"/>
                <w:szCs w:val="20"/>
              </w:rPr>
              <w:t>Medium towns (10,000 to 49,999)</w:t>
            </w:r>
          </w:p>
        </w:tc>
        <w:tc>
          <w:tcPr>
            <w:tcW w:w="1808" w:type="dxa"/>
            <w:tcMar>
              <w:top w:w="0" w:type="dxa"/>
              <w:left w:w="108" w:type="dxa"/>
              <w:bottom w:w="0" w:type="dxa"/>
              <w:right w:w="108" w:type="dxa"/>
            </w:tcMar>
            <w:hideMark/>
          </w:tcPr>
          <w:p w14:paraId="0DECCAE4" w14:textId="77777777" w:rsidR="000E78C4" w:rsidRPr="000A118F" w:rsidRDefault="00313511" w:rsidP="00057A7C">
            <w:pPr>
              <w:spacing w:after="0"/>
              <w:jc w:val="right"/>
              <w:rPr>
                <w:sz w:val="20"/>
                <w:szCs w:val="20"/>
                <w:lang w:eastAsia="en-US"/>
              </w:rPr>
            </w:pPr>
            <w:r w:rsidRPr="000A118F">
              <w:rPr>
                <w:sz w:val="20"/>
                <w:szCs w:val="20"/>
              </w:rPr>
              <w:t xml:space="preserve"> 1,449 </w:t>
            </w:r>
          </w:p>
        </w:tc>
        <w:tc>
          <w:tcPr>
            <w:tcW w:w="2308" w:type="dxa"/>
            <w:tcMar>
              <w:top w:w="0" w:type="dxa"/>
              <w:left w:w="108" w:type="dxa"/>
              <w:bottom w:w="0" w:type="dxa"/>
              <w:right w:w="108" w:type="dxa"/>
            </w:tcMar>
            <w:hideMark/>
          </w:tcPr>
          <w:p w14:paraId="0DECCAE5" w14:textId="77777777" w:rsidR="000E78C4" w:rsidRPr="00057A7C" w:rsidRDefault="00313511" w:rsidP="00057A7C">
            <w:pPr>
              <w:spacing w:after="0"/>
              <w:jc w:val="right"/>
              <w:rPr>
                <w:sz w:val="20"/>
                <w:szCs w:val="20"/>
              </w:rPr>
            </w:pPr>
            <w:r w:rsidRPr="007A7DF2">
              <w:rPr>
                <w:sz w:val="20"/>
                <w:szCs w:val="20"/>
              </w:rPr>
              <w:t xml:space="preserve"> 1,801,990 </w:t>
            </w:r>
          </w:p>
        </w:tc>
        <w:tc>
          <w:tcPr>
            <w:tcW w:w="1940" w:type="dxa"/>
            <w:tcMar>
              <w:top w:w="0" w:type="dxa"/>
              <w:left w:w="108" w:type="dxa"/>
              <w:bottom w:w="0" w:type="dxa"/>
              <w:right w:w="108" w:type="dxa"/>
            </w:tcMar>
            <w:hideMark/>
          </w:tcPr>
          <w:p w14:paraId="0DECCAE6" w14:textId="77777777" w:rsidR="000E78C4" w:rsidRPr="000A118F" w:rsidRDefault="00313511" w:rsidP="00057A7C">
            <w:pPr>
              <w:spacing w:after="0"/>
              <w:jc w:val="right"/>
              <w:rPr>
                <w:sz w:val="20"/>
                <w:szCs w:val="20"/>
              </w:rPr>
            </w:pPr>
            <w:r w:rsidRPr="000A118F">
              <w:rPr>
                <w:sz w:val="20"/>
                <w:szCs w:val="20"/>
              </w:rPr>
              <w:t xml:space="preserve"> 1,244 </w:t>
            </w:r>
          </w:p>
        </w:tc>
      </w:tr>
      <w:tr w:rsidR="000E78C4" w:rsidRPr="008959C0" w14:paraId="0DECCAEC" w14:textId="77777777" w:rsidTr="00943C59">
        <w:tc>
          <w:tcPr>
            <w:tcW w:w="3295" w:type="dxa"/>
            <w:shd w:val="clear" w:color="auto" w:fill="F4F4F4" w:themeFill="accent6" w:themeFillTint="33"/>
            <w:tcMar>
              <w:top w:w="0" w:type="dxa"/>
              <w:left w:w="108" w:type="dxa"/>
              <w:bottom w:w="0" w:type="dxa"/>
              <w:right w:w="108" w:type="dxa"/>
            </w:tcMar>
            <w:hideMark/>
          </w:tcPr>
          <w:p w14:paraId="0DECCAE8" w14:textId="5B1BB46A" w:rsidR="000E78C4" w:rsidRPr="00A761DB" w:rsidRDefault="00313511" w:rsidP="00A034AA">
            <w:pPr>
              <w:spacing w:after="0"/>
              <w:rPr>
                <w:sz w:val="20"/>
                <w:szCs w:val="20"/>
                <w:highlight w:val="yellow"/>
                <w:lang w:eastAsia="en-US"/>
              </w:rPr>
            </w:pPr>
            <w:r w:rsidRPr="007A7DF2">
              <w:rPr>
                <w:sz w:val="20"/>
                <w:szCs w:val="20"/>
              </w:rPr>
              <w:t>Small towns (</w:t>
            </w:r>
            <w:r w:rsidR="00A034AA">
              <w:rPr>
                <w:sz w:val="20"/>
                <w:szCs w:val="20"/>
              </w:rPr>
              <w:t>1</w:t>
            </w:r>
            <w:r w:rsidRPr="007A7DF2">
              <w:rPr>
                <w:sz w:val="20"/>
                <w:szCs w:val="20"/>
              </w:rPr>
              <w:t>0,000</w:t>
            </w:r>
            <w:r w:rsidR="00A034AA">
              <w:rPr>
                <w:sz w:val="20"/>
                <w:szCs w:val="20"/>
              </w:rPr>
              <w:t xml:space="preserve"> to 200</w:t>
            </w:r>
            <w:r w:rsidRPr="007A7DF2">
              <w:rPr>
                <w:sz w:val="20"/>
                <w:szCs w:val="20"/>
              </w:rPr>
              <w:t>)</w:t>
            </w:r>
          </w:p>
        </w:tc>
        <w:tc>
          <w:tcPr>
            <w:tcW w:w="1808" w:type="dxa"/>
            <w:tcMar>
              <w:top w:w="0" w:type="dxa"/>
              <w:left w:w="108" w:type="dxa"/>
              <w:bottom w:w="0" w:type="dxa"/>
              <w:right w:w="108" w:type="dxa"/>
            </w:tcMar>
            <w:hideMark/>
          </w:tcPr>
          <w:p w14:paraId="0DECCAE9" w14:textId="77777777" w:rsidR="000E78C4" w:rsidRPr="000A118F" w:rsidRDefault="00313511" w:rsidP="00057A7C">
            <w:pPr>
              <w:spacing w:after="0"/>
              <w:jc w:val="right"/>
              <w:rPr>
                <w:sz w:val="20"/>
                <w:szCs w:val="20"/>
                <w:lang w:eastAsia="en-US"/>
              </w:rPr>
            </w:pPr>
            <w:r w:rsidRPr="000A118F">
              <w:rPr>
                <w:sz w:val="20"/>
                <w:szCs w:val="20"/>
              </w:rPr>
              <w:t xml:space="preserve"> 2,892 </w:t>
            </w:r>
          </w:p>
        </w:tc>
        <w:tc>
          <w:tcPr>
            <w:tcW w:w="2308" w:type="dxa"/>
            <w:tcMar>
              <w:top w:w="0" w:type="dxa"/>
              <w:left w:w="108" w:type="dxa"/>
              <w:bottom w:w="0" w:type="dxa"/>
              <w:right w:w="108" w:type="dxa"/>
            </w:tcMar>
            <w:hideMark/>
          </w:tcPr>
          <w:p w14:paraId="0DECCAEA" w14:textId="77777777" w:rsidR="000E78C4" w:rsidRPr="00057A7C" w:rsidRDefault="00313511" w:rsidP="00057A7C">
            <w:pPr>
              <w:spacing w:after="0"/>
              <w:jc w:val="right"/>
              <w:rPr>
                <w:sz w:val="20"/>
                <w:szCs w:val="20"/>
              </w:rPr>
            </w:pPr>
            <w:r w:rsidRPr="007A7DF2">
              <w:rPr>
                <w:sz w:val="20"/>
                <w:szCs w:val="20"/>
              </w:rPr>
              <w:t xml:space="preserve"> 2,279,357 </w:t>
            </w:r>
          </w:p>
        </w:tc>
        <w:tc>
          <w:tcPr>
            <w:tcW w:w="1940" w:type="dxa"/>
            <w:tcMar>
              <w:top w:w="0" w:type="dxa"/>
              <w:left w:w="108" w:type="dxa"/>
              <w:bottom w:w="0" w:type="dxa"/>
              <w:right w:w="108" w:type="dxa"/>
            </w:tcMar>
            <w:hideMark/>
          </w:tcPr>
          <w:p w14:paraId="0DECCAEB" w14:textId="77777777" w:rsidR="000E78C4" w:rsidRPr="000A118F" w:rsidRDefault="00313511" w:rsidP="00057A7C">
            <w:pPr>
              <w:spacing w:after="0"/>
              <w:jc w:val="right"/>
              <w:rPr>
                <w:sz w:val="20"/>
                <w:szCs w:val="20"/>
              </w:rPr>
            </w:pPr>
            <w:r w:rsidRPr="000A118F">
              <w:rPr>
                <w:sz w:val="20"/>
                <w:szCs w:val="20"/>
              </w:rPr>
              <w:t xml:space="preserve"> 788 </w:t>
            </w:r>
          </w:p>
        </w:tc>
      </w:tr>
      <w:tr w:rsidR="000E78C4" w:rsidRPr="008959C0" w14:paraId="0DECCAF1" w14:textId="77777777" w:rsidTr="00943C59">
        <w:tc>
          <w:tcPr>
            <w:tcW w:w="3295" w:type="dxa"/>
            <w:shd w:val="clear" w:color="auto" w:fill="F4F4F4" w:themeFill="accent6" w:themeFillTint="33"/>
            <w:tcMar>
              <w:top w:w="0" w:type="dxa"/>
              <w:left w:w="108" w:type="dxa"/>
              <w:bottom w:w="0" w:type="dxa"/>
              <w:right w:w="108" w:type="dxa"/>
            </w:tcMar>
            <w:hideMark/>
          </w:tcPr>
          <w:p w14:paraId="0DECCAED" w14:textId="77777777" w:rsidR="000E78C4" w:rsidRPr="00A761DB" w:rsidRDefault="00313511" w:rsidP="00EF7D05">
            <w:pPr>
              <w:spacing w:after="0"/>
              <w:rPr>
                <w:sz w:val="20"/>
                <w:szCs w:val="20"/>
                <w:highlight w:val="yellow"/>
                <w:lang w:eastAsia="en-US"/>
              </w:rPr>
            </w:pPr>
            <w:r w:rsidRPr="007A7DF2">
              <w:rPr>
                <w:sz w:val="20"/>
                <w:szCs w:val="20"/>
              </w:rPr>
              <w:t>Rural remainder of state or territory</w:t>
            </w:r>
          </w:p>
        </w:tc>
        <w:tc>
          <w:tcPr>
            <w:tcW w:w="1808" w:type="dxa"/>
            <w:tcMar>
              <w:top w:w="0" w:type="dxa"/>
              <w:left w:w="108" w:type="dxa"/>
              <w:bottom w:w="0" w:type="dxa"/>
              <w:right w:w="108" w:type="dxa"/>
            </w:tcMar>
            <w:hideMark/>
          </w:tcPr>
          <w:p w14:paraId="0DECCAEE" w14:textId="77777777" w:rsidR="000E78C4" w:rsidRPr="000A118F" w:rsidRDefault="00313511" w:rsidP="00057A7C">
            <w:pPr>
              <w:spacing w:after="0"/>
              <w:jc w:val="right"/>
              <w:rPr>
                <w:sz w:val="20"/>
                <w:szCs w:val="20"/>
                <w:lang w:eastAsia="en-US"/>
              </w:rPr>
            </w:pPr>
            <w:r w:rsidRPr="000A118F">
              <w:rPr>
                <w:sz w:val="20"/>
                <w:szCs w:val="20"/>
              </w:rPr>
              <w:t xml:space="preserve"> 2,143 </w:t>
            </w:r>
          </w:p>
        </w:tc>
        <w:tc>
          <w:tcPr>
            <w:tcW w:w="2308" w:type="dxa"/>
            <w:tcMar>
              <w:top w:w="0" w:type="dxa"/>
              <w:left w:w="108" w:type="dxa"/>
              <w:bottom w:w="0" w:type="dxa"/>
              <w:right w:w="108" w:type="dxa"/>
            </w:tcMar>
            <w:hideMark/>
          </w:tcPr>
          <w:p w14:paraId="0DECCAEF" w14:textId="77777777" w:rsidR="000E78C4" w:rsidRPr="00057A7C" w:rsidRDefault="00313511" w:rsidP="00057A7C">
            <w:pPr>
              <w:spacing w:after="0"/>
              <w:jc w:val="right"/>
              <w:rPr>
                <w:sz w:val="20"/>
                <w:szCs w:val="20"/>
              </w:rPr>
            </w:pPr>
            <w:r w:rsidRPr="007A7DF2">
              <w:rPr>
                <w:sz w:val="20"/>
                <w:szCs w:val="20"/>
              </w:rPr>
              <w:t xml:space="preserve"> 1,839,515 </w:t>
            </w:r>
          </w:p>
        </w:tc>
        <w:tc>
          <w:tcPr>
            <w:tcW w:w="1940" w:type="dxa"/>
            <w:tcMar>
              <w:top w:w="0" w:type="dxa"/>
              <w:left w:w="108" w:type="dxa"/>
              <w:bottom w:w="0" w:type="dxa"/>
              <w:right w:w="108" w:type="dxa"/>
            </w:tcMar>
            <w:hideMark/>
          </w:tcPr>
          <w:p w14:paraId="0DECCAF0" w14:textId="77777777" w:rsidR="000E78C4" w:rsidRPr="000A118F" w:rsidRDefault="00313511" w:rsidP="00057A7C">
            <w:pPr>
              <w:spacing w:after="0"/>
              <w:jc w:val="right"/>
              <w:rPr>
                <w:sz w:val="20"/>
                <w:szCs w:val="20"/>
              </w:rPr>
            </w:pPr>
            <w:r w:rsidRPr="000A118F">
              <w:rPr>
                <w:sz w:val="20"/>
                <w:szCs w:val="20"/>
              </w:rPr>
              <w:t xml:space="preserve"> 858 </w:t>
            </w:r>
          </w:p>
        </w:tc>
      </w:tr>
      <w:tr w:rsidR="00057A7C" w:rsidRPr="008959C0" w14:paraId="0DECCAF6" w14:textId="77777777" w:rsidTr="00943C59">
        <w:tc>
          <w:tcPr>
            <w:tcW w:w="3295" w:type="dxa"/>
            <w:shd w:val="clear" w:color="auto" w:fill="F4F4F4" w:themeFill="accent6" w:themeFillTint="33"/>
            <w:tcMar>
              <w:top w:w="0" w:type="dxa"/>
              <w:left w:w="108" w:type="dxa"/>
              <w:bottom w:w="0" w:type="dxa"/>
              <w:right w:w="108" w:type="dxa"/>
            </w:tcMar>
          </w:tcPr>
          <w:p w14:paraId="0DECCAF2" w14:textId="77777777" w:rsidR="00057A7C" w:rsidRPr="007A7DF2" w:rsidRDefault="00057A7C" w:rsidP="00057A7C">
            <w:pPr>
              <w:spacing w:after="0"/>
              <w:jc w:val="right"/>
              <w:rPr>
                <w:sz w:val="20"/>
                <w:szCs w:val="20"/>
              </w:rPr>
            </w:pPr>
            <w:r w:rsidRPr="00057A7C">
              <w:rPr>
                <w:b/>
                <w:sz w:val="20"/>
                <w:szCs w:val="20"/>
              </w:rPr>
              <w:t>TOTAL</w:t>
            </w:r>
          </w:p>
        </w:tc>
        <w:tc>
          <w:tcPr>
            <w:tcW w:w="1808" w:type="dxa"/>
            <w:shd w:val="clear" w:color="auto" w:fill="F4F4F4" w:themeFill="accent6" w:themeFillTint="33"/>
            <w:tcMar>
              <w:top w:w="0" w:type="dxa"/>
              <w:left w:w="108" w:type="dxa"/>
              <w:bottom w:w="0" w:type="dxa"/>
              <w:right w:w="108" w:type="dxa"/>
            </w:tcMar>
          </w:tcPr>
          <w:p w14:paraId="0DECCAF3" w14:textId="77777777" w:rsidR="00057A7C" w:rsidRPr="00057A7C" w:rsidRDefault="00057A7C" w:rsidP="00057A7C">
            <w:pPr>
              <w:spacing w:after="0"/>
              <w:jc w:val="right"/>
              <w:rPr>
                <w:b/>
                <w:sz w:val="20"/>
                <w:szCs w:val="20"/>
              </w:rPr>
            </w:pPr>
            <w:r w:rsidRPr="00057A7C">
              <w:rPr>
                <w:b/>
                <w:sz w:val="20"/>
                <w:szCs w:val="20"/>
              </w:rPr>
              <w:t>15,997</w:t>
            </w:r>
          </w:p>
        </w:tc>
        <w:tc>
          <w:tcPr>
            <w:tcW w:w="2308" w:type="dxa"/>
            <w:shd w:val="clear" w:color="auto" w:fill="F4F4F4" w:themeFill="accent6" w:themeFillTint="33"/>
            <w:tcMar>
              <w:top w:w="0" w:type="dxa"/>
              <w:left w:w="108" w:type="dxa"/>
              <w:bottom w:w="0" w:type="dxa"/>
              <w:right w:w="108" w:type="dxa"/>
            </w:tcMar>
          </w:tcPr>
          <w:p w14:paraId="0DECCAF4" w14:textId="77777777" w:rsidR="00057A7C" w:rsidRPr="00057A7C" w:rsidRDefault="00057A7C" w:rsidP="00057A7C">
            <w:pPr>
              <w:spacing w:after="0"/>
              <w:jc w:val="right"/>
              <w:rPr>
                <w:b/>
                <w:sz w:val="20"/>
                <w:szCs w:val="20"/>
              </w:rPr>
            </w:pPr>
            <w:r w:rsidRPr="00057A7C">
              <w:rPr>
                <w:b/>
                <w:sz w:val="20"/>
                <w:szCs w:val="20"/>
              </w:rPr>
              <w:t>23,401,892</w:t>
            </w:r>
            <w:r>
              <w:rPr>
                <w:rStyle w:val="FootnoteReference"/>
                <w:b/>
                <w:sz w:val="20"/>
                <w:szCs w:val="20"/>
              </w:rPr>
              <w:footnoteReference w:id="6"/>
            </w:r>
          </w:p>
        </w:tc>
        <w:tc>
          <w:tcPr>
            <w:tcW w:w="1940" w:type="dxa"/>
            <w:shd w:val="clear" w:color="auto" w:fill="F4F4F4" w:themeFill="accent6" w:themeFillTint="33"/>
            <w:tcMar>
              <w:top w:w="0" w:type="dxa"/>
              <w:left w:w="108" w:type="dxa"/>
              <w:bottom w:w="0" w:type="dxa"/>
              <w:right w:w="108" w:type="dxa"/>
            </w:tcMar>
          </w:tcPr>
          <w:p w14:paraId="0DECCAF5" w14:textId="77777777" w:rsidR="00057A7C" w:rsidRPr="00057A7C" w:rsidRDefault="00057A7C" w:rsidP="00057A7C">
            <w:pPr>
              <w:spacing w:after="0"/>
              <w:jc w:val="right"/>
              <w:rPr>
                <w:b/>
                <w:sz w:val="20"/>
                <w:szCs w:val="20"/>
              </w:rPr>
            </w:pPr>
            <w:r w:rsidRPr="00057A7C">
              <w:rPr>
                <w:b/>
                <w:sz w:val="20"/>
                <w:szCs w:val="20"/>
              </w:rPr>
              <w:t>1,463</w:t>
            </w:r>
          </w:p>
        </w:tc>
      </w:tr>
    </w:tbl>
    <w:p w14:paraId="0DECCAF7" w14:textId="77777777" w:rsidR="001100CE" w:rsidRPr="00E671EE" w:rsidRDefault="001100CE" w:rsidP="00241613">
      <w:pPr>
        <w:pStyle w:val="Caption"/>
        <w:keepNext/>
        <w:spacing w:before="60" w:after="120"/>
      </w:pPr>
      <w:r w:rsidRPr="00E671EE">
        <w:t xml:space="preserve">Table 1 – </w:t>
      </w:r>
      <w:r w:rsidR="00A8222D">
        <w:t>D</w:t>
      </w:r>
      <w:r w:rsidR="00A8222D" w:rsidRPr="00E671EE">
        <w:t xml:space="preserve">istribution </w:t>
      </w:r>
      <w:r w:rsidRPr="00E671EE">
        <w:t>of Telstra public payphones</w:t>
      </w:r>
    </w:p>
    <w:p w14:paraId="11B65D43" w14:textId="1614AD26" w:rsidR="003D5C14" w:rsidRDefault="00F90E06" w:rsidP="00F90E06">
      <w:pPr>
        <w:spacing w:after="160" w:line="259" w:lineRule="auto"/>
        <w:rPr>
          <w:lang w:eastAsia="en-US"/>
        </w:rPr>
      </w:pPr>
      <w:r w:rsidRPr="000A118F">
        <w:rPr>
          <w:lang w:eastAsia="en-US"/>
        </w:rPr>
        <w:t xml:space="preserve">Map 2 below shows the distribution of these payphones and relative to </w:t>
      </w:r>
      <w:r w:rsidR="005C3E4C">
        <w:rPr>
          <w:lang w:eastAsia="en-US"/>
        </w:rPr>
        <w:t xml:space="preserve">Telstra </w:t>
      </w:r>
      <w:r w:rsidRPr="000A118F">
        <w:rPr>
          <w:lang w:eastAsia="en-US"/>
        </w:rPr>
        <w:t>3G mobile coverage.</w:t>
      </w:r>
    </w:p>
    <w:p w14:paraId="0DECCAFA" w14:textId="2B2E1F0B" w:rsidR="001100CE" w:rsidRPr="00241613" w:rsidRDefault="00057A7C" w:rsidP="00241613">
      <w:pPr>
        <w:spacing w:before="60" w:after="160" w:line="259" w:lineRule="auto"/>
        <w:rPr>
          <w:i/>
          <w:iCs/>
          <w:color w:val="001C40" w:themeColor="text2"/>
          <w:sz w:val="18"/>
          <w:szCs w:val="18"/>
        </w:rPr>
      </w:pPr>
      <w:r w:rsidRPr="003C6740">
        <w:rPr>
          <w:noProof/>
          <w:lang w:eastAsia="en-AU"/>
        </w:rPr>
        <w:drawing>
          <wp:inline distT="0" distB="0" distL="0" distR="0" wp14:anchorId="0DECCBCC" wp14:editId="1F055162">
            <wp:extent cx="5786718" cy="4014801"/>
            <wp:effectExtent l="0" t="0" r="5080" b="5080"/>
            <wp:docPr id="5" name="Picture 5" descr="This is a map of Australia, with individual payphone cabinets represented as green dots. It shows a dense distribution of services along populated centres and major highways. Telstra's 3G handheld mobile coverage footprint is overlayed, showing most areas with payphones also have acess to mobile. " title="Map 2 – Distribution of Telstra public payphones and 3G handheld mobile coverage, as at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OTaskforce\Mapping\BSS-1732\Maps\Payphones attachment\BSS-1732_Telstra_PayPhones_On_3G_HH_MC.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791438" cy="4018076"/>
                    </a:xfrm>
                    <a:prstGeom prst="rect">
                      <a:avLst/>
                    </a:prstGeom>
                    <a:noFill/>
                    <a:ln>
                      <a:noFill/>
                    </a:ln>
                    <a:extLst>
                      <a:ext uri="{53640926-AAD7-44D8-BBD7-CCE9431645EC}">
                        <a14:shadowObscured xmlns:a14="http://schemas.microsoft.com/office/drawing/2010/main"/>
                      </a:ext>
                    </a:extLst>
                  </pic:spPr>
                </pic:pic>
              </a:graphicData>
            </a:graphic>
          </wp:inline>
        </w:drawing>
      </w:r>
      <w:r w:rsidR="001100CE" w:rsidRPr="00BF4A89">
        <w:rPr>
          <w:i/>
          <w:iCs/>
          <w:color w:val="001C40" w:themeColor="text2"/>
          <w:sz w:val="18"/>
          <w:szCs w:val="18"/>
        </w:rPr>
        <w:t xml:space="preserve">Map 2 – </w:t>
      </w:r>
      <w:r w:rsidR="00A8222D" w:rsidRPr="00BF4A89">
        <w:rPr>
          <w:i/>
          <w:iCs/>
          <w:color w:val="001C40" w:themeColor="text2"/>
          <w:sz w:val="18"/>
          <w:szCs w:val="18"/>
        </w:rPr>
        <w:t>D</w:t>
      </w:r>
      <w:r w:rsidR="001100CE" w:rsidRPr="00BF4A89">
        <w:rPr>
          <w:i/>
          <w:iCs/>
          <w:color w:val="001C40" w:themeColor="text2"/>
          <w:sz w:val="18"/>
          <w:szCs w:val="18"/>
        </w:rPr>
        <w:t xml:space="preserve">istribution of Telstra public payphones and </w:t>
      </w:r>
      <w:r w:rsidR="003D5C14" w:rsidRPr="00BF4A89">
        <w:rPr>
          <w:i/>
          <w:iCs/>
          <w:color w:val="001C40" w:themeColor="text2"/>
          <w:sz w:val="18"/>
          <w:szCs w:val="18"/>
        </w:rPr>
        <w:t xml:space="preserve">Telstra </w:t>
      </w:r>
      <w:r w:rsidR="001100CE" w:rsidRPr="00BF4A89">
        <w:rPr>
          <w:i/>
          <w:iCs/>
          <w:color w:val="001C40" w:themeColor="text2"/>
          <w:sz w:val="18"/>
          <w:szCs w:val="18"/>
        </w:rPr>
        <w:t xml:space="preserve">3G </w:t>
      </w:r>
      <w:r w:rsidR="0003399A" w:rsidRPr="00BF4A89">
        <w:rPr>
          <w:i/>
          <w:iCs/>
          <w:color w:val="001C40" w:themeColor="text2"/>
          <w:sz w:val="18"/>
          <w:szCs w:val="18"/>
        </w:rPr>
        <w:t xml:space="preserve">handheld </w:t>
      </w:r>
      <w:r w:rsidR="001100CE" w:rsidRPr="00BF4A89">
        <w:rPr>
          <w:i/>
          <w:iCs/>
          <w:color w:val="001C40" w:themeColor="text2"/>
          <w:sz w:val="18"/>
          <w:szCs w:val="18"/>
        </w:rPr>
        <w:t>mobile coverage</w:t>
      </w:r>
      <w:r w:rsidR="00370908" w:rsidRPr="00BF4A89">
        <w:rPr>
          <w:i/>
          <w:iCs/>
          <w:color w:val="001C40" w:themeColor="text2"/>
          <w:sz w:val="18"/>
          <w:szCs w:val="18"/>
        </w:rPr>
        <w:t>, as at September 2018</w:t>
      </w:r>
    </w:p>
    <w:p w14:paraId="0DECCAFB" w14:textId="77777777" w:rsidR="001100CE" w:rsidRPr="009E3122" w:rsidRDefault="001100CE" w:rsidP="009E3122">
      <w:pPr>
        <w:spacing w:after="0"/>
        <w:rPr>
          <w:sz w:val="16"/>
          <w:szCs w:val="16"/>
        </w:rPr>
      </w:pPr>
    </w:p>
    <w:p w14:paraId="0DECCAFC" w14:textId="77777777" w:rsidR="00EA25E0" w:rsidRDefault="00EA25E0" w:rsidP="00EA25E0">
      <w:pPr>
        <w:rPr>
          <w:lang w:eastAsia="en-US"/>
        </w:rPr>
      </w:pPr>
      <w:r w:rsidRPr="00E628A9">
        <w:rPr>
          <w:lang w:eastAsia="en-US"/>
        </w:rPr>
        <w:t>In 2017</w:t>
      </w:r>
      <w:r>
        <w:rPr>
          <w:rFonts w:ascii="Arial" w:hAnsi="Arial" w:cs="Arial"/>
          <w:lang w:eastAsia="en-US"/>
        </w:rPr>
        <w:t>‒</w:t>
      </w:r>
      <w:r w:rsidRPr="00E628A9">
        <w:rPr>
          <w:lang w:eastAsia="en-US"/>
        </w:rPr>
        <w:t xml:space="preserve">18, </w:t>
      </w:r>
      <w:r>
        <w:rPr>
          <w:lang w:eastAsia="en-US"/>
        </w:rPr>
        <w:t xml:space="preserve">Australians made </w:t>
      </w:r>
      <w:r w:rsidRPr="000A118F">
        <w:rPr>
          <w:lang w:eastAsia="en-US"/>
        </w:rPr>
        <w:t>9.7 million calls</w:t>
      </w:r>
      <w:r w:rsidRPr="00E628A9">
        <w:rPr>
          <w:lang w:eastAsia="en-US"/>
        </w:rPr>
        <w:t xml:space="preserve"> from Telstra-operated public payphones</w:t>
      </w:r>
      <w:r>
        <w:rPr>
          <w:lang w:eastAsia="en-US"/>
        </w:rPr>
        <w:t>, or an average of 27,000 calls a day</w:t>
      </w:r>
      <w:r w:rsidRPr="00E628A9">
        <w:rPr>
          <w:lang w:eastAsia="en-US"/>
        </w:rPr>
        <w:t>.</w:t>
      </w:r>
      <w:r w:rsidRPr="00CA64D0">
        <w:rPr>
          <w:rStyle w:val="FootnoteReference"/>
          <w:lang w:eastAsia="en-US"/>
        </w:rPr>
        <w:footnoteReference w:id="7"/>
      </w:r>
      <w:r w:rsidRPr="00E628A9">
        <w:rPr>
          <w:lang w:eastAsia="en-US"/>
        </w:rPr>
        <w:t xml:space="preserve"> </w:t>
      </w:r>
      <w:r w:rsidRPr="000A118F">
        <w:rPr>
          <w:lang w:eastAsia="en-US"/>
        </w:rPr>
        <w:t xml:space="preserve">This contrasts with a reported 400 million calls and data sessions </w:t>
      </w:r>
      <w:r>
        <w:rPr>
          <w:lang w:eastAsia="en-US"/>
        </w:rPr>
        <w:t xml:space="preserve">made daily across </w:t>
      </w:r>
      <w:r w:rsidRPr="000A118F">
        <w:rPr>
          <w:lang w:eastAsia="en-US"/>
        </w:rPr>
        <w:t xml:space="preserve">the </w:t>
      </w:r>
      <w:r>
        <w:rPr>
          <w:lang w:eastAsia="en-US"/>
        </w:rPr>
        <w:t xml:space="preserve">entire </w:t>
      </w:r>
      <w:r w:rsidRPr="000A118F">
        <w:rPr>
          <w:lang w:eastAsia="en-US"/>
        </w:rPr>
        <w:t>Telstra network</w:t>
      </w:r>
      <w:r w:rsidRPr="00E628A9">
        <w:rPr>
          <w:lang w:eastAsia="en-US"/>
        </w:rPr>
        <w:t>.</w:t>
      </w:r>
      <w:r w:rsidRPr="00CA64D0">
        <w:rPr>
          <w:rStyle w:val="FootnoteReference"/>
          <w:lang w:eastAsia="en-US"/>
        </w:rPr>
        <w:footnoteReference w:id="8"/>
      </w:r>
    </w:p>
    <w:p w14:paraId="0DECCAFD" w14:textId="77777777" w:rsidR="00EA25E0" w:rsidRDefault="00EA25E0" w:rsidP="00D565A6">
      <w:r>
        <w:t>P</w:t>
      </w:r>
      <w:r w:rsidR="001100CE" w:rsidRPr="001100CE">
        <w:rPr>
          <w:lang w:eastAsia="en-US"/>
        </w:rPr>
        <w:t>ayphone usage has been steadily declining in Australia, with annual usage falling 18% between 2017 and 2018, and by 76% overall since the USO contract came into force in 2012 (Figure 1).</w:t>
      </w:r>
      <w:r w:rsidR="001100CE">
        <w:rPr>
          <w:lang w:eastAsia="en-US"/>
        </w:rPr>
        <w:t xml:space="preserve"> </w:t>
      </w:r>
      <w:r w:rsidR="00943C59" w:rsidRPr="00EA25E0">
        <w:t xml:space="preserve">Less than </w:t>
      </w:r>
      <w:r w:rsidR="00943C59">
        <w:t>3%</w:t>
      </w:r>
      <w:r w:rsidR="00943C59" w:rsidRPr="00EA25E0">
        <w:t xml:space="preserve"> of Australians report using a public payphone in the previous six months at June 2018, unchanged from the previous year.</w:t>
      </w:r>
      <w:r w:rsidR="00943C59" w:rsidRPr="00EA25E0">
        <w:rPr>
          <w:rStyle w:val="FootnoteReference"/>
        </w:rPr>
        <w:footnoteReference w:id="9"/>
      </w:r>
    </w:p>
    <w:p w14:paraId="0DECCAFF" w14:textId="603A8828" w:rsidR="00355314" w:rsidRDefault="003D5C14" w:rsidP="003D5C14">
      <w:pPr>
        <w:pStyle w:val="Caption"/>
        <w:spacing w:after="240" w:line="276" w:lineRule="auto"/>
      </w:pPr>
      <w:r>
        <w:rPr>
          <w:noProof/>
          <w:lang w:eastAsia="en-AU"/>
        </w:rPr>
        <w:drawing>
          <wp:inline distT="0" distB="0" distL="0" distR="0" wp14:anchorId="4D10B326" wp14:editId="7BC43AC5">
            <wp:extent cx="5858510" cy="2414270"/>
            <wp:effectExtent l="0" t="0" r="8890" b="5080"/>
            <wp:docPr id="7" name="Picture 7" descr="Figure 1 shows the decline of payphone calls from around 40 million in the year ending 30 June 2012, to 10 million in the year ending 30 June 2018. While all call categories have decreased, calls made to local numbers have decreased the most." title="Figure 1. Telstra public payphone call volumes, by call type, 20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8510" cy="2414270"/>
                    </a:xfrm>
                    <a:prstGeom prst="rect">
                      <a:avLst/>
                    </a:prstGeom>
                    <a:noFill/>
                  </pic:spPr>
                </pic:pic>
              </a:graphicData>
            </a:graphic>
          </wp:inline>
        </w:drawing>
      </w:r>
      <w:r w:rsidR="00355314">
        <w:t>Figure 1</w:t>
      </w:r>
      <w:r w:rsidR="00A8222D">
        <w:t xml:space="preserve"> </w:t>
      </w:r>
      <w:r w:rsidR="00A8222D" w:rsidRPr="00E671EE">
        <w:t>–</w:t>
      </w:r>
      <w:r w:rsidR="00355314">
        <w:t xml:space="preserve"> </w:t>
      </w:r>
      <w:r w:rsidR="00355314" w:rsidRPr="004A2A5B">
        <w:t>Payphone call volumes, by main call category, June 2012-2018</w:t>
      </w:r>
      <w:r w:rsidR="00160D83">
        <w:t xml:space="preserve">. </w:t>
      </w:r>
      <w:r w:rsidR="00160D83" w:rsidRPr="00160D83">
        <w:t>Excludes Triple Zero calls, SMS and other low volume call types (e.g. 1900 premium services)</w:t>
      </w:r>
      <w:r w:rsidR="00160D83">
        <w:t xml:space="preserve"> due to data limitations.</w:t>
      </w:r>
    </w:p>
    <w:p w14:paraId="0DECCB00" w14:textId="77777777" w:rsidR="00692BDD" w:rsidRDefault="00B56B69" w:rsidP="004B2F98">
      <w:r w:rsidRPr="000A118F">
        <w:rPr>
          <w:lang w:eastAsia="en-US"/>
        </w:rPr>
        <w:t>Access to call data for all payphones in Australia in 2017</w:t>
      </w:r>
      <w:r w:rsidR="00C511F7">
        <w:rPr>
          <w:rFonts w:ascii="Arial" w:hAnsi="Arial" w:cs="Arial"/>
          <w:lang w:eastAsia="en-US"/>
        </w:rPr>
        <w:t>‒</w:t>
      </w:r>
      <w:r w:rsidRPr="000A118F">
        <w:rPr>
          <w:lang w:eastAsia="en-US"/>
        </w:rPr>
        <w:t>18 enable</w:t>
      </w:r>
      <w:r w:rsidR="00355314" w:rsidRPr="000A118F">
        <w:rPr>
          <w:lang w:eastAsia="en-US"/>
        </w:rPr>
        <w:t>d</w:t>
      </w:r>
      <w:r w:rsidRPr="000A118F">
        <w:rPr>
          <w:lang w:eastAsia="en-US"/>
        </w:rPr>
        <w:t xml:space="preserve"> unprecedented analysis of payphone use. </w:t>
      </w:r>
      <w:r w:rsidR="00692BDD" w:rsidRPr="000A118F">
        <w:t xml:space="preserve">The main reason for using a payphone was to call a mobile phone (39%), followed by calls to national (22%) and local (18%) numbers (Figure </w:t>
      </w:r>
      <w:r w:rsidR="00A8222D" w:rsidRPr="000A118F">
        <w:t>2</w:t>
      </w:r>
      <w:r w:rsidR="00692BDD" w:rsidRPr="000A118F">
        <w:t>).</w:t>
      </w:r>
    </w:p>
    <w:p w14:paraId="0DECCB02" w14:textId="08668018" w:rsidR="001100CE" w:rsidRPr="00241613" w:rsidRDefault="003D5C14" w:rsidP="00BF4A89">
      <w:pPr>
        <w:rPr>
          <w:i/>
          <w:iCs/>
          <w:color w:val="001C40" w:themeColor="text2"/>
          <w:sz w:val="18"/>
          <w:szCs w:val="18"/>
        </w:rPr>
      </w:pPr>
      <w:r>
        <w:rPr>
          <w:noProof/>
          <w:lang w:eastAsia="en-AU"/>
        </w:rPr>
        <w:drawing>
          <wp:inline distT="0" distB="0" distL="0" distR="0" wp14:anchorId="4C0C3F3D" wp14:editId="154C44D3">
            <wp:extent cx="5932170" cy="2332616"/>
            <wp:effectExtent l="0" t="0" r="0" b="0"/>
            <wp:docPr id="4" name="Picture 4" descr="A stacked bar chart, showing the breakdown of payphone calls in 2017-18 according to call category. It shows calls to mobile are the most popular calls, followed by national calls, local calls. Calls to 1800, 1900, Triple Zero, or international numbers make up less than 15%." title="Figure 2. Percentage of payphone call volumes, by call category, year ending 30 June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7796"/>
                    <a:stretch/>
                  </pic:blipFill>
                  <pic:spPr bwMode="auto">
                    <a:xfrm>
                      <a:off x="0" y="0"/>
                      <a:ext cx="5932170" cy="2332616"/>
                    </a:xfrm>
                    <a:prstGeom prst="rect">
                      <a:avLst/>
                    </a:prstGeom>
                    <a:noFill/>
                    <a:ln>
                      <a:noFill/>
                    </a:ln>
                    <a:extLst>
                      <a:ext uri="{53640926-AAD7-44D8-BBD7-CCE9431645EC}">
                        <a14:shadowObscured xmlns:a14="http://schemas.microsoft.com/office/drawing/2010/main"/>
                      </a:ext>
                    </a:extLst>
                  </pic:spPr>
                </pic:pic>
              </a:graphicData>
            </a:graphic>
          </wp:inline>
        </w:drawing>
      </w:r>
      <w:r w:rsidR="001100CE" w:rsidRPr="00BF4A89">
        <w:rPr>
          <w:i/>
          <w:iCs/>
          <w:color w:val="001C40" w:themeColor="text2"/>
          <w:sz w:val="18"/>
          <w:szCs w:val="18"/>
        </w:rPr>
        <w:t>Figure 2. Percentage of payphone call volumes, by call category, year ending 30 June 2018</w:t>
      </w:r>
    </w:p>
    <w:p w14:paraId="0DECCB03" w14:textId="77777777" w:rsidR="0082755E" w:rsidRDefault="0082755E" w:rsidP="00667A88">
      <w:pPr>
        <w:rPr>
          <w:lang w:eastAsia="en-US"/>
        </w:rPr>
      </w:pPr>
      <w:r>
        <w:rPr>
          <w:lang w:eastAsia="en-US"/>
        </w:rPr>
        <w:lastRenderedPageBreak/>
        <w:t xml:space="preserve">Payphones represent a very small percentage of </w:t>
      </w:r>
      <w:r w:rsidR="00625D52">
        <w:rPr>
          <w:lang w:eastAsia="en-US"/>
        </w:rPr>
        <w:t xml:space="preserve">total </w:t>
      </w:r>
      <w:r>
        <w:rPr>
          <w:lang w:eastAsia="en-US"/>
        </w:rPr>
        <w:t>calls made to emergency services</w:t>
      </w:r>
      <w:r w:rsidR="00065C7A">
        <w:rPr>
          <w:lang w:eastAsia="en-US"/>
        </w:rPr>
        <w:t xml:space="preserve"> in Australia</w:t>
      </w:r>
      <w:r>
        <w:rPr>
          <w:lang w:eastAsia="en-US"/>
        </w:rPr>
        <w:t xml:space="preserve">, </w:t>
      </w:r>
      <w:r w:rsidR="00065C7A">
        <w:rPr>
          <w:lang w:eastAsia="en-US"/>
        </w:rPr>
        <w:t>making up</w:t>
      </w:r>
      <w:r>
        <w:rPr>
          <w:lang w:eastAsia="en-US"/>
        </w:rPr>
        <w:t xml:space="preserve"> </w:t>
      </w:r>
      <w:r w:rsidR="00625D52">
        <w:rPr>
          <w:lang w:eastAsia="en-US"/>
        </w:rPr>
        <w:t xml:space="preserve">just </w:t>
      </w:r>
      <w:r w:rsidR="00DC12DA">
        <w:rPr>
          <w:lang w:eastAsia="en-US"/>
        </w:rPr>
        <w:t>2.3% of Triple Zero call volumes</w:t>
      </w:r>
      <w:r>
        <w:rPr>
          <w:lang w:eastAsia="en-US"/>
        </w:rPr>
        <w:t xml:space="preserve"> in 2016-17</w:t>
      </w:r>
      <w:r w:rsidR="00DC12DA">
        <w:rPr>
          <w:lang w:eastAsia="en-US"/>
        </w:rPr>
        <w:t>.</w:t>
      </w:r>
      <w:r w:rsidR="00667A88">
        <w:rPr>
          <w:rStyle w:val="FootnoteReference"/>
          <w:lang w:eastAsia="en-US"/>
        </w:rPr>
        <w:footnoteReference w:id="10"/>
      </w:r>
      <w:r w:rsidR="00667A88">
        <w:rPr>
          <w:lang w:eastAsia="en-US"/>
        </w:rPr>
        <w:t xml:space="preserve"> </w:t>
      </w:r>
      <w:r w:rsidR="00065C7A">
        <w:rPr>
          <w:lang w:eastAsia="en-US"/>
        </w:rPr>
        <w:t>By</w:t>
      </w:r>
      <w:r w:rsidR="00DC12DA" w:rsidRPr="00AD1DA6">
        <w:rPr>
          <w:lang w:eastAsia="en-US"/>
        </w:rPr>
        <w:t xml:space="preserve"> contrast</w:t>
      </w:r>
      <w:r w:rsidR="00065C7A">
        <w:rPr>
          <w:lang w:eastAsia="en-US"/>
        </w:rPr>
        <w:t>,</w:t>
      </w:r>
      <w:r w:rsidR="00DC12DA" w:rsidRPr="00AD1DA6">
        <w:rPr>
          <w:lang w:eastAsia="en-US"/>
        </w:rPr>
        <w:t xml:space="preserve"> </w:t>
      </w:r>
      <w:r w:rsidR="00625D52">
        <w:rPr>
          <w:lang w:eastAsia="en-US"/>
        </w:rPr>
        <w:t xml:space="preserve">mobiles accounted for </w:t>
      </w:r>
      <w:r>
        <w:rPr>
          <w:lang w:eastAsia="en-US"/>
        </w:rPr>
        <w:t>69.7%</w:t>
      </w:r>
      <w:r w:rsidR="00DC12DA">
        <w:rPr>
          <w:lang w:eastAsia="en-US"/>
        </w:rPr>
        <w:t xml:space="preserve"> </w:t>
      </w:r>
      <w:r>
        <w:rPr>
          <w:lang w:eastAsia="en-US"/>
        </w:rPr>
        <w:t xml:space="preserve">of </w:t>
      </w:r>
      <w:r w:rsidR="00DC12DA">
        <w:rPr>
          <w:lang w:eastAsia="en-US"/>
        </w:rPr>
        <w:t xml:space="preserve">Triple Zero </w:t>
      </w:r>
      <w:r>
        <w:rPr>
          <w:lang w:eastAsia="en-US"/>
        </w:rPr>
        <w:t>calls</w:t>
      </w:r>
      <w:r w:rsidR="00DC12DA">
        <w:rPr>
          <w:lang w:eastAsia="en-US"/>
        </w:rPr>
        <w:t xml:space="preserve">, </w:t>
      </w:r>
      <w:r w:rsidR="00625D52">
        <w:rPr>
          <w:lang w:eastAsia="en-US"/>
        </w:rPr>
        <w:t xml:space="preserve">with the remaining </w:t>
      </w:r>
      <w:r>
        <w:rPr>
          <w:lang w:eastAsia="en-US"/>
        </w:rPr>
        <w:t>28.0%</w:t>
      </w:r>
      <w:r w:rsidR="00DC12DA">
        <w:rPr>
          <w:lang w:eastAsia="en-US"/>
        </w:rPr>
        <w:t xml:space="preserve"> </w:t>
      </w:r>
      <w:r w:rsidR="00625D52">
        <w:rPr>
          <w:lang w:eastAsia="en-US"/>
        </w:rPr>
        <w:t xml:space="preserve">of </w:t>
      </w:r>
      <w:r w:rsidR="00DC12DA">
        <w:rPr>
          <w:lang w:eastAsia="en-US"/>
        </w:rPr>
        <w:t>calls</w:t>
      </w:r>
      <w:r w:rsidR="00625D52">
        <w:rPr>
          <w:lang w:eastAsia="en-US"/>
        </w:rPr>
        <w:t xml:space="preserve"> originating</w:t>
      </w:r>
      <w:r w:rsidR="00065C7A">
        <w:rPr>
          <w:lang w:eastAsia="en-US"/>
        </w:rPr>
        <w:t xml:space="preserve"> </w:t>
      </w:r>
      <w:r w:rsidR="00DC12DA">
        <w:rPr>
          <w:lang w:eastAsia="en-US"/>
        </w:rPr>
        <w:t>from landline</w:t>
      </w:r>
      <w:r w:rsidR="00065C7A">
        <w:rPr>
          <w:lang w:eastAsia="en-US"/>
        </w:rPr>
        <w:t xml:space="preserve"> telephones</w:t>
      </w:r>
      <w:r w:rsidR="00DC12DA">
        <w:rPr>
          <w:lang w:eastAsia="en-US"/>
        </w:rPr>
        <w:t>.</w:t>
      </w:r>
      <w:r w:rsidR="00DC12DA" w:rsidRPr="00AD1DA6">
        <w:rPr>
          <w:rStyle w:val="FootnoteReference"/>
          <w:lang w:eastAsia="en-US"/>
        </w:rPr>
        <w:footnoteReference w:id="11"/>
      </w:r>
    </w:p>
    <w:p w14:paraId="0DECCB04" w14:textId="77777777" w:rsidR="00667A88" w:rsidRDefault="00065C7A" w:rsidP="00667A88">
      <w:pPr>
        <w:rPr>
          <w:lang w:eastAsia="en-US"/>
        </w:rPr>
      </w:pPr>
      <w:r>
        <w:rPr>
          <w:lang w:eastAsia="en-US"/>
        </w:rPr>
        <w:t xml:space="preserve">According to Telstra data, </w:t>
      </w:r>
      <w:r w:rsidR="0082755E">
        <w:rPr>
          <w:lang w:eastAsia="en-US"/>
        </w:rPr>
        <w:t xml:space="preserve">around 200,000 payphone calls were made and connected to the Triple Zero emergency </w:t>
      </w:r>
      <w:r w:rsidR="00D50624">
        <w:rPr>
          <w:lang w:eastAsia="en-US"/>
        </w:rPr>
        <w:t xml:space="preserve">call </w:t>
      </w:r>
      <w:r w:rsidR="0082755E">
        <w:rPr>
          <w:lang w:eastAsia="en-US"/>
        </w:rPr>
        <w:t>service</w:t>
      </w:r>
      <w:r>
        <w:rPr>
          <w:lang w:eastAsia="en-US"/>
        </w:rPr>
        <w:t xml:space="preserve"> in 2017-18</w:t>
      </w:r>
      <w:r w:rsidR="0082755E">
        <w:rPr>
          <w:lang w:eastAsia="en-US"/>
        </w:rPr>
        <w:t>.</w:t>
      </w:r>
      <w:r w:rsidR="00DC12DA">
        <w:rPr>
          <w:lang w:eastAsia="en-US"/>
        </w:rPr>
        <w:t xml:space="preserve"> </w:t>
      </w:r>
      <w:r w:rsidR="00D50624">
        <w:rPr>
          <w:lang w:eastAsia="en-US"/>
        </w:rPr>
        <w:t>However, o</w:t>
      </w:r>
      <w:r w:rsidR="00DC12DA">
        <w:rPr>
          <w:lang w:eastAsia="en-US"/>
        </w:rPr>
        <w:t>nly 104,000 of these calls (</w:t>
      </w:r>
      <w:r w:rsidR="00AD737D">
        <w:rPr>
          <w:lang w:eastAsia="en-US"/>
        </w:rPr>
        <w:t>5</w:t>
      </w:r>
      <w:r w:rsidR="0082755E">
        <w:rPr>
          <w:lang w:eastAsia="en-US"/>
        </w:rPr>
        <w:t>2</w:t>
      </w:r>
      <w:r w:rsidR="00DC12DA">
        <w:rPr>
          <w:lang w:eastAsia="en-US"/>
        </w:rPr>
        <w:t>%) were</w:t>
      </w:r>
      <w:r w:rsidR="00723767">
        <w:rPr>
          <w:lang w:eastAsia="en-US"/>
        </w:rPr>
        <w:t xml:space="preserve"> </w:t>
      </w:r>
      <w:r w:rsidR="00DC12DA">
        <w:rPr>
          <w:lang w:eastAsia="en-US"/>
        </w:rPr>
        <w:t xml:space="preserve">considered </w:t>
      </w:r>
      <w:r w:rsidR="00D50624">
        <w:rPr>
          <w:lang w:eastAsia="en-US"/>
        </w:rPr>
        <w:t xml:space="preserve">by the operator to represent </w:t>
      </w:r>
      <w:r w:rsidR="00DC12DA">
        <w:rPr>
          <w:lang w:eastAsia="en-US"/>
        </w:rPr>
        <w:t xml:space="preserve">genuine emergencies and transferred on to either police, fire or ambulance </w:t>
      </w:r>
      <w:r w:rsidR="00DC12DA" w:rsidRPr="00407856">
        <w:rPr>
          <w:lang w:eastAsia="en-US"/>
        </w:rPr>
        <w:t>services</w:t>
      </w:r>
      <w:r w:rsidR="0089081A" w:rsidRPr="00407856">
        <w:rPr>
          <w:lang w:eastAsia="en-US"/>
        </w:rPr>
        <w:t>.</w:t>
      </w:r>
      <w:r w:rsidR="00667A88" w:rsidRPr="000A118F">
        <w:rPr>
          <w:rStyle w:val="FootnoteReference"/>
          <w:lang w:eastAsia="en-US"/>
        </w:rPr>
        <w:footnoteReference w:id="12"/>
      </w:r>
    </w:p>
    <w:p w14:paraId="0DECCB05" w14:textId="77777777" w:rsidR="00A31B78" w:rsidRPr="00AD1DA6" w:rsidRDefault="00D7696A" w:rsidP="00667A88">
      <w:pPr>
        <w:rPr>
          <w:lang w:eastAsia="en-US"/>
        </w:rPr>
      </w:pPr>
      <w:r>
        <w:rPr>
          <w:lang w:eastAsia="en-US"/>
        </w:rPr>
        <w:t xml:space="preserve">The payphone usage </w:t>
      </w:r>
      <w:r w:rsidR="00A31B78">
        <w:rPr>
          <w:lang w:eastAsia="en-US"/>
        </w:rPr>
        <w:t xml:space="preserve">data is heavily skewed by a small number of very high usage payphones. The most used 500 payphones in Australia, for example, represent just 3% of Telstra’ total fleet but accounted for 17% of all payphone calls in 2017-18. </w:t>
      </w:r>
      <w:r w:rsidR="00A31B78">
        <w:t xml:space="preserve">The data also </w:t>
      </w:r>
      <w:r>
        <w:t xml:space="preserve">suggests </w:t>
      </w:r>
      <w:r w:rsidR="00A31B78">
        <w:t xml:space="preserve">that while these frequently used payphones may breakeven on a standalone basis, the average payphone in Australia is used approximately 11 times per week and is </w:t>
      </w:r>
      <w:r>
        <w:t xml:space="preserve">likely </w:t>
      </w:r>
      <w:r w:rsidR="00A31B78">
        <w:t>loss-making.</w:t>
      </w:r>
    </w:p>
    <w:p w14:paraId="0DECCB06" w14:textId="77777777" w:rsidR="007E441E" w:rsidRPr="00950DB6" w:rsidRDefault="00013964" w:rsidP="00950DB6">
      <w:pPr>
        <w:pStyle w:val="Heading3"/>
      </w:pPr>
      <w:bookmarkStart w:id="69" w:name="_Toc529783728"/>
      <w:r w:rsidRPr="00950DB6">
        <w:t>D</w:t>
      </w:r>
      <w:r w:rsidR="00B56B69" w:rsidRPr="00950DB6">
        <w:t xml:space="preserve">elivery </w:t>
      </w:r>
      <w:r w:rsidR="003F2108" w:rsidRPr="00950DB6">
        <w:t>technologies</w:t>
      </w:r>
      <w:bookmarkEnd w:id="69"/>
    </w:p>
    <w:p w14:paraId="0DECCB07" w14:textId="77777777" w:rsidR="007E441E" w:rsidRDefault="0087520C" w:rsidP="00990973">
      <w:pPr>
        <w:rPr>
          <w:lang w:eastAsia="en-US"/>
        </w:rPr>
      </w:pPr>
      <w:r>
        <w:rPr>
          <w:lang w:eastAsia="en-US"/>
        </w:rPr>
        <w:t>We</w:t>
      </w:r>
      <w:r w:rsidR="00F93C85">
        <w:rPr>
          <w:lang w:eastAsia="en-US"/>
        </w:rPr>
        <w:t xml:space="preserve"> </w:t>
      </w:r>
      <w:r w:rsidR="00BD7531">
        <w:rPr>
          <w:lang w:eastAsia="en-US"/>
        </w:rPr>
        <w:t>examined</w:t>
      </w:r>
      <w:r w:rsidR="00F93C85">
        <w:rPr>
          <w:lang w:eastAsia="en-US"/>
        </w:rPr>
        <w:t xml:space="preserve"> both existing and emer</w:t>
      </w:r>
      <w:r w:rsidR="00BD7531">
        <w:rPr>
          <w:lang w:eastAsia="en-US"/>
        </w:rPr>
        <w:t xml:space="preserve">ging technologies </w:t>
      </w:r>
      <w:r w:rsidR="00C33D6F">
        <w:rPr>
          <w:lang w:eastAsia="en-US"/>
        </w:rPr>
        <w:t>to</w:t>
      </w:r>
      <w:r w:rsidR="00BD7531">
        <w:rPr>
          <w:lang w:eastAsia="en-US"/>
        </w:rPr>
        <w:t xml:space="preserve"> </w:t>
      </w:r>
      <w:r w:rsidR="004E5654">
        <w:rPr>
          <w:lang w:eastAsia="en-US"/>
        </w:rPr>
        <w:t xml:space="preserve">understand and cost the options available </w:t>
      </w:r>
      <w:r w:rsidR="00F93C85">
        <w:rPr>
          <w:lang w:eastAsia="en-US"/>
        </w:rPr>
        <w:t>for the delivery of voice services</w:t>
      </w:r>
      <w:r w:rsidR="006C2EF1">
        <w:rPr>
          <w:lang w:eastAsia="en-US"/>
        </w:rPr>
        <w:t xml:space="preserve"> under </w:t>
      </w:r>
      <w:r w:rsidR="00E85320">
        <w:rPr>
          <w:lang w:eastAsia="en-US"/>
        </w:rPr>
        <w:t xml:space="preserve">a </w:t>
      </w:r>
      <w:r w:rsidR="006C2EF1">
        <w:rPr>
          <w:lang w:eastAsia="en-US"/>
        </w:rPr>
        <w:t>new USG</w:t>
      </w:r>
      <w:r w:rsidR="00F93C85">
        <w:rPr>
          <w:lang w:eastAsia="en-US"/>
        </w:rPr>
        <w:t xml:space="preserve">. </w:t>
      </w:r>
      <w:r w:rsidR="004E5654">
        <w:rPr>
          <w:lang w:eastAsia="en-US"/>
        </w:rPr>
        <w:t xml:space="preserve">Network </w:t>
      </w:r>
      <w:r w:rsidR="007E441E">
        <w:rPr>
          <w:lang w:eastAsia="en-US"/>
        </w:rPr>
        <w:t>S</w:t>
      </w:r>
      <w:r w:rsidR="004E5654">
        <w:rPr>
          <w:lang w:eastAsia="en-US"/>
        </w:rPr>
        <w:t>trategies assisted with this work</w:t>
      </w:r>
      <w:r w:rsidR="00DC0F99">
        <w:rPr>
          <w:lang w:eastAsia="en-US"/>
        </w:rPr>
        <w:t>,</w:t>
      </w:r>
      <w:r w:rsidR="004E5654">
        <w:rPr>
          <w:lang w:eastAsia="en-US"/>
        </w:rPr>
        <w:t xml:space="preserve"> as did consultations with industry. </w:t>
      </w:r>
    </w:p>
    <w:p w14:paraId="0DECCB08" w14:textId="77777777" w:rsidR="00F93C85" w:rsidRPr="009D45AB" w:rsidRDefault="007E441E" w:rsidP="000A118F">
      <w:pPr>
        <w:pStyle w:val="Heading4"/>
      </w:pPr>
      <w:r w:rsidRPr="009D45AB">
        <w:t>V</w:t>
      </w:r>
      <w:r w:rsidR="00380415">
        <w:t>o</w:t>
      </w:r>
      <w:r w:rsidRPr="009D45AB">
        <w:t>IP</w:t>
      </w:r>
    </w:p>
    <w:p w14:paraId="0DECCB09" w14:textId="77777777" w:rsidR="00E2700A" w:rsidRDefault="007E441E" w:rsidP="007E441E">
      <w:pPr>
        <w:rPr>
          <w:lang w:eastAsia="en-US"/>
        </w:rPr>
      </w:pPr>
      <w:r>
        <w:rPr>
          <w:lang w:eastAsia="en-US"/>
        </w:rPr>
        <w:t xml:space="preserve">A number of </w:t>
      </w:r>
      <w:r w:rsidR="00A8222D">
        <w:rPr>
          <w:lang w:eastAsia="en-US"/>
        </w:rPr>
        <w:t xml:space="preserve">consumer </w:t>
      </w:r>
      <w:r w:rsidR="00BC7F82">
        <w:rPr>
          <w:lang w:eastAsia="en-US"/>
        </w:rPr>
        <w:t>representatives</w:t>
      </w:r>
      <w:r>
        <w:rPr>
          <w:lang w:eastAsia="en-US"/>
        </w:rPr>
        <w:t xml:space="preserve"> expressed concerns about the delivery of voice </w:t>
      </w:r>
      <w:r w:rsidR="00692BDD">
        <w:rPr>
          <w:lang w:eastAsia="en-US"/>
        </w:rPr>
        <w:t>service</w:t>
      </w:r>
      <w:r w:rsidR="00D565A6">
        <w:rPr>
          <w:lang w:eastAsia="en-US"/>
        </w:rPr>
        <w:t>s</w:t>
      </w:r>
      <w:r>
        <w:rPr>
          <w:lang w:eastAsia="en-US"/>
        </w:rPr>
        <w:t xml:space="preserve"> using </w:t>
      </w:r>
      <w:r w:rsidR="00E85320">
        <w:rPr>
          <w:lang w:eastAsia="en-US"/>
        </w:rPr>
        <w:t>V</w:t>
      </w:r>
      <w:r>
        <w:rPr>
          <w:lang w:eastAsia="en-US"/>
        </w:rPr>
        <w:t>oice o</w:t>
      </w:r>
      <w:r w:rsidR="0037227B">
        <w:rPr>
          <w:lang w:eastAsia="en-US"/>
        </w:rPr>
        <w:t>ver</w:t>
      </w:r>
      <w:r>
        <w:rPr>
          <w:lang w:eastAsia="en-US"/>
        </w:rPr>
        <w:t xml:space="preserve"> Internet </w:t>
      </w:r>
      <w:r w:rsidR="00E85320">
        <w:rPr>
          <w:lang w:eastAsia="en-US"/>
        </w:rPr>
        <w:t>P</w:t>
      </w:r>
      <w:r>
        <w:rPr>
          <w:lang w:eastAsia="en-US"/>
        </w:rPr>
        <w:t>rotocol</w:t>
      </w:r>
      <w:r w:rsidR="0031731F">
        <w:rPr>
          <w:lang w:eastAsia="en-US"/>
        </w:rPr>
        <w:t xml:space="preserve"> (</w:t>
      </w:r>
      <w:r>
        <w:rPr>
          <w:lang w:eastAsia="en-US"/>
        </w:rPr>
        <w:t>V</w:t>
      </w:r>
      <w:r w:rsidR="00D565A6">
        <w:rPr>
          <w:lang w:eastAsia="en-US"/>
        </w:rPr>
        <w:t>o</w:t>
      </w:r>
      <w:r>
        <w:rPr>
          <w:lang w:eastAsia="en-US"/>
        </w:rPr>
        <w:t>IP</w:t>
      </w:r>
      <w:r w:rsidR="0031731F">
        <w:rPr>
          <w:lang w:eastAsia="en-US"/>
        </w:rPr>
        <w:t>)</w:t>
      </w:r>
      <w:r>
        <w:rPr>
          <w:lang w:eastAsia="en-US"/>
        </w:rPr>
        <w:t xml:space="preserve">. </w:t>
      </w:r>
      <w:r w:rsidR="006D548C">
        <w:rPr>
          <w:lang w:eastAsia="en-US"/>
        </w:rPr>
        <w:t>M</w:t>
      </w:r>
      <w:r w:rsidR="0031731F">
        <w:rPr>
          <w:lang w:eastAsia="en-US"/>
        </w:rPr>
        <w:t>any perceive</w:t>
      </w:r>
      <w:r w:rsidR="00F00778">
        <w:rPr>
          <w:lang w:eastAsia="en-US"/>
        </w:rPr>
        <w:t>d</w:t>
      </w:r>
      <w:r w:rsidR="0031731F">
        <w:rPr>
          <w:lang w:eastAsia="en-US"/>
        </w:rPr>
        <w:t xml:space="preserve"> VoIP as </w:t>
      </w:r>
      <w:r w:rsidR="006D548C">
        <w:rPr>
          <w:lang w:eastAsia="en-US"/>
        </w:rPr>
        <w:t xml:space="preserve">delivering a </w:t>
      </w:r>
      <w:r w:rsidR="0031731F">
        <w:rPr>
          <w:lang w:eastAsia="en-US"/>
        </w:rPr>
        <w:t xml:space="preserve">lower quality </w:t>
      </w:r>
      <w:r w:rsidR="006D548C">
        <w:rPr>
          <w:lang w:eastAsia="en-US"/>
        </w:rPr>
        <w:t>service than what is provided over traditional public-switched telephone networks (PSTN)</w:t>
      </w:r>
      <w:r w:rsidR="00D67FCC">
        <w:rPr>
          <w:lang w:eastAsia="en-US"/>
        </w:rPr>
        <w:t>. This is</w:t>
      </w:r>
      <w:r w:rsidR="00F00778">
        <w:rPr>
          <w:lang w:eastAsia="en-US"/>
        </w:rPr>
        <w:t xml:space="preserve"> </w:t>
      </w:r>
      <w:r w:rsidR="006D548C">
        <w:rPr>
          <w:lang w:eastAsia="en-US"/>
        </w:rPr>
        <w:t xml:space="preserve">possibly influenced by poor user experiences when using VoIP services over particular network technologies, like satellite, or </w:t>
      </w:r>
      <w:r w:rsidR="00E2700A">
        <w:rPr>
          <w:lang w:eastAsia="en-US"/>
        </w:rPr>
        <w:t xml:space="preserve">using unmanaged </w:t>
      </w:r>
      <w:r w:rsidR="006D548C">
        <w:rPr>
          <w:lang w:eastAsia="en-US"/>
        </w:rPr>
        <w:t xml:space="preserve">over-the-top services, like Skype. </w:t>
      </w:r>
    </w:p>
    <w:p w14:paraId="0DECCB0A" w14:textId="77777777" w:rsidR="007E441E" w:rsidRDefault="006D548C" w:rsidP="007E441E">
      <w:pPr>
        <w:rPr>
          <w:lang w:eastAsia="en-US"/>
        </w:rPr>
      </w:pPr>
      <w:r>
        <w:rPr>
          <w:lang w:eastAsia="en-US"/>
        </w:rPr>
        <w:t>O</w:t>
      </w:r>
      <w:r w:rsidR="00013964">
        <w:rPr>
          <w:lang w:eastAsia="en-US"/>
        </w:rPr>
        <w:t>ur work indicates that V</w:t>
      </w:r>
      <w:r w:rsidR="00D565A6">
        <w:rPr>
          <w:lang w:eastAsia="en-US"/>
        </w:rPr>
        <w:t>o</w:t>
      </w:r>
      <w:r w:rsidR="00013964">
        <w:rPr>
          <w:lang w:eastAsia="en-US"/>
        </w:rPr>
        <w:t xml:space="preserve">IP </w:t>
      </w:r>
      <w:r>
        <w:rPr>
          <w:lang w:eastAsia="en-US"/>
        </w:rPr>
        <w:t xml:space="preserve">services </w:t>
      </w:r>
      <w:r w:rsidR="00013964">
        <w:rPr>
          <w:lang w:eastAsia="en-US"/>
        </w:rPr>
        <w:t xml:space="preserve">can </w:t>
      </w:r>
      <w:r>
        <w:rPr>
          <w:lang w:eastAsia="en-US"/>
        </w:rPr>
        <w:t xml:space="preserve">exceed </w:t>
      </w:r>
      <w:r w:rsidR="00E2700A">
        <w:rPr>
          <w:lang w:eastAsia="en-US"/>
        </w:rPr>
        <w:t xml:space="preserve">Telstra’s </w:t>
      </w:r>
      <w:r>
        <w:rPr>
          <w:lang w:eastAsia="en-US"/>
        </w:rPr>
        <w:t xml:space="preserve">PSTN in terms of </w:t>
      </w:r>
      <w:r w:rsidR="00E2700A">
        <w:rPr>
          <w:lang w:eastAsia="en-US"/>
        </w:rPr>
        <w:t xml:space="preserve">voice </w:t>
      </w:r>
      <w:r>
        <w:rPr>
          <w:lang w:eastAsia="en-US"/>
        </w:rPr>
        <w:t xml:space="preserve">quality, </w:t>
      </w:r>
      <w:r w:rsidR="00013964">
        <w:rPr>
          <w:lang w:eastAsia="en-US"/>
        </w:rPr>
        <w:t xml:space="preserve">particularly if the </w:t>
      </w:r>
      <w:r w:rsidR="009A3C0B">
        <w:rPr>
          <w:lang w:eastAsia="en-US"/>
        </w:rPr>
        <w:t>service</w:t>
      </w:r>
      <w:r w:rsidR="00013964">
        <w:rPr>
          <w:lang w:eastAsia="en-US"/>
        </w:rPr>
        <w:t xml:space="preserve"> is offered on a managed basis</w:t>
      </w:r>
      <w:r w:rsidR="00E2700A">
        <w:rPr>
          <w:lang w:eastAsia="en-US"/>
        </w:rPr>
        <w:t xml:space="preserve"> with </w:t>
      </w:r>
      <w:r w:rsidR="00D7696A">
        <w:rPr>
          <w:lang w:eastAsia="en-US"/>
        </w:rPr>
        <w:t xml:space="preserve">appropriate </w:t>
      </w:r>
      <w:r w:rsidR="00D67FCC">
        <w:rPr>
          <w:lang w:eastAsia="en-US"/>
        </w:rPr>
        <w:t xml:space="preserve">software and </w:t>
      </w:r>
      <w:r w:rsidR="00E2700A">
        <w:rPr>
          <w:lang w:eastAsia="en-US"/>
        </w:rPr>
        <w:t xml:space="preserve">dedicated bandwidth, </w:t>
      </w:r>
      <w:r w:rsidR="00013964">
        <w:rPr>
          <w:lang w:eastAsia="en-US"/>
        </w:rPr>
        <w:t xml:space="preserve">which is typically the case with subscription services offered by </w:t>
      </w:r>
      <w:r w:rsidR="00E2700A">
        <w:rPr>
          <w:lang w:eastAsia="en-US"/>
        </w:rPr>
        <w:t xml:space="preserve">internet </w:t>
      </w:r>
      <w:r w:rsidR="00013964">
        <w:rPr>
          <w:lang w:eastAsia="en-US"/>
        </w:rPr>
        <w:t>service providers. Indeed, V</w:t>
      </w:r>
      <w:r w:rsidR="00D565A6">
        <w:rPr>
          <w:lang w:eastAsia="en-US"/>
        </w:rPr>
        <w:t>o</w:t>
      </w:r>
      <w:r w:rsidR="00013964">
        <w:rPr>
          <w:lang w:eastAsia="en-US"/>
        </w:rPr>
        <w:t xml:space="preserve">IP </w:t>
      </w:r>
      <w:r w:rsidR="00E2700A">
        <w:rPr>
          <w:lang w:eastAsia="en-US"/>
        </w:rPr>
        <w:t xml:space="preserve">has been a standard product </w:t>
      </w:r>
      <w:r w:rsidR="00013964">
        <w:rPr>
          <w:lang w:eastAsia="en-US"/>
        </w:rPr>
        <w:t>widely used with broadband services for many years</w:t>
      </w:r>
      <w:r w:rsidR="004761C7">
        <w:rPr>
          <w:lang w:eastAsia="en-US"/>
        </w:rPr>
        <w:t>,</w:t>
      </w:r>
      <w:r w:rsidR="00013964">
        <w:rPr>
          <w:lang w:eastAsia="en-US"/>
        </w:rPr>
        <w:t xml:space="preserve"> and is the means by which telephony is provided over the </w:t>
      </w:r>
      <w:r w:rsidR="003E11FE">
        <w:rPr>
          <w:lang w:eastAsia="en-US"/>
        </w:rPr>
        <w:t>NBN</w:t>
      </w:r>
      <w:r w:rsidR="00013964">
        <w:rPr>
          <w:lang w:eastAsia="en-US"/>
        </w:rPr>
        <w:t xml:space="preserve"> fixed lin</w:t>
      </w:r>
      <w:r w:rsidR="005B373F">
        <w:rPr>
          <w:lang w:eastAsia="en-US"/>
        </w:rPr>
        <w:t>e</w:t>
      </w:r>
      <w:r w:rsidR="00013964">
        <w:rPr>
          <w:lang w:eastAsia="en-US"/>
        </w:rPr>
        <w:t xml:space="preserve"> and fixed wireless </w:t>
      </w:r>
      <w:r w:rsidR="003E11FE">
        <w:rPr>
          <w:lang w:eastAsia="en-US"/>
        </w:rPr>
        <w:t>infrastructure</w:t>
      </w:r>
      <w:r w:rsidR="00013964">
        <w:rPr>
          <w:lang w:eastAsia="en-US"/>
        </w:rPr>
        <w:t>.</w:t>
      </w:r>
      <w:r w:rsidR="0031731F">
        <w:rPr>
          <w:lang w:eastAsia="en-US"/>
        </w:rPr>
        <w:t xml:space="preserve"> </w:t>
      </w:r>
    </w:p>
    <w:p w14:paraId="0DECCB0B" w14:textId="77777777" w:rsidR="00013964" w:rsidRDefault="00013964" w:rsidP="007E441E">
      <w:pPr>
        <w:rPr>
          <w:lang w:eastAsia="en-US"/>
        </w:rPr>
      </w:pPr>
      <w:r>
        <w:rPr>
          <w:lang w:eastAsia="en-US"/>
        </w:rPr>
        <w:t>It is clear, however, that the performance of V</w:t>
      </w:r>
      <w:r w:rsidR="00D565A6">
        <w:rPr>
          <w:lang w:eastAsia="en-US"/>
        </w:rPr>
        <w:t>o</w:t>
      </w:r>
      <w:r>
        <w:rPr>
          <w:lang w:eastAsia="en-US"/>
        </w:rPr>
        <w:t>IP services can be affected by the performance of the underlying carriage networks</w:t>
      </w:r>
      <w:r w:rsidR="00B13A97">
        <w:rPr>
          <w:lang w:eastAsia="en-US"/>
        </w:rPr>
        <w:t>. F</w:t>
      </w:r>
      <w:r>
        <w:rPr>
          <w:lang w:eastAsia="en-US"/>
        </w:rPr>
        <w:t xml:space="preserve">or example, </w:t>
      </w:r>
      <w:r w:rsidR="00B13A97">
        <w:rPr>
          <w:lang w:eastAsia="en-US"/>
        </w:rPr>
        <w:t xml:space="preserve">services can be affected by </w:t>
      </w:r>
      <w:r>
        <w:rPr>
          <w:lang w:eastAsia="en-US"/>
        </w:rPr>
        <w:t xml:space="preserve">outages, bandwidth, quality of service </w:t>
      </w:r>
      <w:r w:rsidR="004761C7">
        <w:rPr>
          <w:lang w:eastAsia="en-US"/>
        </w:rPr>
        <w:t xml:space="preserve">settings </w:t>
      </w:r>
      <w:r>
        <w:rPr>
          <w:lang w:eastAsia="en-US"/>
        </w:rPr>
        <w:t>and latency. Equally, V</w:t>
      </w:r>
      <w:r w:rsidR="00D565A6">
        <w:rPr>
          <w:lang w:eastAsia="en-US"/>
        </w:rPr>
        <w:t>o</w:t>
      </w:r>
      <w:r>
        <w:rPr>
          <w:lang w:eastAsia="en-US"/>
        </w:rPr>
        <w:t xml:space="preserve">IP </w:t>
      </w:r>
      <w:r w:rsidR="00B13A97">
        <w:rPr>
          <w:lang w:eastAsia="en-US"/>
        </w:rPr>
        <w:t xml:space="preserve">uses </w:t>
      </w:r>
      <w:r>
        <w:rPr>
          <w:lang w:eastAsia="en-US"/>
        </w:rPr>
        <w:t xml:space="preserve">electronic equipment </w:t>
      </w:r>
      <w:r w:rsidR="00B13A97">
        <w:rPr>
          <w:lang w:eastAsia="en-US"/>
        </w:rPr>
        <w:t>t</w:t>
      </w:r>
      <w:r>
        <w:rPr>
          <w:lang w:eastAsia="en-US"/>
        </w:rPr>
        <w:t>o encode the users</w:t>
      </w:r>
      <w:r w:rsidR="00B13A97">
        <w:rPr>
          <w:lang w:eastAsia="en-US"/>
        </w:rPr>
        <w:t>’</w:t>
      </w:r>
      <w:r>
        <w:rPr>
          <w:lang w:eastAsia="en-US"/>
        </w:rPr>
        <w:t xml:space="preserve"> voice</w:t>
      </w:r>
      <w:r w:rsidR="00B13A97">
        <w:rPr>
          <w:lang w:eastAsia="en-US"/>
        </w:rPr>
        <w:t xml:space="preserve"> into a format that can be transmitted over the internet and, in doing so, requires</w:t>
      </w:r>
      <w:r>
        <w:rPr>
          <w:lang w:eastAsia="en-US"/>
        </w:rPr>
        <w:t xml:space="preserve"> </w:t>
      </w:r>
      <w:r w:rsidR="00B13A97">
        <w:rPr>
          <w:lang w:eastAsia="en-US"/>
        </w:rPr>
        <w:t xml:space="preserve">access to a reliable </w:t>
      </w:r>
      <w:r>
        <w:rPr>
          <w:lang w:eastAsia="en-US"/>
        </w:rPr>
        <w:t xml:space="preserve">power </w:t>
      </w:r>
      <w:r w:rsidR="00B13A97">
        <w:rPr>
          <w:lang w:eastAsia="en-US"/>
        </w:rPr>
        <w:t>source.</w:t>
      </w:r>
    </w:p>
    <w:p w14:paraId="0DECCB0C" w14:textId="77777777" w:rsidR="00013964" w:rsidRDefault="00013964" w:rsidP="007E441E">
      <w:pPr>
        <w:rPr>
          <w:lang w:eastAsia="en-US"/>
        </w:rPr>
      </w:pPr>
      <w:r>
        <w:rPr>
          <w:lang w:eastAsia="en-US"/>
        </w:rPr>
        <w:t>Our view is that V</w:t>
      </w:r>
      <w:r w:rsidR="00D565A6">
        <w:rPr>
          <w:lang w:eastAsia="en-US"/>
        </w:rPr>
        <w:t>o</w:t>
      </w:r>
      <w:r>
        <w:rPr>
          <w:lang w:eastAsia="en-US"/>
        </w:rPr>
        <w:t xml:space="preserve">IP itself, if adequately specified and managed by a </w:t>
      </w:r>
      <w:r w:rsidR="00692BDD">
        <w:rPr>
          <w:lang w:eastAsia="en-US"/>
        </w:rPr>
        <w:t>service</w:t>
      </w:r>
      <w:r>
        <w:rPr>
          <w:lang w:eastAsia="en-US"/>
        </w:rPr>
        <w:t xml:space="preserve"> provider</w:t>
      </w:r>
      <w:r w:rsidR="00E85320">
        <w:rPr>
          <w:lang w:eastAsia="en-US"/>
        </w:rPr>
        <w:t xml:space="preserve"> (</w:t>
      </w:r>
      <w:r>
        <w:rPr>
          <w:lang w:eastAsia="en-US"/>
        </w:rPr>
        <w:t>as is generally the case</w:t>
      </w:r>
      <w:r w:rsidR="00E85320">
        <w:rPr>
          <w:lang w:eastAsia="en-US"/>
        </w:rPr>
        <w:t>)</w:t>
      </w:r>
      <w:r>
        <w:rPr>
          <w:lang w:eastAsia="en-US"/>
        </w:rPr>
        <w:t xml:space="preserve">, can provide a satisfactory voice </w:t>
      </w:r>
      <w:r w:rsidR="00692BDD">
        <w:rPr>
          <w:lang w:eastAsia="en-US"/>
        </w:rPr>
        <w:t>service</w:t>
      </w:r>
      <w:r w:rsidR="00B13A97">
        <w:rPr>
          <w:lang w:eastAsia="en-US"/>
        </w:rPr>
        <w:t>.</w:t>
      </w:r>
      <w:r w:rsidR="00E85320">
        <w:rPr>
          <w:lang w:eastAsia="en-US"/>
        </w:rPr>
        <w:t xml:space="preserve"> There is a broad trend in this direction, with voice increasingly delivered </w:t>
      </w:r>
      <w:r w:rsidR="00380141">
        <w:rPr>
          <w:lang w:eastAsia="en-US"/>
        </w:rPr>
        <w:t>as</w:t>
      </w:r>
      <w:r w:rsidR="00E85320">
        <w:rPr>
          <w:lang w:eastAsia="en-US"/>
        </w:rPr>
        <w:t xml:space="preserve"> a VoIP service.</w:t>
      </w:r>
      <w:r w:rsidR="00B13A97">
        <w:rPr>
          <w:lang w:eastAsia="en-US"/>
        </w:rPr>
        <w:t xml:space="preserve"> </w:t>
      </w:r>
      <w:r w:rsidR="00E85320">
        <w:rPr>
          <w:lang w:eastAsia="en-US"/>
        </w:rPr>
        <w:t>While this is a growing trend</w:t>
      </w:r>
      <w:r w:rsidR="00B13A97">
        <w:rPr>
          <w:lang w:eastAsia="en-US"/>
        </w:rPr>
        <w:t xml:space="preserve">, </w:t>
      </w:r>
      <w:r>
        <w:rPr>
          <w:lang w:eastAsia="en-US"/>
        </w:rPr>
        <w:t xml:space="preserve">there is clearly a need to ensure the underlying delivery platform can support </w:t>
      </w:r>
      <w:r w:rsidR="00BC7F82">
        <w:rPr>
          <w:lang w:eastAsia="en-US"/>
        </w:rPr>
        <w:t xml:space="preserve">the </w:t>
      </w:r>
      <w:r>
        <w:rPr>
          <w:lang w:eastAsia="en-US"/>
        </w:rPr>
        <w:t xml:space="preserve">level of </w:t>
      </w:r>
      <w:r w:rsidR="00692BDD">
        <w:rPr>
          <w:lang w:eastAsia="en-US"/>
        </w:rPr>
        <w:t>service</w:t>
      </w:r>
      <w:r w:rsidR="00BC7F82">
        <w:rPr>
          <w:lang w:eastAsia="en-US"/>
        </w:rPr>
        <w:t xml:space="preserve"> expected</w:t>
      </w:r>
      <w:r>
        <w:rPr>
          <w:lang w:eastAsia="en-US"/>
        </w:rPr>
        <w:t>.</w:t>
      </w:r>
    </w:p>
    <w:p w14:paraId="0DECCB0D" w14:textId="77777777" w:rsidR="00013964" w:rsidRPr="009D45AB" w:rsidRDefault="00950DB6" w:rsidP="000A118F">
      <w:pPr>
        <w:pStyle w:val="Heading4"/>
      </w:pPr>
      <w:r>
        <w:lastRenderedPageBreak/>
        <w:t>Alternative</w:t>
      </w:r>
      <w:r w:rsidRPr="009D45AB">
        <w:t xml:space="preserve"> </w:t>
      </w:r>
      <w:r w:rsidR="00405DE5">
        <w:t>platforms</w:t>
      </w:r>
    </w:p>
    <w:p w14:paraId="0DECCB0E" w14:textId="77777777" w:rsidR="00840C6E" w:rsidRDefault="0097687B" w:rsidP="007E441E">
      <w:pPr>
        <w:rPr>
          <w:lang w:eastAsia="en-US"/>
        </w:rPr>
      </w:pPr>
      <w:r>
        <w:rPr>
          <w:lang w:eastAsia="en-US"/>
        </w:rPr>
        <w:t xml:space="preserve">While a number of emerging technologies were identified, the main options </w:t>
      </w:r>
      <w:r w:rsidR="00840C6E">
        <w:rPr>
          <w:lang w:eastAsia="en-US"/>
        </w:rPr>
        <w:t xml:space="preserve">for voice delivery </w:t>
      </w:r>
      <w:r>
        <w:rPr>
          <w:lang w:eastAsia="en-US"/>
        </w:rPr>
        <w:t>remain those that are well known</w:t>
      </w:r>
      <w:r w:rsidR="00840C6E">
        <w:rPr>
          <w:lang w:eastAsia="en-US"/>
        </w:rPr>
        <w:t xml:space="preserve"> </w:t>
      </w:r>
      <w:r w:rsidR="00D303E6">
        <w:rPr>
          <w:lang w:eastAsia="en-US"/>
        </w:rPr>
        <w:t xml:space="preserve">– </w:t>
      </w:r>
      <w:r w:rsidR="00CA5F7C">
        <w:rPr>
          <w:lang w:eastAsia="en-US"/>
        </w:rPr>
        <w:t>as are</w:t>
      </w:r>
      <w:r w:rsidR="00D303E6">
        <w:rPr>
          <w:lang w:eastAsia="en-US"/>
        </w:rPr>
        <w:t xml:space="preserve"> their strengths and weaknesses</w:t>
      </w:r>
      <w:r w:rsidR="00CA5F7C">
        <w:rPr>
          <w:lang w:eastAsia="en-US"/>
        </w:rPr>
        <w:t xml:space="preserve">. </w:t>
      </w:r>
      <w:r w:rsidR="00C511F7">
        <w:rPr>
          <w:lang w:eastAsia="en-US"/>
        </w:rPr>
        <w:t xml:space="preserve">These include </w:t>
      </w:r>
      <w:r w:rsidR="00CA5F7C">
        <w:rPr>
          <w:lang w:eastAsia="en-US"/>
        </w:rPr>
        <w:t xml:space="preserve">wired </w:t>
      </w:r>
      <w:r>
        <w:rPr>
          <w:lang w:eastAsia="en-US"/>
        </w:rPr>
        <w:t>and wireless</w:t>
      </w:r>
      <w:r w:rsidR="00F44991">
        <w:rPr>
          <w:lang w:eastAsia="en-US"/>
        </w:rPr>
        <w:t xml:space="preserve"> </w:t>
      </w:r>
      <w:r w:rsidR="00CA5F7C">
        <w:rPr>
          <w:lang w:eastAsia="en-US"/>
        </w:rPr>
        <w:t>services</w:t>
      </w:r>
      <w:r w:rsidR="00BC7F82">
        <w:rPr>
          <w:lang w:eastAsia="en-US"/>
        </w:rPr>
        <w:t>, with the latter being</w:t>
      </w:r>
      <w:r w:rsidR="00CA5F7C">
        <w:rPr>
          <w:lang w:eastAsia="en-US"/>
        </w:rPr>
        <w:t xml:space="preserve"> </w:t>
      </w:r>
      <w:r w:rsidR="00F44991">
        <w:rPr>
          <w:lang w:eastAsia="en-US"/>
        </w:rPr>
        <w:t xml:space="preserve">either </w:t>
      </w:r>
      <w:r>
        <w:rPr>
          <w:lang w:eastAsia="en-US"/>
        </w:rPr>
        <w:t xml:space="preserve">terrestrial or satellite, </w:t>
      </w:r>
      <w:r w:rsidR="00B207FB">
        <w:rPr>
          <w:lang w:eastAsia="en-US"/>
        </w:rPr>
        <w:t xml:space="preserve">and either </w:t>
      </w:r>
      <w:r>
        <w:rPr>
          <w:lang w:eastAsia="en-US"/>
        </w:rPr>
        <w:t>fixed or mobile</w:t>
      </w:r>
      <w:r w:rsidR="00840C6E">
        <w:rPr>
          <w:lang w:eastAsia="en-US"/>
        </w:rPr>
        <w:t>.</w:t>
      </w:r>
    </w:p>
    <w:p w14:paraId="0DECCB0F" w14:textId="77777777" w:rsidR="007E441E" w:rsidRDefault="007E441E" w:rsidP="007E441E">
      <w:r>
        <w:rPr>
          <w:lang w:eastAsia="en-US"/>
        </w:rPr>
        <w:t xml:space="preserve">Fixed lines (or landlines) have predominantly been used to deliver </w:t>
      </w:r>
      <w:r w:rsidR="00D7696A">
        <w:rPr>
          <w:lang w:eastAsia="en-US"/>
        </w:rPr>
        <w:t>USO voice</w:t>
      </w:r>
      <w:r>
        <w:rPr>
          <w:lang w:eastAsia="en-US"/>
        </w:rPr>
        <w:t xml:space="preserve"> services</w:t>
      </w:r>
      <w:r w:rsidR="0097687B">
        <w:rPr>
          <w:lang w:eastAsia="en-US"/>
        </w:rPr>
        <w:t>, including in regional, rural and remote areas.</w:t>
      </w:r>
      <w:r>
        <w:rPr>
          <w:lang w:eastAsia="en-US"/>
        </w:rPr>
        <w:t xml:space="preserve"> </w:t>
      </w:r>
      <w:r w:rsidR="0097687B">
        <w:rPr>
          <w:lang w:eastAsia="en-US"/>
        </w:rPr>
        <w:t xml:space="preserve">This has historically </w:t>
      </w:r>
      <w:r w:rsidR="00B06A17">
        <w:rPr>
          <w:lang w:eastAsia="en-US"/>
        </w:rPr>
        <w:t>meant</w:t>
      </w:r>
      <w:r w:rsidR="00142D57">
        <w:rPr>
          <w:lang w:eastAsia="en-US"/>
        </w:rPr>
        <w:t xml:space="preserve"> </w:t>
      </w:r>
      <w:r w:rsidR="0097687B">
        <w:rPr>
          <w:lang w:eastAsia="en-US"/>
        </w:rPr>
        <w:t xml:space="preserve">Telstra’s copper network. </w:t>
      </w:r>
      <w:r>
        <w:rPr>
          <w:lang w:eastAsia="en-US"/>
        </w:rPr>
        <w:t>P</w:t>
      </w:r>
      <w:r>
        <w:t xml:space="preserve">remises in </w:t>
      </w:r>
      <w:r w:rsidR="003E11FE">
        <w:t xml:space="preserve">the NBN </w:t>
      </w:r>
      <w:r>
        <w:t xml:space="preserve">fixed line footprint will eventually be required to migrate off Telstra’s copper network once the </w:t>
      </w:r>
      <w:r w:rsidR="003E11FE">
        <w:t>NBN</w:t>
      </w:r>
      <w:r>
        <w:t xml:space="preserve"> rollout is complete. R</w:t>
      </w:r>
      <w:r w:rsidRPr="004231A7">
        <w:t>egional consumers</w:t>
      </w:r>
      <w:r w:rsidR="00E85320">
        <w:t xml:space="preserve"> outside the NBN fixed line footprint</w:t>
      </w:r>
      <w:r w:rsidRPr="004231A7">
        <w:t xml:space="preserve"> </w:t>
      </w:r>
      <w:r w:rsidR="00160D83">
        <w:t xml:space="preserve">will not ordinarily be required to </w:t>
      </w:r>
      <w:r w:rsidRPr="004231A7">
        <w:t xml:space="preserve">migrate off copper. Instead they can choose to maintain their landline </w:t>
      </w:r>
      <w:r w:rsidR="00B207FB">
        <w:t xml:space="preserve">telephone </w:t>
      </w:r>
      <w:r w:rsidRPr="004231A7">
        <w:t xml:space="preserve">service </w:t>
      </w:r>
      <w:r w:rsidR="00F44991">
        <w:t>and may also cho</w:t>
      </w:r>
      <w:r w:rsidR="001A7761">
        <w:t>o</w:t>
      </w:r>
      <w:r w:rsidR="00F44991">
        <w:t>se to compl</w:t>
      </w:r>
      <w:r w:rsidR="00E85320">
        <w:t>e</w:t>
      </w:r>
      <w:r w:rsidR="00F44991">
        <w:t>ment this with</w:t>
      </w:r>
      <w:r w:rsidRPr="004231A7">
        <w:t xml:space="preserve"> an </w:t>
      </w:r>
      <w:r w:rsidR="003E11FE">
        <w:t>NBN</w:t>
      </w:r>
      <w:r w:rsidRPr="004231A7">
        <w:t xml:space="preserve"> fixed wireless or satellite </w:t>
      </w:r>
      <w:r w:rsidR="00F44991">
        <w:t xml:space="preserve">broadband </w:t>
      </w:r>
      <w:r w:rsidRPr="004231A7">
        <w:t>service</w:t>
      </w:r>
      <w:r>
        <w:t>.</w:t>
      </w:r>
    </w:p>
    <w:p w14:paraId="0DECCB10" w14:textId="77777777" w:rsidR="0097687B" w:rsidRDefault="007E441E" w:rsidP="0097687B">
      <w:pPr>
        <w:spacing w:after="160" w:line="259" w:lineRule="auto"/>
      </w:pPr>
      <w:r>
        <w:rPr>
          <w:lang w:eastAsia="en-US"/>
        </w:rPr>
        <w:t xml:space="preserve">Telstra also uses terrestrial radio systems to deliver a limited number of voice services outside </w:t>
      </w:r>
      <w:r w:rsidR="003E11FE">
        <w:rPr>
          <w:lang w:eastAsia="en-US"/>
        </w:rPr>
        <w:t>the NBN</w:t>
      </w:r>
      <w:r>
        <w:rPr>
          <w:lang w:eastAsia="en-US"/>
        </w:rPr>
        <w:t xml:space="preserve"> fixed line footprint. </w:t>
      </w:r>
      <w:r w:rsidR="00CA5F7C">
        <w:rPr>
          <w:lang w:eastAsia="en-US"/>
        </w:rPr>
        <w:t>As mentioned earlier, these</w:t>
      </w:r>
      <w:r>
        <w:rPr>
          <w:lang w:eastAsia="en-US"/>
        </w:rPr>
        <w:t xml:space="preserve"> services are provided using its HCRC </w:t>
      </w:r>
      <w:r w:rsidR="0097687B">
        <w:rPr>
          <w:lang w:eastAsia="en-US"/>
        </w:rPr>
        <w:t xml:space="preserve">and using </w:t>
      </w:r>
      <w:r w:rsidR="0097687B">
        <w:t>Next G Wireless Link (NGWL) –</w:t>
      </w:r>
      <w:r w:rsidR="00CA5F7C">
        <w:t xml:space="preserve"> </w:t>
      </w:r>
      <w:r w:rsidR="0097687B">
        <w:t xml:space="preserve">a Telstra fixed voice service that utilises Telstra’s 3G network to premises outside Telstra’s copper network. </w:t>
      </w:r>
    </w:p>
    <w:p w14:paraId="0DECCB11" w14:textId="77777777" w:rsidR="0097687B" w:rsidRDefault="003E11FE" w:rsidP="0097687B">
      <w:pPr>
        <w:spacing w:after="160" w:line="259" w:lineRule="auto"/>
      </w:pPr>
      <w:r>
        <w:t>NBN</w:t>
      </w:r>
      <w:r w:rsidR="0097687B">
        <w:t xml:space="preserve"> </w:t>
      </w:r>
      <w:proofErr w:type="spellStart"/>
      <w:r>
        <w:t>Co’s</w:t>
      </w:r>
      <w:proofErr w:type="spellEnd"/>
      <w:r>
        <w:t xml:space="preserve"> </w:t>
      </w:r>
      <w:r w:rsidR="0097687B">
        <w:t>fixed wireless network</w:t>
      </w:r>
      <w:r w:rsidR="00F44991">
        <w:t>, once fully rolled out,</w:t>
      </w:r>
      <w:r w:rsidR="0097687B">
        <w:t xml:space="preserve"> will </w:t>
      </w:r>
      <w:r w:rsidR="00F44991">
        <w:t>cover approximately</w:t>
      </w:r>
      <w:r w:rsidR="00CA5F7C">
        <w:t xml:space="preserve"> 600,000 </w:t>
      </w:r>
      <w:r w:rsidR="0097687B">
        <w:t>premises</w:t>
      </w:r>
      <w:r w:rsidR="00B06A17">
        <w:t xml:space="preserve"> (around 5%) </w:t>
      </w:r>
      <w:r w:rsidR="0097687B">
        <w:t xml:space="preserve">and </w:t>
      </w:r>
      <w:r w:rsidR="00E85320">
        <w:t xml:space="preserve">broadband services provided over it should be able to </w:t>
      </w:r>
      <w:r w:rsidR="0097687B">
        <w:t>support voice</w:t>
      </w:r>
      <w:r w:rsidR="00A2747F">
        <w:t xml:space="preserve">, noting that not all of these premises will take up an NBN service. </w:t>
      </w:r>
    </w:p>
    <w:p w14:paraId="0DECCB12" w14:textId="5DC84A16" w:rsidR="00A2747F" w:rsidRDefault="00380141" w:rsidP="0097687B">
      <w:pPr>
        <w:spacing w:after="160" w:line="259" w:lineRule="auto"/>
        <w:rPr>
          <w:lang w:eastAsia="en-US"/>
        </w:rPr>
      </w:pPr>
      <w:r>
        <w:t>A</w:t>
      </w:r>
      <w:r w:rsidR="00A2747F">
        <w:t xml:space="preserve">pproximately </w:t>
      </w:r>
      <w:r w:rsidR="0097687B">
        <w:t>99.4</w:t>
      </w:r>
      <w:r w:rsidR="00C51986">
        <w:t>%</w:t>
      </w:r>
      <w:r w:rsidR="0097687B">
        <w:t xml:space="preserve"> of Australians</w:t>
      </w:r>
      <w:r w:rsidR="00A2747F">
        <w:t xml:space="preserve"> have some level of access to mobile services</w:t>
      </w:r>
      <w:r w:rsidR="00B06A17">
        <w:t>. A</w:t>
      </w:r>
      <w:r w:rsidR="00A2747F" w:rsidRPr="00D54A28">
        <w:t xml:space="preserve">pproximately </w:t>
      </w:r>
      <w:r w:rsidR="00A2747F">
        <w:rPr>
          <w:lang w:eastAsia="en-US"/>
        </w:rPr>
        <w:t>88</w:t>
      </w:r>
      <w:r w:rsidR="00C51986">
        <w:rPr>
          <w:lang w:eastAsia="en-US"/>
        </w:rPr>
        <w:t>%</w:t>
      </w:r>
      <w:r w:rsidR="00A2747F" w:rsidRPr="00D54A28">
        <w:rPr>
          <w:lang w:eastAsia="en-US"/>
        </w:rPr>
        <w:t xml:space="preserve"> of premises outside the </w:t>
      </w:r>
      <w:r w:rsidR="00A2747F">
        <w:rPr>
          <w:lang w:eastAsia="en-US"/>
        </w:rPr>
        <w:t>NBN</w:t>
      </w:r>
      <w:r w:rsidR="00A2747F" w:rsidRPr="00D54A28">
        <w:rPr>
          <w:lang w:eastAsia="en-US"/>
        </w:rPr>
        <w:t xml:space="preserve"> fixed line footprint </w:t>
      </w:r>
      <w:r w:rsidR="00B06A17">
        <w:rPr>
          <w:lang w:eastAsia="en-US"/>
        </w:rPr>
        <w:t xml:space="preserve">and </w:t>
      </w:r>
      <w:r w:rsidR="00A2747F">
        <w:rPr>
          <w:lang w:eastAsia="en-US"/>
        </w:rPr>
        <w:t>with a current Telstra fixed line service</w:t>
      </w:r>
      <w:r w:rsidR="00B06A17">
        <w:rPr>
          <w:lang w:eastAsia="en-US"/>
        </w:rPr>
        <w:t xml:space="preserve"> are estimated to have</w:t>
      </w:r>
      <w:r w:rsidR="00AC0700" w:rsidRPr="00D54A28">
        <w:rPr>
          <w:lang w:eastAsia="en-US"/>
        </w:rPr>
        <w:t xml:space="preserve"> </w:t>
      </w:r>
      <w:r w:rsidR="00A2747F" w:rsidRPr="00D54A28">
        <w:rPr>
          <w:lang w:eastAsia="en-US"/>
        </w:rPr>
        <w:t xml:space="preserve">access to </w:t>
      </w:r>
      <w:r w:rsidR="00462D0A">
        <w:rPr>
          <w:lang w:eastAsia="en-US"/>
        </w:rPr>
        <w:t xml:space="preserve">Telstra </w:t>
      </w:r>
      <w:r w:rsidR="00A2747F">
        <w:rPr>
          <w:lang w:eastAsia="en-US"/>
        </w:rPr>
        <w:t>handheld 3G</w:t>
      </w:r>
      <w:r w:rsidR="00A2747F" w:rsidRPr="00D54A28">
        <w:rPr>
          <w:lang w:eastAsia="en-US"/>
        </w:rPr>
        <w:t xml:space="preserve"> mobile coverage.</w:t>
      </w:r>
      <w:r w:rsidR="00A2747F">
        <w:rPr>
          <w:lang w:eastAsia="en-US"/>
        </w:rPr>
        <w:t xml:space="preserve"> </w:t>
      </w:r>
    </w:p>
    <w:p w14:paraId="0DECCB13" w14:textId="77777777" w:rsidR="009E5B5E" w:rsidRPr="00192A4E" w:rsidRDefault="0097687B" w:rsidP="0097687B">
      <w:pPr>
        <w:spacing w:after="160" w:line="259" w:lineRule="auto"/>
      </w:pPr>
      <w:r>
        <w:t xml:space="preserve">Mobile </w:t>
      </w:r>
      <w:r w:rsidR="008E7943">
        <w:t>handsets</w:t>
      </w:r>
      <w:r>
        <w:t xml:space="preserve"> generally provide </w:t>
      </w:r>
      <w:r w:rsidR="005B373F">
        <w:t xml:space="preserve">an acceptable </w:t>
      </w:r>
      <w:r>
        <w:t xml:space="preserve">standard </w:t>
      </w:r>
      <w:r w:rsidR="005B373F">
        <w:t xml:space="preserve">of </w:t>
      </w:r>
      <w:r>
        <w:t xml:space="preserve">voice communications. However, the actual quality </w:t>
      </w:r>
      <w:r w:rsidR="008E7943">
        <w:t xml:space="preserve">of the call </w:t>
      </w:r>
      <w:r>
        <w:t>depends on a large number of variables, including the design and quality of the handset</w:t>
      </w:r>
      <w:r w:rsidR="00B06A17">
        <w:t xml:space="preserve"> and</w:t>
      </w:r>
      <w:r>
        <w:t xml:space="preserve"> the connection to the local cell tower. Signal b</w:t>
      </w:r>
      <w:r w:rsidR="009E5B5E">
        <w:t xml:space="preserve">lockers like </w:t>
      </w:r>
      <w:r w:rsidR="00164B85">
        <w:t>topography</w:t>
      </w:r>
      <w:r w:rsidR="009E5B5E">
        <w:t>, vegetation and construction materials</w:t>
      </w:r>
      <w:r w:rsidR="00372F5A">
        <w:t>,</w:t>
      </w:r>
      <w:r w:rsidR="009E5B5E">
        <w:t xml:space="preserve"> also need to be considered. </w:t>
      </w:r>
      <w:r w:rsidR="005B373F">
        <w:t>In some cases, p</w:t>
      </w:r>
      <w:r w:rsidR="009E5B5E">
        <w:t xml:space="preserve">erformance can </w:t>
      </w:r>
      <w:r w:rsidR="00164B85">
        <w:t xml:space="preserve">be </w:t>
      </w:r>
      <w:r w:rsidR="009E5B5E">
        <w:t xml:space="preserve">improved </w:t>
      </w:r>
      <w:r w:rsidR="008E7943">
        <w:t xml:space="preserve">at a premises </w:t>
      </w:r>
      <w:r w:rsidR="009E5B5E">
        <w:t xml:space="preserve">by </w:t>
      </w:r>
      <w:r w:rsidR="00B06A17">
        <w:t xml:space="preserve">using </w:t>
      </w:r>
      <w:r w:rsidR="008E7943">
        <w:t xml:space="preserve">an </w:t>
      </w:r>
      <w:r w:rsidR="009E5B5E">
        <w:t xml:space="preserve">external antenna and/or legal repeater, effectively converting a mobile service to a fixed service, similar to what Telstra does with </w:t>
      </w:r>
      <w:r w:rsidR="009E5B5E" w:rsidRPr="00192A4E">
        <w:t>NGWL.</w:t>
      </w:r>
    </w:p>
    <w:p w14:paraId="0DECCB14" w14:textId="77777777" w:rsidR="00161D88" w:rsidRDefault="009E5B5E" w:rsidP="00626319">
      <w:r w:rsidRPr="00192A4E">
        <w:t xml:space="preserve">Satellite is currently used by Telstra to deliver around </w:t>
      </w:r>
      <w:r w:rsidRPr="000A118F">
        <w:t>1,000</w:t>
      </w:r>
      <w:r w:rsidR="00164B85" w:rsidRPr="000A118F">
        <w:t xml:space="preserve"> </w:t>
      </w:r>
      <w:r w:rsidRPr="000A118F">
        <w:t>voice service</w:t>
      </w:r>
      <w:r w:rsidR="00164B85" w:rsidRPr="000A118F">
        <w:t>s</w:t>
      </w:r>
      <w:r w:rsidRPr="00192A4E">
        <w:t xml:space="preserve">, generally in more remote areas. </w:t>
      </w:r>
      <w:r w:rsidR="0012235D" w:rsidRPr="00192A4E">
        <w:t>Telstra’s USO</w:t>
      </w:r>
      <w:r w:rsidR="003A240E" w:rsidRPr="00192A4E">
        <w:t xml:space="preserve"> </w:t>
      </w:r>
      <w:r w:rsidR="00B06A17" w:rsidRPr="00192A4E">
        <w:t>geo-stationary s</w:t>
      </w:r>
      <w:r w:rsidR="0012235D" w:rsidRPr="00192A4E">
        <w:t>at</w:t>
      </w:r>
      <w:r w:rsidR="003A240E" w:rsidRPr="00192A4E">
        <w:t>ellite platform</w:t>
      </w:r>
      <w:r w:rsidR="0012235D" w:rsidRPr="00192A4E">
        <w:t xml:space="preserve"> has been provisioned for voice services</w:t>
      </w:r>
      <w:r w:rsidR="003A240E" w:rsidRPr="00192A4E">
        <w:t xml:space="preserve"> and utilises </w:t>
      </w:r>
      <w:r w:rsidR="00B06A17" w:rsidRPr="00192A4E">
        <w:t xml:space="preserve">in-satellite switching so calls can be delivered in a </w:t>
      </w:r>
      <w:r w:rsidR="003A240E" w:rsidRPr="00192A4E">
        <w:t xml:space="preserve">single hop thereby </w:t>
      </w:r>
      <w:r w:rsidR="00B91D6E" w:rsidRPr="00192A4E">
        <w:t>reducing</w:t>
      </w:r>
      <w:r w:rsidR="003A240E">
        <w:t xml:space="preserve"> call latency.</w:t>
      </w:r>
      <w:r w:rsidR="00B06A17">
        <w:rPr>
          <w:rStyle w:val="FootnoteReference"/>
        </w:rPr>
        <w:footnoteReference w:id="13"/>
      </w:r>
      <w:r w:rsidR="0012235D">
        <w:t xml:space="preserve"> </w:t>
      </w:r>
    </w:p>
    <w:p w14:paraId="0DECCB15" w14:textId="77777777" w:rsidR="00AD157A" w:rsidRDefault="00AD157A" w:rsidP="00626319">
      <w:r>
        <w:t xml:space="preserve">NBN </w:t>
      </w:r>
      <w:proofErr w:type="spellStart"/>
      <w:r>
        <w:t>Co’s</w:t>
      </w:r>
      <w:proofErr w:type="spellEnd"/>
      <w:r>
        <w:t xml:space="preserve"> geo-stationary Sky Muster satellites can support voice but have been optimised for data. They operate </w:t>
      </w:r>
      <w:r w:rsidR="00E20E27">
        <w:t>in</w:t>
      </w:r>
      <w:r>
        <w:t xml:space="preserve"> the higher </w:t>
      </w:r>
      <w:proofErr w:type="spellStart"/>
      <w:r>
        <w:t>Ka</w:t>
      </w:r>
      <w:proofErr w:type="spellEnd"/>
      <w:r>
        <w:t xml:space="preserve"> band frequencies (17 G</w:t>
      </w:r>
      <w:r w:rsidR="001A7761">
        <w:t>H</w:t>
      </w:r>
      <w:r>
        <w:t>z – 30 G</w:t>
      </w:r>
      <w:r w:rsidR="001A7761">
        <w:t>H</w:t>
      </w:r>
      <w:r>
        <w:t>z), which allow for higher throughput, but are more susceptible to rain-fade. So</w:t>
      </w:r>
      <w:r w:rsidR="00E20E27">
        <w:t>,</w:t>
      </w:r>
      <w:r>
        <w:t xml:space="preserve"> while the Sky Muster satellites can support voice calling, and </w:t>
      </w:r>
      <w:r w:rsidR="00E20E27">
        <w:t>are</w:t>
      </w:r>
      <w:r>
        <w:t xml:space="preserve"> used </w:t>
      </w:r>
      <w:r w:rsidR="004300FF">
        <w:t xml:space="preserve">for this purpose </w:t>
      </w:r>
      <w:r>
        <w:t xml:space="preserve">by some customers, </w:t>
      </w:r>
      <w:r w:rsidR="00E20E27">
        <w:t>they</w:t>
      </w:r>
      <w:r>
        <w:t xml:space="preserve"> </w:t>
      </w:r>
      <w:r w:rsidR="00E20E27">
        <w:t>are</w:t>
      </w:r>
      <w:r>
        <w:t xml:space="preserve"> not considered suitable as a primary platform for voice services.</w:t>
      </w:r>
    </w:p>
    <w:p w14:paraId="0DECCB16" w14:textId="77777777" w:rsidR="00D54EBB" w:rsidRDefault="009E5B5E" w:rsidP="00626319">
      <w:r>
        <w:t>Satellite s</w:t>
      </w:r>
      <w:r w:rsidR="00D54EBB">
        <w:t xml:space="preserve">ervices </w:t>
      </w:r>
      <w:r>
        <w:t>are generally expensive</w:t>
      </w:r>
      <w:r w:rsidR="00D54EBB">
        <w:t xml:space="preserve"> and are typically only deployed where they are the least cost option (i.e. lower cost than building a </w:t>
      </w:r>
      <w:r w:rsidR="00E2700A">
        <w:t xml:space="preserve">terrestrial </w:t>
      </w:r>
      <w:r w:rsidR="00D54EBB">
        <w:t>wire</w:t>
      </w:r>
      <w:r w:rsidR="00164B85">
        <w:t>d</w:t>
      </w:r>
      <w:r w:rsidR="00D54EBB">
        <w:t xml:space="preserve"> or wireless connection)</w:t>
      </w:r>
      <w:r>
        <w:t xml:space="preserve">. </w:t>
      </w:r>
      <w:r w:rsidR="00B06A17">
        <w:t>As noted, s</w:t>
      </w:r>
      <w:r w:rsidR="00D54EBB">
        <w:t>ervices</w:t>
      </w:r>
      <w:r>
        <w:t xml:space="preserve"> provided by geo-stationary satellite</w:t>
      </w:r>
      <w:r w:rsidR="00164B85">
        <w:t>s</w:t>
      </w:r>
      <w:r>
        <w:t xml:space="preserve"> are subject to signal delays (latency), which can be particularly noticeable when a double hop satellite </w:t>
      </w:r>
      <w:r w:rsidR="00D54EBB">
        <w:t>transmission</w:t>
      </w:r>
      <w:r>
        <w:t xml:space="preserve"> is involved. Depending on the spectrum band employed, they can be subject to rain</w:t>
      </w:r>
      <w:r w:rsidR="00142D57">
        <w:t>-</w:t>
      </w:r>
      <w:r>
        <w:t xml:space="preserve">fade. </w:t>
      </w:r>
      <w:r w:rsidR="00D54EBB">
        <w:t xml:space="preserve">As with other wireless services, satellite </w:t>
      </w:r>
      <w:r w:rsidR="00164B85">
        <w:t>services</w:t>
      </w:r>
      <w:r w:rsidR="00D54EBB">
        <w:t xml:space="preserve"> generally require a clear line of sight and so t</w:t>
      </w:r>
      <w:r w:rsidR="00164B85">
        <w:t>o</w:t>
      </w:r>
      <w:r w:rsidR="00D54EBB">
        <w:t>p</w:t>
      </w:r>
      <w:r w:rsidR="0040784B">
        <w:t>ogr</w:t>
      </w:r>
      <w:r w:rsidR="00164B85">
        <w:t>a</w:t>
      </w:r>
      <w:r w:rsidR="0040784B">
        <w:t>phy</w:t>
      </w:r>
      <w:r w:rsidR="00D54EBB">
        <w:t xml:space="preserve"> and </w:t>
      </w:r>
      <w:r w:rsidR="0040784B">
        <w:t>vegetation</w:t>
      </w:r>
      <w:r w:rsidR="00D54EBB">
        <w:t xml:space="preserve"> can hinder </w:t>
      </w:r>
      <w:r w:rsidR="0040784B">
        <w:t>services. Despite</w:t>
      </w:r>
      <w:r w:rsidR="00D54EBB">
        <w:t xml:space="preserve"> these </w:t>
      </w:r>
      <w:r w:rsidR="00D54EBB">
        <w:lastRenderedPageBreak/>
        <w:t>limitations, satellite can provide an acceptable</w:t>
      </w:r>
      <w:r w:rsidR="00E02DBE">
        <w:t xml:space="preserve"> voice</w:t>
      </w:r>
      <w:r w:rsidR="00D54EBB">
        <w:t xml:space="preserve"> service where </w:t>
      </w:r>
      <w:r w:rsidR="00B06A17">
        <w:t xml:space="preserve">another option </w:t>
      </w:r>
      <w:r w:rsidR="00D54EBB">
        <w:t>would otherwise be prohibitively costly.</w:t>
      </w:r>
    </w:p>
    <w:p w14:paraId="0DECCB17" w14:textId="77777777" w:rsidR="0097687B" w:rsidRDefault="009E5B5E" w:rsidP="00A51CC7">
      <w:r>
        <w:t xml:space="preserve">Latency can be improved by </w:t>
      </w:r>
      <w:r w:rsidR="00D54EBB">
        <w:t>signal processing techniques like in</w:t>
      </w:r>
      <w:r w:rsidR="00164B85">
        <w:t>-</w:t>
      </w:r>
      <w:r w:rsidR="00D54EBB">
        <w:t xml:space="preserve">satellite switching and </w:t>
      </w:r>
      <w:r>
        <w:t>the use of satellites in medium or low earth orbit (e.g. O3B or Iridium). A number of new low-earth orbit satellite systems</w:t>
      </w:r>
      <w:r w:rsidR="00B06A17">
        <w:t xml:space="preserve"> are currently under development</w:t>
      </w:r>
      <w:r>
        <w:t xml:space="preserve">, such </w:t>
      </w:r>
      <w:r w:rsidRPr="00164B85">
        <w:t xml:space="preserve">as </w:t>
      </w:r>
      <w:proofErr w:type="spellStart"/>
      <w:r w:rsidRPr="00E671EE">
        <w:t>OneWeb</w:t>
      </w:r>
      <w:proofErr w:type="spellEnd"/>
      <w:r w:rsidR="00405DE5">
        <w:t xml:space="preserve">, </w:t>
      </w:r>
      <w:r w:rsidR="004D3399">
        <w:t>SpaceX</w:t>
      </w:r>
      <w:r w:rsidR="00405DE5">
        <w:t xml:space="preserve"> and </w:t>
      </w:r>
      <w:proofErr w:type="spellStart"/>
      <w:r w:rsidR="00405DE5">
        <w:t>LeoSat</w:t>
      </w:r>
      <w:proofErr w:type="spellEnd"/>
      <w:r w:rsidR="00E02DBE">
        <w:t>. I</w:t>
      </w:r>
      <w:r w:rsidR="00B06A17">
        <w:t>t is not yet clear</w:t>
      </w:r>
      <w:r w:rsidR="00E02DBE">
        <w:t>, however,</w:t>
      </w:r>
      <w:r w:rsidR="00B06A17">
        <w:t xml:space="preserve"> </w:t>
      </w:r>
      <w:r w:rsidR="00E02DBE">
        <w:t xml:space="preserve">whether </w:t>
      </w:r>
      <w:r w:rsidR="00B06A17">
        <w:t>the</w:t>
      </w:r>
      <w:r w:rsidR="00E02DBE">
        <w:t>se</w:t>
      </w:r>
      <w:r w:rsidR="00B06A17">
        <w:t xml:space="preserve"> will </w:t>
      </w:r>
      <w:r w:rsidR="00F9753F">
        <w:t xml:space="preserve">offer </w:t>
      </w:r>
      <w:r w:rsidR="00B06A17">
        <w:t>acceptable</w:t>
      </w:r>
      <w:r w:rsidR="00E02DBE">
        <w:t xml:space="preserve"> voice services for Australian consumers</w:t>
      </w:r>
      <w:r w:rsidR="00B06A17">
        <w:t xml:space="preserve">, or </w:t>
      </w:r>
      <w:r w:rsidR="00E02DBE">
        <w:t xml:space="preserve">on </w:t>
      </w:r>
      <w:r w:rsidR="00B06A17">
        <w:t>what timeframe</w:t>
      </w:r>
      <w:r w:rsidR="00E02DBE">
        <w:t xml:space="preserve"> these services will be available</w:t>
      </w:r>
      <w:r w:rsidR="00D54EBB">
        <w:t>.</w:t>
      </w:r>
      <w:r>
        <w:t xml:space="preserve"> </w:t>
      </w:r>
    </w:p>
    <w:p w14:paraId="0DECCB18" w14:textId="77777777" w:rsidR="008E6BE6" w:rsidRDefault="0040784B" w:rsidP="009D45AB">
      <w:pPr>
        <w:rPr>
          <w:lang w:eastAsia="en-US"/>
        </w:rPr>
      </w:pPr>
      <w:r>
        <w:t xml:space="preserve">A range of other new technologies were identified but not considered realistic platforms for the reliable delivery of </w:t>
      </w:r>
      <w:r w:rsidR="00BD4A3C">
        <w:t>a</w:t>
      </w:r>
      <w:r>
        <w:t xml:space="preserve">cceptable voice services at this time, largely because they are at </w:t>
      </w:r>
      <w:r w:rsidR="00405DE5">
        <w:t>an</w:t>
      </w:r>
      <w:r>
        <w:t xml:space="preserve"> early stage of development and are</w:t>
      </w:r>
      <w:r w:rsidR="00B91D6E">
        <w:t xml:space="preserve"> currently</w:t>
      </w:r>
      <w:r>
        <w:t xml:space="preserve"> unproven. </w:t>
      </w:r>
      <w:r w:rsidR="00A54AC3">
        <w:t>T</w:t>
      </w:r>
      <w:r>
        <w:t>ypically involv</w:t>
      </w:r>
      <w:r w:rsidR="00A54AC3">
        <w:t>ing</w:t>
      </w:r>
      <w:r>
        <w:t xml:space="preserve"> radio</w:t>
      </w:r>
      <w:r w:rsidR="0012235D">
        <w:t xml:space="preserve"> </w:t>
      </w:r>
      <w:r>
        <w:t>communications</w:t>
      </w:r>
      <w:r w:rsidR="00A54AC3">
        <w:t>, t</w:t>
      </w:r>
      <w:r>
        <w:t xml:space="preserve">hey include </w:t>
      </w:r>
      <w:r>
        <w:rPr>
          <w:lang w:eastAsia="en-US"/>
        </w:rPr>
        <w:t>h</w:t>
      </w:r>
      <w:r w:rsidR="007E63F9">
        <w:rPr>
          <w:lang w:eastAsia="en-US"/>
        </w:rPr>
        <w:t xml:space="preserve">igh altitude platforms </w:t>
      </w:r>
      <w:r>
        <w:rPr>
          <w:lang w:eastAsia="en-US"/>
        </w:rPr>
        <w:t xml:space="preserve">like </w:t>
      </w:r>
      <w:r w:rsidR="007E63F9">
        <w:rPr>
          <w:lang w:eastAsia="en-US"/>
        </w:rPr>
        <w:t>balloons</w:t>
      </w:r>
      <w:r>
        <w:rPr>
          <w:lang w:eastAsia="en-US"/>
        </w:rPr>
        <w:t xml:space="preserve"> and </w:t>
      </w:r>
      <w:r w:rsidR="007E63F9">
        <w:rPr>
          <w:lang w:eastAsia="en-US"/>
        </w:rPr>
        <w:t>drones</w:t>
      </w:r>
      <w:r>
        <w:rPr>
          <w:lang w:eastAsia="en-US"/>
        </w:rPr>
        <w:t xml:space="preserve">, </w:t>
      </w:r>
      <w:r w:rsidR="004300FF">
        <w:rPr>
          <w:lang w:eastAsia="en-US"/>
        </w:rPr>
        <w:t xml:space="preserve">peer-to-peer </w:t>
      </w:r>
      <w:r w:rsidR="00482D75">
        <w:rPr>
          <w:lang w:eastAsia="en-US"/>
        </w:rPr>
        <w:t xml:space="preserve">Wi-Fi </w:t>
      </w:r>
      <w:r>
        <w:rPr>
          <w:lang w:eastAsia="en-US"/>
        </w:rPr>
        <w:t>m</w:t>
      </w:r>
      <w:r w:rsidR="007E63F9">
        <w:rPr>
          <w:lang w:eastAsia="en-US"/>
        </w:rPr>
        <w:t>esh</w:t>
      </w:r>
      <w:r w:rsidR="00407856">
        <w:rPr>
          <w:lang w:eastAsia="en-US"/>
        </w:rPr>
        <w:t xml:space="preserve">ing </w:t>
      </w:r>
      <w:r w:rsidR="007E63F9">
        <w:rPr>
          <w:lang w:eastAsia="en-US"/>
        </w:rPr>
        <w:t>networks</w:t>
      </w:r>
      <w:r w:rsidR="004300FF">
        <w:rPr>
          <w:lang w:eastAsia="en-US"/>
        </w:rPr>
        <w:t>,</w:t>
      </w:r>
      <w:r w:rsidR="004300FF" w:rsidDel="004300FF">
        <w:rPr>
          <w:lang w:eastAsia="en-US"/>
        </w:rPr>
        <w:t xml:space="preserve"> </w:t>
      </w:r>
      <w:r w:rsidR="0094716A">
        <w:rPr>
          <w:lang w:eastAsia="en-US"/>
        </w:rPr>
        <w:t>next-generation wireless systems like CSIRO</w:t>
      </w:r>
      <w:r w:rsidR="004300FF">
        <w:rPr>
          <w:lang w:eastAsia="en-US"/>
        </w:rPr>
        <w:t>’s</w:t>
      </w:r>
      <w:r w:rsidR="0094716A">
        <w:rPr>
          <w:lang w:eastAsia="en-US"/>
        </w:rPr>
        <w:t xml:space="preserve"> </w:t>
      </w:r>
      <w:proofErr w:type="spellStart"/>
      <w:r w:rsidR="0094716A">
        <w:rPr>
          <w:lang w:eastAsia="en-US"/>
        </w:rPr>
        <w:t>Ngara</w:t>
      </w:r>
      <w:proofErr w:type="spellEnd"/>
      <w:r w:rsidR="0094716A">
        <w:rPr>
          <w:lang w:eastAsia="en-US"/>
        </w:rPr>
        <w:t xml:space="preserve"> project</w:t>
      </w:r>
      <w:r w:rsidR="004300FF">
        <w:rPr>
          <w:lang w:eastAsia="en-US"/>
        </w:rPr>
        <w:t xml:space="preserve"> or AT&amp;T’s </w:t>
      </w:r>
      <w:proofErr w:type="spellStart"/>
      <w:r w:rsidR="004300FF">
        <w:rPr>
          <w:lang w:eastAsia="en-US"/>
        </w:rPr>
        <w:t>AirGig</w:t>
      </w:r>
      <w:proofErr w:type="spellEnd"/>
      <w:r w:rsidR="004300FF">
        <w:rPr>
          <w:lang w:eastAsia="en-US"/>
        </w:rPr>
        <w:t xml:space="preserve"> project</w:t>
      </w:r>
      <w:r w:rsidR="0094716A">
        <w:rPr>
          <w:lang w:eastAsia="en-US"/>
        </w:rPr>
        <w:t xml:space="preserve">, use of </w:t>
      </w:r>
      <w:r w:rsidR="008E6BE6">
        <w:rPr>
          <w:lang w:eastAsia="en-US"/>
        </w:rPr>
        <w:t>TV ‘white space’</w:t>
      </w:r>
      <w:r>
        <w:rPr>
          <w:lang w:eastAsia="en-US"/>
        </w:rPr>
        <w:t xml:space="preserve">, and </w:t>
      </w:r>
      <w:r w:rsidR="00161D88">
        <w:rPr>
          <w:lang w:eastAsia="en-US"/>
        </w:rPr>
        <w:t xml:space="preserve">use of </w:t>
      </w:r>
      <w:r w:rsidR="00F9753F">
        <w:rPr>
          <w:lang w:eastAsia="en-US"/>
        </w:rPr>
        <w:t xml:space="preserve">emerging </w:t>
      </w:r>
      <w:r w:rsidR="008E6BE6">
        <w:rPr>
          <w:lang w:eastAsia="en-US"/>
        </w:rPr>
        <w:t>Internet of Things (</w:t>
      </w:r>
      <w:proofErr w:type="spellStart"/>
      <w:r w:rsidR="008E6BE6">
        <w:rPr>
          <w:lang w:eastAsia="en-US"/>
        </w:rPr>
        <w:t>IoT</w:t>
      </w:r>
      <w:proofErr w:type="spellEnd"/>
      <w:r w:rsidR="008E6BE6">
        <w:rPr>
          <w:lang w:eastAsia="en-US"/>
        </w:rPr>
        <w:t>)</w:t>
      </w:r>
      <w:r w:rsidR="00161D88">
        <w:rPr>
          <w:lang w:eastAsia="en-US"/>
        </w:rPr>
        <w:t xml:space="preserve"> </w:t>
      </w:r>
      <w:r w:rsidR="00F9753F">
        <w:rPr>
          <w:lang w:eastAsia="en-US"/>
        </w:rPr>
        <w:t xml:space="preserve">mobile </w:t>
      </w:r>
      <w:r w:rsidR="00407856">
        <w:rPr>
          <w:lang w:eastAsia="en-US"/>
        </w:rPr>
        <w:t>networks</w:t>
      </w:r>
      <w:r w:rsidR="008E6BE6">
        <w:rPr>
          <w:lang w:eastAsia="en-US"/>
        </w:rPr>
        <w:t>.</w:t>
      </w:r>
      <w:r w:rsidR="0094716A">
        <w:rPr>
          <w:lang w:eastAsia="en-US"/>
        </w:rPr>
        <w:t xml:space="preserve"> These technologies are progressing quickly, and the </w:t>
      </w:r>
      <w:r w:rsidR="00571A58">
        <w:rPr>
          <w:lang w:eastAsia="en-US"/>
        </w:rPr>
        <w:t>d</w:t>
      </w:r>
      <w:r w:rsidR="0094716A">
        <w:rPr>
          <w:lang w:eastAsia="en-US"/>
        </w:rPr>
        <w:t>epartment will continue to monitor developments over the coming years.</w:t>
      </w:r>
    </w:p>
    <w:p w14:paraId="0DECCB19" w14:textId="77777777" w:rsidR="00253CD1" w:rsidRDefault="00887947" w:rsidP="009D45AB">
      <w:pPr>
        <w:rPr>
          <w:lang w:eastAsia="en-US"/>
        </w:rPr>
      </w:pPr>
      <w:r>
        <w:rPr>
          <w:lang w:eastAsia="en-US"/>
        </w:rPr>
        <w:t xml:space="preserve">In the case of payphones, </w:t>
      </w:r>
      <w:r w:rsidR="00EB3C87">
        <w:rPr>
          <w:lang w:eastAsia="en-US"/>
        </w:rPr>
        <w:t xml:space="preserve">the most noteworthy trend has been their apparent displacement by mass take-up of mobile phones. Indeed, </w:t>
      </w:r>
      <w:r w:rsidR="00812261">
        <w:rPr>
          <w:lang w:eastAsia="en-US"/>
        </w:rPr>
        <w:t xml:space="preserve">apart from </w:t>
      </w:r>
      <w:r w:rsidR="00762842">
        <w:rPr>
          <w:lang w:eastAsia="en-US"/>
        </w:rPr>
        <w:t xml:space="preserve">the potential shift of Telstra’s </w:t>
      </w:r>
      <w:r w:rsidR="00812261">
        <w:rPr>
          <w:lang w:eastAsia="en-US"/>
        </w:rPr>
        <w:t xml:space="preserve">existing </w:t>
      </w:r>
      <w:r w:rsidR="00762842">
        <w:rPr>
          <w:lang w:eastAsia="en-US"/>
        </w:rPr>
        <w:t xml:space="preserve">payphone fleet </w:t>
      </w:r>
      <w:r w:rsidR="00812261">
        <w:rPr>
          <w:lang w:eastAsia="en-US"/>
        </w:rPr>
        <w:t xml:space="preserve">from copper onto alternative telecommunications networks (e.g. the NBN or </w:t>
      </w:r>
      <w:r w:rsidR="00762842">
        <w:rPr>
          <w:lang w:eastAsia="en-US"/>
        </w:rPr>
        <w:t xml:space="preserve">4G </w:t>
      </w:r>
      <w:r w:rsidR="00812261">
        <w:rPr>
          <w:lang w:eastAsia="en-US"/>
        </w:rPr>
        <w:t xml:space="preserve">mobile networks), we did not identify any alternative payphone technologies </w:t>
      </w:r>
      <w:r w:rsidR="00762842">
        <w:rPr>
          <w:lang w:eastAsia="en-US"/>
        </w:rPr>
        <w:t xml:space="preserve">that were </w:t>
      </w:r>
      <w:r w:rsidR="00812261">
        <w:rPr>
          <w:lang w:eastAsia="en-US"/>
        </w:rPr>
        <w:t xml:space="preserve">under </w:t>
      </w:r>
      <w:r>
        <w:rPr>
          <w:lang w:eastAsia="en-US"/>
        </w:rPr>
        <w:t xml:space="preserve">development. </w:t>
      </w:r>
      <w:r w:rsidR="00EB3C87">
        <w:rPr>
          <w:lang w:eastAsia="en-US"/>
        </w:rPr>
        <w:t>Instead, the main payphone developments</w:t>
      </w:r>
      <w:r w:rsidR="00812261">
        <w:rPr>
          <w:lang w:eastAsia="en-US"/>
        </w:rPr>
        <w:t xml:space="preserve"> relate to the </w:t>
      </w:r>
      <w:r w:rsidR="00762842">
        <w:rPr>
          <w:lang w:eastAsia="en-US"/>
        </w:rPr>
        <w:t xml:space="preserve">evolution of the </w:t>
      </w:r>
      <w:r w:rsidR="00812261">
        <w:rPr>
          <w:lang w:eastAsia="en-US"/>
        </w:rPr>
        <w:t xml:space="preserve">cabinets themselves. </w:t>
      </w:r>
      <w:r>
        <w:rPr>
          <w:lang w:eastAsia="en-US"/>
        </w:rPr>
        <w:t>The</w:t>
      </w:r>
      <w:r w:rsidR="00812261">
        <w:rPr>
          <w:lang w:eastAsia="en-US"/>
        </w:rPr>
        <w:t>re is</w:t>
      </w:r>
      <w:r>
        <w:rPr>
          <w:lang w:eastAsia="en-US"/>
        </w:rPr>
        <w:t xml:space="preserve"> a growing tendency amongst payphone providers to integrate payphone equipment </w:t>
      </w:r>
      <w:r w:rsidR="00B91D6E">
        <w:rPr>
          <w:lang w:eastAsia="en-US"/>
        </w:rPr>
        <w:t xml:space="preserve">with </w:t>
      </w:r>
      <w:r>
        <w:rPr>
          <w:lang w:eastAsia="en-US"/>
        </w:rPr>
        <w:t xml:space="preserve">new digital </w:t>
      </w:r>
      <w:r w:rsidR="00812261">
        <w:rPr>
          <w:lang w:eastAsia="en-US"/>
        </w:rPr>
        <w:t xml:space="preserve">advertising </w:t>
      </w:r>
      <w:r>
        <w:rPr>
          <w:lang w:eastAsia="en-US"/>
        </w:rPr>
        <w:t>billboards</w:t>
      </w:r>
      <w:r w:rsidR="00812261">
        <w:rPr>
          <w:lang w:eastAsia="en-US"/>
        </w:rPr>
        <w:t xml:space="preserve">, </w:t>
      </w:r>
      <w:r>
        <w:rPr>
          <w:lang w:eastAsia="en-US"/>
        </w:rPr>
        <w:t>kiosks</w:t>
      </w:r>
      <w:r w:rsidR="00812261">
        <w:rPr>
          <w:lang w:eastAsia="en-US"/>
        </w:rPr>
        <w:t xml:space="preserve"> with mobile charging stations and/or </w:t>
      </w:r>
      <w:r w:rsidR="00762842">
        <w:rPr>
          <w:lang w:eastAsia="en-US"/>
        </w:rPr>
        <w:t xml:space="preserve">public </w:t>
      </w:r>
      <w:r w:rsidR="00812261">
        <w:rPr>
          <w:lang w:eastAsia="en-US"/>
        </w:rPr>
        <w:t>Wi-Fi hotspots</w:t>
      </w:r>
      <w:r>
        <w:rPr>
          <w:lang w:eastAsia="en-US"/>
        </w:rPr>
        <w:t xml:space="preserve">, a trend evident in the USA, UK and Australia. </w:t>
      </w:r>
      <w:r w:rsidR="00812261">
        <w:rPr>
          <w:lang w:eastAsia="en-US"/>
        </w:rPr>
        <w:t xml:space="preserve">These can provide carriers with new revenue streams by leveraging off </w:t>
      </w:r>
      <w:r w:rsidR="00762842">
        <w:rPr>
          <w:lang w:eastAsia="en-US"/>
        </w:rPr>
        <w:t xml:space="preserve">the location of </w:t>
      </w:r>
      <w:r w:rsidR="00812261">
        <w:rPr>
          <w:lang w:eastAsia="en-US"/>
        </w:rPr>
        <w:t>existing payphone services.</w:t>
      </w:r>
    </w:p>
    <w:p w14:paraId="0DECCB1A" w14:textId="77777777" w:rsidR="00077873" w:rsidRPr="00950DB6" w:rsidRDefault="00077873" w:rsidP="00950DB6">
      <w:pPr>
        <w:pStyle w:val="Heading3"/>
      </w:pPr>
      <w:bookmarkStart w:id="70" w:name="_Toc529783729"/>
      <w:r w:rsidRPr="00950DB6">
        <w:t xml:space="preserve">Voice quality and </w:t>
      </w:r>
      <w:r w:rsidR="00161D88" w:rsidRPr="00950DB6">
        <w:t>reliability</w:t>
      </w:r>
      <w:bookmarkEnd w:id="70"/>
    </w:p>
    <w:p w14:paraId="0DECCB1B" w14:textId="77777777" w:rsidR="0037227B" w:rsidRDefault="0037227B" w:rsidP="00077873">
      <w:pPr>
        <w:rPr>
          <w:lang w:eastAsia="en-US"/>
        </w:rPr>
      </w:pPr>
      <w:r>
        <w:rPr>
          <w:lang w:eastAsia="en-US"/>
        </w:rPr>
        <w:t>V</w:t>
      </w:r>
      <w:r w:rsidR="00077873">
        <w:rPr>
          <w:lang w:eastAsia="en-US"/>
        </w:rPr>
        <w:t xml:space="preserve">oice quality and </w:t>
      </w:r>
      <w:r w:rsidR="001809F9">
        <w:rPr>
          <w:lang w:eastAsia="en-US"/>
        </w:rPr>
        <w:t xml:space="preserve">network </w:t>
      </w:r>
      <w:r w:rsidR="00161D88">
        <w:rPr>
          <w:lang w:eastAsia="en-US"/>
        </w:rPr>
        <w:t xml:space="preserve">reliability </w:t>
      </w:r>
      <w:r>
        <w:rPr>
          <w:lang w:eastAsia="en-US"/>
        </w:rPr>
        <w:t xml:space="preserve">are key aspects of ensuring voice services under a USG </w:t>
      </w:r>
      <w:r w:rsidR="00225648">
        <w:rPr>
          <w:lang w:eastAsia="en-US"/>
        </w:rPr>
        <w:t xml:space="preserve">can </w:t>
      </w:r>
      <w:r>
        <w:rPr>
          <w:lang w:eastAsia="en-US"/>
        </w:rPr>
        <w:t>meet the needs of consumers. They are also important in the selection of delivery solutions and the costing of those solutions.</w:t>
      </w:r>
    </w:p>
    <w:p w14:paraId="0DECCB1C" w14:textId="77777777" w:rsidR="00077873" w:rsidRDefault="00077873" w:rsidP="00077873">
      <w:pPr>
        <w:rPr>
          <w:lang w:eastAsia="en-US"/>
        </w:rPr>
      </w:pPr>
      <w:r>
        <w:rPr>
          <w:lang w:eastAsia="en-US"/>
        </w:rPr>
        <w:t xml:space="preserve">The International Telecommunications Union’s (ITU) standardised benchmark for measuring the quality of voice services, known as the Transmission Rating Factor or R-Value, </w:t>
      </w:r>
      <w:r w:rsidR="00161D88">
        <w:rPr>
          <w:lang w:eastAsia="en-US"/>
        </w:rPr>
        <w:t xml:space="preserve">is </w:t>
      </w:r>
      <w:r>
        <w:rPr>
          <w:lang w:eastAsia="en-US"/>
        </w:rPr>
        <w:t xml:space="preserve">seen </w:t>
      </w:r>
      <w:r w:rsidR="00161D88">
        <w:rPr>
          <w:lang w:eastAsia="en-US"/>
        </w:rPr>
        <w:t xml:space="preserve">as </w:t>
      </w:r>
      <w:r>
        <w:rPr>
          <w:lang w:eastAsia="en-US"/>
        </w:rPr>
        <w:t>provid</w:t>
      </w:r>
      <w:r w:rsidR="00161D88">
        <w:rPr>
          <w:lang w:eastAsia="en-US"/>
        </w:rPr>
        <w:t>ing</w:t>
      </w:r>
      <w:r>
        <w:rPr>
          <w:lang w:eastAsia="en-US"/>
        </w:rPr>
        <w:t xml:space="preserve"> a</w:t>
      </w:r>
      <w:r w:rsidR="00A54AC3">
        <w:rPr>
          <w:lang w:eastAsia="en-US"/>
        </w:rPr>
        <w:t>n</w:t>
      </w:r>
      <w:r>
        <w:rPr>
          <w:lang w:eastAsia="en-US"/>
        </w:rPr>
        <w:t xml:space="preserve"> </w:t>
      </w:r>
      <w:r w:rsidR="00FC6548">
        <w:rPr>
          <w:lang w:eastAsia="en-US"/>
        </w:rPr>
        <w:t xml:space="preserve">appropriate </w:t>
      </w:r>
      <w:r>
        <w:rPr>
          <w:lang w:eastAsia="en-US"/>
        </w:rPr>
        <w:t>yardstick. The R</w:t>
      </w:r>
      <w:r>
        <w:rPr>
          <w:lang w:eastAsia="en-US"/>
        </w:rPr>
        <w:noBreakHyphen/>
        <w:t xml:space="preserve">Value provides a guide for user satisfaction, with </w:t>
      </w:r>
      <w:r w:rsidR="005F0385">
        <w:rPr>
          <w:lang w:eastAsia="en-US"/>
        </w:rPr>
        <w:t>50</w:t>
      </w:r>
      <w:r w:rsidR="004F4FFF">
        <w:rPr>
          <w:lang w:eastAsia="en-US"/>
        </w:rPr>
        <w:t>-7</w:t>
      </w:r>
      <w:r w:rsidR="00A54AC3">
        <w:rPr>
          <w:lang w:eastAsia="en-US"/>
        </w:rPr>
        <w:t>0</w:t>
      </w:r>
      <w:r w:rsidR="004F4FFF">
        <w:rPr>
          <w:lang w:eastAsia="en-US"/>
        </w:rPr>
        <w:t xml:space="preserve"> considered low satisfaction, </w:t>
      </w:r>
      <w:r>
        <w:rPr>
          <w:lang w:eastAsia="en-US"/>
        </w:rPr>
        <w:t>70-80 medium satisfaction, 80</w:t>
      </w:r>
      <w:r>
        <w:rPr>
          <w:lang w:eastAsia="en-US"/>
        </w:rPr>
        <w:noBreakHyphen/>
        <w:t xml:space="preserve">90 highly satisfied and 90+ being very satisfied. </w:t>
      </w:r>
      <w:r w:rsidR="00D70F37">
        <w:rPr>
          <w:lang w:eastAsia="en-US"/>
        </w:rPr>
        <w:t>The R-</w:t>
      </w:r>
      <w:r w:rsidR="00524C9C">
        <w:rPr>
          <w:lang w:eastAsia="en-US"/>
        </w:rPr>
        <w:t xml:space="preserve">Value </w:t>
      </w:r>
      <w:r w:rsidR="00D70F37">
        <w:rPr>
          <w:lang w:eastAsia="en-US"/>
        </w:rPr>
        <w:t xml:space="preserve">can also be calibrated against a Mean Opinion Score (MOS), which uses a 1 to 5 rating scale and is used in the industry. </w:t>
      </w:r>
    </w:p>
    <w:p w14:paraId="0DECCB1D" w14:textId="77777777" w:rsidR="00077873" w:rsidRDefault="00077873" w:rsidP="00077873">
      <w:pPr>
        <w:rPr>
          <w:lang w:eastAsia="en-US"/>
        </w:rPr>
      </w:pPr>
      <w:r>
        <w:rPr>
          <w:lang w:eastAsia="en-US"/>
        </w:rPr>
        <w:t>In considering a suitable R-</w:t>
      </w:r>
      <w:r w:rsidR="00161D88">
        <w:rPr>
          <w:lang w:eastAsia="en-US"/>
        </w:rPr>
        <w:t>Value</w:t>
      </w:r>
      <w:r>
        <w:rPr>
          <w:lang w:eastAsia="en-US"/>
        </w:rPr>
        <w:t xml:space="preserve">, </w:t>
      </w:r>
      <w:r w:rsidR="00161D88">
        <w:rPr>
          <w:lang w:eastAsia="en-US"/>
        </w:rPr>
        <w:t>we</w:t>
      </w:r>
      <w:r>
        <w:rPr>
          <w:lang w:eastAsia="en-US"/>
        </w:rPr>
        <w:t xml:space="preserve"> looked at consumer telecommunications usage trends and compared call quality between technologies. </w:t>
      </w:r>
    </w:p>
    <w:p w14:paraId="0DECCB1E" w14:textId="77777777" w:rsidR="00D70F37" w:rsidRDefault="00D70F37" w:rsidP="00D70F37">
      <w:pPr>
        <w:rPr>
          <w:lang w:eastAsia="en-US"/>
        </w:rPr>
      </w:pPr>
      <w:r>
        <w:rPr>
          <w:lang w:eastAsia="en-US"/>
        </w:rPr>
        <w:t xml:space="preserve">Historically, public-switched telephone networks, like Telstra’s copper network, have provided </w:t>
      </w:r>
      <w:r w:rsidR="00E2700A">
        <w:rPr>
          <w:lang w:eastAsia="en-US"/>
        </w:rPr>
        <w:t xml:space="preserve">an </w:t>
      </w:r>
      <w:r w:rsidR="001809F9">
        <w:rPr>
          <w:lang w:eastAsia="en-US"/>
        </w:rPr>
        <w:br/>
      </w:r>
      <w:r>
        <w:rPr>
          <w:lang w:eastAsia="en-US"/>
        </w:rPr>
        <w:t xml:space="preserve">R-Value </w:t>
      </w:r>
      <w:r w:rsidR="00E2700A">
        <w:rPr>
          <w:lang w:eastAsia="en-US"/>
        </w:rPr>
        <w:t xml:space="preserve">of </w:t>
      </w:r>
      <w:r>
        <w:rPr>
          <w:lang w:eastAsia="en-US"/>
        </w:rPr>
        <w:t>around 80</w:t>
      </w:r>
      <w:r w:rsidR="0094716A">
        <w:rPr>
          <w:lang w:eastAsia="en-US"/>
        </w:rPr>
        <w:t xml:space="preserve"> in good conditions</w:t>
      </w:r>
      <w:r>
        <w:rPr>
          <w:lang w:eastAsia="en-US"/>
        </w:rPr>
        <w:t>, with higher scores being achievable in some scenarios. V</w:t>
      </w:r>
      <w:r w:rsidR="00487BFC">
        <w:rPr>
          <w:lang w:eastAsia="en-US"/>
        </w:rPr>
        <w:t>o</w:t>
      </w:r>
      <w:r>
        <w:rPr>
          <w:lang w:eastAsia="en-US"/>
        </w:rPr>
        <w:t xml:space="preserve">IP </w:t>
      </w:r>
      <w:r w:rsidR="001809F9">
        <w:rPr>
          <w:lang w:eastAsia="en-US"/>
        </w:rPr>
        <w:t>services are</w:t>
      </w:r>
      <w:r>
        <w:rPr>
          <w:lang w:eastAsia="en-US"/>
        </w:rPr>
        <w:t xml:space="preserve"> also able to achieve these high levels</w:t>
      </w:r>
      <w:r w:rsidR="001809F9">
        <w:rPr>
          <w:lang w:eastAsia="en-US"/>
        </w:rPr>
        <w:t xml:space="preserve">, </w:t>
      </w:r>
      <w:r w:rsidR="00225648">
        <w:rPr>
          <w:lang w:eastAsia="en-US"/>
        </w:rPr>
        <w:t xml:space="preserve">depending on the software and </w:t>
      </w:r>
      <w:r>
        <w:rPr>
          <w:lang w:eastAsia="en-US"/>
        </w:rPr>
        <w:t>underlying delivery platform</w:t>
      </w:r>
      <w:r w:rsidR="00161D88">
        <w:rPr>
          <w:lang w:eastAsia="en-US"/>
        </w:rPr>
        <w:t>s</w:t>
      </w:r>
      <w:r>
        <w:rPr>
          <w:lang w:eastAsia="en-US"/>
        </w:rPr>
        <w:t>.</w:t>
      </w:r>
    </w:p>
    <w:p w14:paraId="0DECCB1F" w14:textId="77777777" w:rsidR="00D70F37" w:rsidRDefault="00D70F37" w:rsidP="00D70F37">
      <w:pPr>
        <w:rPr>
          <w:lang w:eastAsia="en-US"/>
        </w:rPr>
      </w:pPr>
      <w:r>
        <w:rPr>
          <w:lang w:eastAsia="en-US"/>
        </w:rPr>
        <w:t xml:space="preserve">As noted above, Australians are increasingly </w:t>
      </w:r>
      <w:r w:rsidR="001809F9">
        <w:rPr>
          <w:lang w:eastAsia="en-US"/>
        </w:rPr>
        <w:t xml:space="preserve">choosing </w:t>
      </w:r>
      <w:r>
        <w:rPr>
          <w:lang w:eastAsia="en-US"/>
        </w:rPr>
        <w:t xml:space="preserve">mobile </w:t>
      </w:r>
      <w:r w:rsidR="001809F9">
        <w:rPr>
          <w:lang w:eastAsia="en-US"/>
        </w:rPr>
        <w:t xml:space="preserve">over fixed services, </w:t>
      </w:r>
      <w:r w:rsidR="00482D75">
        <w:rPr>
          <w:lang w:eastAsia="en-US"/>
        </w:rPr>
        <w:t xml:space="preserve">meaning </w:t>
      </w:r>
      <w:r w:rsidR="00FF2A2B">
        <w:rPr>
          <w:lang w:eastAsia="en-US"/>
        </w:rPr>
        <w:t>carrier</w:t>
      </w:r>
      <w:r w:rsidR="005C45E8">
        <w:rPr>
          <w:lang w:eastAsia="en-US"/>
        </w:rPr>
        <w:t>s</w:t>
      </w:r>
      <w:r w:rsidR="00FF2A2B">
        <w:rPr>
          <w:lang w:eastAsia="en-US"/>
        </w:rPr>
        <w:t xml:space="preserve"> have a strong commercial incentive to ensure the</w:t>
      </w:r>
      <w:r w:rsidR="005C45E8">
        <w:rPr>
          <w:lang w:eastAsia="en-US"/>
        </w:rPr>
        <w:t>i</w:t>
      </w:r>
      <w:r w:rsidR="00FF2A2B">
        <w:rPr>
          <w:lang w:eastAsia="en-US"/>
        </w:rPr>
        <w:t xml:space="preserve">r services </w:t>
      </w:r>
      <w:r w:rsidR="00482D75">
        <w:rPr>
          <w:lang w:eastAsia="en-US"/>
        </w:rPr>
        <w:t xml:space="preserve">consistently </w:t>
      </w:r>
      <w:r w:rsidR="00FF2A2B">
        <w:rPr>
          <w:lang w:eastAsia="en-US"/>
        </w:rPr>
        <w:t xml:space="preserve">provide good voice </w:t>
      </w:r>
      <w:r w:rsidR="00161D88">
        <w:rPr>
          <w:lang w:eastAsia="en-US"/>
        </w:rPr>
        <w:t>quality</w:t>
      </w:r>
      <w:r w:rsidR="00FF2A2B">
        <w:rPr>
          <w:lang w:eastAsia="en-US"/>
        </w:rPr>
        <w:t xml:space="preserve">. </w:t>
      </w:r>
      <w:r w:rsidR="001809F9">
        <w:rPr>
          <w:lang w:eastAsia="en-US"/>
        </w:rPr>
        <w:t>Independent real-world testing of m</w:t>
      </w:r>
      <w:r>
        <w:rPr>
          <w:lang w:eastAsia="en-US"/>
        </w:rPr>
        <w:t xml:space="preserve">obile voice calls in Australia have </w:t>
      </w:r>
      <w:r w:rsidR="001809F9">
        <w:rPr>
          <w:lang w:eastAsia="en-US"/>
        </w:rPr>
        <w:t xml:space="preserve">shown mobile </w:t>
      </w:r>
      <w:r w:rsidR="00537EC4">
        <w:rPr>
          <w:lang w:eastAsia="en-US"/>
        </w:rPr>
        <w:t xml:space="preserve">services </w:t>
      </w:r>
      <w:r w:rsidR="001809F9">
        <w:rPr>
          <w:lang w:eastAsia="en-US"/>
        </w:rPr>
        <w:t xml:space="preserve">to have a </w:t>
      </w:r>
      <w:r>
        <w:rPr>
          <w:lang w:eastAsia="en-US"/>
        </w:rPr>
        <w:lastRenderedPageBreak/>
        <w:t xml:space="preserve">MOS </w:t>
      </w:r>
      <w:r w:rsidR="001809F9">
        <w:rPr>
          <w:lang w:eastAsia="en-US"/>
        </w:rPr>
        <w:t xml:space="preserve">range </w:t>
      </w:r>
      <w:r>
        <w:rPr>
          <w:lang w:eastAsia="en-US"/>
        </w:rPr>
        <w:t xml:space="preserve">of </w:t>
      </w:r>
      <w:r w:rsidR="004079F4">
        <w:rPr>
          <w:lang w:eastAsia="en-US"/>
        </w:rPr>
        <w:t>3.4</w:t>
      </w:r>
      <w:r>
        <w:rPr>
          <w:lang w:eastAsia="en-US"/>
        </w:rPr>
        <w:t xml:space="preserve"> to </w:t>
      </w:r>
      <w:r w:rsidR="004079F4">
        <w:rPr>
          <w:lang w:eastAsia="en-US"/>
        </w:rPr>
        <w:t>3.8</w:t>
      </w:r>
      <w:r>
        <w:rPr>
          <w:lang w:eastAsia="en-US"/>
        </w:rPr>
        <w:t>, which aligns with an R-</w:t>
      </w:r>
      <w:r w:rsidR="00524C9C">
        <w:rPr>
          <w:lang w:eastAsia="en-US"/>
        </w:rPr>
        <w:t xml:space="preserve">Value </w:t>
      </w:r>
      <w:r>
        <w:rPr>
          <w:lang w:eastAsia="en-US"/>
        </w:rPr>
        <w:t xml:space="preserve">of </w:t>
      </w:r>
      <w:r w:rsidR="004079F4">
        <w:rPr>
          <w:lang w:eastAsia="en-US"/>
        </w:rPr>
        <w:t xml:space="preserve">65 </w:t>
      </w:r>
      <w:r>
        <w:rPr>
          <w:lang w:eastAsia="en-US"/>
        </w:rPr>
        <w:t xml:space="preserve">to </w:t>
      </w:r>
      <w:r w:rsidR="004079F4">
        <w:rPr>
          <w:lang w:eastAsia="en-US"/>
        </w:rPr>
        <w:t>75</w:t>
      </w:r>
      <w:r>
        <w:rPr>
          <w:lang w:eastAsia="en-US"/>
        </w:rPr>
        <w:t>.</w:t>
      </w:r>
      <w:r w:rsidR="002328D0">
        <w:rPr>
          <w:rStyle w:val="FootnoteReference"/>
          <w:lang w:eastAsia="en-US"/>
        </w:rPr>
        <w:footnoteReference w:id="14"/>
      </w:r>
      <w:r>
        <w:rPr>
          <w:lang w:eastAsia="en-US"/>
        </w:rPr>
        <w:t xml:space="preserve"> These result</w:t>
      </w:r>
      <w:r w:rsidR="0094716A">
        <w:rPr>
          <w:lang w:eastAsia="en-US"/>
        </w:rPr>
        <w:t>s</w:t>
      </w:r>
      <w:r>
        <w:rPr>
          <w:lang w:eastAsia="en-US"/>
        </w:rPr>
        <w:t xml:space="preserve"> </w:t>
      </w:r>
      <w:r w:rsidR="001809F9">
        <w:rPr>
          <w:lang w:eastAsia="en-US"/>
        </w:rPr>
        <w:t xml:space="preserve">are </w:t>
      </w:r>
      <w:r>
        <w:rPr>
          <w:lang w:eastAsia="en-US"/>
        </w:rPr>
        <w:t>supported by data separately provided by mobile carriers.</w:t>
      </w:r>
      <w:r w:rsidR="00FF2A2B">
        <w:rPr>
          <w:lang w:eastAsia="en-US"/>
        </w:rPr>
        <w:t xml:space="preserve"> </w:t>
      </w:r>
    </w:p>
    <w:p w14:paraId="0DECCB20" w14:textId="77777777" w:rsidR="004079F4" w:rsidRDefault="00FF2A2B" w:rsidP="00077873">
      <w:pPr>
        <w:rPr>
          <w:lang w:eastAsia="en-US"/>
        </w:rPr>
      </w:pPr>
      <w:r>
        <w:rPr>
          <w:lang w:eastAsia="en-US"/>
        </w:rPr>
        <w:t xml:space="preserve">The growing use of mobile services </w:t>
      </w:r>
      <w:r w:rsidR="00077873">
        <w:rPr>
          <w:lang w:eastAsia="en-US"/>
        </w:rPr>
        <w:t>suggest</w:t>
      </w:r>
      <w:r w:rsidR="00161D88">
        <w:rPr>
          <w:lang w:eastAsia="en-US"/>
        </w:rPr>
        <w:t>s</w:t>
      </w:r>
      <w:r w:rsidR="00077873">
        <w:rPr>
          <w:lang w:eastAsia="en-US"/>
        </w:rPr>
        <w:t xml:space="preserve"> that consumers are </w:t>
      </w:r>
      <w:r w:rsidR="00161D88">
        <w:rPr>
          <w:lang w:eastAsia="en-US"/>
        </w:rPr>
        <w:t xml:space="preserve">generally </w:t>
      </w:r>
      <w:r w:rsidR="00077873">
        <w:rPr>
          <w:lang w:eastAsia="en-US"/>
        </w:rPr>
        <w:t>satisfied with the quality of call</w:t>
      </w:r>
      <w:r w:rsidR="00161D88">
        <w:rPr>
          <w:lang w:eastAsia="en-US"/>
        </w:rPr>
        <w:t>s</w:t>
      </w:r>
      <w:r w:rsidR="00077873">
        <w:rPr>
          <w:lang w:eastAsia="en-US"/>
        </w:rPr>
        <w:t xml:space="preserve"> </w:t>
      </w:r>
      <w:r w:rsidR="00161D88">
        <w:rPr>
          <w:lang w:eastAsia="en-US"/>
        </w:rPr>
        <w:t>being</w:t>
      </w:r>
      <w:r w:rsidR="00077873">
        <w:rPr>
          <w:lang w:eastAsia="en-US"/>
        </w:rPr>
        <w:t xml:space="preserve"> carried over a mobile voice service</w:t>
      </w:r>
      <w:r>
        <w:rPr>
          <w:lang w:eastAsia="en-US"/>
        </w:rPr>
        <w:t>, noting it does offer the additional benefit of mobility.</w:t>
      </w:r>
      <w:r w:rsidR="00524C9C">
        <w:rPr>
          <w:lang w:eastAsia="en-US"/>
        </w:rPr>
        <w:t xml:space="preserve"> </w:t>
      </w:r>
      <w:r>
        <w:rPr>
          <w:lang w:eastAsia="en-US"/>
        </w:rPr>
        <w:t xml:space="preserve">As such we consider an acceptable benchmark </w:t>
      </w:r>
      <w:r w:rsidRPr="008D2194">
        <w:rPr>
          <w:lang w:eastAsia="en-US"/>
        </w:rPr>
        <w:t>for a</w:t>
      </w:r>
      <w:r>
        <w:rPr>
          <w:lang w:eastAsia="en-US"/>
        </w:rPr>
        <w:t xml:space="preserve">n average voice </w:t>
      </w:r>
      <w:r w:rsidRPr="008D2194">
        <w:rPr>
          <w:lang w:eastAsia="en-US"/>
        </w:rPr>
        <w:t>service would be an R-Value of 6</w:t>
      </w:r>
      <w:r>
        <w:rPr>
          <w:lang w:eastAsia="en-US"/>
        </w:rPr>
        <w:t>5 or higher, noting that some variability between individual calls is inevitable.</w:t>
      </w:r>
      <w:r w:rsidR="00524C9C">
        <w:rPr>
          <w:lang w:eastAsia="en-US"/>
        </w:rPr>
        <w:t xml:space="preserve"> </w:t>
      </w:r>
      <w:r>
        <w:rPr>
          <w:lang w:eastAsia="en-US"/>
        </w:rPr>
        <w:t xml:space="preserve"> </w:t>
      </w:r>
    </w:p>
    <w:p w14:paraId="0DECCB21" w14:textId="77777777" w:rsidR="00077873" w:rsidRDefault="00FF2A2B" w:rsidP="00077873">
      <w:pPr>
        <w:rPr>
          <w:lang w:eastAsia="en-US"/>
        </w:rPr>
      </w:pPr>
      <w:r>
        <w:rPr>
          <w:lang w:eastAsia="en-US"/>
        </w:rPr>
        <w:t xml:space="preserve">Notwithstanding such a benchmark, we would expect </w:t>
      </w:r>
      <w:r w:rsidR="00626319">
        <w:rPr>
          <w:lang w:eastAsia="en-US"/>
        </w:rPr>
        <w:t xml:space="preserve">consumer demand and established design </w:t>
      </w:r>
      <w:r w:rsidR="00D67FCC">
        <w:rPr>
          <w:lang w:eastAsia="en-US"/>
        </w:rPr>
        <w:t>principles</w:t>
      </w:r>
      <w:r w:rsidR="00626319">
        <w:rPr>
          <w:lang w:eastAsia="en-US"/>
        </w:rPr>
        <w:t xml:space="preserve"> </w:t>
      </w:r>
      <w:r w:rsidR="00161D88">
        <w:rPr>
          <w:lang w:eastAsia="en-US"/>
        </w:rPr>
        <w:t xml:space="preserve">will </w:t>
      </w:r>
      <w:r w:rsidR="00626319">
        <w:rPr>
          <w:lang w:eastAsia="en-US"/>
        </w:rPr>
        <w:t>lead to much higher performance levels generally being available.</w:t>
      </w:r>
      <w:r w:rsidR="006E7A1E" w:rsidRPr="006E7A1E">
        <w:rPr>
          <w:lang w:eastAsia="en-US"/>
        </w:rPr>
        <w:t xml:space="preserve"> </w:t>
      </w:r>
      <w:r w:rsidR="006E7A1E">
        <w:rPr>
          <w:lang w:eastAsia="en-US"/>
        </w:rPr>
        <w:t>It has been reported that, in some instances, mobile calls can achieve R-</w:t>
      </w:r>
      <w:r w:rsidR="00487BFC">
        <w:rPr>
          <w:lang w:eastAsia="en-US"/>
        </w:rPr>
        <w:t>V</w:t>
      </w:r>
      <w:r w:rsidR="006E7A1E">
        <w:rPr>
          <w:lang w:eastAsia="en-US"/>
        </w:rPr>
        <w:t>alues of 80+ (exceeding PSTN call quality)</w:t>
      </w:r>
      <w:r w:rsidR="007D388E">
        <w:rPr>
          <w:lang w:eastAsia="en-US"/>
        </w:rPr>
        <w:t xml:space="preserve"> – for example, when using 4G calling (</w:t>
      </w:r>
      <w:proofErr w:type="spellStart"/>
      <w:r w:rsidR="007D388E">
        <w:rPr>
          <w:lang w:eastAsia="en-US"/>
        </w:rPr>
        <w:t>VoLTE</w:t>
      </w:r>
      <w:proofErr w:type="spellEnd"/>
      <w:r w:rsidR="007D388E">
        <w:rPr>
          <w:lang w:eastAsia="en-US"/>
        </w:rPr>
        <w:t>)</w:t>
      </w:r>
      <w:r w:rsidR="006E7A1E">
        <w:rPr>
          <w:lang w:eastAsia="en-US"/>
        </w:rPr>
        <w:t>.</w:t>
      </w:r>
      <w:r w:rsidR="00077873">
        <w:rPr>
          <w:lang w:eastAsia="en-US"/>
        </w:rPr>
        <w:t xml:space="preserve"> </w:t>
      </w:r>
      <w:r w:rsidR="00161D88">
        <w:rPr>
          <w:lang w:eastAsia="en-US"/>
        </w:rPr>
        <w:t>T</w:t>
      </w:r>
      <w:r w:rsidR="004079F4">
        <w:rPr>
          <w:lang w:eastAsia="en-US"/>
        </w:rPr>
        <w:t>he performance of mobile services could be enhanced if they were used to provide services on a fixed basis, for example, with the use of an external antenna and, if needed, a legal repeater.</w:t>
      </w:r>
      <w:r w:rsidR="00E2700A">
        <w:rPr>
          <w:rStyle w:val="FootnoteReference"/>
          <w:lang w:eastAsia="en-US"/>
        </w:rPr>
        <w:footnoteReference w:id="15"/>
      </w:r>
    </w:p>
    <w:p w14:paraId="0DECCB22" w14:textId="77777777" w:rsidR="00FF2A2B" w:rsidRDefault="00626319" w:rsidP="009D45AB">
      <w:pPr>
        <w:rPr>
          <w:lang w:eastAsia="en-US"/>
        </w:rPr>
      </w:pPr>
      <w:r>
        <w:rPr>
          <w:lang w:eastAsia="en-US"/>
        </w:rPr>
        <w:t xml:space="preserve">For the purposes of </w:t>
      </w:r>
      <w:r w:rsidR="004F6122">
        <w:rPr>
          <w:lang w:eastAsia="en-US"/>
        </w:rPr>
        <w:t xml:space="preserve">cost modelling, </w:t>
      </w:r>
      <w:r w:rsidR="00466183">
        <w:rPr>
          <w:lang w:eastAsia="en-US"/>
        </w:rPr>
        <w:t xml:space="preserve">our consultant, </w:t>
      </w:r>
      <w:r w:rsidR="004F6122">
        <w:rPr>
          <w:lang w:eastAsia="en-US"/>
        </w:rPr>
        <w:t>Network Strategies</w:t>
      </w:r>
      <w:r w:rsidR="00466183">
        <w:rPr>
          <w:lang w:eastAsia="en-US"/>
        </w:rPr>
        <w:t>,</w:t>
      </w:r>
      <w:r w:rsidR="004F6122">
        <w:rPr>
          <w:lang w:eastAsia="en-US"/>
        </w:rPr>
        <w:t xml:space="preserve"> assumed that 95</w:t>
      </w:r>
      <w:r w:rsidR="00C51986">
        <w:rPr>
          <w:lang w:eastAsia="en-US"/>
        </w:rPr>
        <w:t>%</w:t>
      </w:r>
      <w:r w:rsidR="006F6BAB">
        <w:rPr>
          <w:lang w:eastAsia="en-US"/>
        </w:rPr>
        <w:t xml:space="preserve"> </w:t>
      </w:r>
      <w:r w:rsidR="004F6122">
        <w:rPr>
          <w:lang w:eastAsia="en-US"/>
        </w:rPr>
        <w:t>of calls would have an R-</w:t>
      </w:r>
      <w:r w:rsidR="00161D88">
        <w:rPr>
          <w:lang w:eastAsia="en-US"/>
        </w:rPr>
        <w:t>Value</w:t>
      </w:r>
      <w:r w:rsidR="004F6122">
        <w:rPr>
          <w:lang w:eastAsia="en-US"/>
        </w:rPr>
        <w:t xml:space="preserve"> of 75 or more and 100</w:t>
      </w:r>
      <w:r w:rsidR="00C51986">
        <w:rPr>
          <w:lang w:eastAsia="en-US"/>
        </w:rPr>
        <w:t>%</w:t>
      </w:r>
      <w:r w:rsidR="006F6BAB">
        <w:rPr>
          <w:lang w:eastAsia="en-US"/>
        </w:rPr>
        <w:t xml:space="preserve"> </w:t>
      </w:r>
      <w:r w:rsidR="004F6122">
        <w:rPr>
          <w:lang w:eastAsia="en-US"/>
        </w:rPr>
        <w:t>would have an R-</w:t>
      </w:r>
      <w:r w:rsidR="00161D88">
        <w:rPr>
          <w:lang w:eastAsia="en-US"/>
        </w:rPr>
        <w:t>Value</w:t>
      </w:r>
      <w:r w:rsidR="004F6122">
        <w:rPr>
          <w:lang w:eastAsia="en-US"/>
        </w:rPr>
        <w:t xml:space="preserve"> of 50 or more.  This low score is necessary to allow for the inevitable incidence of </w:t>
      </w:r>
      <w:r w:rsidR="00466183">
        <w:rPr>
          <w:lang w:eastAsia="en-US"/>
        </w:rPr>
        <w:t xml:space="preserve">some </w:t>
      </w:r>
      <w:r w:rsidR="004F6122">
        <w:rPr>
          <w:lang w:eastAsia="en-US"/>
        </w:rPr>
        <w:t>double-hop calls using satellite.</w:t>
      </w:r>
    </w:p>
    <w:p w14:paraId="0DECCB23" w14:textId="77777777" w:rsidR="00125E9D" w:rsidRDefault="00626319" w:rsidP="009D45AB">
      <w:pPr>
        <w:rPr>
          <w:lang w:eastAsia="en-US"/>
        </w:rPr>
      </w:pPr>
      <w:r>
        <w:rPr>
          <w:lang w:eastAsia="en-US"/>
        </w:rPr>
        <w:t xml:space="preserve">In terms of </w:t>
      </w:r>
      <w:r w:rsidR="00982435">
        <w:rPr>
          <w:lang w:eastAsia="en-US"/>
        </w:rPr>
        <w:t xml:space="preserve">network </w:t>
      </w:r>
      <w:r w:rsidR="00A54AC3">
        <w:rPr>
          <w:lang w:eastAsia="en-US"/>
        </w:rPr>
        <w:t>reliability</w:t>
      </w:r>
      <w:r>
        <w:rPr>
          <w:lang w:eastAsia="en-US"/>
        </w:rPr>
        <w:t xml:space="preserve">, </w:t>
      </w:r>
      <w:r w:rsidR="0068034C">
        <w:rPr>
          <w:lang w:eastAsia="en-US"/>
        </w:rPr>
        <w:t>as measured by</w:t>
      </w:r>
      <w:r>
        <w:rPr>
          <w:lang w:eastAsia="en-US"/>
        </w:rPr>
        <w:t xml:space="preserve"> the proportion of time a network is </w:t>
      </w:r>
      <w:r w:rsidR="00225648">
        <w:rPr>
          <w:lang w:eastAsia="en-US"/>
        </w:rPr>
        <w:t xml:space="preserve">operational and available </w:t>
      </w:r>
      <w:r>
        <w:rPr>
          <w:lang w:eastAsia="en-US"/>
        </w:rPr>
        <w:t>for use, the clear preference would be for this to be as high as possible</w:t>
      </w:r>
      <w:r w:rsidR="00982435">
        <w:rPr>
          <w:lang w:eastAsia="en-US"/>
        </w:rPr>
        <w:t xml:space="preserve">. </w:t>
      </w:r>
      <w:r>
        <w:rPr>
          <w:lang w:eastAsia="en-US"/>
        </w:rPr>
        <w:t xml:space="preserve">However, experience is that </w:t>
      </w:r>
      <w:r w:rsidR="00982435">
        <w:rPr>
          <w:lang w:eastAsia="en-US"/>
        </w:rPr>
        <w:t xml:space="preserve">100% availability </w:t>
      </w:r>
      <w:r>
        <w:rPr>
          <w:lang w:eastAsia="en-US"/>
        </w:rPr>
        <w:t xml:space="preserve">is not </w:t>
      </w:r>
      <w:r w:rsidR="00D24DF3">
        <w:rPr>
          <w:lang w:eastAsia="en-US"/>
        </w:rPr>
        <w:t>realistic</w:t>
      </w:r>
      <w:r w:rsidR="00982435">
        <w:rPr>
          <w:lang w:eastAsia="en-US"/>
        </w:rPr>
        <w:t>,</w:t>
      </w:r>
      <w:r w:rsidR="00D24DF3">
        <w:rPr>
          <w:lang w:eastAsia="en-US"/>
        </w:rPr>
        <w:t xml:space="preserve"> </w:t>
      </w:r>
      <w:r>
        <w:rPr>
          <w:lang w:eastAsia="en-US"/>
        </w:rPr>
        <w:t xml:space="preserve">and a degree of flexibility is required. </w:t>
      </w:r>
      <w:r w:rsidR="00982435">
        <w:rPr>
          <w:lang w:eastAsia="en-US"/>
        </w:rPr>
        <w:t xml:space="preserve">In the year to June 2018, according to its National Reliability Framework reporting, Telstra’s fixed voice network averaged 99.68% availability nationally. </w:t>
      </w:r>
      <w:r w:rsidR="00982435" w:rsidRPr="00125E9D">
        <w:rPr>
          <w:lang w:eastAsia="en-US"/>
        </w:rPr>
        <w:t xml:space="preserve">This equates to around </w:t>
      </w:r>
      <w:r w:rsidR="00982435">
        <w:rPr>
          <w:lang w:eastAsia="en-US"/>
        </w:rPr>
        <w:t>28 hours</w:t>
      </w:r>
      <w:r w:rsidR="00982435" w:rsidRPr="00125E9D">
        <w:rPr>
          <w:lang w:eastAsia="en-US"/>
        </w:rPr>
        <w:t xml:space="preserve"> of downtime per annum.</w:t>
      </w:r>
      <w:r w:rsidR="00982435">
        <w:rPr>
          <w:lang w:eastAsia="en-US"/>
        </w:rPr>
        <w:t xml:space="preserve"> By comparison, in the </w:t>
      </w:r>
      <w:r w:rsidR="00225648">
        <w:rPr>
          <w:lang w:eastAsia="en-US"/>
        </w:rPr>
        <w:t xml:space="preserve">six months to September 2017, </w:t>
      </w:r>
      <w:r w:rsidR="00982435">
        <w:rPr>
          <w:lang w:eastAsia="en-US"/>
        </w:rPr>
        <w:t xml:space="preserve">the </w:t>
      </w:r>
      <w:r w:rsidR="00225648">
        <w:rPr>
          <w:lang w:eastAsia="en-US"/>
        </w:rPr>
        <w:t xml:space="preserve">NBN fixed wireless network </w:t>
      </w:r>
      <w:r w:rsidR="00982435">
        <w:rPr>
          <w:lang w:eastAsia="en-US"/>
        </w:rPr>
        <w:t xml:space="preserve">averaged a higher </w:t>
      </w:r>
      <w:r w:rsidR="006F6BAB">
        <w:rPr>
          <w:lang w:eastAsia="en-US"/>
        </w:rPr>
        <w:t>99.</w:t>
      </w:r>
      <w:r w:rsidR="00225648">
        <w:rPr>
          <w:lang w:eastAsia="en-US"/>
        </w:rPr>
        <w:t>9</w:t>
      </w:r>
      <w:r w:rsidR="00982435">
        <w:rPr>
          <w:lang w:eastAsia="en-US"/>
        </w:rPr>
        <w:t>27</w:t>
      </w:r>
      <w:r w:rsidR="00C51986">
        <w:rPr>
          <w:lang w:eastAsia="en-US"/>
        </w:rPr>
        <w:t>%</w:t>
      </w:r>
      <w:r w:rsidR="00982435">
        <w:rPr>
          <w:lang w:eastAsia="en-US"/>
        </w:rPr>
        <w:t>, while the NBN satellite network averaged 99.712%</w:t>
      </w:r>
      <w:r w:rsidR="00125E9D">
        <w:rPr>
          <w:lang w:eastAsia="en-US"/>
        </w:rPr>
        <w:t>.</w:t>
      </w:r>
      <w:r w:rsidR="00537EC4">
        <w:rPr>
          <w:rStyle w:val="FootnoteReference"/>
          <w:lang w:eastAsia="en-US"/>
        </w:rPr>
        <w:footnoteReference w:id="16"/>
      </w:r>
      <w:r w:rsidR="00125E9D">
        <w:rPr>
          <w:lang w:eastAsia="en-US"/>
        </w:rPr>
        <w:t xml:space="preserve"> </w:t>
      </w:r>
      <w:r w:rsidR="00982435">
        <w:rPr>
          <w:lang w:eastAsia="en-US"/>
        </w:rPr>
        <w:t>A mid-point of 99.85% i</w:t>
      </w:r>
      <w:r w:rsidR="00125E9D">
        <w:rPr>
          <w:lang w:eastAsia="en-US"/>
        </w:rPr>
        <w:t>s seen as a reasonable</w:t>
      </w:r>
      <w:r w:rsidR="00982435">
        <w:rPr>
          <w:lang w:eastAsia="en-US"/>
        </w:rPr>
        <w:t xml:space="preserve"> </w:t>
      </w:r>
      <w:r w:rsidR="00A54AC3">
        <w:rPr>
          <w:lang w:eastAsia="en-US"/>
        </w:rPr>
        <w:t xml:space="preserve">reliability </w:t>
      </w:r>
      <w:r w:rsidR="00125E9D">
        <w:rPr>
          <w:lang w:eastAsia="en-US"/>
        </w:rPr>
        <w:t>benchmark</w:t>
      </w:r>
      <w:r w:rsidR="00982435">
        <w:rPr>
          <w:lang w:eastAsia="en-US"/>
        </w:rPr>
        <w:t xml:space="preserve"> for the USG</w:t>
      </w:r>
      <w:r w:rsidR="00125E9D">
        <w:rPr>
          <w:lang w:eastAsia="en-US"/>
        </w:rPr>
        <w:t>, noting that there is scope for higher performance.</w:t>
      </w:r>
    </w:p>
    <w:p w14:paraId="0DECCB24" w14:textId="77777777" w:rsidR="00626319" w:rsidRDefault="00125E9D" w:rsidP="009D45AB">
      <w:pPr>
        <w:rPr>
          <w:lang w:eastAsia="en-US"/>
        </w:rPr>
      </w:pPr>
      <w:r>
        <w:rPr>
          <w:lang w:eastAsia="en-US"/>
        </w:rPr>
        <w:t>In all instances it is worth noting that</w:t>
      </w:r>
      <w:r w:rsidR="00487BFC">
        <w:rPr>
          <w:lang w:eastAsia="en-US"/>
        </w:rPr>
        <w:t>,</w:t>
      </w:r>
      <w:r>
        <w:rPr>
          <w:lang w:eastAsia="en-US"/>
        </w:rPr>
        <w:t xml:space="preserve"> if performance benchmarks are found to be inadequate, higher benchmarks can be set but will come at a cost, whether it is done through contract or regulation.</w:t>
      </w:r>
    </w:p>
    <w:p w14:paraId="0DECCB25" w14:textId="77777777" w:rsidR="00200616" w:rsidRPr="00950DB6" w:rsidRDefault="00200616" w:rsidP="00950DB6">
      <w:pPr>
        <w:pStyle w:val="Heading3"/>
      </w:pPr>
      <w:bookmarkStart w:id="71" w:name="_Toc529783730"/>
      <w:r w:rsidRPr="00950DB6">
        <w:t>Cost modelling</w:t>
      </w:r>
      <w:r w:rsidR="00A51CC7" w:rsidRPr="00950DB6">
        <w:t xml:space="preserve"> of fixed voice services</w:t>
      </w:r>
      <w:bookmarkEnd w:id="71"/>
    </w:p>
    <w:p w14:paraId="0DECCB26" w14:textId="77777777" w:rsidR="00A51CC7" w:rsidRDefault="00A51CC7" w:rsidP="00200616">
      <w:pPr>
        <w:spacing w:after="240"/>
      </w:pPr>
      <w:r>
        <w:t>A key aspect of the USG work was to determine whether voice services could be provided more cost effectively than under the current USO arrangements. Greater cost-effectiveness is one of the prerequisites set by the Government for the new USG. Moreover, many parties have questioned the current level of funding payable to Telstra for the USO, including the PC and the ANAO.</w:t>
      </w:r>
    </w:p>
    <w:p w14:paraId="0DECCB27" w14:textId="77777777" w:rsidR="006E7A1E" w:rsidRDefault="0087520C" w:rsidP="00200616">
      <w:pPr>
        <w:spacing w:after="240"/>
      </w:pPr>
      <w:r>
        <w:t>We</w:t>
      </w:r>
      <w:r w:rsidR="00200616">
        <w:t xml:space="preserve"> contracted Network Strategies to </w:t>
      </w:r>
      <w:r w:rsidR="00D24DF3">
        <w:t xml:space="preserve">help </w:t>
      </w:r>
      <w:r w:rsidR="00200616">
        <w:t xml:space="preserve">develop </w:t>
      </w:r>
      <w:r w:rsidR="00A51CC7">
        <w:t xml:space="preserve">delivery </w:t>
      </w:r>
      <w:r w:rsidR="00D24DF3">
        <w:t xml:space="preserve">scenarios </w:t>
      </w:r>
      <w:r w:rsidR="00A51CC7">
        <w:t xml:space="preserve">and </w:t>
      </w:r>
      <w:r w:rsidR="00200616">
        <w:t>model their costs</w:t>
      </w:r>
      <w:r w:rsidR="00A51CC7">
        <w:t xml:space="preserve">. Network Strategies was asked to cost three broad scenarios: </w:t>
      </w:r>
    </w:p>
    <w:p w14:paraId="0DECCB28" w14:textId="77777777" w:rsidR="006E7A1E" w:rsidRDefault="00A51CC7" w:rsidP="000A118F">
      <w:pPr>
        <w:pStyle w:val="ListParagraph"/>
        <w:numPr>
          <w:ilvl w:val="0"/>
          <w:numId w:val="34"/>
        </w:numPr>
        <w:spacing w:after="240"/>
        <w:ind w:left="714" w:hanging="357"/>
        <w:contextualSpacing w:val="0"/>
      </w:pPr>
      <w:r>
        <w:t xml:space="preserve">continued delivery </w:t>
      </w:r>
      <w:r w:rsidR="00A423C9">
        <w:t xml:space="preserve">by Telstra </w:t>
      </w:r>
      <w:r>
        <w:t>under the curr</w:t>
      </w:r>
      <w:r w:rsidR="00A423C9">
        <w:t xml:space="preserve">ent arrangements, including continuation of the </w:t>
      </w:r>
      <w:r w:rsidR="00222D64">
        <w:t>CCO</w:t>
      </w:r>
      <w:r w:rsidR="00A423C9">
        <w:t xml:space="preserve"> (to set a </w:t>
      </w:r>
      <w:r w:rsidR="00D24DF3">
        <w:t xml:space="preserve">cost </w:t>
      </w:r>
      <w:r w:rsidR="00A423C9">
        <w:t>benchmark)</w:t>
      </w:r>
    </w:p>
    <w:p w14:paraId="0DECCB29" w14:textId="77777777" w:rsidR="006E7A1E" w:rsidRDefault="00A423C9" w:rsidP="000A118F">
      <w:pPr>
        <w:pStyle w:val="ListParagraph"/>
        <w:numPr>
          <w:ilvl w:val="0"/>
          <w:numId w:val="34"/>
        </w:numPr>
        <w:spacing w:after="240"/>
        <w:ind w:left="714" w:hanging="357"/>
        <w:contextualSpacing w:val="0"/>
      </w:pPr>
      <w:r>
        <w:t>continued delivery by Telstra but with maximum technical flexibility</w:t>
      </w:r>
      <w:r w:rsidR="0068034C">
        <w:t>, and</w:t>
      </w:r>
      <w:r>
        <w:t xml:space="preserve"> </w:t>
      </w:r>
    </w:p>
    <w:p w14:paraId="0DECCB2A" w14:textId="77777777" w:rsidR="00990AB1" w:rsidRDefault="00A423C9" w:rsidP="000A118F">
      <w:pPr>
        <w:pStyle w:val="ListParagraph"/>
        <w:numPr>
          <w:ilvl w:val="0"/>
          <w:numId w:val="34"/>
        </w:numPr>
        <w:spacing w:after="240"/>
        <w:ind w:left="714" w:hanging="357"/>
        <w:contextualSpacing w:val="0"/>
      </w:pPr>
      <w:proofErr w:type="gramStart"/>
      <w:r>
        <w:lastRenderedPageBreak/>
        <w:t>delivery</w:t>
      </w:r>
      <w:proofErr w:type="gramEnd"/>
      <w:r>
        <w:t xml:space="preserve"> in a contestable environment, in which the most efficient provider services us</w:t>
      </w:r>
      <w:r w:rsidR="00D24DF3">
        <w:t>es</w:t>
      </w:r>
      <w:r>
        <w:t xml:space="preserve"> the most efficient technology, with services being provided commercially or with Government support where needed.</w:t>
      </w:r>
    </w:p>
    <w:p w14:paraId="0DECCB2B" w14:textId="77777777" w:rsidR="00A423C9" w:rsidRDefault="00A423C9" w:rsidP="00200616">
      <w:pPr>
        <w:spacing w:after="240"/>
      </w:pPr>
      <w:r>
        <w:t xml:space="preserve">Given that the Government needs to ensure that voice services can be provided to all premises outside </w:t>
      </w:r>
      <w:r w:rsidR="003E11FE">
        <w:t>NBN</w:t>
      </w:r>
      <w:r>
        <w:t xml:space="preserve"> </w:t>
      </w:r>
      <w:proofErr w:type="spellStart"/>
      <w:r>
        <w:t>Co’s</w:t>
      </w:r>
      <w:proofErr w:type="spellEnd"/>
      <w:r>
        <w:t xml:space="preserve"> fixed line footprint, the costing looked at service delivery over this larger area, as well as </w:t>
      </w:r>
      <w:r w:rsidR="00326AB1">
        <w:t xml:space="preserve">specifically </w:t>
      </w:r>
      <w:r>
        <w:t xml:space="preserve">the </w:t>
      </w:r>
      <w:r w:rsidR="003E11FE">
        <w:t>NBN</w:t>
      </w:r>
      <w:r w:rsidR="00660532">
        <w:t xml:space="preserve"> satellite-only footprint</w:t>
      </w:r>
      <w:r>
        <w:t>.</w:t>
      </w:r>
      <w:r w:rsidR="00660532">
        <w:t xml:space="preserve"> Cost</w:t>
      </w:r>
      <w:r w:rsidR="00D24DF3">
        <w:t>s</w:t>
      </w:r>
      <w:r w:rsidR="00660532">
        <w:t xml:space="preserve"> were estimated </w:t>
      </w:r>
      <w:r w:rsidR="00D24DF3">
        <w:t xml:space="preserve">from 2020 </w:t>
      </w:r>
      <w:r w:rsidR="00660532">
        <w:t xml:space="preserve">to 2032, the </w:t>
      </w:r>
      <w:r w:rsidR="00D24DF3">
        <w:t xml:space="preserve">end-date </w:t>
      </w:r>
      <w:r w:rsidR="00660532">
        <w:t>of the current agreement with Telstra</w:t>
      </w:r>
      <w:r w:rsidR="00F71656">
        <w:t xml:space="preserve">. Due to </w:t>
      </w:r>
      <w:r w:rsidR="00482D75">
        <w:t xml:space="preserve">timing </w:t>
      </w:r>
      <w:r w:rsidR="00F71656">
        <w:t xml:space="preserve">constraints, Network </w:t>
      </w:r>
      <w:r w:rsidR="003B3197">
        <w:t>S</w:t>
      </w:r>
      <w:r w:rsidR="00F71656">
        <w:t>trategies had to make extensive use of public data sources.</w:t>
      </w:r>
      <w:r w:rsidR="00660532">
        <w:t xml:space="preserve"> </w:t>
      </w:r>
    </w:p>
    <w:p w14:paraId="0DECCB2C" w14:textId="77777777" w:rsidR="00D24DF3" w:rsidRDefault="00D24DF3" w:rsidP="00D24DF3">
      <w:pPr>
        <w:spacing w:after="240"/>
      </w:pPr>
      <w:r>
        <w:t>Costing telecommunications service delivery is a complex task, open to a range of approaches, and to dispute and criticism accordingly. Networks Strategies adopted a discounted cash flow analysis</w:t>
      </w:r>
      <w:r w:rsidR="00405DE5">
        <w:t>. T</w:t>
      </w:r>
      <w:r>
        <w:t xml:space="preserve">he treatment of network replacement costs </w:t>
      </w:r>
      <w:r w:rsidR="00DB649D">
        <w:t xml:space="preserve">acted </w:t>
      </w:r>
      <w:r w:rsidR="00B40420">
        <w:t>as a</w:t>
      </w:r>
      <w:r>
        <w:t xml:space="preserve"> key cost driver. There are alternative approaches. Network Strategies costings should, therefore, be seen as initial and high level. Notwithstanding the</w:t>
      </w:r>
      <w:r w:rsidR="00160D83">
        <w:t>re may be</w:t>
      </w:r>
      <w:r>
        <w:t xml:space="preserve"> scope </w:t>
      </w:r>
      <w:r w:rsidR="00DB649D">
        <w:t>for refinement</w:t>
      </w:r>
      <w:r>
        <w:t xml:space="preserve">, </w:t>
      </w:r>
      <w:r w:rsidR="00DB649D">
        <w:t xml:space="preserve">we consider </w:t>
      </w:r>
      <w:r>
        <w:t xml:space="preserve">the </w:t>
      </w:r>
      <w:r w:rsidR="00DB649D">
        <w:t xml:space="preserve">cost estimates to be robust, both in terms of the </w:t>
      </w:r>
      <w:r>
        <w:t xml:space="preserve">ranking of </w:t>
      </w:r>
      <w:r w:rsidR="00524C9C">
        <w:t>scenarios</w:t>
      </w:r>
      <w:r w:rsidR="00160D83">
        <w:t>,</w:t>
      </w:r>
      <w:r>
        <w:t xml:space="preserve"> and the </w:t>
      </w:r>
      <w:r w:rsidR="00160D83">
        <w:t xml:space="preserve">general </w:t>
      </w:r>
      <w:r>
        <w:t xml:space="preserve">orders of magnitude. </w:t>
      </w:r>
    </w:p>
    <w:p w14:paraId="0DECCB2D" w14:textId="77777777" w:rsidR="00660532" w:rsidRDefault="00200616" w:rsidP="00200616">
      <w:pPr>
        <w:spacing w:after="240"/>
      </w:pPr>
      <w:r>
        <w:t xml:space="preserve">In broad terms, Network Strategies concluded that the delivery of </w:t>
      </w:r>
      <w:r w:rsidR="00660532">
        <w:t>voice service</w:t>
      </w:r>
      <w:r w:rsidR="0068034C">
        <w:t>s</w:t>
      </w:r>
      <w:r w:rsidR="00660532">
        <w:t xml:space="preserve"> </w:t>
      </w:r>
      <w:r>
        <w:t xml:space="preserve">using </w:t>
      </w:r>
      <w:r w:rsidR="00660532">
        <w:t xml:space="preserve">wireless (mobile and fixed) and satellite technologies would be </w:t>
      </w:r>
      <w:r w:rsidR="0068034C">
        <w:t xml:space="preserve">more </w:t>
      </w:r>
      <w:r w:rsidR="00660532">
        <w:t>cost</w:t>
      </w:r>
      <w:r w:rsidR="00D24DF3">
        <w:t>-</w:t>
      </w:r>
      <w:r w:rsidR="00660532">
        <w:t>effective</w:t>
      </w:r>
      <w:r w:rsidR="006B3B0C">
        <w:t xml:space="preserve"> than the current arrangements</w:t>
      </w:r>
      <w:r w:rsidR="003B148D">
        <w:t xml:space="preserve">. </w:t>
      </w:r>
      <w:r w:rsidR="00660532">
        <w:t>While the costings are high level</w:t>
      </w:r>
      <w:r w:rsidR="003B148D">
        <w:t xml:space="preserve">, </w:t>
      </w:r>
      <w:r w:rsidR="00660532">
        <w:t xml:space="preserve">potential savings </w:t>
      </w:r>
      <w:r w:rsidR="00D24DF3">
        <w:t>in the hundreds of millions of dollars</w:t>
      </w:r>
      <w:r w:rsidR="00660532">
        <w:t xml:space="preserve"> over the period from 2020 to 2032 were identified. </w:t>
      </w:r>
      <w:r w:rsidR="003B148D">
        <w:t xml:space="preserve">These costs have not been detailed in this report as they could affect future negotiations. </w:t>
      </w:r>
      <w:r w:rsidR="00F71656">
        <w:t xml:space="preserve">This result aligns with the PC’s tentative conclusion – and the widely held perception </w:t>
      </w:r>
      <w:r w:rsidR="00F71656" w:rsidRPr="00F71656">
        <w:t xml:space="preserve">– </w:t>
      </w:r>
      <w:r w:rsidR="00F71656">
        <w:t xml:space="preserve">that </w:t>
      </w:r>
      <w:r w:rsidR="005912F8">
        <w:t xml:space="preserve">utilising </w:t>
      </w:r>
      <w:r w:rsidR="00F71656">
        <w:t xml:space="preserve">extensive mobile and national satellite coverage </w:t>
      </w:r>
      <w:r w:rsidR="00DB649D">
        <w:t>is a</w:t>
      </w:r>
      <w:r w:rsidR="00F71656">
        <w:t xml:space="preserve"> more efficient means of providing voice services. </w:t>
      </w:r>
      <w:r w:rsidR="0068034C">
        <w:t>T</w:t>
      </w:r>
      <w:r w:rsidR="00773FEE">
        <w:t xml:space="preserve">he </w:t>
      </w:r>
      <w:r w:rsidR="00660532">
        <w:t xml:space="preserve">current </w:t>
      </w:r>
      <w:r>
        <w:t xml:space="preserve">copper network </w:t>
      </w:r>
      <w:r w:rsidR="0068034C">
        <w:t xml:space="preserve">was </w:t>
      </w:r>
      <w:r>
        <w:t xml:space="preserve">the most expensive of the </w:t>
      </w:r>
      <w:r w:rsidR="00D24DF3">
        <w:t xml:space="preserve">scenarios </w:t>
      </w:r>
      <w:r>
        <w:t>consider</w:t>
      </w:r>
      <w:r w:rsidR="00660532">
        <w:t>ed</w:t>
      </w:r>
      <w:r w:rsidR="0068034C">
        <w:t xml:space="preserve"> and costed</w:t>
      </w:r>
      <w:r w:rsidR="00C9454C">
        <w:t>. H</w:t>
      </w:r>
      <w:r w:rsidR="00660532">
        <w:t>owever, th</w:t>
      </w:r>
      <w:r w:rsidR="0068034C">
        <w:t>is</w:t>
      </w:r>
      <w:r w:rsidR="00660532">
        <w:t xml:space="preserve"> cost </w:t>
      </w:r>
      <w:r w:rsidR="0068034C">
        <w:t xml:space="preserve">estimate </w:t>
      </w:r>
      <w:r w:rsidR="00660532">
        <w:t xml:space="preserve">was broadly consistent with current payments to Telstra, noting that Telstra </w:t>
      </w:r>
      <w:r w:rsidR="003B3197">
        <w:t>is</w:t>
      </w:r>
      <w:r w:rsidR="00660532">
        <w:t xml:space="preserve"> contracted to maintain the copper network outside </w:t>
      </w:r>
      <w:r w:rsidR="003E11FE">
        <w:t>the NBN</w:t>
      </w:r>
      <w:r w:rsidR="00660532">
        <w:t xml:space="preserve"> fixed line footprint</w:t>
      </w:r>
      <w:r w:rsidR="00C9454C">
        <w:t xml:space="preserve"> to 2032</w:t>
      </w:r>
      <w:r w:rsidR="00660532">
        <w:t>.</w:t>
      </w:r>
      <w:r w:rsidR="003B148D">
        <w:t xml:space="preserve"> </w:t>
      </w:r>
      <w:r w:rsidR="005912F8">
        <w:t xml:space="preserve">This means that </w:t>
      </w:r>
      <w:r w:rsidR="003B148D">
        <w:t xml:space="preserve">the amount paid </w:t>
      </w:r>
      <w:r w:rsidR="005912F8">
        <w:t xml:space="preserve">annually </w:t>
      </w:r>
      <w:r w:rsidR="003B148D">
        <w:t>to Telstra is not necessarily unreasonable</w:t>
      </w:r>
      <w:r w:rsidR="00D24DF3" w:rsidRPr="00D24DF3">
        <w:t xml:space="preserve"> </w:t>
      </w:r>
      <w:r w:rsidR="00D24DF3">
        <w:t xml:space="preserve">because </w:t>
      </w:r>
      <w:r w:rsidR="006B3B0C">
        <w:t>Telstra</w:t>
      </w:r>
      <w:r w:rsidR="00D24DF3">
        <w:t xml:space="preserve"> is obliged under the USO contract to maintain copper services, even though they may be more expensive</w:t>
      </w:r>
      <w:r w:rsidR="003B148D">
        <w:t xml:space="preserve">. </w:t>
      </w:r>
    </w:p>
    <w:p w14:paraId="0DECCB2E" w14:textId="77777777" w:rsidR="00A51CC7" w:rsidRDefault="00A51CC7" w:rsidP="00A51CC7">
      <w:pPr>
        <w:pStyle w:val="Heading3"/>
      </w:pPr>
      <w:bookmarkStart w:id="72" w:name="_Toc529783731"/>
      <w:r>
        <w:t>Potential impact of USO refo</w:t>
      </w:r>
      <w:r w:rsidR="00F71656">
        <w:t>rm</w:t>
      </w:r>
      <w:r>
        <w:t xml:space="preserve"> on </w:t>
      </w:r>
      <w:r w:rsidR="003E11FE">
        <w:t>NBN</w:t>
      </w:r>
      <w:r>
        <w:t xml:space="preserve"> Co</w:t>
      </w:r>
      <w:bookmarkEnd w:id="72"/>
    </w:p>
    <w:p w14:paraId="0DECCB2F" w14:textId="77777777" w:rsidR="00F71656" w:rsidRDefault="00F71656" w:rsidP="00200616">
      <w:pPr>
        <w:pStyle w:val="BodyText"/>
        <w:tabs>
          <w:tab w:val="left" w:pos="4253"/>
        </w:tabs>
      </w:pPr>
      <w:r>
        <w:t xml:space="preserve">Another key task for the </w:t>
      </w:r>
      <w:r w:rsidR="006B3B0C">
        <w:t xml:space="preserve">department </w:t>
      </w:r>
      <w:r>
        <w:t xml:space="preserve">was to investigate </w:t>
      </w:r>
      <w:r w:rsidR="003E11FE">
        <w:t>NBN</w:t>
      </w:r>
      <w:r w:rsidR="003649BF">
        <w:t xml:space="preserve"> Co </w:t>
      </w:r>
      <w:r>
        <w:t>concerns</w:t>
      </w:r>
      <w:r w:rsidR="003649BF">
        <w:t>,</w:t>
      </w:r>
      <w:r>
        <w:t xml:space="preserve"> put to the PC</w:t>
      </w:r>
      <w:r w:rsidR="003649BF">
        <w:t>,</w:t>
      </w:r>
      <w:r>
        <w:t xml:space="preserve"> that there could be significant cost impacts for </w:t>
      </w:r>
      <w:r w:rsidR="003E11FE">
        <w:t>NBN</w:t>
      </w:r>
      <w:r>
        <w:t xml:space="preserve"> Co from USO reform.</w:t>
      </w:r>
      <w:r w:rsidR="0055724E">
        <w:t xml:space="preserve"> For a USG to be more cost-effective than the existing arrangements, as required by </w:t>
      </w:r>
      <w:r w:rsidR="006B3B0C">
        <w:t xml:space="preserve">the </w:t>
      </w:r>
      <w:r w:rsidR="00571A58">
        <w:t>G</w:t>
      </w:r>
      <w:r w:rsidR="0055724E">
        <w:t xml:space="preserve">overnment, savings from </w:t>
      </w:r>
      <w:r w:rsidR="003B3197">
        <w:t xml:space="preserve">reform </w:t>
      </w:r>
      <w:r w:rsidR="0055724E">
        <w:t>would need to outweigh any additional cost impacts.</w:t>
      </w:r>
    </w:p>
    <w:p w14:paraId="0DECCB30" w14:textId="77777777" w:rsidR="005B4322" w:rsidRDefault="006B3B0C" w:rsidP="0046755E">
      <w:pPr>
        <w:pStyle w:val="BodyText"/>
        <w:tabs>
          <w:tab w:val="left" w:pos="4253"/>
        </w:tabs>
      </w:pPr>
      <w:r>
        <w:t xml:space="preserve">Achieving maximum savings from the use of </w:t>
      </w:r>
      <w:r w:rsidR="0055724E">
        <w:t>wir</w:t>
      </w:r>
      <w:r w:rsidR="005B4322">
        <w:t>e</w:t>
      </w:r>
      <w:r w:rsidR="0055724E">
        <w:t>less and satel</w:t>
      </w:r>
      <w:r w:rsidR="005B4322">
        <w:t>l</w:t>
      </w:r>
      <w:r w:rsidR="0055724E">
        <w:t>ite technologies</w:t>
      </w:r>
      <w:r>
        <w:t xml:space="preserve"> to deliver voice services outside the NBN fixed line footprint</w:t>
      </w:r>
      <w:r w:rsidR="005B4322">
        <w:t xml:space="preserve"> </w:t>
      </w:r>
      <w:r>
        <w:t>assumes</w:t>
      </w:r>
      <w:r w:rsidR="005B4322">
        <w:t xml:space="preserve"> </w:t>
      </w:r>
      <w:r w:rsidR="00467DD2">
        <w:t xml:space="preserve">Telstra’s </w:t>
      </w:r>
      <w:r w:rsidR="005B4322">
        <w:t xml:space="preserve">copper infrastructure </w:t>
      </w:r>
      <w:r>
        <w:t>would be</w:t>
      </w:r>
      <w:r w:rsidR="005B4322">
        <w:t xml:space="preserve"> decommissioned.</w:t>
      </w:r>
    </w:p>
    <w:p w14:paraId="0DECCB31" w14:textId="77777777" w:rsidR="005B4322" w:rsidRDefault="006B3B0C" w:rsidP="006B3CAD">
      <w:pPr>
        <w:pStyle w:val="BodyText"/>
        <w:tabs>
          <w:tab w:val="left" w:pos="4253"/>
        </w:tabs>
      </w:pPr>
      <w:r>
        <w:t>As noted above</w:t>
      </w:r>
      <w:r w:rsidR="005B4322">
        <w:t xml:space="preserve">, however, as well as providing voice services, the Telstra network outside the </w:t>
      </w:r>
      <w:r w:rsidR="00D26F5C">
        <w:t xml:space="preserve">NBN </w:t>
      </w:r>
      <w:r w:rsidR="005B4322">
        <w:t>fixed line footprint also supports</w:t>
      </w:r>
      <w:r w:rsidR="003B148D">
        <w:t xml:space="preserve"> </w:t>
      </w:r>
      <w:r>
        <w:t xml:space="preserve">around 235,000 </w:t>
      </w:r>
      <w:r w:rsidR="005B4322">
        <w:t xml:space="preserve">ADSL </w:t>
      </w:r>
      <w:r w:rsidR="003B148D">
        <w:t xml:space="preserve">broadband </w:t>
      </w:r>
      <w:r w:rsidR="005B4322">
        <w:t xml:space="preserve">services. </w:t>
      </w:r>
      <w:r w:rsidR="003E11FE">
        <w:t>NBN</w:t>
      </w:r>
      <w:r w:rsidR="005B4322">
        <w:t xml:space="preserve"> Co has </w:t>
      </w:r>
      <w:r>
        <w:t xml:space="preserve">advised that it </w:t>
      </w:r>
      <w:r w:rsidR="005B4322">
        <w:t xml:space="preserve">designed its fixed wireless </w:t>
      </w:r>
      <w:r w:rsidR="00D26F5C">
        <w:t xml:space="preserve">and satellite </w:t>
      </w:r>
      <w:r w:rsidR="005B4322">
        <w:t>network</w:t>
      </w:r>
      <w:r w:rsidR="00D26F5C">
        <w:t>s</w:t>
      </w:r>
      <w:r w:rsidR="005B4322">
        <w:t xml:space="preserve"> </w:t>
      </w:r>
      <w:r w:rsidR="00D26F5C">
        <w:t xml:space="preserve">on the assumption these </w:t>
      </w:r>
      <w:r w:rsidR="005B4322">
        <w:t xml:space="preserve">Telstra </w:t>
      </w:r>
      <w:r w:rsidR="00D26F5C">
        <w:t>services would be maintained</w:t>
      </w:r>
      <w:r w:rsidR="005B4322">
        <w:t xml:space="preserve">. As such, </w:t>
      </w:r>
      <w:r>
        <w:t>i</w:t>
      </w:r>
      <w:r w:rsidR="005B4322">
        <w:t xml:space="preserve">f Telstra was </w:t>
      </w:r>
      <w:r>
        <w:t xml:space="preserve">able </w:t>
      </w:r>
      <w:r w:rsidR="005B4322">
        <w:t xml:space="preserve">to decommission its copper network, </w:t>
      </w:r>
      <w:r w:rsidR="003E11FE">
        <w:t>NBN</w:t>
      </w:r>
      <w:r w:rsidR="005B4322">
        <w:t xml:space="preserve"> </w:t>
      </w:r>
      <w:r w:rsidR="003649BF">
        <w:t>C</w:t>
      </w:r>
      <w:r w:rsidR="005B4322">
        <w:t xml:space="preserve">o would need to invest in additional </w:t>
      </w:r>
      <w:r w:rsidR="003B148D">
        <w:t>capacity in order to service these additional broadband customers</w:t>
      </w:r>
      <w:r w:rsidR="005B4322">
        <w:t>.</w:t>
      </w:r>
    </w:p>
    <w:p w14:paraId="0DECCB32" w14:textId="77777777" w:rsidR="00887947" w:rsidRDefault="005B4322" w:rsidP="0046755E">
      <w:pPr>
        <w:pStyle w:val="BodyText"/>
        <w:tabs>
          <w:tab w:val="left" w:pos="4253"/>
        </w:tabs>
      </w:pPr>
      <w:r>
        <w:t xml:space="preserve">Costings provided by </w:t>
      </w:r>
      <w:r w:rsidR="003E11FE">
        <w:t>NBN</w:t>
      </w:r>
      <w:r>
        <w:t xml:space="preserve"> Co </w:t>
      </w:r>
      <w:r w:rsidR="00887947">
        <w:t xml:space="preserve">indicate that the additional investment </w:t>
      </w:r>
      <w:r w:rsidR="003649BF">
        <w:t>needed</w:t>
      </w:r>
      <w:r w:rsidR="00887947">
        <w:t xml:space="preserve"> to serve these </w:t>
      </w:r>
      <w:r w:rsidR="003B3197">
        <w:t xml:space="preserve">ADSL </w:t>
      </w:r>
      <w:r w:rsidR="00887947">
        <w:t xml:space="preserve">customers </w:t>
      </w:r>
      <w:r w:rsidR="006B3CAD">
        <w:t>would exceed</w:t>
      </w:r>
      <w:r w:rsidR="00887947">
        <w:t xml:space="preserve"> the </w:t>
      </w:r>
      <w:r w:rsidR="006B3B0C">
        <w:t xml:space="preserve">current estimated </w:t>
      </w:r>
      <w:r w:rsidR="00887947">
        <w:t xml:space="preserve">potential savings from using wireless and satellite technologies to </w:t>
      </w:r>
      <w:r w:rsidR="003B3197">
        <w:t xml:space="preserve">deliver </w:t>
      </w:r>
      <w:r w:rsidR="00887947">
        <w:t xml:space="preserve">voice services outside </w:t>
      </w:r>
      <w:r w:rsidR="003E11FE">
        <w:t>the NBN</w:t>
      </w:r>
      <w:r w:rsidR="00887947">
        <w:t xml:space="preserve"> fixed line footprint.</w:t>
      </w:r>
      <w:r w:rsidR="007311F7">
        <w:t xml:space="preserve"> NBN </w:t>
      </w:r>
      <w:r w:rsidR="00E570C7">
        <w:t>Co has also emphasised that its wireless network has long term spectrum requirements, which also involves a significant cost.</w:t>
      </w:r>
      <w:r w:rsidR="007311F7">
        <w:t xml:space="preserve"> </w:t>
      </w:r>
      <w:r w:rsidR="00E570C7">
        <w:t>T</w:t>
      </w:r>
      <w:r w:rsidR="003B3197">
        <w:t xml:space="preserve">his </w:t>
      </w:r>
      <w:r w:rsidR="00E570C7">
        <w:t xml:space="preserve">costing information </w:t>
      </w:r>
      <w:r w:rsidR="003B3197">
        <w:t xml:space="preserve">was not available to the </w:t>
      </w:r>
      <w:r w:rsidR="00773FEE">
        <w:t>PC</w:t>
      </w:r>
      <w:r w:rsidR="003B3197">
        <w:t>.</w:t>
      </w:r>
    </w:p>
    <w:p w14:paraId="0DECCB33" w14:textId="77777777" w:rsidR="00A51CC7" w:rsidRDefault="00A51CC7" w:rsidP="006B3CAD">
      <w:pPr>
        <w:pStyle w:val="Heading3"/>
      </w:pPr>
      <w:bookmarkStart w:id="73" w:name="_Toc529783732"/>
      <w:r>
        <w:lastRenderedPageBreak/>
        <w:t>Cost modelling of payphone services</w:t>
      </w:r>
      <w:bookmarkEnd w:id="73"/>
    </w:p>
    <w:p w14:paraId="0DECCB34" w14:textId="77777777" w:rsidR="001E3E9A" w:rsidRDefault="00672C45" w:rsidP="001E3E9A">
      <w:pPr>
        <w:spacing w:after="240"/>
      </w:pPr>
      <w:r>
        <w:t xml:space="preserve">As indicated above, </w:t>
      </w:r>
      <w:r w:rsidR="001E3E9A">
        <w:t>payphone</w:t>
      </w:r>
      <w:r>
        <w:t xml:space="preserve"> use has</w:t>
      </w:r>
      <w:r w:rsidR="001E3E9A">
        <w:t xml:space="preserve"> been decreasing steadily </w:t>
      </w:r>
      <w:r w:rsidR="005912F8">
        <w:t xml:space="preserve">since the USO contract commenced, </w:t>
      </w:r>
      <w:r>
        <w:t>and this is a continuing trend. T</w:t>
      </w:r>
      <w:r w:rsidR="001E3E9A">
        <w:t>he main alternative to payphones is the growing use of mobile phones</w:t>
      </w:r>
      <w:r w:rsidR="001E3E9A" w:rsidRPr="006B3CAD">
        <w:t xml:space="preserve"> </w:t>
      </w:r>
      <w:r w:rsidR="001E3E9A">
        <w:t xml:space="preserve">in the community. On this basis, current levels of payphone provisioning and the associated cost </w:t>
      </w:r>
      <w:r w:rsidR="00960CAB">
        <w:t xml:space="preserve">appear </w:t>
      </w:r>
      <w:r w:rsidR="001E3E9A">
        <w:t xml:space="preserve">difficult to justify. </w:t>
      </w:r>
    </w:p>
    <w:p w14:paraId="0DECCB35" w14:textId="77777777" w:rsidR="00BC6EF1" w:rsidRDefault="006B3CAD" w:rsidP="00A51CC7">
      <w:pPr>
        <w:spacing w:after="240"/>
      </w:pPr>
      <w:r>
        <w:t>Accordingly</w:t>
      </w:r>
      <w:r w:rsidR="00A51CC7">
        <w:t>, Network Strategies modelled a number of scenarios</w:t>
      </w:r>
      <w:r>
        <w:t xml:space="preserve"> in which payphone numbers were reduced </w:t>
      </w:r>
      <w:r w:rsidR="00BC6EF1">
        <w:t>according to</w:t>
      </w:r>
      <w:r>
        <w:t xml:space="preserve"> </w:t>
      </w:r>
      <w:r w:rsidR="00672C45">
        <w:t xml:space="preserve">a range of </w:t>
      </w:r>
      <w:r w:rsidR="00BC6EF1">
        <w:t>assumptions</w:t>
      </w:r>
      <w:r w:rsidR="00672C45">
        <w:t>, including</w:t>
      </w:r>
      <w:r w:rsidR="00BC6EF1">
        <w:t xml:space="preserve"> mobile coverage and take-up</w:t>
      </w:r>
      <w:r w:rsidR="00A51CC7">
        <w:t xml:space="preserve">. </w:t>
      </w:r>
      <w:r w:rsidR="00BC6EF1">
        <w:t>Because Telstra has a large stock of deployed payphones</w:t>
      </w:r>
      <w:r w:rsidR="003649BF">
        <w:t>,</w:t>
      </w:r>
      <w:r w:rsidR="00BC6EF1">
        <w:t xml:space="preserve"> and </w:t>
      </w:r>
      <w:r w:rsidR="00960CAB">
        <w:t xml:space="preserve">the </w:t>
      </w:r>
      <w:r w:rsidR="00BC6EF1">
        <w:t>evidence suggest</w:t>
      </w:r>
      <w:r w:rsidR="006D3496">
        <w:t>s</w:t>
      </w:r>
      <w:r w:rsidR="00BC6EF1">
        <w:t xml:space="preserve"> little if any interest from anyone </w:t>
      </w:r>
      <w:r w:rsidR="006D3496">
        <w:t xml:space="preserve">new </w:t>
      </w:r>
      <w:r w:rsidR="00BC6EF1">
        <w:t xml:space="preserve">entering the payphone </w:t>
      </w:r>
      <w:r w:rsidR="006D3496">
        <w:t>market</w:t>
      </w:r>
      <w:r w:rsidR="00BC6EF1">
        <w:t xml:space="preserve"> in a significant way, the costing</w:t>
      </w:r>
      <w:r w:rsidR="00672C45">
        <w:t>s</w:t>
      </w:r>
      <w:r w:rsidR="00BC6EF1">
        <w:t xml:space="preserve"> assumed Telstra would continue to operate payphones. Again, Network Strategies used a discounted cash flow approach, </w:t>
      </w:r>
      <w:r w:rsidR="003161BE">
        <w:t xml:space="preserve">with </w:t>
      </w:r>
      <w:r w:rsidR="00BC6EF1">
        <w:t>the results strongly influenced by asset replacement assumptions.</w:t>
      </w:r>
      <w:r w:rsidR="00946CB6" w:rsidRPr="00946CB6">
        <w:t xml:space="preserve"> </w:t>
      </w:r>
      <w:r w:rsidR="0068034C">
        <w:t>Likewise</w:t>
      </w:r>
      <w:r w:rsidR="00946CB6" w:rsidRPr="00946CB6">
        <w:t>, the costing</w:t>
      </w:r>
      <w:r w:rsidR="00672C45">
        <w:t>s</w:t>
      </w:r>
      <w:r w:rsidR="00946CB6" w:rsidRPr="00946CB6">
        <w:t xml:space="preserve"> w</w:t>
      </w:r>
      <w:r w:rsidR="00672C45">
        <w:t>ere</w:t>
      </w:r>
      <w:r w:rsidR="00946CB6">
        <w:t xml:space="preserve"> undertaken for the period </w:t>
      </w:r>
      <w:r w:rsidR="00672C45">
        <w:t xml:space="preserve">from 2020 </w:t>
      </w:r>
      <w:r w:rsidR="00946CB6">
        <w:t xml:space="preserve">to 2032, the </w:t>
      </w:r>
      <w:r w:rsidR="00672C45">
        <w:t xml:space="preserve">end date of </w:t>
      </w:r>
      <w:r w:rsidR="00946CB6">
        <w:t>the current USO contract with Telstra.</w:t>
      </w:r>
    </w:p>
    <w:p w14:paraId="0DECCB36" w14:textId="77777777" w:rsidR="00BC6EF1" w:rsidRDefault="00BC6EF1" w:rsidP="00A51CC7">
      <w:pPr>
        <w:spacing w:after="240"/>
      </w:pPr>
      <w:r>
        <w:t xml:space="preserve">The status quo was costed to establish a costing benchmark. The other scenarios examined </w:t>
      </w:r>
      <w:r w:rsidR="0068034C">
        <w:t xml:space="preserve">included </w:t>
      </w:r>
      <w:r>
        <w:t>reducing multiple payphones at the same site or in close proximity and allowing the removal of payphones except where there was no mobile coverage, in smaller regional centres, i</w:t>
      </w:r>
      <w:r w:rsidR="003161BE">
        <w:t>n</w:t>
      </w:r>
      <w:r>
        <w:t xml:space="preserve"> areas of socio-economic disadvantage, and combinations of these. The costing model allows a wide range of other scenario</w:t>
      </w:r>
      <w:r w:rsidR="0038380F">
        <w:t>s</w:t>
      </w:r>
      <w:r>
        <w:t xml:space="preserve"> to be costed</w:t>
      </w:r>
      <w:r w:rsidR="0038380F">
        <w:t xml:space="preserve"> in </w:t>
      </w:r>
      <w:r w:rsidR="003161BE">
        <w:t xml:space="preserve">the </w:t>
      </w:r>
      <w:r w:rsidR="0038380F">
        <w:t>future</w:t>
      </w:r>
      <w:r w:rsidR="003161BE">
        <w:t>,</w:t>
      </w:r>
      <w:r w:rsidR="0038380F">
        <w:t xml:space="preserve"> if required</w:t>
      </w:r>
      <w:r>
        <w:t>.</w:t>
      </w:r>
    </w:p>
    <w:p w14:paraId="0DECCB37" w14:textId="77777777" w:rsidR="0038380F" w:rsidRDefault="00BC6EF1" w:rsidP="00A51CC7">
      <w:pPr>
        <w:spacing w:after="240"/>
      </w:pPr>
      <w:r>
        <w:t>Network Strategies</w:t>
      </w:r>
      <w:r w:rsidR="00946CB6">
        <w:t>’</w:t>
      </w:r>
      <w:r>
        <w:t xml:space="preserve"> costing</w:t>
      </w:r>
      <w:r w:rsidR="00946CB6">
        <w:t>s</w:t>
      </w:r>
      <w:r>
        <w:t xml:space="preserve"> indicate </w:t>
      </w:r>
      <w:r w:rsidR="00975DF2">
        <w:t xml:space="preserve">what Telstra receives in USO payphones is not unreasonable in light of the </w:t>
      </w:r>
      <w:r w:rsidR="00946CB6">
        <w:t xml:space="preserve">cost to Telstra of operating its current fleet of payphones. </w:t>
      </w:r>
      <w:r w:rsidR="0038380F">
        <w:t xml:space="preserve">Reductions in the number of payphones </w:t>
      </w:r>
      <w:r w:rsidR="00BD1B3B">
        <w:t xml:space="preserve">could </w:t>
      </w:r>
      <w:r w:rsidR="0038380F">
        <w:t>lead to commensurate reductions in cost, however significant reductions</w:t>
      </w:r>
      <w:r w:rsidR="00960CAB">
        <w:t xml:space="preserve"> in payphone numbers</w:t>
      </w:r>
      <w:r w:rsidR="0038380F">
        <w:t xml:space="preserve"> could be required to </w:t>
      </w:r>
      <w:r w:rsidR="003161BE">
        <w:t xml:space="preserve">realise </w:t>
      </w:r>
      <w:r w:rsidR="0038380F">
        <w:t xml:space="preserve">savings </w:t>
      </w:r>
      <w:r w:rsidR="003161BE">
        <w:t>against the</w:t>
      </w:r>
      <w:r w:rsidR="0038380F">
        <w:t xml:space="preserve"> current payments </w:t>
      </w:r>
      <w:r w:rsidR="003161BE">
        <w:t xml:space="preserve">made </w:t>
      </w:r>
      <w:r w:rsidR="0038380F">
        <w:t>to Telstra.</w:t>
      </w:r>
    </w:p>
    <w:p w14:paraId="0DECCB38" w14:textId="77777777" w:rsidR="0038380F" w:rsidRDefault="0038380F" w:rsidP="00A51CC7">
      <w:pPr>
        <w:spacing w:after="240"/>
      </w:pPr>
      <w:r>
        <w:t xml:space="preserve">Again, we consider these costings are initial and </w:t>
      </w:r>
      <w:r w:rsidR="00421058">
        <w:t xml:space="preserve">may be </w:t>
      </w:r>
      <w:r>
        <w:t xml:space="preserve">subject to further refinement. Even if the costings are robust in suggesting </w:t>
      </w:r>
      <w:r w:rsidR="003161BE">
        <w:t xml:space="preserve">that </w:t>
      </w:r>
      <w:r>
        <w:t>payments to Telstra are reasonable given Telstra’s costs, there is stil</w:t>
      </w:r>
      <w:r w:rsidR="00431A30">
        <w:t>l</w:t>
      </w:r>
      <w:r>
        <w:t xml:space="preserve"> an issue as to whether those costs (and payments) are reasonable for the community </w:t>
      </w:r>
      <w:r w:rsidR="00431A30">
        <w:t>given</w:t>
      </w:r>
      <w:r>
        <w:t xml:space="preserve"> the ever decreasing use of payphones. Th</w:t>
      </w:r>
      <w:r w:rsidR="00C00ED6">
        <w:t xml:space="preserve">is gives rises to the question: </w:t>
      </w:r>
      <w:r w:rsidR="007311F7">
        <w:t xml:space="preserve">are </w:t>
      </w:r>
      <w:r>
        <w:t>the cost</w:t>
      </w:r>
      <w:r w:rsidR="007311F7">
        <w:t>s</w:t>
      </w:r>
      <w:r>
        <w:t xml:space="preserve"> to Telstra and the community </w:t>
      </w:r>
      <w:r w:rsidR="00960CAB">
        <w:t xml:space="preserve">of providing payphones </w:t>
      </w:r>
      <w:r>
        <w:t xml:space="preserve">worthwhile </w:t>
      </w:r>
      <w:r w:rsidR="00431A30">
        <w:t>given</w:t>
      </w:r>
      <w:r>
        <w:t xml:space="preserve"> the </w:t>
      </w:r>
      <w:r w:rsidR="003161BE">
        <w:t xml:space="preserve">low </w:t>
      </w:r>
      <w:r>
        <w:t>use of payphones</w:t>
      </w:r>
      <w:r w:rsidR="003161BE">
        <w:t xml:space="preserve"> in the community</w:t>
      </w:r>
      <w:r>
        <w:t xml:space="preserve"> generally</w:t>
      </w:r>
      <w:r w:rsidR="003161BE">
        <w:t>?</w:t>
      </w:r>
    </w:p>
    <w:p w14:paraId="0DECCB39" w14:textId="77777777" w:rsidR="003F5892" w:rsidRDefault="003F5892" w:rsidP="009D45AB">
      <w:pPr>
        <w:pStyle w:val="Heading3"/>
      </w:pPr>
      <w:bookmarkStart w:id="74" w:name="_Toc529783733"/>
      <w:r>
        <w:t>Comparable developments in other key countries</w:t>
      </w:r>
      <w:bookmarkEnd w:id="74"/>
    </w:p>
    <w:p w14:paraId="0DECCB3A" w14:textId="77777777" w:rsidR="000F0CF1" w:rsidRDefault="0068034C" w:rsidP="009D45AB">
      <w:pPr>
        <w:rPr>
          <w:lang w:eastAsia="en-US"/>
        </w:rPr>
      </w:pPr>
      <w:r>
        <w:rPr>
          <w:lang w:eastAsia="en-US"/>
        </w:rPr>
        <w:t xml:space="preserve">To inform our </w:t>
      </w:r>
      <w:r w:rsidR="00482D75">
        <w:rPr>
          <w:lang w:eastAsia="en-US"/>
        </w:rPr>
        <w:t>work</w:t>
      </w:r>
      <w:r>
        <w:rPr>
          <w:lang w:eastAsia="en-US"/>
        </w:rPr>
        <w:t>, w</w:t>
      </w:r>
      <w:r w:rsidR="0087520C">
        <w:rPr>
          <w:lang w:eastAsia="en-US"/>
        </w:rPr>
        <w:t>e</w:t>
      </w:r>
      <w:r w:rsidR="00431A30">
        <w:rPr>
          <w:lang w:eastAsia="en-US"/>
        </w:rPr>
        <w:t xml:space="preserve"> looked at policy arrangements for universal voice, payphone and broadband delivery in a number of developed economies </w:t>
      </w:r>
      <w:r>
        <w:rPr>
          <w:lang w:eastAsia="en-US"/>
        </w:rPr>
        <w:t xml:space="preserve">including the </w:t>
      </w:r>
      <w:r w:rsidR="00431A30">
        <w:rPr>
          <w:lang w:eastAsia="en-US"/>
        </w:rPr>
        <w:t>USA, Canada, New Zealand</w:t>
      </w:r>
      <w:r w:rsidR="00960CAB">
        <w:rPr>
          <w:lang w:eastAsia="en-US"/>
        </w:rPr>
        <w:t xml:space="preserve"> and</w:t>
      </w:r>
      <w:r w:rsidR="00431A30">
        <w:rPr>
          <w:lang w:eastAsia="en-US"/>
        </w:rPr>
        <w:t xml:space="preserve"> the UK. </w:t>
      </w:r>
      <w:r w:rsidR="00773FEE">
        <w:rPr>
          <w:lang w:eastAsia="en-US"/>
        </w:rPr>
        <w:t xml:space="preserve">We </w:t>
      </w:r>
      <w:r w:rsidR="000F0CF1">
        <w:rPr>
          <w:lang w:eastAsia="en-US"/>
        </w:rPr>
        <w:t>also looked at countries with more distinctive approaches, particularly in relation to payphones. Network Strategies also assisted with this work.</w:t>
      </w:r>
    </w:p>
    <w:p w14:paraId="0DECCB3B" w14:textId="77777777" w:rsidR="000F0CF1" w:rsidRDefault="000F0CF1" w:rsidP="009D45AB">
      <w:pPr>
        <w:rPr>
          <w:lang w:eastAsia="en-US"/>
        </w:rPr>
      </w:pPr>
      <w:r>
        <w:rPr>
          <w:lang w:eastAsia="en-US"/>
        </w:rPr>
        <w:t xml:space="preserve">As a developed country with a relatively large proportion of people living in urban areas, </w:t>
      </w:r>
      <w:r w:rsidR="0068034C">
        <w:rPr>
          <w:lang w:eastAsia="en-US"/>
        </w:rPr>
        <w:t xml:space="preserve">and </w:t>
      </w:r>
      <w:r>
        <w:rPr>
          <w:lang w:eastAsia="en-US"/>
        </w:rPr>
        <w:t>an important</w:t>
      </w:r>
      <w:r w:rsidR="0068034C">
        <w:rPr>
          <w:lang w:eastAsia="en-US"/>
        </w:rPr>
        <w:t>,</w:t>
      </w:r>
      <w:r>
        <w:rPr>
          <w:lang w:eastAsia="en-US"/>
        </w:rPr>
        <w:t xml:space="preserve"> but relatively small</w:t>
      </w:r>
      <w:r w:rsidR="0068034C">
        <w:rPr>
          <w:lang w:eastAsia="en-US"/>
        </w:rPr>
        <w:t>,</w:t>
      </w:r>
      <w:r>
        <w:rPr>
          <w:lang w:eastAsia="en-US"/>
        </w:rPr>
        <w:t xml:space="preserve"> regional population spread over a vast area, there are few countries which </w:t>
      </w:r>
      <w:r w:rsidR="009E4EA2">
        <w:rPr>
          <w:lang w:eastAsia="en-US"/>
        </w:rPr>
        <w:t xml:space="preserve">offer </w:t>
      </w:r>
      <w:r w:rsidR="00C00ED6">
        <w:rPr>
          <w:lang w:eastAsia="en-US"/>
        </w:rPr>
        <w:t>a close</w:t>
      </w:r>
      <w:r>
        <w:rPr>
          <w:lang w:eastAsia="en-US"/>
        </w:rPr>
        <w:t xml:space="preserve"> comparator for Australia. </w:t>
      </w:r>
      <w:r w:rsidR="00960CAB">
        <w:rPr>
          <w:lang w:eastAsia="en-US"/>
        </w:rPr>
        <w:t>N</w:t>
      </w:r>
      <w:r w:rsidR="007311F7">
        <w:rPr>
          <w:lang w:eastAsia="en-US"/>
        </w:rPr>
        <w:t xml:space="preserve">oting </w:t>
      </w:r>
      <w:r w:rsidR="00960CAB">
        <w:rPr>
          <w:lang w:eastAsia="en-US"/>
        </w:rPr>
        <w:t xml:space="preserve">there are </w:t>
      </w:r>
      <w:r w:rsidR="007311F7">
        <w:rPr>
          <w:lang w:eastAsia="en-US"/>
        </w:rPr>
        <w:t xml:space="preserve">significant differences, </w:t>
      </w:r>
      <w:r>
        <w:rPr>
          <w:lang w:eastAsia="en-US"/>
        </w:rPr>
        <w:t>Canada is perhaps the most comparable.</w:t>
      </w:r>
      <w:r w:rsidR="00960CAB">
        <w:rPr>
          <w:lang w:eastAsia="en-US"/>
        </w:rPr>
        <w:t xml:space="preserve"> </w:t>
      </w:r>
      <w:r w:rsidR="00773FEE">
        <w:rPr>
          <w:lang w:eastAsia="en-US"/>
        </w:rPr>
        <w:t>W</w:t>
      </w:r>
      <w:r w:rsidR="00960CAB">
        <w:rPr>
          <w:lang w:eastAsia="en-US"/>
        </w:rPr>
        <w:t>hile w</w:t>
      </w:r>
      <w:r w:rsidR="00773FEE">
        <w:rPr>
          <w:lang w:eastAsia="en-US"/>
        </w:rPr>
        <w:t xml:space="preserve">e </w:t>
      </w:r>
      <w:r w:rsidR="00960CAB">
        <w:rPr>
          <w:lang w:eastAsia="en-US"/>
        </w:rPr>
        <w:t xml:space="preserve">recognise </w:t>
      </w:r>
      <w:r>
        <w:rPr>
          <w:lang w:eastAsia="en-US"/>
        </w:rPr>
        <w:t>the difficulties in generalising across a large number of different countries, there are a number of clear trends, which are arguably increasingly global.</w:t>
      </w:r>
      <w:r w:rsidR="009E4EA2">
        <w:rPr>
          <w:lang w:eastAsia="en-US"/>
        </w:rPr>
        <w:t xml:space="preserve"> </w:t>
      </w:r>
    </w:p>
    <w:p w14:paraId="0DECCB3C" w14:textId="77777777" w:rsidR="00F144C3" w:rsidRDefault="0068034C" w:rsidP="009D45AB">
      <w:pPr>
        <w:rPr>
          <w:lang w:eastAsia="en-US"/>
        </w:rPr>
      </w:pPr>
      <w:r>
        <w:rPr>
          <w:lang w:eastAsia="en-US"/>
        </w:rPr>
        <w:t>Across all of the reviewed countries, a</w:t>
      </w:r>
      <w:r w:rsidR="000F0CF1">
        <w:rPr>
          <w:lang w:eastAsia="en-US"/>
        </w:rPr>
        <w:t xml:space="preserve">ccess to voice communications at places of residence and business is still generally accepted to be important. Most developed countries continue to </w:t>
      </w:r>
      <w:r w:rsidR="00F144C3">
        <w:rPr>
          <w:lang w:eastAsia="en-US"/>
        </w:rPr>
        <w:t>regulate</w:t>
      </w:r>
      <w:r w:rsidR="000F0CF1">
        <w:rPr>
          <w:lang w:eastAsia="en-US"/>
        </w:rPr>
        <w:t xml:space="preserve"> for the provision of fixed voice services to such places. Equally, however, there is a clear trend to mobile communications around the world, with mobile </w:t>
      </w:r>
      <w:r w:rsidR="009E4EA2">
        <w:rPr>
          <w:lang w:eastAsia="en-US"/>
        </w:rPr>
        <w:t>service</w:t>
      </w:r>
      <w:r w:rsidR="00C00ED6">
        <w:rPr>
          <w:lang w:eastAsia="en-US"/>
        </w:rPr>
        <w:t>s</w:t>
      </w:r>
      <w:r w:rsidR="000F0CF1">
        <w:rPr>
          <w:lang w:eastAsia="en-US"/>
        </w:rPr>
        <w:t xml:space="preserve"> no</w:t>
      </w:r>
      <w:r w:rsidR="007311F7">
        <w:rPr>
          <w:lang w:eastAsia="en-US"/>
        </w:rPr>
        <w:t>w</w:t>
      </w:r>
      <w:r w:rsidR="000F0CF1">
        <w:rPr>
          <w:lang w:eastAsia="en-US"/>
        </w:rPr>
        <w:t xml:space="preserve"> far exceeding fixed services. </w:t>
      </w:r>
      <w:r w:rsidR="00F144C3">
        <w:rPr>
          <w:lang w:eastAsia="en-US"/>
        </w:rPr>
        <w:t xml:space="preserve">In this context, improved access to mobile </w:t>
      </w:r>
      <w:r w:rsidR="003161BE">
        <w:rPr>
          <w:lang w:eastAsia="en-US"/>
        </w:rPr>
        <w:t>service</w:t>
      </w:r>
      <w:r w:rsidR="00421058">
        <w:rPr>
          <w:lang w:eastAsia="en-US"/>
        </w:rPr>
        <w:t>s</w:t>
      </w:r>
      <w:r w:rsidR="00F144C3">
        <w:rPr>
          <w:lang w:eastAsia="en-US"/>
        </w:rPr>
        <w:t xml:space="preserve">, including in areas beyond commercial coverage is a </w:t>
      </w:r>
      <w:r w:rsidR="00F144C3">
        <w:rPr>
          <w:lang w:eastAsia="en-US"/>
        </w:rPr>
        <w:lastRenderedPageBreak/>
        <w:t>common theme, with programs for example in Canada</w:t>
      </w:r>
      <w:r w:rsidR="005F7699">
        <w:rPr>
          <w:lang w:eastAsia="en-US"/>
        </w:rPr>
        <w:t xml:space="preserve"> and the UK (as in Australia</w:t>
      </w:r>
      <w:r w:rsidR="009E4EA2">
        <w:rPr>
          <w:lang w:eastAsia="en-US"/>
        </w:rPr>
        <w:t>)</w:t>
      </w:r>
      <w:r w:rsidR="005F7699">
        <w:rPr>
          <w:lang w:eastAsia="en-US"/>
        </w:rPr>
        <w:t xml:space="preserve"> to advance this objective</w:t>
      </w:r>
      <w:r w:rsidR="00F144C3">
        <w:rPr>
          <w:lang w:eastAsia="en-US"/>
        </w:rPr>
        <w:t>.</w:t>
      </w:r>
      <w:r w:rsidR="005F7699">
        <w:rPr>
          <w:lang w:eastAsia="en-US"/>
        </w:rPr>
        <w:t xml:space="preserve"> </w:t>
      </w:r>
    </w:p>
    <w:p w14:paraId="0DECCB3D" w14:textId="77777777" w:rsidR="00F144C3" w:rsidRDefault="00F144C3" w:rsidP="009D45AB">
      <w:pPr>
        <w:rPr>
          <w:lang w:eastAsia="en-US"/>
        </w:rPr>
      </w:pPr>
      <w:r>
        <w:rPr>
          <w:lang w:eastAsia="en-US"/>
        </w:rPr>
        <w:t xml:space="preserve">Conversely, with the growth in mobile services, </w:t>
      </w:r>
      <w:r w:rsidR="000F0CF1">
        <w:rPr>
          <w:lang w:eastAsia="en-US"/>
        </w:rPr>
        <w:t>there are clear drop-off</w:t>
      </w:r>
      <w:r>
        <w:rPr>
          <w:lang w:eastAsia="en-US"/>
        </w:rPr>
        <w:t>s</w:t>
      </w:r>
      <w:r w:rsidR="000F0CF1">
        <w:rPr>
          <w:lang w:eastAsia="en-US"/>
        </w:rPr>
        <w:t xml:space="preserve"> in the use of payphones</w:t>
      </w:r>
      <w:r>
        <w:rPr>
          <w:lang w:eastAsia="en-US"/>
        </w:rPr>
        <w:t xml:space="preserve">, leading to </w:t>
      </w:r>
      <w:r w:rsidR="000F0CF1">
        <w:rPr>
          <w:lang w:eastAsia="en-US"/>
        </w:rPr>
        <w:t xml:space="preserve">significant reductions in payphones in most jurisdictions and the </w:t>
      </w:r>
      <w:r>
        <w:rPr>
          <w:lang w:eastAsia="en-US"/>
        </w:rPr>
        <w:t xml:space="preserve">relaxation or </w:t>
      </w:r>
      <w:r w:rsidR="000F0CF1">
        <w:rPr>
          <w:lang w:eastAsia="en-US"/>
        </w:rPr>
        <w:t xml:space="preserve">removal of obligations to have payphones in </w:t>
      </w:r>
      <w:r>
        <w:rPr>
          <w:lang w:eastAsia="en-US"/>
        </w:rPr>
        <w:t>many jurisdictions. Some countries, albeit it with very high mobile coverage and take-up, like France</w:t>
      </w:r>
      <w:r w:rsidR="007E3FCB">
        <w:rPr>
          <w:lang w:eastAsia="en-US"/>
        </w:rPr>
        <w:t xml:space="preserve"> and Norway</w:t>
      </w:r>
      <w:r>
        <w:rPr>
          <w:lang w:eastAsia="en-US"/>
        </w:rPr>
        <w:t>, have removed public payphones</w:t>
      </w:r>
      <w:r w:rsidR="007E3FCB">
        <w:rPr>
          <w:lang w:eastAsia="en-US"/>
        </w:rPr>
        <w:t xml:space="preserve"> from their USOs</w:t>
      </w:r>
      <w:r>
        <w:rPr>
          <w:lang w:eastAsia="en-US"/>
        </w:rPr>
        <w:t>.</w:t>
      </w:r>
      <w:r w:rsidR="00482D75">
        <w:rPr>
          <w:rStyle w:val="FootnoteReference"/>
          <w:lang w:eastAsia="en-US"/>
        </w:rPr>
        <w:footnoteReference w:id="17"/>
      </w:r>
    </w:p>
    <w:p w14:paraId="0DECCB3E" w14:textId="77777777" w:rsidR="00F144C3" w:rsidRDefault="00F144C3" w:rsidP="009D45AB">
      <w:pPr>
        <w:rPr>
          <w:lang w:eastAsia="en-US"/>
        </w:rPr>
      </w:pPr>
      <w:r>
        <w:rPr>
          <w:lang w:eastAsia="en-US"/>
        </w:rPr>
        <w:t xml:space="preserve">As in Australia, the increasing use of </w:t>
      </w:r>
      <w:r w:rsidR="00DB649D">
        <w:rPr>
          <w:lang w:eastAsia="en-US"/>
        </w:rPr>
        <w:t xml:space="preserve">online services </w:t>
      </w:r>
      <w:r w:rsidR="00421058">
        <w:rPr>
          <w:lang w:eastAsia="en-US"/>
        </w:rPr>
        <w:t xml:space="preserve">around the world </w:t>
      </w:r>
      <w:r w:rsidR="001070CC">
        <w:rPr>
          <w:lang w:eastAsia="en-US"/>
        </w:rPr>
        <w:t>h</w:t>
      </w:r>
      <w:r>
        <w:rPr>
          <w:lang w:eastAsia="en-US"/>
        </w:rPr>
        <w:t>as seen a strong focus on new arrangements to provide for universal access to broadband services,</w:t>
      </w:r>
      <w:r w:rsidR="00431A30">
        <w:rPr>
          <w:lang w:eastAsia="en-US"/>
        </w:rPr>
        <w:t xml:space="preserve"> </w:t>
      </w:r>
      <w:r>
        <w:rPr>
          <w:lang w:eastAsia="en-US"/>
        </w:rPr>
        <w:t xml:space="preserve">albeit </w:t>
      </w:r>
      <w:r w:rsidR="00960CAB">
        <w:rPr>
          <w:lang w:eastAsia="en-US"/>
        </w:rPr>
        <w:t>at</w:t>
      </w:r>
      <w:r>
        <w:rPr>
          <w:lang w:eastAsia="en-US"/>
        </w:rPr>
        <w:t xml:space="preserve"> varying </w:t>
      </w:r>
      <w:r w:rsidR="00421058">
        <w:rPr>
          <w:lang w:eastAsia="en-US"/>
        </w:rPr>
        <w:t>levels of commitment and service standards</w:t>
      </w:r>
      <w:r>
        <w:rPr>
          <w:lang w:eastAsia="en-US"/>
        </w:rPr>
        <w:t xml:space="preserve">. Often these arrangements take the </w:t>
      </w:r>
      <w:r w:rsidR="005F7699">
        <w:rPr>
          <w:lang w:eastAsia="en-US"/>
        </w:rPr>
        <w:t>form</w:t>
      </w:r>
      <w:r>
        <w:rPr>
          <w:lang w:eastAsia="en-US"/>
        </w:rPr>
        <w:t xml:space="preserve"> of policy commitments</w:t>
      </w:r>
      <w:r w:rsidR="005F7699">
        <w:rPr>
          <w:lang w:eastAsia="en-US"/>
        </w:rPr>
        <w:t>, with an emphasis on commercial delivery</w:t>
      </w:r>
      <w:r>
        <w:rPr>
          <w:lang w:eastAsia="en-US"/>
        </w:rPr>
        <w:t xml:space="preserve">, but legislative </w:t>
      </w:r>
      <w:r w:rsidR="005F7699">
        <w:rPr>
          <w:lang w:eastAsia="en-US"/>
        </w:rPr>
        <w:t>requirements</w:t>
      </w:r>
      <w:r>
        <w:rPr>
          <w:lang w:eastAsia="en-US"/>
        </w:rPr>
        <w:t xml:space="preserve"> are </w:t>
      </w:r>
      <w:r w:rsidR="001070CC">
        <w:rPr>
          <w:lang w:eastAsia="en-US"/>
        </w:rPr>
        <w:t xml:space="preserve">also </w:t>
      </w:r>
      <w:r>
        <w:rPr>
          <w:lang w:eastAsia="en-US"/>
        </w:rPr>
        <w:t xml:space="preserve">being used. For example, </w:t>
      </w:r>
      <w:r w:rsidR="005F7699">
        <w:rPr>
          <w:lang w:eastAsia="en-US"/>
        </w:rPr>
        <w:t>legislated</w:t>
      </w:r>
      <w:r>
        <w:rPr>
          <w:lang w:eastAsia="en-US"/>
        </w:rPr>
        <w:t xml:space="preserve"> or regulated </w:t>
      </w:r>
      <w:r w:rsidR="005F7699">
        <w:rPr>
          <w:lang w:eastAsia="en-US"/>
        </w:rPr>
        <w:t>broadband</w:t>
      </w:r>
      <w:r>
        <w:rPr>
          <w:lang w:eastAsia="en-US"/>
        </w:rPr>
        <w:t xml:space="preserve"> obligations have been implemented </w:t>
      </w:r>
      <w:r w:rsidRPr="00E671EE">
        <w:rPr>
          <w:lang w:eastAsia="en-US"/>
        </w:rPr>
        <w:t xml:space="preserve">in </w:t>
      </w:r>
      <w:r w:rsidR="007455B2">
        <w:rPr>
          <w:lang w:eastAsia="en-US"/>
        </w:rPr>
        <w:t>Canada, the United Kingdom</w:t>
      </w:r>
      <w:r w:rsidR="00611908">
        <w:rPr>
          <w:lang w:eastAsia="en-US"/>
        </w:rPr>
        <w:t xml:space="preserve"> and Singapore</w:t>
      </w:r>
      <w:r w:rsidR="007455B2">
        <w:rPr>
          <w:lang w:eastAsia="en-US"/>
        </w:rPr>
        <w:t xml:space="preserve">, </w:t>
      </w:r>
      <w:r w:rsidR="005F7699">
        <w:rPr>
          <w:lang w:eastAsia="en-US"/>
        </w:rPr>
        <w:t xml:space="preserve">just as Australia has proposed its </w:t>
      </w:r>
      <w:r w:rsidR="00AC76FF">
        <w:rPr>
          <w:lang w:eastAsia="en-US"/>
        </w:rPr>
        <w:t>SIP</w:t>
      </w:r>
      <w:r w:rsidR="005F7699">
        <w:rPr>
          <w:lang w:eastAsia="en-US"/>
        </w:rPr>
        <w:t xml:space="preserve"> obligations.</w:t>
      </w:r>
      <w:r w:rsidR="00482D75">
        <w:rPr>
          <w:rStyle w:val="FootnoteReference"/>
          <w:lang w:eastAsia="en-US"/>
        </w:rPr>
        <w:footnoteReference w:id="18"/>
      </w:r>
    </w:p>
    <w:p w14:paraId="0DECCB3F" w14:textId="77777777" w:rsidR="003F5892" w:rsidRDefault="003F5892" w:rsidP="009D45AB">
      <w:pPr>
        <w:pStyle w:val="Heading3"/>
      </w:pPr>
      <w:bookmarkStart w:id="75" w:name="_Toc529783734"/>
      <w:r>
        <w:t>Potential contestability models</w:t>
      </w:r>
      <w:bookmarkEnd w:id="75"/>
    </w:p>
    <w:p w14:paraId="0DECCB40" w14:textId="77777777" w:rsidR="004F0E21" w:rsidRDefault="004949A7" w:rsidP="009D45AB">
      <w:pPr>
        <w:rPr>
          <w:lang w:eastAsia="en-US"/>
        </w:rPr>
      </w:pPr>
      <w:r>
        <w:rPr>
          <w:lang w:eastAsia="en-US"/>
        </w:rPr>
        <w:t xml:space="preserve">In its December 2017 announcement, the Government indicated that the new USG would leverage the </w:t>
      </w:r>
      <w:r w:rsidR="003E11FE">
        <w:rPr>
          <w:lang w:eastAsia="en-US"/>
        </w:rPr>
        <w:t>NBN</w:t>
      </w:r>
      <w:r>
        <w:rPr>
          <w:lang w:eastAsia="en-US"/>
        </w:rPr>
        <w:t xml:space="preserve"> and other commercial networks to the greatest extent, and use targeted programs where necessary. How this model w</w:t>
      </w:r>
      <w:r w:rsidR="00F92CB4">
        <w:rPr>
          <w:lang w:eastAsia="en-US"/>
        </w:rPr>
        <w:t>ould</w:t>
      </w:r>
      <w:r>
        <w:rPr>
          <w:lang w:eastAsia="en-US"/>
        </w:rPr>
        <w:t xml:space="preserve"> work </w:t>
      </w:r>
      <w:r w:rsidR="00F92CB4">
        <w:rPr>
          <w:lang w:eastAsia="en-US"/>
        </w:rPr>
        <w:t>will</w:t>
      </w:r>
      <w:r>
        <w:rPr>
          <w:lang w:eastAsia="en-US"/>
        </w:rPr>
        <w:t xml:space="preserve"> depend on the decision the </w:t>
      </w:r>
      <w:r w:rsidR="00571A58">
        <w:rPr>
          <w:lang w:eastAsia="en-US"/>
        </w:rPr>
        <w:t>G</w:t>
      </w:r>
      <w:r>
        <w:rPr>
          <w:lang w:eastAsia="en-US"/>
        </w:rPr>
        <w:t>overnment takes on implementing the USG</w:t>
      </w:r>
      <w:r w:rsidR="00F92CB4">
        <w:rPr>
          <w:lang w:eastAsia="en-US"/>
        </w:rPr>
        <w:t xml:space="preserve"> and the role of the copper network.</w:t>
      </w:r>
      <w:r w:rsidR="006A76CD">
        <w:rPr>
          <w:lang w:eastAsia="en-US"/>
        </w:rPr>
        <w:t xml:space="preserve"> H</w:t>
      </w:r>
      <w:r>
        <w:rPr>
          <w:lang w:eastAsia="en-US"/>
        </w:rPr>
        <w:t xml:space="preserve">owever, </w:t>
      </w:r>
      <w:r w:rsidR="00F92CB4">
        <w:rPr>
          <w:lang w:eastAsia="en-US"/>
        </w:rPr>
        <w:t>we have</w:t>
      </w:r>
      <w:r w:rsidR="006A76CD">
        <w:rPr>
          <w:lang w:eastAsia="en-US"/>
        </w:rPr>
        <w:t xml:space="preserve"> given some consideration </w:t>
      </w:r>
      <w:r w:rsidR="00F92CB4">
        <w:rPr>
          <w:lang w:eastAsia="en-US"/>
        </w:rPr>
        <w:t xml:space="preserve">as </w:t>
      </w:r>
      <w:r w:rsidR="006A76CD">
        <w:rPr>
          <w:lang w:eastAsia="en-US"/>
        </w:rPr>
        <w:t xml:space="preserve">to how this market might work if </w:t>
      </w:r>
      <w:r w:rsidR="00446BA7">
        <w:rPr>
          <w:lang w:eastAsia="en-US"/>
        </w:rPr>
        <w:t>the CCO</w:t>
      </w:r>
      <w:r w:rsidR="006A76CD">
        <w:rPr>
          <w:lang w:eastAsia="en-US"/>
        </w:rPr>
        <w:t xml:space="preserve"> was removed.</w:t>
      </w:r>
    </w:p>
    <w:p w14:paraId="0DECCB41" w14:textId="77777777" w:rsidR="004F0E21" w:rsidRDefault="006A76CD" w:rsidP="009D45AB">
      <w:pPr>
        <w:rPr>
          <w:lang w:eastAsia="en-US"/>
        </w:rPr>
      </w:pPr>
      <w:r>
        <w:rPr>
          <w:lang w:eastAsia="en-US"/>
        </w:rPr>
        <w:t xml:space="preserve">If </w:t>
      </w:r>
      <w:r w:rsidR="00446BA7">
        <w:rPr>
          <w:lang w:eastAsia="en-US"/>
        </w:rPr>
        <w:t>the CCO</w:t>
      </w:r>
      <w:r>
        <w:rPr>
          <w:lang w:eastAsia="en-US"/>
        </w:rPr>
        <w:t xml:space="preserve"> was removed, consumers would generally select service providers on a commercial basis according to their availability and ability to meet their needs. In the </w:t>
      </w:r>
      <w:r w:rsidR="003E11FE">
        <w:rPr>
          <w:lang w:eastAsia="en-US"/>
        </w:rPr>
        <w:t>NBN</w:t>
      </w:r>
      <w:r>
        <w:rPr>
          <w:lang w:eastAsia="en-US"/>
        </w:rPr>
        <w:t xml:space="preserve"> fixed wireless footprint, </w:t>
      </w:r>
      <w:r w:rsidR="003D77C5">
        <w:rPr>
          <w:lang w:eastAsia="en-US"/>
        </w:rPr>
        <w:t>consumers</w:t>
      </w:r>
      <w:r>
        <w:rPr>
          <w:lang w:eastAsia="en-US"/>
        </w:rPr>
        <w:t xml:space="preserve"> could take a</w:t>
      </w:r>
      <w:r w:rsidR="003D77C5">
        <w:rPr>
          <w:lang w:eastAsia="en-US"/>
        </w:rPr>
        <w:t xml:space="preserve">n </w:t>
      </w:r>
      <w:r w:rsidR="003E11FE">
        <w:rPr>
          <w:lang w:eastAsia="en-US"/>
        </w:rPr>
        <w:t>NBN</w:t>
      </w:r>
      <w:r>
        <w:rPr>
          <w:lang w:eastAsia="en-US"/>
        </w:rPr>
        <w:t xml:space="preserve"> broadband </w:t>
      </w:r>
      <w:r w:rsidR="003D77C5">
        <w:rPr>
          <w:lang w:eastAsia="en-US"/>
        </w:rPr>
        <w:t xml:space="preserve">service which </w:t>
      </w:r>
      <w:r w:rsidR="001152D6">
        <w:rPr>
          <w:lang w:eastAsia="en-US"/>
        </w:rPr>
        <w:t xml:space="preserve">would </w:t>
      </w:r>
      <w:r w:rsidR="003D77C5">
        <w:rPr>
          <w:lang w:eastAsia="en-US"/>
        </w:rPr>
        <w:t>also support voice. Additionally or alternatively, they</w:t>
      </w:r>
      <w:r>
        <w:rPr>
          <w:lang w:eastAsia="en-US"/>
        </w:rPr>
        <w:t xml:space="preserve"> </w:t>
      </w:r>
      <w:r w:rsidR="003D77C5">
        <w:rPr>
          <w:lang w:eastAsia="en-US"/>
        </w:rPr>
        <w:t xml:space="preserve">could </w:t>
      </w:r>
      <w:r>
        <w:rPr>
          <w:lang w:eastAsia="en-US"/>
        </w:rPr>
        <w:t xml:space="preserve">take a mobile </w:t>
      </w:r>
      <w:r w:rsidR="001152D6">
        <w:rPr>
          <w:lang w:eastAsia="en-US"/>
        </w:rPr>
        <w:t>service</w:t>
      </w:r>
      <w:r>
        <w:rPr>
          <w:lang w:eastAsia="en-US"/>
        </w:rPr>
        <w:t xml:space="preserve"> </w:t>
      </w:r>
      <w:r w:rsidR="003D77C5">
        <w:rPr>
          <w:lang w:eastAsia="en-US"/>
        </w:rPr>
        <w:t xml:space="preserve">for voice </w:t>
      </w:r>
      <w:r>
        <w:rPr>
          <w:lang w:eastAsia="en-US"/>
        </w:rPr>
        <w:t xml:space="preserve">as many are </w:t>
      </w:r>
      <w:r w:rsidR="001152D6">
        <w:rPr>
          <w:lang w:eastAsia="en-US"/>
        </w:rPr>
        <w:t xml:space="preserve">now </w:t>
      </w:r>
      <w:r>
        <w:rPr>
          <w:lang w:eastAsia="en-US"/>
        </w:rPr>
        <w:t xml:space="preserve">choosing to do. If </w:t>
      </w:r>
      <w:r w:rsidR="001152D6">
        <w:rPr>
          <w:lang w:eastAsia="en-US"/>
        </w:rPr>
        <w:t xml:space="preserve">consumers </w:t>
      </w:r>
      <w:r>
        <w:rPr>
          <w:lang w:eastAsia="en-US"/>
        </w:rPr>
        <w:t xml:space="preserve">want the comfort </w:t>
      </w:r>
      <w:r w:rsidR="00C00ED6">
        <w:rPr>
          <w:lang w:eastAsia="en-US"/>
        </w:rPr>
        <w:t xml:space="preserve">or familiarity </w:t>
      </w:r>
      <w:r>
        <w:rPr>
          <w:lang w:eastAsia="en-US"/>
        </w:rPr>
        <w:t>that a fixed connection provides, they may choo</w:t>
      </w:r>
      <w:r w:rsidR="003D77C5">
        <w:rPr>
          <w:lang w:eastAsia="en-US"/>
        </w:rPr>
        <w:t>se</w:t>
      </w:r>
      <w:r>
        <w:rPr>
          <w:lang w:eastAsia="en-US"/>
        </w:rPr>
        <w:t xml:space="preserve"> a fixe</w:t>
      </w:r>
      <w:r w:rsidR="003D77C5">
        <w:rPr>
          <w:lang w:eastAsia="en-US"/>
        </w:rPr>
        <w:t>d</w:t>
      </w:r>
      <w:r>
        <w:rPr>
          <w:lang w:eastAsia="en-US"/>
        </w:rPr>
        <w:t xml:space="preserve"> </w:t>
      </w:r>
      <w:r w:rsidR="003D77C5">
        <w:rPr>
          <w:lang w:eastAsia="en-US"/>
        </w:rPr>
        <w:t>wireless</w:t>
      </w:r>
      <w:r>
        <w:rPr>
          <w:lang w:eastAsia="en-US"/>
        </w:rPr>
        <w:t xml:space="preserve"> s</w:t>
      </w:r>
      <w:r w:rsidR="003D77C5">
        <w:rPr>
          <w:lang w:eastAsia="en-US"/>
        </w:rPr>
        <w:t>ervice</w:t>
      </w:r>
      <w:r w:rsidR="00C00ED6">
        <w:rPr>
          <w:lang w:eastAsia="en-US"/>
        </w:rPr>
        <w:t xml:space="preserve"> </w:t>
      </w:r>
      <w:r w:rsidR="00421058">
        <w:rPr>
          <w:lang w:eastAsia="en-US"/>
        </w:rPr>
        <w:t xml:space="preserve">connected to a traditional handset </w:t>
      </w:r>
      <w:r w:rsidR="00C00ED6">
        <w:rPr>
          <w:lang w:eastAsia="en-US"/>
        </w:rPr>
        <w:t>rather than simply rely</w:t>
      </w:r>
      <w:r w:rsidR="00DB649D">
        <w:rPr>
          <w:lang w:eastAsia="en-US"/>
        </w:rPr>
        <w:t>ing</w:t>
      </w:r>
      <w:r w:rsidR="00C00ED6">
        <w:rPr>
          <w:lang w:eastAsia="en-US"/>
        </w:rPr>
        <w:t xml:space="preserve"> on a mobile </w:t>
      </w:r>
      <w:r w:rsidR="00421058">
        <w:rPr>
          <w:lang w:eastAsia="en-US"/>
        </w:rPr>
        <w:t>phone</w:t>
      </w:r>
      <w:r w:rsidR="003D77C5">
        <w:rPr>
          <w:lang w:eastAsia="en-US"/>
        </w:rPr>
        <w:t>. Where a consumer had to migrate from an existing copper service or faced additional costs with a</w:t>
      </w:r>
      <w:r w:rsidR="001152D6">
        <w:rPr>
          <w:lang w:eastAsia="en-US"/>
        </w:rPr>
        <w:t xml:space="preserve"> </w:t>
      </w:r>
      <w:r w:rsidR="003D77C5">
        <w:rPr>
          <w:lang w:eastAsia="en-US"/>
        </w:rPr>
        <w:t>new connection, for example</w:t>
      </w:r>
      <w:r w:rsidR="001152D6">
        <w:rPr>
          <w:lang w:eastAsia="en-US"/>
        </w:rPr>
        <w:t xml:space="preserve"> installing</w:t>
      </w:r>
      <w:r w:rsidR="003D77C5">
        <w:rPr>
          <w:lang w:eastAsia="en-US"/>
        </w:rPr>
        <w:t xml:space="preserve"> an external antenna or legal repeater, additional support </w:t>
      </w:r>
      <w:r w:rsidR="003161BE">
        <w:rPr>
          <w:lang w:eastAsia="en-US"/>
        </w:rPr>
        <w:t xml:space="preserve">may </w:t>
      </w:r>
      <w:r w:rsidR="003D77C5">
        <w:rPr>
          <w:lang w:eastAsia="en-US"/>
        </w:rPr>
        <w:t>be needed.</w:t>
      </w:r>
    </w:p>
    <w:p w14:paraId="0DECCB42" w14:textId="77777777" w:rsidR="004F0E21" w:rsidRDefault="004F0E21" w:rsidP="004F0E21">
      <w:pPr>
        <w:rPr>
          <w:lang w:eastAsia="en-US"/>
        </w:rPr>
      </w:pPr>
      <w:r>
        <w:rPr>
          <w:lang w:eastAsia="en-US"/>
        </w:rPr>
        <w:t>Where terrestrial wireless (mobile or fixed) coverage was not available, consumer</w:t>
      </w:r>
      <w:r w:rsidR="00F92CB4">
        <w:rPr>
          <w:lang w:eastAsia="en-US"/>
        </w:rPr>
        <w:t>s</w:t>
      </w:r>
      <w:r>
        <w:rPr>
          <w:lang w:eastAsia="en-US"/>
        </w:rPr>
        <w:t xml:space="preserve"> would need to choose from available satellite services</w:t>
      </w:r>
      <w:r w:rsidR="001152D6">
        <w:rPr>
          <w:lang w:eastAsia="en-US"/>
        </w:rPr>
        <w:t xml:space="preserve"> for broadband and voice services</w:t>
      </w:r>
      <w:r w:rsidR="00F92CB4">
        <w:rPr>
          <w:lang w:eastAsia="en-US"/>
        </w:rPr>
        <w:t>, notwithstanding the technical limitations of these services</w:t>
      </w:r>
      <w:r>
        <w:rPr>
          <w:lang w:eastAsia="en-US"/>
        </w:rPr>
        <w:t>.</w:t>
      </w:r>
    </w:p>
    <w:p w14:paraId="0DECCB43" w14:textId="77777777" w:rsidR="0037449F" w:rsidRDefault="004F0E21" w:rsidP="009D45AB">
      <w:pPr>
        <w:rPr>
          <w:lang w:eastAsia="en-US"/>
        </w:rPr>
      </w:pPr>
      <w:r>
        <w:rPr>
          <w:lang w:eastAsia="en-US"/>
        </w:rPr>
        <w:t xml:space="preserve">Service qualification could work in the following way. If a consumer wanted a fixed wireless connection, they could </w:t>
      </w:r>
      <w:r w:rsidR="001152D6">
        <w:rPr>
          <w:lang w:eastAsia="en-US"/>
        </w:rPr>
        <w:t xml:space="preserve">request </w:t>
      </w:r>
      <w:r>
        <w:rPr>
          <w:lang w:eastAsia="en-US"/>
        </w:rPr>
        <w:t xml:space="preserve">it. A desk-top qualification check could be </w:t>
      </w:r>
      <w:r w:rsidR="000B3B3C">
        <w:rPr>
          <w:lang w:eastAsia="en-US"/>
        </w:rPr>
        <w:t xml:space="preserve">undertaken </w:t>
      </w:r>
      <w:r>
        <w:rPr>
          <w:lang w:eastAsia="en-US"/>
        </w:rPr>
        <w:t xml:space="preserve">to confirm </w:t>
      </w:r>
      <w:r w:rsidR="001152D6">
        <w:rPr>
          <w:lang w:eastAsia="en-US"/>
        </w:rPr>
        <w:t xml:space="preserve">if </w:t>
      </w:r>
      <w:r>
        <w:rPr>
          <w:lang w:eastAsia="en-US"/>
        </w:rPr>
        <w:t xml:space="preserve">it </w:t>
      </w:r>
      <w:r w:rsidR="001152D6">
        <w:rPr>
          <w:lang w:eastAsia="en-US"/>
        </w:rPr>
        <w:t xml:space="preserve">is </w:t>
      </w:r>
      <w:r>
        <w:rPr>
          <w:lang w:eastAsia="en-US"/>
        </w:rPr>
        <w:t>an option</w:t>
      </w:r>
      <w:r w:rsidR="001152D6">
        <w:rPr>
          <w:lang w:eastAsia="en-US"/>
        </w:rPr>
        <w:t xml:space="preserve"> for that premises</w:t>
      </w:r>
      <w:r>
        <w:rPr>
          <w:lang w:eastAsia="en-US"/>
        </w:rPr>
        <w:t>. If so</w:t>
      </w:r>
      <w:r w:rsidR="001152D6">
        <w:rPr>
          <w:lang w:eastAsia="en-US"/>
        </w:rPr>
        <w:t>,</w:t>
      </w:r>
      <w:r>
        <w:rPr>
          <w:lang w:eastAsia="en-US"/>
        </w:rPr>
        <w:t xml:space="preserve"> the equipment could be dispatched for self-installation. If professional installation was required, for example</w:t>
      </w:r>
      <w:r w:rsidR="00F92CB4">
        <w:rPr>
          <w:lang w:eastAsia="en-US"/>
        </w:rPr>
        <w:t>,</w:t>
      </w:r>
      <w:r>
        <w:rPr>
          <w:lang w:eastAsia="en-US"/>
        </w:rPr>
        <w:t xml:space="preserve"> because an external antenna was required, that would be scheduled. If none of these options were workable, the premise</w:t>
      </w:r>
      <w:r w:rsidR="000B3B3C">
        <w:rPr>
          <w:lang w:eastAsia="en-US"/>
        </w:rPr>
        <w:t>s</w:t>
      </w:r>
      <w:r>
        <w:rPr>
          <w:lang w:eastAsia="en-US"/>
        </w:rPr>
        <w:t xml:space="preserve"> would need to be referred to a satellite specialist.</w:t>
      </w:r>
    </w:p>
    <w:p w14:paraId="0DECCB44" w14:textId="77777777" w:rsidR="0037449F" w:rsidRDefault="0037449F" w:rsidP="009D45AB">
      <w:pPr>
        <w:rPr>
          <w:lang w:eastAsia="en-US"/>
        </w:rPr>
      </w:pPr>
      <w:r>
        <w:rPr>
          <w:lang w:eastAsia="en-US"/>
        </w:rPr>
        <w:t xml:space="preserve">If there was to be a transition, copper or other existing </w:t>
      </w:r>
      <w:r w:rsidR="00A27533">
        <w:rPr>
          <w:lang w:eastAsia="en-US"/>
        </w:rPr>
        <w:t>services</w:t>
      </w:r>
      <w:r>
        <w:rPr>
          <w:lang w:eastAsia="en-US"/>
        </w:rPr>
        <w:t xml:space="preserve"> would need to remain in place until the new </w:t>
      </w:r>
      <w:r w:rsidR="00942443">
        <w:rPr>
          <w:lang w:eastAsia="en-US"/>
        </w:rPr>
        <w:t>service</w:t>
      </w:r>
      <w:r>
        <w:rPr>
          <w:lang w:eastAsia="en-US"/>
        </w:rPr>
        <w:t xml:space="preserve"> was connected and working, </w:t>
      </w:r>
      <w:r w:rsidR="00A27533">
        <w:rPr>
          <w:lang w:eastAsia="en-US"/>
        </w:rPr>
        <w:t>potentially</w:t>
      </w:r>
      <w:r>
        <w:rPr>
          <w:lang w:eastAsia="en-US"/>
        </w:rPr>
        <w:t xml:space="preserve"> </w:t>
      </w:r>
      <w:r w:rsidR="000B3B3C">
        <w:rPr>
          <w:lang w:eastAsia="en-US"/>
        </w:rPr>
        <w:t xml:space="preserve">over an </w:t>
      </w:r>
      <w:r>
        <w:rPr>
          <w:lang w:eastAsia="en-US"/>
        </w:rPr>
        <w:t>extend</w:t>
      </w:r>
      <w:r w:rsidR="000B3B3C">
        <w:rPr>
          <w:lang w:eastAsia="en-US"/>
        </w:rPr>
        <w:t>ed</w:t>
      </w:r>
      <w:r>
        <w:rPr>
          <w:lang w:eastAsia="en-US"/>
        </w:rPr>
        <w:t xml:space="preserve"> transition period.</w:t>
      </w:r>
    </w:p>
    <w:p w14:paraId="0DECCB45" w14:textId="77777777" w:rsidR="003D77C5" w:rsidRDefault="003D77C5" w:rsidP="009D45AB">
      <w:pPr>
        <w:rPr>
          <w:lang w:eastAsia="en-US"/>
        </w:rPr>
      </w:pPr>
      <w:r>
        <w:rPr>
          <w:lang w:eastAsia="en-US"/>
        </w:rPr>
        <w:lastRenderedPageBreak/>
        <w:t xml:space="preserve">Where providing a service to a remote consumer meant that the consumer would face what was more than the generally available price, for example, because additional equipment was required, or </w:t>
      </w:r>
      <w:r w:rsidR="00AF275C">
        <w:rPr>
          <w:lang w:eastAsia="en-US"/>
        </w:rPr>
        <w:t xml:space="preserve">satellite </w:t>
      </w:r>
      <w:r>
        <w:rPr>
          <w:lang w:eastAsia="en-US"/>
        </w:rPr>
        <w:t>usage cost</w:t>
      </w:r>
      <w:r w:rsidR="000B3B3C">
        <w:rPr>
          <w:lang w:eastAsia="en-US"/>
        </w:rPr>
        <w:t>s</w:t>
      </w:r>
      <w:r>
        <w:rPr>
          <w:lang w:eastAsia="en-US"/>
        </w:rPr>
        <w:t xml:space="preserve"> were high, those prices would need to be subsidised</w:t>
      </w:r>
      <w:r w:rsidR="00F92CB4">
        <w:rPr>
          <w:lang w:eastAsia="en-US"/>
        </w:rPr>
        <w:t xml:space="preserve"> so they were in line with prices generally available across Australia</w:t>
      </w:r>
      <w:r>
        <w:rPr>
          <w:lang w:eastAsia="en-US"/>
        </w:rPr>
        <w:t>.</w:t>
      </w:r>
    </w:p>
    <w:p w14:paraId="0DECCB46" w14:textId="77777777" w:rsidR="004F0E21" w:rsidRDefault="003D77C5" w:rsidP="009D45AB">
      <w:pPr>
        <w:rPr>
          <w:lang w:eastAsia="en-US"/>
        </w:rPr>
      </w:pPr>
      <w:r>
        <w:rPr>
          <w:lang w:eastAsia="en-US"/>
        </w:rPr>
        <w:t xml:space="preserve">We envisage service providers would meet </w:t>
      </w:r>
      <w:r w:rsidR="00942443">
        <w:rPr>
          <w:lang w:eastAsia="en-US"/>
        </w:rPr>
        <w:t xml:space="preserve">installation </w:t>
      </w:r>
      <w:r>
        <w:rPr>
          <w:lang w:eastAsia="en-US"/>
        </w:rPr>
        <w:t xml:space="preserve">costs in the first instance, and </w:t>
      </w:r>
      <w:r w:rsidR="00942443">
        <w:rPr>
          <w:lang w:eastAsia="en-US"/>
        </w:rPr>
        <w:t xml:space="preserve">could </w:t>
      </w:r>
      <w:r>
        <w:rPr>
          <w:lang w:eastAsia="en-US"/>
        </w:rPr>
        <w:t xml:space="preserve">be entitled to subsidies as a result. The subsidies </w:t>
      </w:r>
      <w:r w:rsidR="00942443">
        <w:rPr>
          <w:lang w:eastAsia="en-US"/>
        </w:rPr>
        <w:t xml:space="preserve">could </w:t>
      </w:r>
      <w:r>
        <w:rPr>
          <w:lang w:eastAsia="en-US"/>
        </w:rPr>
        <w:t>be reflective of the difference between the cost of supply and the</w:t>
      </w:r>
      <w:r w:rsidRPr="003D77C5">
        <w:rPr>
          <w:lang w:eastAsia="en-US"/>
        </w:rPr>
        <w:t xml:space="preserve"> </w:t>
      </w:r>
      <w:r>
        <w:rPr>
          <w:lang w:eastAsia="en-US"/>
        </w:rPr>
        <w:t>generally available price</w:t>
      </w:r>
      <w:r w:rsidR="00F131F8">
        <w:rPr>
          <w:lang w:eastAsia="en-US"/>
        </w:rPr>
        <w:t xml:space="preserve"> payable by consumers</w:t>
      </w:r>
      <w:r>
        <w:rPr>
          <w:lang w:eastAsia="en-US"/>
        </w:rPr>
        <w:t xml:space="preserve">. </w:t>
      </w:r>
      <w:r w:rsidR="004F0E21">
        <w:rPr>
          <w:lang w:eastAsia="en-US"/>
        </w:rPr>
        <w:t>We envisage subsidies would be capped to reflect reasonable costs of supply and to prevent gold-plating at the taxpayers</w:t>
      </w:r>
      <w:r w:rsidR="00F92CB4">
        <w:rPr>
          <w:lang w:eastAsia="en-US"/>
        </w:rPr>
        <w:t>’</w:t>
      </w:r>
      <w:r w:rsidR="004F0E21">
        <w:rPr>
          <w:lang w:eastAsia="en-US"/>
        </w:rPr>
        <w:t xml:space="preserve"> expense. We would expect subsidies would be aggregated and invoiced to </w:t>
      </w:r>
      <w:r w:rsidR="00F92CB4">
        <w:rPr>
          <w:lang w:eastAsia="en-US"/>
        </w:rPr>
        <w:t xml:space="preserve">the Commonwealth </w:t>
      </w:r>
      <w:r w:rsidR="004F0E21">
        <w:rPr>
          <w:lang w:eastAsia="en-US"/>
        </w:rPr>
        <w:t xml:space="preserve">periodically. </w:t>
      </w:r>
      <w:r w:rsidR="000B3B3C">
        <w:rPr>
          <w:lang w:eastAsia="en-US"/>
        </w:rPr>
        <w:t xml:space="preserve">There would be appropriate fraud prevention mechanisms. </w:t>
      </w:r>
      <w:r w:rsidR="004F0E21">
        <w:rPr>
          <w:lang w:eastAsia="en-US"/>
        </w:rPr>
        <w:t xml:space="preserve">In the first instance, we expect funding would be on a similar basis to current USO funding arrangements. </w:t>
      </w:r>
      <w:r>
        <w:rPr>
          <w:lang w:eastAsia="en-US"/>
        </w:rPr>
        <w:t xml:space="preserve"> </w:t>
      </w:r>
    </w:p>
    <w:p w14:paraId="0DECCB47" w14:textId="77777777" w:rsidR="003F5892" w:rsidRDefault="0037449F" w:rsidP="009D45AB">
      <w:pPr>
        <w:rPr>
          <w:lang w:eastAsia="en-US"/>
        </w:rPr>
      </w:pPr>
      <w:r>
        <w:rPr>
          <w:lang w:eastAsia="en-US"/>
        </w:rPr>
        <w:t xml:space="preserve">Another approach would be to tender for the supply of services on a </w:t>
      </w:r>
      <w:r w:rsidR="000B3B3C">
        <w:rPr>
          <w:lang w:eastAsia="en-US"/>
        </w:rPr>
        <w:t>per</w:t>
      </w:r>
      <w:r w:rsidR="00AC76FF">
        <w:rPr>
          <w:lang w:eastAsia="en-US"/>
        </w:rPr>
        <w:t>-</w:t>
      </w:r>
      <w:r w:rsidR="000B3B3C">
        <w:rPr>
          <w:lang w:eastAsia="en-US"/>
        </w:rPr>
        <w:t xml:space="preserve">area and/or </w:t>
      </w:r>
      <w:r>
        <w:rPr>
          <w:lang w:eastAsia="en-US"/>
        </w:rPr>
        <w:t>per</w:t>
      </w:r>
      <w:r w:rsidR="00B56FDE">
        <w:rPr>
          <w:lang w:eastAsia="en-US"/>
        </w:rPr>
        <w:t>-technology</w:t>
      </w:r>
      <w:r>
        <w:rPr>
          <w:lang w:eastAsia="en-US"/>
        </w:rPr>
        <w:t xml:space="preserve"> basis, for example, </w:t>
      </w:r>
      <w:r w:rsidR="00F92CB4">
        <w:rPr>
          <w:lang w:eastAsia="en-US"/>
        </w:rPr>
        <w:t>for the supply of services in a particular region or the supply of satellite services nationally. This might be done to provide economies of scale for suppliers</w:t>
      </w:r>
      <w:r w:rsidR="000A659A">
        <w:rPr>
          <w:lang w:eastAsia="en-US"/>
        </w:rPr>
        <w:t>, clarity for consumers and</w:t>
      </w:r>
      <w:r w:rsidR="00F92CB4">
        <w:rPr>
          <w:lang w:eastAsia="en-US"/>
        </w:rPr>
        <w:t xml:space="preserve"> to reduce administrative costs. For example, offering and managing a contract for an extended service area may involve less administrative costs than operating a per-service scheme. </w:t>
      </w:r>
      <w:r>
        <w:rPr>
          <w:lang w:eastAsia="en-US"/>
        </w:rPr>
        <w:t xml:space="preserve">Generally we see this </w:t>
      </w:r>
      <w:r w:rsidR="00A27533">
        <w:rPr>
          <w:lang w:eastAsia="en-US"/>
        </w:rPr>
        <w:t>option</w:t>
      </w:r>
      <w:r>
        <w:rPr>
          <w:lang w:eastAsia="en-US"/>
        </w:rPr>
        <w:t xml:space="preserve"> as less </w:t>
      </w:r>
      <w:r w:rsidR="00A27533">
        <w:rPr>
          <w:lang w:eastAsia="en-US"/>
        </w:rPr>
        <w:t>attractive</w:t>
      </w:r>
      <w:r>
        <w:rPr>
          <w:lang w:eastAsia="en-US"/>
        </w:rPr>
        <w:t xml:space="preserve"> as it would reduce </w:t>
      </w:r>
      <w:r w:rsidR="00A27533">
        <w:rPr>
          <w:lang w:eastAsia="en-US"/>
        </w:rPr>
        <w:t>consumers’</w:t>
      </w:r>
      <w:r>
        <w:rPr>
          <w:lang w:eastAsia="en-US"/>
        </w:rPr>
        <w:t xml:space="preserve"> choice and dynamic </w:t>
      </w:r>
      <w:r w:rsidR="00A27533">
        <w:rPr>
          <w:lang w:eastAsia="en-US"/>
        </w:rPr>
        <w:t>competition</w:t>
      </w:r>
      <w:r>
        <w:rPr>
          <w:lang w:eastAsia="en-US"/>
        </w:rPr>
        <w:t xml:space="preserve">. However, we also </w:t>
      </w:r>
      <w:r w:rsidR="00A27533">
        <w:rPr>
          <w:lang w:eastAsia="en-US"/>
        </w:rPr>
        <w:t>recognise</w:t>
      </w:r>
      <w:r>
        <w:rPr>
          <w:lang w:eastAsia="en-US"/>
        </w:rPr>
        <w:t xml:space="preserve"> it may be necessary to </w:t>
      </w:r>
      <w:r w:rsidR="00A27533">
        <w:rPr>
          <w:lang w:eastAsia="en-US"/>
        </w:rPr>
        <w:t>ensure</w:t>
      </w:r>
      <w:r>
        <w:rPr>
          <w:lang w:eastAsia="en-US"/>
        </w:rPr>
        <w:t xml:space="preserve"> services are </w:t>
      </w:r>
      <w:r w:rsidR="00A27533">
        <w:rPr>
          <w:lang w:eastAsia="en-US"/>
        </w:rPr>
        <w:t>available</w:t>
      </w:r>
      <w:r>
        <w:rPr>
          <w:lang w:eastAsia="en-US"/>
        </w:rPr>
        <w:t xml:space="preserve"> in an area and it may be more </w:t>
      </w:r>
      <w:r w:rsidR="00A27533">
        <w:rPr>
          <w:lang w:eastAsia="en-US"/>
        </w:rPr>
        <w:t>efficient</w:t>
      </w:r>
      <w:r>
        <w:rPr>
          <w:lang w:eastAsia="en-US"/>
        </w:rPr>
        <w:t xml:space="preserve"> to administer than a per</w:t>
      </w:r>
      <w:r w:rsidR="00B56FDE">
        <w:rPr>
          <w:lang w:eastAsia="en-US"/>
        </w:rPr>
        <w:t>-</w:t>
      </w:r>
      <w:r w:rsidR="00A27533">
        <w:rPr>
          <w:lang w:eastAsia="en-US"/>
        </w:rPr>
        <w:t>service</w:t>
      </w:r>
      <w:r>
        <w:rPr>
          <w:lang w:eastAsia="en-US"/>
        </w:rPr>
        <w:t xml:space="preserve"> scheme. </w:t>
      </w:r>
    </w:p>
    <w:p w14:paraId="0DECCB48" w14:textId="77777777" w:rsidR="003F5892" w:rsidRPr="009D45AB" w:rsidRDefault="0037449F" w:rsidP="009D45AB">
      <w:pPr>
        <w:rPr>
          <w:lang w:eastAsia="en-US"/>
        </w:rPr>
      </w:pPr>
      <w:r>
        <w:rPr>
          <w:lang w:eastAsia="en-US"/>
        </w:rPr>
        <w:t xml:space="preserve">These models would need to be developed further in the event the </w:t>
      </w:r>
      <w:r w:rsidR="00571A58">
        <w:rPr>
          <w:lang w:eastAsia="en-US"/>
        </w:rPr>
        <w:t>G</w:t>
      </w:r>
      <w:r>
        <w:rPr>
          <w:lang w:eastAsia="en-US"/>
        </w:rPr>
        <w:t xml:space="preserve">overnment </w:t>
      </w:r>
      <w:r w:rsidR="00B56FDE">
        <w:rPr>
          <w:lang w:eastAsia="en-US"/>
        </w:rPr>
        <w:t>decide</w:t>
      </w:r>
      <w:r w:rsidR="00F92CB4">
        <w:rPr>
          <w:lang w:eastAsia="en-US"/>
        </w:rPr>
        <w:t>s to move in this direction.</w:t>
      </w:r>
      <w:r>
        <w:rPr>
          <w:lang w:eastAsia="en-US"/>
        </w:rPr>
        <w:t xml:space="preserve"> </w:t>
      </w:r>
    </w:p>
    <w:p w14:paraId="0DECCB49" w14:textId="77777777" w:rsidR="003F5892" w:rsidRDefault="003F5892" w:rsidP="009D45AB">
      <w:pPr>
        <w:pStyle w:val="Heading3"/>
      </w:pPr>
      <w:bookmarkStart w:id="76" w:name="_Toc529783735"/>
      <w:r>
        <w:t>Potential legislative and regulatory change</w:t>
      </w:r>
      <w:bookmarkEnd w:id="76"/>
    </w:p>
    <w:p w14:paraId="0DECCB4A" w14:textId="77777777" w:rsidR="00B156A4" w:rsidRDefault="00B156A4" w:rsidP="009D45AB">
      <w:pPr>
        <w:rPr>
          <w:lang w:eastAsia="en-US"/>
        </w:rPr>
      </w:pPr>
      <w:r>
        <w:rPr>
          <w:lang w:eastAsia="en-US"/>
        </w:rPr>
        <w:t xml:space="preserve">As part of </w:t>
      </w:r>
      <w:r w:rsidR="000A659A">
        <w:rPr>
          <w:lang w:eastAsia="en-US"/>
        </w:rPr>
        <w:t xml:space="preserve">our </w:t>
      </w:r>
      <w:r>
        <w:rPr>
          <w:lang w:eastAsia="en-US"/>
        </w:rPr>
        <w:t xml:space="preserve">work, </w:t>
      </w:r>
      <w:r w:rsidR="0087520C">
        <w:rPr>
          <w:lang w:eastAsia="en-US"/>
        </w:rPr>
        <w:t>we</w:t>
      </w:r>
      <w:r>
        <w:rPr>
          <w:lang w:eastAsia="en-US"/>
        </w:rPr>
        <w:t xml:space="preserve"> </w:t>
      </w:r>
      <w:r w:rsidR="00B56FDE">
        <w:rPr>
          <w:lang w:eastAsia="en-US"/>
        </w:rPr>
        <w:t xml:space="preserve">also </w:t>
      </w:r>
      <w:r>
        <w:rPr>
          <w:lang w:eastAsia="en-US"/>
        </w:rPr>
        <w:t>gave consideration to possible legislative and regulatory change</w:t>
      </w:r>
      <w:r w:rsidR="0068034C">
        <w:rPr>
          <w:lang w:eastAsia="en-US"/>
        </w:rPr>
        <w:t>s</w:t>
      </w:r>
      <w:r>
        <w:rPr>
          <w:lang w:eastAsia="en-US"/>
        </w:rPr>
        <w:t xml:space="preserve"> to implement a new USG. Again, the exact fo</w:t>
      </w:r>
      <w:r w:rsidR="00B56FDE">
        <w:rPr>
          <w:lang w:eastAsia="en-US"/>
        </w:rPr>
        <w:t>r</w:t>
      </w:r>
      <w:r>
        <w:rPr>
          <w:lang w:eastAsia="en-US"/>
        </w:rPr>
        <w:t xml:space="preserve">m of such measures </w:t>
      </w:r>
      <w:r w:rsidR="00B56FDE">
        <w:rPr>
          <w:lang w:eastAsia="en-US"/>
        </w:rPr>
        <w:t xml:space="preserve">would </w:t>
      </w:r>
      <w:r>
        <w:rPr>
          <w:lang w:eastAsia="en-US"/>
        </w:rPr>
        <w:t>depend on th</w:t>
      </w:r>
      <w:r w:rsidR="00B56FDE">
        <w:rPr>
          <w:lang w:eastAsia="en-US"/>
        </w:rPr>
        <w:t>e</w:t>
      </w:r>
      <w:r>
        <w:rPr>
          <w:lang w:eastAsia="en-US"/>
        </w:rPr>
        <w:t xml:space="preserve"> </w:t>
      </w:r>
      <w:r w:rsidR="002A3EBA">
        <w:rPr>
          <w:lang w:eastAsia="en-US"/>
        </w:rPr>
        <w:t>Government’s</w:t>
      </w:r>
      <w:r>
        <w:rPr>
          <w:lang w:eastAsia="en-US"/>
        </w:rPr>
        <w:t xml:space="preserve"> ultimate </w:t>
      </w:r>
      <w:r w:rsidR="002A3EBA">
        <w:rPr>
          <w:lang w:eastAsia="en-US"/>
        </w:rPr>
        <w:t>decision</w:t>
      </w:r>
      <w:r>
        <w:rPr>
          <w:lang w:eastAsia="en-US"/>
        </w:rPr>
        <w:t xml:space="preserve"> and so this work has been limited in </w:t>
      </w:r>
      <w:r w:rsidRPr="00611908">
        <w:rPr>
          <w:lang w:eastAsia="en-US"/>
        </w:rPr>
        <w:t xml:space="preserve">nature. </w:t>
      </w:r>
      <w:r w:rsidRPr="00E671EE">
        <w:rPr>
          <w:lang w:eastAsia="en-US"/>
        </w:rPr>
        <w:t xml:space="preserve">As has been noted above, </w:t>
      </w:r>
      <w:r w:rsidR="00B12DB2" w:rsidRPr="00E671EE">
        <w:rPr>
          <w:lang w:eastAsia="en-US"/>
        </w:rPr>
        <w:t>any change</w:t>
      </w:r>
      <w:r w:rsidR="0068034C">
        <w:rPr>
          <w:lang w:eastAsia="en-US"/>
        </w:rPr>
        <w:t>s</w:t>
      </w:r>
      <w:r w:rsidR="00B12DB2" w:rsidRPr="00E671EE">
        <w:rPr>
          <w:lang w:eastAsia="en-US"/>
        </w:rPr>
        <w:t xml:space="preserve"> to </w:t>
      </w:r>
      <w:r w:rsidR="00C00ED6">
        <w:rPr>
          <w:lang w:eastAsia="en-US"/>
        </w:rPr>
        <w:t xml:space="preserve">the </w:t>
      </w:r>
      <w:r w:rsidR="00B12DB2" w:rsidRPr="00E671EE">
        <w:rPr>
          <w:lang w:eastAsia="en-US"/>
        </w:rPr>
        <w:t xml:space="preserve">existing arrangement will need to be considered in the context </w:t>
      </w:r>
      <w:r w:rsidRPr="00E671EE">
        <w:rPr>
          <w:lang w:eastAsia="en-US"/>
        </w:rPr>
        <w:t>of the current USO contract with Telstra.</w:t>
      </w:r>
      <w:r w:rsidR="00B12DB2" w:rsidRPr="00611908">
        <w:rPr>
          <w:lang w:eastAsia="en-US"/>
        </w:rPr>
        <w:t xml:space="preserve"> If there was a move away from the current USO, termination</w:t>
      </w:r>
      <w:r w:rsidR="00B12DB2">
        <w:rPr>
          <w:lang w:eastAsia="en-US"/>
        </w:rPr>
        <w:t xml:space="preserve"> </w:t>
      </w:r>
      <w:r w:rsidR="00975DF2">
        <w:rPr>
          <w:lang w:eastAsia="en-US"/>
        </w:rPr>
        <w:t xml:space="preserve">on a valid basis </w:t>
      </w:r>
      <w:r w:rsidR="00B12DB2">
        <w:rPr>
          <w:lang w:eastAsia="en-US"/>
        </w:rPr>
        <w:t>or significant amendment of the USO contract with Telstra would be required.</w:t>
      </w:r>
    </w:p>
    <w:p w14:paraId="0DECCB4B" w14:textId="77777777" w:rsidR="00B156A4" w:rsidRDefault="00B156A4" w:rsidP="009D45AB">
      <w:pPr>
        <w:rPr>
          <w:lang w:eastAsia="en-US"/>
        </w:rPr>
      </w:pPr>
      <w:r>
        <w:rPr>
          <w:lang w:eastAsia="en-US"/>
        </w:rPr>
        <w:t xml:space="preserve">The broadband component of the USG would be implemented through the enactment of the </w:t>
      </w:r>
      <w:r w:rsidR="00AC76FF">
        <w:rPr>
          <w:lang w:eastAsia="en-US"/>
        </w:rPr>
        <w:t>SIP</w:t>
      </w:r>
      <w:r>
        <w:rPr>
          <w:lang w:eastAsia="en-US"/>
        </w:rPr>
        <w:t xml:space="preserve"> legislation currently in the Parliament.</w:t>
      </w:r>
    </w:p>
    <w:p w14:paraId="0DECCB4C" w14:textId="77777777" w:rsidR="00803DDA" w:rsidRDefault="000B3B3C" w:rsidP="009D45AB">
      <w:pPr>
        <w:rPr>
          <w:lang w:eastAsia="en-US"/>
        </w:rPr>
      </w:pPr>
      <w:r>
        <w:rPr>
          <w:lang w:eastAsia="en-US"/>
        </w:rPr>
        <w:t>L</w:t>
      </w:r>
      <w:r w:rsidR="00B156A4">
        <w:rPr>
          <w:lang w:eastAsia="en-US"/>
        </w:rPr>
        <w:t xml:space="preserve">egislative </w:t>
      </w:r>
      <w:r w:rsidR="00B12DB2">
        <w:rPr>
          <w:lang w:eastAsia="en-US"/>
        </w:rPr>
        <w:t xml:space="preserve">reform </w:t>
      </w:r>
      <w:r>
        <w:rPr>
          <w:lang w:eastAsia="en-US"/>
        </w:rPr>
        <w:t xml:space="preserve">may </w:t>
      </w:r>
      <w:r w:rsidR="00B12DB2">
        <w:rPr>
          <w:lang w:eastAsia="en-US"/>
        </w:rPr>
        <w:t>also be needed</w:t>
      </w:r>
      <w:r w:rsidR="000A659A">
        <w:rPr>
          <w:lang w:eastAsia="en-US"/>
        </w:rPr>
        <w:t xml:space="preserve"> in relation to voice and payphone services</w:t>
      </w:r>
      <w:r w:rsidR="00B156A4">
        <w:rPr>
          <w:lang w:eastAsia="en-US"/>
        </w:rPr>
        <w:t xml:space="preserve">. The general </w:t>
      </w:r>
      <w:r w:rsidR="00803DDA">
        <w:rPr>
          <w:lang w:eastAsia="en-US"/>
        </w:rPr>
        <w:t>approach</w:t>
      </w:r>
      <w:r w:rsidR="00B156A4">
        <w:rPr>
          <w:lang w:eastAsia="en-US"/>
        </w:rPr>
        <w:t xml:space="preserve"> would be to remove most of the detailed legislation </w:t>
      </w:r>
      <w:r w:rsidR="00803DDA">
        <w:rPr>
          <w:lang w:eastAsia="en-US"/>
        </w:rPr>
        <w:t>concerning the</w:t>
      </w:r>
      <w:r w:rsidR="000A659A">
        <w:rPr>
          <w:lang w:eastAsia="en-US"/>
        </w:rPr>
        <w:t xml:space="preserve">se </w:t>
      </w:r>
      <w:r w:rsidR="00803DDA">
        <w:rPr>
          <w:lang w:eastAsia="en-US"/>
        </w:rPr>
        <w:t xml:space="preserve">services </w:t>
      </w:r>
      <w:r w:rsidR="00975DF2">
        <w:rPr>
          <w:lang w:eastAsia="en-US"/>
        </w:rPr>
        <w:t xml:space="preserve">where possible </w:t>
      </w:r>
      <w:r w:rsidR="00803DDA">
        <w:rPr>
          <w:lang w:eastAsia="en-US"/>
        </w:rPr>
        <w:t xml:space="preserve">and replace it </w:t>
      </w:r>
      <w:r w:rsidR="002A3EBA">
        <w:rPr>
          <w:lang w:eastAsia="en-US"/>
        </w:rPr>
        <w:t>with</w:t>
      </w:r>
      <w:r w:rsidR="00803DDA">
        <w:rPr>
          <w:lang w:eastAsia="en-US"/>
        </w:rPr>
        <w:t xml:space="preserve"> </w:t>
      </w:r>
      <w:r w:rsidR="002A3EBA">
        <w:rPr>
          <w:lang w:eastAsia="en-US"/>
        </w:rPr>
        <w:t>legislation</w:t>
      </w:r>
      <w:r w:rsidR="00803DDA">
        <w:rPr>
          <w:lang w:eastAsia="en-US"/>
        </w:rPr>
        <w:t xml:space="preserve"> requiring the Commonwealth to ensure there was access to </w:t>
      </w:r>
      <w:r w:rsidR="002A3EBA">
        <w:rPr>
          <w:lang w:eastAsia="en-US"/>
        </w:rPr>
        <w:t>services</w:t>
      </w:r>
      <w:r w:rsidR="00803DDA">
        <w:rPr>
          <w:lang w:eastAsia="en-US"/>
        </w:rPr>
        <w:t xml:space="preserve"> of </w:t>
      </w:r>
      <w:r w:rsidR="00B12DB2">
        <w:rPr>
          <w:lang w:eastAsia="en-US"/>
        </w:rPr>
        <w:t xml:space="preserve">a </w:t>
      </w:r>
      <w:r w:rsidR="00803DDA">
        <w:rPr>
          <w:lang w:eastAsia="en-US"/>
        </w:rPr>
        <w:t>specified nature</w:t>
      </w:r>
      <w:r w:rsidR="00B12DB2">
        <w:rPr>
          <w:lang w:eastAsia="en-US"/>
        </w:rPr>
        <w:t>,</w:t>
      </w:r>
      <w:r w:rsidR="00803DDA">
        <w:rPr>
          <w:lang w:eastAsia="en-US"/>
        </w:rPr>
        <w:t xml:space="preserve"> or to ensure there were measures in place to do this. If such </w:t>
      </w:r>
      <w:r w:rsidR="00B12DB2">
        <w:rPr>
          <w:lang w:eastAsia="en-US"/>
        </w:rPr>
        <w:t>service</w:t>
      </w:r>
      <w:r w:rsidR="0068034C">
        <w:rPr>
          <w:lang w:eastAsia="en-US"/>
        </w:rPr>
        <w:t>s</w:t>
      </w:r>
      <w:r w:rsidR="00803DDA">
        <w:rPr>
          <w:lang w:eastAsia="en-US"/>
        </w:rPr>
        <w:t xml:space="preserve"> were available, the requirement on the Commonwealth would be taken to have been fulfilled. </w:t>
      </w:r>
    </w:p>
    <w:p w14:paraId="0DECCB4D" w14:textId="77777777" w:rsidR="00803DDA" w:rsidRDefault="00803DDA" w:rsidP="009D45AB">
      <w:pPr>
        <w:rPr>
          <w:lang w:eastAsia="en-US"/>
        </w:rPr>
      </w:pPr>
      <w:r>
        <w:rPr>
          <w:lang w:eastAsia="en-US"/>
        </w:rPr>
        <w:t xml:space="preserve">In the case of payphones, their provision is governed by extensive regulation made by the Minister </w:t>
      </w:r>
      <w:r w:rsidR="0068034C">
        <w:rPr>
          <w:lang w:eastAsia="en-US"/>
        </w:rPr>
        <w:t xml:space="preserve">for Communications </w:t>
      </w:r>
      <w:r>
        <w:rPr>
          <w:lang w:eastAsia="en-US"/>
        </w:rPr>
        <w:t xml:space="preserve">and the ACMA. </w:t>
      </w:r>
      <w:r w:rsidR="00BF5BB4">
        <w:rPr>
          <w:lang w:eastAsia="en-US"/>
        </w:rPr>
        <w:t>In the absence of other changes, t</w:t>
      </w:r>
      <w:r>
        <w:rPr>
          <w:lang w:eastAsia="en-US"/>
        </w:rPr>
        <w:t>his regulation would need to be amended. The nature of the changes would depend on the exact changes to payphone requirement</w:t>
      </w:r>
      <w:r w:rsidR="00F131F8">
        <w:rPr>
          <w:lang w:eastAsia="en-US"/>
        </w:rPr>
        <w:t>s</w:t>
      </w:r>
      <w:r w:rsidR="00BF5BB4">
        <w:rPr>
          <w:lang w:eastAsia="en-US"/>
        </w:rPr>
        <w:t>.</w:t>
      </w:r>
    </w:p>
    <w:p w14:paraId="0DECCB4E" w14:textId="77777777" w:rsidR="00BF5BB4" w:rsidRDefault="00BF5BB4" w:rsidP="009D45AB">
      <w:pPr>
        <w:rPr>
          <w:lang w:eastAsia="en-US"/>
        </w:rPr>
      </w:pPr>
      <w:r>
        <w:rPr>
          <w:lang w:eastAsia="en-US"/>
        </w:rPr>
        <w:t>Current funding arrangements could continue in place for the time being to support such arrangements.</w:t>
      </w:r>
    </w:p>
    <w:p w14:paraId="0DECCB4F" w14:textId="77777777" w:rsidR="00A51CC7" w:rsidRDefault="003F5892" w:rsidP="009D45AB">
      <w:pPr>
        <w:pStyle w:val="Heading3"/>
      </w:pPr>
      <w:bookmarkStart w:id="77" w:name="_Toc529783736"/>
      <w:r>
        <w:lastRenderedPageBreak/>
        <w:t>Likely evolution of the current market place absent further intervention</w:t>
      </w:r>
      <w:bookmarkEnd w:id="77"/>
    </w:p>
    <w:p w14:paraId="0DECCB50" w14:textId="77777777" w:rsidR="003F5892" w:rsidRDefault="007A07E7" w:rsidP="009D45AB">
      <w:pPr>
        <w:rPr>
          <w:lang w:eastAsia="en-US"/>
        </w:rPr>
      </w:pPr>
      <w:r>
        <w:rPr>
          <w:lang w:eastAsia="en-US"/>
        </w:rPr>
        <w:t xml:space="preserve">To help understand the best way forward with the USG, </w:t>
      </w:r>
      <w:r w:rsidR="0087520C">
        <w:rPr>
          <w:lang w:eastAsia="en-US"/>
        </w:rPr>
        <w:t xml:space="preserve">we </w:t>
      </w:r>
      <w:r>
        <w:rPr>
          <w:lang w:eastAsia="en-US"/>
        </w:rPr>
        <w:t xml:space="preserve">also considered how the market </w:t>
      </w:r>
      <w:r w:rsidR="0019174B">
        <w:rPr>
          <w:lang w:eastAsia="en-US"/>
        </w:rPr>
        <w:t>may</w:t>
      </w:r>
      <w:r>
        <w:rPr>
          <w:lang w:eastAsia="en-US"/>
        </w:rPr>
        <w:t xml:space="preserve"> evolve in the absence of further intervention. </w:t>
      </w:r>
      <w:r w:rsidR="0022554C">
        <w:rPr>
          <w:lang w:eastAsia="en-US"/>
        </w:rPr>
        <w:t xml:space="preserve">The </w:t>
      </w:r>
      <w:r>
        <w:rPr>
          <w:lang w:eastAsia="en-US"/>
        </w:rPr>
        <w:t>costing work has been an important part of this consideration</w:t>
      </w:r>
      <w:r w:rsidR="00AC76FF">
        <w:rPr>
          <w:lang w:eastAsia="en-US"/>
        </w:rPr>
        <w:t>,</w:t>
      </w:r>
      <w:r>
        <w:rPr>
          <w:lang w:eastAsia="en-US"/>
        </w:rPr>
        <w:t xml:space="preserve"> as costs are clearly a key driver for Telstra and the wider industry.</w:t>
      </w:r>
    </w:p>
    <w:p w14:paraId="0DECCB51" w14:textId="77777777" w:rsidR="007A07E7" w:rsidRDefault="0042462E" w:rsidP="009D45AB">
      <w:pPr>
        <w:rPr>
          <w:lang w:eastAsia="en-US"/>
        </w:rPr>
      </w:pPr>
      <w:r>
        <w:rPr>
          <w:lang w:eastAsia="en-US"/>
        </w:rPr>
        <w:t xml:space="preserve">Telstra has indicated publicly that it </w:t>
      </w:r>
      <w:r w:rsidR="000B3B3C">
        <w:rPr>
          <w:lang w:eastAsia="en-US"/>
        </w:rPr>
        <w:t xml:space="preserve">is open to renegotiation </w:t>
      </w:r>
      <w:r w:rsidR="00BF5BB4">
        <w:rPr>
          <w:lang w:eastAsia="en-US"/>
        </w:rPr>
        <w:t xml:space="preserve">of the USO contract but equally that it accepts it has a contract </w:t>
      </w:r>
      <w:r w:rsidR="009D64AA">
        <w:rPr>
          <w:lang w:eastAsia="en-US"/>
        </w:rPr>
        <w:t xml:space="preserve">which it will </w:t>
      </w:r>
      <w:r>
        <w:rPr>
          <w:lang w:eastAsia="en-US"/>
        </w:rPr>
        <w:t xml:space="preserve">fulfil </w:t>
      </w:r>
      <w:r w:rsidR="00BF5BB4">
        <w:rPr>
          <w:lang w:eastAsia="en-US"/>
        </w:rPr>
        <w:t>in the absence of change</w:t>
      </w:r>
      <w:r>
        <w:rPr>
          <w:lang w:eastAsia="en-US"/>
        </w:rPr>
        <w:t>.</w:t>
      </w:r>
    </w:p>
    <w:p w14:paraId="0DECCB52" w14:textId="77777777" w:rsidR="00BF5BB4" w:rsidRDefault="0042462E" w:rsidP="009D45AB">
      <w:pPr>
        <w:rPr>
          <w:lang w:eastAsia="en-US"/>
        </w:rPr>
      </w:pPr>
      <w:r>
        <w:rPr>
          <w:lang w:eastAsia="en-US"/>
        </w:rPr>
        <w:t xml:space="preserve">However, </w:t>
      </w:r>
      <w:r w:rsidR="00BF5BB4">
        <w:rPr>
          <w:lang w:eastAsia="en-US"/>
        </w:rPr>
        <w:t>we see the marketplace continuing to evolve, often outside the control of Telstra, with this inevitably putting pressure on Telstra and its delivery of services over the copper network.</w:t>
      </w:r>
    </w:p>
    <w:p w14:paraId="0DECCB53" w14:textId="77777777" w:rsidR="00132B60" w:rsidRDefault="00BF5BB4">
      <w:pPr>
        <w:rPr>
          <w:lang w:eastAsia="en-US"/>
        </w:rPr>
      </w:pPr>
      <w:r>
        <w:rPr>
          <w:lang w:eastAsia="en-US"/>
        </w:rPr>
        <w:t xml:space="preserve">Mobile services are </w:t>
      </w:r>
      <w:r w:rsidR="0019174B">
        <w:rPr>
          <w:lang w:eastAsia="en-US"/>
        </w:rPr>
        <w:t>popular</w:t>
      </w:r>
      <w:r>
        <w:rPr>
          <w:lang w:eastAsia="en-US"/>
        </w:rPr>
        <w:t xml:space="preserve"> in rural and remote areas and have high levels of take-up. As indicated above, there is also a growing number of premises, including in regional, rural and remote areas, </w:t>
      </w:r>
      <w:r w:rsidR="0068034C">
        <w:rPr>
          <w:lang w:eastAsia="en-US"/>
        </w:rPr>
        <w:t xml:space="preserve">relying </w:t>
      </w:r>
      <w:r>
        <w:rPr>
          <w:lang w:eastAsia="en-US"/>
        </w:rPr>
        <w:t>solely on mobile for voice. Both these</w:t>
      </w:r>
      <w:r w:rsidR="009D64AA">
        <w:rPr>
          <w:lang w:eastAsia="en-US"/>
        </w:rPr>
        <w:t xml:space="preserve"> trends are set to continue and may accelerate as mobile carriers like Optus and Vodafone increase their regional footprints and the level of competition. Equally, as the NBN becomes fully established in regional areas, it </w:t>
      </w:r>
      <w:r w:rsidR="003C1B5E">
        <w:rPr>
          <w:lang w:eastAsia="en-US"/>
        </w:rPr>
        <w:t>will</w:t>
      </w:r>
      <w:r w:rsidR="009D64AA">
        <w:rPr>
          <w:lang w:eastAsia="en-US"/>
        </w:rPr>
        <w:t xml:space="preserve"> </w:t>
      </w:r>
      <w:r w:rsidR="00975DF2">
        <w:rPr>
          <w:lang w:eastAsia="en-US"/>
        </w:rPr>
        <w:t xml:space="preserve">likely </w:t>
      </w:r>
      <w:r w:rsidR="009D64AA">
        <w:rPr>
          <w:lang w:eastAsia="en-US"/>
        </w:rPr>
        <w:t>also attract customers from the Telstra network. In these instances, consume</w:t>
      </w:r>
      <w:r w:rsidR="003C1B5E">
        <w:rPr>
          <w:lang w:eastAsia="en-US"/>
        </w:rPr>
        <w:t>r</w:t>
      </w:r>
      <w:r w:rsidR="009D64AA">
        <w:rPr>
          <w:lang w:eastAsia="en-US"/>
        </w:rPr>
        <w:t xml:space="preserve">s </w:t>
      </w:r>
      <w:r w:rsidR="00421058">
        <w:rPr>
          <w:lang w:eastAsia="en-US"/>
        </w:rPr>
        <w:t xml:space="preserve">may </w:t>
      </w:r>
      <w:r w:rsidR="003C1B5E">
        <w:rPr>
          <w:lang w:eastAsia="en-US"/>
        </w:rPr>
        <w:t>increasingly ask why they need to pay for multiple fixed services, along with their mobiles. Most likely they will forego a standalone voice connection and rely on mobile and/or VoIP.</w:t>
      </w:r>
      <w:r w:rsidR="00132B60">
        <w:rPr>
          <w:lang w:eastAsia="en-US"/>
        </w:rPr>
        <w:t xml:space="preserve"> This will put ongoing pressure on Telstra in continuing to operate the network.</w:t>
      </w:r>
    </w:p>
    <w:p w14:paraId="0DECCB54" w14:textId="77777777" w:rsidR="007B77E2" w:rsidRPr="00ED2FD2" w:rsidRDefault="00132B60" w:rsidP="009D45AB">
      <w:pPr>
        <w:rPr>
          <w:lang w:eastAsia="en-US"/>
        </w:rPr>
      </w:pPr>
      <w:r>
        <w:rPr>
          <w:lang w:eastAsia="en-US"/>
        </w:rPr>
        <w:t xml:space="preserve">Similar issues will arise in relation to payphones, </w:t>
      </w:r>
      <w:r w:rsidR="007B77E2">
        <w:rPr>
          <w:lang w:eastAsia="en-US"/>
        </w:rPr>
        <w:t xml:space="preserve">noting the significant cost and low returns </w:t>
      </w:r>
      <w:r>
        <w:rPr>
          <w:lang w:eastAsia="en-US"/>
        </w:rPr>
        <w:t>and continuing falling usage.</w:t>
      </w:r>
    </w:p>
    <w:p w14:paraId="0DECCB55" w14:textId="77777777" w:rsidR="003C1B5E" w:rsidRDefault="007B77E2" w:rsidP="009D45AB">
      <w:pPr>
        <w:rPr>
          <w:lang w:eastAsia="en-US"/>
        </w:rPr>
      </w:pPr>
      <w:r w:rsidRPr="00ED2FD2">
        <w:rPr>
          <w:lang w:eastAsia="en-US"/>
        </w:rPr>
        <w:t xml:space="preserve">In this context, we see </w:t>
      </w:r>
      <w:r w:rsidR="0030569B" w:rsidRPr="00ED2FD2">
        <w:rPr>
          <w:lang w:eastAsia="en-US"/>
        </w:rPr>
        <w:t>ongoing</w:t>
      </w:r>
      <w:r w:rsidRPr="00ED2FD2">
        <w:rPr>
          <w:lang w:eastAsia="en-US"/>
        </w:rPr>
        <w:t xml:space="preserve"> pressure</w:t>
      </w:r>
      <w:r w:rsidR="0030569B" w:rsidRPr="00ED2FD2">
        <w:rPr>
          <w:lang w:eastAsia="en-US"/>
        </w:rPr>
        <w:t xml:space="preserve"> </w:t>
      </w:r>
      <w:r w:rsidRPr="00ED2FD2">
        <w:rPr>
          <w:lang w:eastAsia="en-US"/>
        </w:rPr>
        <w:t>for USO reform</w:t>
      </w:r>
      <w:r w:rsidR="00F55C89" w:rsidRPr="00ED2FD2">
        <w:rPr>
          <w:lang w:eastAsia="en-US"/>
        </w:rPr>
        <w:t xml:space="preserve"> from both Telstra and the wider industry</w:t>
      </w:r>
      <w:r w:rsidR="0030569B" w:rsidRPr="00ED2FD2">
        <w:rPr>
          <w:lang w:eastAsia="en-US"/>
        </w:rPr>
        <w:t>, noting a further review is scheduled under the USO contract in 2021</w:t>
      </w:r>
      <w:r w:rsidR="004F0F4D" w:rsidRPr="00ED2FD2">
        <w:rPr>
          <w:lang w:eastAsia="en-US"/>
        </w:rPr>
        <w:t xml:space="preserve">. The contract is also </w:t>
      </w:r>
      <w:r w:rsidR="0030569B" w:rsidRPr="00ED2FD2">
        <w:rPr>
          <w:lang w:eastAsia="en-US"/>
        </w:rPr>
        <w:t xml:space="preserve">set to end in 2032. At this stage </w:t>
      </w:r>
      <w:r w:rsidR="00F131F8">
        <w:rPr>
          <w:lang w:eastAsia="en-US"/>
        </w:rPr>
        <w:t xml:space="preserve">it is not clear that </w:t>
      </w:r>
      <w:r w:rsidR="0030569B" w:rsidRPr="00ED2FD2">
        <w:rPr>
          <w:lang w:eastAsia="en-US"/>
        </w:rPr>
        <w:t>Telstra would want to enter into a contract with a CCO beyond 2032.</w:t>
      </w:r>
    </w:p>
    <w:p w14:paraId="0DECCB56" w14:textId="77777777" w:rsidR="00384C97" w:rsidRDefault="00001FD0" w:rsidP="009D45AB">
      <w:pPr>
        <w:pStyle w:val="Heading3"/>
      </w:pPr>
      <w:bookmarkStart w:id="78" w:name="_Toc529783737"/>
      <w:bookmarkEnd w:id="64"/>
      <w:bookmarkEnd w:id="65"/>
      <w:r>
        <w:t>S</w:t>
      </w:r>
      <w:r w:rsidR="008B7972">
        <w:t>takeholder</w:t>
      </w:r>
      <w:r>
        <w:t xml:space="preserve"> </w:t>
      </w:r>
      <w:r w:rsidR="00632D44">
        <w:t>consultation</w:t>
      </w:r>
      <w:bookmarkEnd w:id="78"/>
    </w:p>
    <w:p w14:paraId="0DECCB57" w14:textId="77777777" w:rsidR="00001FD0" w:rsidRDefault="0087520C" w:rsidP="00384C97">
      <w:pPr>
        <w:spacing w:after="120"/>
      </w:pPr>
      <w:r>
        <w:t>We</w:t>
      </w:r>
      <w:r w:rsidR="00001FD0">
        <w:t xml:space="preserve"> place</w:t>
      </w:r>
      <w:r w:rsidR="006F2307">
        <w:t>d</w:t>
      </w:r>
      <w:r w:rsidR="00001FD0">
        <w:t xml:space="preserve"> a heavy emphasis on </w:t>
      </w:r>
      <w:r w:rsidR="000B3B3C">
        <w:t xml:space="preserve">seeking </w:t>
      </w:r>
      <w:r w:rsidR="00001FD0">
        <w:t xml:space="preserve">the views </w:t>
      </w:r>
      <w:r w:rsidR="006F2307">
        <w:t xml:space="preserve">of </w:t>
      </w:r>
      <w:r w:rsidR="00001FD0">
        <w:t>stakeholders in the USG development process.</w:t>
      </w:r>
      <w:r w:rsidR="00975DF2">
        <w:t xml:space="preserve"> </w:t>
      </w:r>
      <w:r w:rsidR="006F2307">
        <w:t>That said,</w:t>
      </w:r>
      <w:r w:rsidR="00001FD0">
        <w:t xml:space="preserve"> g</w:t>
      </w:r>
      <w:r w:rsidR="00710C86">
        <w:t>iven</w:t>
      </w:r>
      <w:r w:rsidR="00384C97">
        <w:t xml:space="preserve"> the comprehensive </w:t>
      </w:r>
      <w:r w:rsidR="00710C86">
        <w:t xml:space="preserve">consultations undertaken during the </w:t>
      </w:r>
      <w:r w:rsidR="00384C97">
        <w:t>PC</w:t>
      </w:r>
      <w:r w:rsidR="00710C86">
        <w:t xml:space="preserve"> inquiry process</w:t>
      </w:r>
      <w:r w:rsidR="00384C97">
        <w:t xml:space="preserve">, the </w:t>
      </w:r>
      <w:r w:rsidR="005719B4">
        <w:t>department</w:t>
      </w:r>
      <w:r w:rsidR="00384C97">
        <w:t xml:space="preserve"> did not undertake a formal written consultation process. Instead, </w:t>
      </w:r>
      <w:r w:rsidR="00571A58">
        <w:t>we</w:t>
      </w:r>
      <w:r w:rsidR="005719B4">
        <w:t xml:space="preserve"> </w:t>
      </w:r>
      <w:r w:rsidR="00384C97">
        <w:t xml:space="preserve">met with key industry participants, consumer groups and Government organisations. </w:t>
      </w:r>
      <w:r w:rsidR="006F2307">
        <w:t xml:space="preserve">This approach was welcomed by stakeholders. </w:t>
      </w:r>
      <w:r w:rsidR="005719B4">
        <w:t xml:space="preserve">Stakeholders were also able to provide their views directly to the department to our email address as published on our website. </w:t>
      </w:r>
    </w:p>
    <w:p w14:paraId="0DECCB58" w14:textId="77777777" w:rsidR="00001FD0" w:rsidRDefault="005278FB" w:rsidP="00384C97">
      <w:pPr>
        <w:spacing w:after="120"/>
      </w:pPr>
      <w:r>
        <w:t xml:space="preserve">A full list of the </w:t>
      </w:r>
      <w:r w:rsidR="006F2307">
        <w:t xml:space="preserve">stakeholders </w:t>
      </w:r>
      <w:r w:rsidR="000B3B3C">
        <w:t xml:space="preserve">approached </w:t>
      </w:r>
      <w:r>
        <w:t xml:space="preserve">is </w:t>
      </w:r>
      <w:r w:rsidR="0053747D">
        <w:t xml:space="preserve">provided </w:t>
      </w:r>
      <w:r>
        <w:t>at Appendix 1.</w:t>
      </w:r>
    </w:p>
    <w:p w14:paraId="0DECCB59" w14:textId="77777777" w:rsidR="00200616" w:rsidRDefault="00200616" w:rsidP="00200616">
      <w:pPr>
        <w:pStyle w:val="Heading4"/>
      </w:pPr>
      <w:r>
        <w:t>Regional and consumers groups</w:t>
      </w:r>
    </w:p>
    <w:p w14:paraId="0DECCB5A" w14:textId="77777777" w:rsidR="00200616" w:rsidRDefault="0053747D" w:rsidP="00200616">
      <w:r>
        <w:t>We</w:t>
      </w:r>
      <w:r w:rsidR="00200616">
        <w:t xml:space="preserve"> met regularly with members of the </w:t>
      </w:r>
      <w:r w:rsidR="00200616" w:rsidRPr="00801C08">
        <w:t>Regional, Rural and Remote Communications Coalition</w:t>
      </w:r>
      <w:r w:rsidR="00200616">
        <w:t xml:space="preserve"> (RRRCC) and participated in a number of regional forums including the Broadband for the Bush Forum in Darwin</w:t>
      </w:r>
      <w:r w:rsidR="00C02373">
        <w:t>,</w:t>
      </w:r>
      <w:r w:rsidR="00200616">
        <w:t xml:space="preserve"> the annual conference of Isolated Children’s Parents’ Association Queensland in Winton</w:t>
      </w:r>
      <w:r w:rsidR="00C02373">
        <w:t xml:space="preserve"> and the National Isolated Children’s Parents’ Association conference in Canberra</w:t>
      </w:r>
      <w:r w:rsidR="00200616">
        <w:t>. Bilateral meetings were also held with organisations representing Indigenous, homeless and disadvantaged Australians.</w:t>
      </w:r>
      <w:r w:rsidR="00001FD0">
        <w:t xml:space="preserve"> </w:t>
      </w:r>
      <w:r w:rsidR="00EF079D">
        <w:t xml:space="preserve">Views expressed through the </w:t>
      </w:r>
      <w:r w:rsidR="00001FD0">
        <w:t xml:space="preserve">2018 </w:t>
      </w:r>
      <w:r w:rsidR="00446BA7">
        <w:t>RTR</w:t>
      </w:r>
      <w:r w:rsidR="00EF079D">
        <w:t xml:space="preserve">, including </w:t>
      </w:r>
      <w:r w:rsidR="000B3B3C">
        <w:t xml:space="preserve">its </w:t>
      </w:r>
      <w:r w:rsidR="00EF079D">
        <w:t>public consultation process, were also taken into account</w:t>
      </w:r>
      <w:r w:rsidR="00001FD0">
        <w:t>.</w:t>
      </w:r>
    </w:p>
    <w:p w14:paraId="0DECCB5B" w14:textId="77777777" w:rsidR="00A80BD2" w:rsidRDefault="00200616" w:rsidP="00200616">
      <w:pPr>
        <w:spacing w:after="240"/>
      </w:pPr>
      <w:r>
        <w:t>Re</w:t>
      </w:r>
      <w:r w:rsidR="00001FD0">
        <w:t xml:space="preserve">gional, rural and remote </w:t>
      </w:r>
      <w:r>
        <w:t xml:space="preserve">stakeholders </w:t>
      </w:r>
      <w:r w:rsidR="00001FD0">
        <w:t>emphasised</w:t>
      </w:r>
      <w:r>
        <w:t xml:space="preserve"> their need for reliable, high-quality</w:t>
      </w:r>
      <w:r w:rsidR="00526E0A">
        <w:t>, affordable</w:t>
      </w:r>
      <w:r>
        <w:t xml:space="preserve"> voice and broadband services. </w:t>
      </w:r>
      <w:r w:rsidR="000B3B3C">
        <w:t xml:space="preserve">This included the need for robust voice quality and reliability standards. </w:t>
      </w:r>
      <w:r>
        <w:t xml:space="preserve">Most saw Telstra’s copper network as a trustworthy and proven network, and were concerned with the prospect of Telstra shutting down its copper services. </w:t>
      </w:r>
      <w:r w:rsidR="00DA3A4F">
        <w:t>Some also expressed concern about Telstra’s HCRC system reaching the end of its serviceable life. The ICPA also emphasised the importance of these service</w:t>
      </w:r>
      <w:r w:rsidR="00C00ED6">
        <w:t>s</w:t>
      </w:r>
      <w:r w:rsidR="00DA3A4F">
        <w:t xml:space="preserve"> to distance education.  </w:t>
      </w:r>
    </w:p>
    <w:p w14:paraId="0DECCB5C" w14:textId="77777777" w:rsidR="00001FD0" w:rsidRDefault="00DA3A4F" w:rsidP="00200616">
      <w:pPr>
        <w:spacing w:after="240"/>
      </w:pPr>
      <w:r>
        <w:lastRenderedPageBreak/>
        <w:t>R</w:t>
      </w:r>
      <w:r w:rsidR="00200616">
        <w:t>egional stakeholders</w:t>
      </w:r>
      <w:r>
        <w:t xml:space="preserve"> </w:t>
      </w:r>
      <w:r w:rsidR="00200616">
        <w:t xml:space="preserve">indicated an openness to alternative </w:t>
      </w:r>
      <w:r w:rsidR="00C02373">
        <w:t xml:space="preserve">technologies, such as </w:t>
      </w:r>
      <w:r w:rsidR="00200616">
        <w:t>wireless delivery mechanisms which had prove</w:t>
      </w:r>
      <w:r w:rsidR="00C02373">
        <w:t>n</w:t>
      </w:r>
      <w:r w:rsidR="00200616">
        <w:t xml:space="preserve"> track records. Of the technologies canvassed, there was some support for terrestrial mobile </w:t>
      </w:r>
      <w:r w:rsidR="00001FD0">
        <w:t xml:space="preserve">and wireless </w:t>
      </w:r>
      <w:r w:rsidR="00200616">
        <w:t>solutions, but</w:t>
      </w:r>
      <w:r w:rsidR="001C734F">
        <w:t xml:space="preserve"> also</w:t>
      </w:r>
      <w:r w:rsidR="00200616">
        <w:t xml:space="preserve"> </w:t>
      </w:r>
      <w:r w:rsidR="00001FD0">
        <w:t>concerns</w:t>
      </w:r>
      <w:r w:rsidR="00200616">
        <w:t xml:space="preserve"> about satellite services due to </w:t>
      </w:r>
      <w:r w:rsidR="00001FD0">
        <w:t>latency and rain</w:t>
      </w:r>
      <w:r w:rsidR="00E81BBA">
        <w:t>-</w:t>
      </w:r>
      <w:r w:rsidR="00001FD0">
        <w:t>fade issues.</w:t>
      </w:r>
    </w:p>
    <w:p w14:paraId="0DECCB5D" w14:textId="77777777" w:rsidR="0064658D" w:rsidRDefault="00200616" w:rsidP="00200616">
      <w:pPr>
        <w:spacing w:after="240"/>
      </w:pPr>
      <w:r>
        <w:t xml:space="preserve">A </w:t>
      </w:r>
      <w:r w:rsidR="00BB7926">
        <w:t>common</w:t>
      </w:r>
      <w:r>
        <w:t xml:space="preserve"> </w:t>
      </w:r>
      <w:r w:rsidR="00BB7926">
        <w:t xml:space="preserve">view </w:t>
      </w:r>
      <w:r>
        <w:t>among regiona</w:t>
      </w:r>
      <w:r w:rsidR="00BB7926">
        <w:t xml:space="preserve">l, </w:t>
      </w:r>
      <w:r>
        <w:t xml:space="preserve">rural </w:t>
      </w:r>
      <w:r w:rsidR="00BB7926">
        <w:t xml:space="preserve">and remote </w:t>
      </w:r>
      <w:r>
        <w:t xml:space="preserve">stakeholders was the </w:t>
      </w:r>
      <w:r w:rsidR="00BB7926">
        <w:t>importance</w:t>
      </w:r>
      <w:r>
        <w:t xml:space="preserve"> </w:t>
      </w:r>
      <w:r w:rsidR="00BB7926">
        <w:t xml:space="preserve">of resilience and redundancy in </w:t>
      </w:r>
      <w:r>
        <w:t>telecommunications</w:t>
      </w:r>
      <w:r w:rsidR="00BB7926">
        <w:t>, particularly given concerns about the relative isolation of many rural and remote properties</w:t>
      </w:r>
      <w:r w:rsidR="00007EDC">
        <w:t xml:space="preserve"> and that a telephone service is very much a lifeline.</w:t>
      </w:r>
      <w:r>
        <w:t xml:space="preserve"> </w:t>
      </w:r>
      <w:r w:rsidR="00BB7926" w:rsidDel="000B3B3C">
        <w:t xml:space="preserve">In this context, concerns </w:t>
      </w:r>
      <w:r w:rsidR="001C734F" w:rsidDel="000B3B3C">
        <w:t xml:space="preserve">were raised </w:t>
      </w:r>
      <w:r w:rsidR="00BB7926" w:rsidDel="000B3B3C">
        <w:t xml:space="preserve">about network outages and extended delays in service restoration. </w:t>
      </w:r>
    </w:p>
    <w:p w14:paraId="0DECCB5E" w14:textId="77777777" w:rsidR="00007EDC" w:rsidRDefault="00200616" w:rsidP="00200616">
      <w:pPr>
        <w:spacing w:after="240"/>
      </w:pPr>
      <w:r>
        <w:t xml:space="preserve">Stakeholders </w:t>
      </w:r>
      <w:r w:rsidR="0064658D">
        <w:t xml:space="preserve">expressed </w:t>
      </w:r>
      <w:r w:rsidR="00BB7926">
        <w:t>concerns about telecommunications solutions that were not network-powered like the traditional copper service and relied on power supplied at the premises, noting many rural and remote propert</w:t>
      </w:r>
      <w:r w:rsidR="00E81BBA">
        <w:t>ies</w:t>
      </w:r>
      <w:r w:rsidR="00BB7926">
        <w:t xml:space="preserve"> may only run generators for part of the day. In the absence of network powering, they emphasised the importance of back</w:t>
      </w:r>
      <w:r>
        <w:t xml:space="preserve">-up </w:t>
      </w:r>
      <w:r w:rsidR="00BB7926">
        <w:t>power options</w:t>
      </w:r>
      <w:r w:rsidR="001C734F">
        <w:t xml:space="preserve"> being available</w:t>
      </w:r>
      <w:r w:rsidR="00BB7926">
        <w:t xml:space="preserve">, or at least the ability to connect back-up power to telecommunications devices. A </w:t>
      </w:r>
      <w:r w:rsidR="00007EDC">
        <w:t>recurrent</w:t>
      </w:r>
      <w:r w:rsidR="00BB7926">
        <w:t xml:space="preserve"> theme was also the need for two or more telecommunications platforms to be available (</w:t>
      </w:r>
      <w:r w:rsidR="0053747D">
        <w:t>for example,</w:t>
      </w:r>
      <w:r w:rsidR="00BB7926">
        <w:t xml:space="preserve"> copper and mobile, or wireless and satellite) to maximise service continuity</w:t>
      </w:r>
      <w:r w:rsidR="00007EDC">
        <w:t>, particularly in times of emergency.</w:t>
      </w:r>
    </w:p>
    <w:p w14:paraId="0DECCB5F" w14:textId="77777777" w:rsidR="00BB7926" w:rsidRPr="00E96C9E" w:rsidRDefault="00BB7926" w:rsidP="00BB7926">
      <w:r>
        <w:t xml:space="preserve">There was little </w:t>
      </w:r>
      <w:r w:rsidR="003400C0">
        <w:t xml:space="preserve">unprompted </w:t>
      </w:r>
      <w:r>
        <w:t xml:space="preserve">comment from </w:t>
      </w:r>
      <w:r w:rsidR="003400C0">
        <w:t>stakeholders</w:t>
      </w:r>
      <w:r>
        <w:t xml:space="preserve"> about payphones, although some noted that they continue to play an important role in </w:t>
      </w:r>
      <w:r w:rsidR="003400C0">
        <w:t xml:space="preserve">some </w:t>
      </w:r>
      <w:r>
        <w:t>communities, particularly where there is no mobile coverage</w:t>
      </w:r>
      <w:r w:rsidR="003400C0">
        <w:t>, and for some types of users.</w:t>
      </w:r>
      <w:r>
        <w:t xml:space="preserve"> </w:t>
      </w:r>
      <w:r w:rsidRPr="00E671EE">
        <w:t>This is particularly true of remote Indigenous communities.</w:t>
      </w:r>
    </w:p>
    <w:p w14:paraId="0DECCB60" w14:textId="77777777" w:rsidR="00384C97" w:rsidRDefault="00C8174F" w:rsidP="000E78C4">
      <w:r w:rsidRPr="00E671EE">
        <w:t xml:space="preserve">The views put to </w:t>
      </w:r>
      <w:r w:rsidR="0087520C">
        <w:t xml:space="preserve">us </w:t>
      </w:r>
      <w:r w:rsidRPr="00E671EE">
        <w:t>in the context of the USG were generally reflected in the submissions to the 2018 RTR and the RTR’s report.</w:t>
      </w:r>
    </w:p>
    <w:p w14:paraId="0DECCB61" w14:textId="77777777" w:rsidR="0064658D" w:rsidRPr="00A761DB" w:rsidRDefault="0064658D" w:rsidP="00A761DB">
      <w:pPr>
        <w:pStyle w:val="Heading4"/>
        <w:rPr>
          <w:b w:val="0"/>
          <w:bCs w:val="0"/>
        </w:rPr>
      </w:pPr>
      <w:r>
        <w:t>Industry</w:t>
      </w:r>
    </w:p>
    <w:p w14:paraId="0DECCB62" w14:textId="77777777" w:rsidR="009E288B" w:rsidRDefault="003400C0" w:rsidP="009E288B">
      <w:r>
        <w:t xml:space="preserve">In addition to sourcing key data for analysis, </w:t>
      </w:r>
      <w:r w:rsidR="0087520C">
        <w:t>we</w:t>
      </w:r>
      <w:r w:rsidR="00384C97">
        <w:t xml:space="preserve"> </w:t>
      </w:r>
      <w:r>
        <w:t xml:space="preserve">also sought the views of industry players </w:t>
      </w:r>
      <w:r w:rsidR="009E288B">
        <w:t xml:space="preserve">on the development of the USG. This included </w:t>
      </w:r>
      <w:r>
        <w:t>Telstra, Optus, Vodafone</w:t>
      </w:r>
      <w:r w:rsidR="001C734F">
        <w:t>, TPG</w:t>
      </w:r>
      <w:r w:rsidR="009E288B">
        <w:t xml:space="preserve"> and </w:t>
      </w:r>
      <w:r w:rsidR="003E11FE">
        <w:t>NBN</w:t>
      </w:r>
      <w:r w:rsidR="009E288B">
        <w:t xml:space="preserve"> Co</w:t>
      </w:r>
      <w:r>
        <w:t xml:space="preserve">, </w:t>
      </w:r>
      <w:r w:rsidR="009E288B">
        <w:t xml:space="preserve">as key providers of fixed and/or mobile infrastructure. </w:t>
      </w:r>
      <w:r w:rsidR="0041282D">
        <w:t xml:space="preserve">We </w:t>
      </w:r>
      <w:r w:rsidR="009E288B">
        <w:t xml:space="preserve">also met with the Communications Alliance, the </w:t>
      </w:r>
      <w:proofErr w:type="spellStart"/>
      <w:r w:rsidR="009E288B">
        <w:t>Commpete</w:t>
      </w:r>
      <w:proofErr w:type="spellEnd"/>
      <w:r w:rsidR="009E288B">
        <w:t xml:space="preserve"> alliance of providers, satellite </w:t>
      </w:r>
      <w:r w:rsidR="000B3B3C">
        <w:t xml:space="preserve">providers </w:t>
      </w:r>
      <w:r w:rsidR="009E288B">
        <w:t xml:space="preserve">and attended the </w:t>
      </w:r>
      <w:r w:rsidR="009E288B" w:rsidRPr="00B6770A">
        <w:t>2018 Australasia Satellite Forum</w:t>
      </w:r>
      <w:r w:rsidR="0064658D">
        <w:t xml:space="preserve">. In </w:t>
      </w:r>
      <w:r w:rsidR="0053747D">
        <w:t xml:space="preserve">consulting </w:t>
      </w:r>
      <w:r w:rsidR="0064658D">
        <w:t>with industry</w:t>
      </w:r>
      <w:r w:rsidR="002023B7">
        <w:t xml:space="preserve">, </w:t>
      </w:r>
      <w:r w:rsidR="0087520C">
        <w:t>we were</w:t>
      </w:r>
      <w:r w:rsidR="002023B7">
        <w:t xml:space="preserve"> particularly interested in quality of </w:t>
      </w:r>
      <w:r w:rsidR="001C734F">
        <w:t>service</w:t>
      </w:r>
      <w:r w:rsidR="002023B7">
        <w:t xml:space="preserve"> levels, new delivery technologies</w:t>
      </w:r>
      <w:r w:rsidR="0064658D">
        <w:t>,</w:t>
      </w:r>
      <w:r w:rsidR="002023B7">
        <w:t xml:space="preserve"> </w:t>
      </w:r>
      <w:r w:rsidR="0064658D">
        <w:t xml:space="preserve">costs, </w:t>
      </w:r>
      <w:r w:rsidR="002023B7">
        <w:t>new products suitable for regional areas</w:t>
      </w:r>
      <w:r w:rsidR="0064658D">
        <w:t xml:space="preserve"> and contestability models</w:t>
      </w:r>
      <w:r w:rsidR="002023B7">
        <w:t>.</w:t>
      </w:r>
    </w:p>
    <w:p w14:paraId="0DECCB63" w14:textId="77777777" w:rsidR="0064658D" w:rsidRDefault="00384C97" w:rsidP="00384C97">
      <w:r>
        <w:t xml:space="preserve">Industry, in general, was supportive of the idea of </w:t>
      </w:r>
      <w:r w:rsidR="009E288B">
        <w:t xml:space="preserve">USO </w:t>
      </w:r>
      <w:r>
        <w:t xml:space="preserve">reform. </w:t>
      </w:r>
      <w:r w:rsidR="009E288B">
        <w:t xml:space="preserve">Providers </w:t>
      </w:r>
      <w:r>
        <w:t xml:space="preserve">saw scope for more efficient delivery of </w:t>
      </w:r>
      <w:r w:rsidR="009E288B">
        <w:t xml:space="preserve">voice </w:t>
      </w:r>
      <w:r>
        <w:t>services</w:t>
      </w:r>
      <w:r w:rsidR="00254399">
        <w:t xml:space="preserve">, particularly using </w:t>
      </w:r>
      <w:r w:rsidR="001C734F">
        <w:t>wireless</w:t>
      </w:r>
      <w:r w:rsidR="00254399">
        <w:t xml:space="preserve"> and satellite technologies. </w:t>
      </w:r>
      <w:r w:rsidR="00F131F8">
        <w:t xml:space="preserve">They </w:t>
      </w:r>
      <w:r w:rsidR="00254399">
        <w:t xml:space="preserve">saw the </w:t>
      </w:r>
      <w:r>
        <w:t xml:space="preserve">establishment of </w:t>
      </w:r>
      <w:r w:rsidR="00254399">
        <w:t xml:space="preserve">a </w:t>
      </w:r>
      <w:r>
        <w:t xml:space="preserve">USG as an opportunity to </w:t>
      </w:r>
      <w:r w:rsidR="002023B7">
        <w:t xml:space="preserve">significantly </w:t>
      </w:r>
      <w:r>
        <w:t>reduce their contributions to the T</w:t>
      </w:r>
      <w:r w:rsidR="00EF7669">
        <w:t xml:space="preserve">elecommunications </w:t>
      </w:r>
      <w:r>
        <w:t>I</w:t>
      </w:r>
      <w:r w:rsidR="00EF7669">
        <w:t xml:space="preserve">ndustry </w:t>
      </w:r>
      <w:r>
        <w:t>L</w:t>
      </w:r>
      <w:r w:rsidR="00EF7669">
        <w:t>evy</w:t>
      </w:r>
      <w:r>
        <w:t xml:space="preserve"> </w:t>
      </w:r>
      <w:r w:rsidR="00C8174F">
        <w:t xml:space="preserve">and </w:t>
      </w:r>
      <w:r>
        <w:t xml:space="preserve">redirect existing funding to improve their regional networks and </w:t>
      </w:r>
      <w:r w:rsidR="009E288B">
        <w:t>expand their</w:t>
      </w:r>
      <w:r>
        <w:t xml:space="preserve"> regional customer bases. </w:t>
      </w:r>
    </w:p>
    <w:p w14:paraId="0DECCB64" w14:textId="77777777" w:rsidR="00384C97" w:rsidRDefault="00384C97" w:rsidP="00384C97">
      <w:r>
        <w:t xml:space="preserve">Consultation with industry did not </w:t>
      </w:r>
      <w:r w:rsidR="008860D8">
        <w:t xml:space="preserve">identify </w:t>
      </w:r>
      <w:r>
        <w:t xml:space="preserve">any alternative technologies, beyond mobile and satellite, that could be used to deliver services at present. </w:t>
      </w:r>
      <w:r w:rsidR="0053747D">
        <w:t>However, p</w:t>
      </w:r>
      <w:r w:rsidR="00B47D8A">
        <w:t xml:space="preserve">roposed new low earth orbit satellite systems were seen as promising. </w:t>
      </w:r>
      <w:r>
        <w:t xml:space="preserve">While noting that there are a number of emerging technologies and business models for regional telecommunications, </w:t>
      </w:r>
      <w:r w:rsidR="0087520C">
        <w:t xml:space="preserve">we </w:t>
      </w:r>
      <w:r w:rsidR="00B47D8A">
        <w:t>concluded</w:t>
      </w:r>
      <w:r>
        <w:t xml:space="preserve"> these are largely untested and unlikely to be ready for mass-market deployment until the early-to-mid 2020s. </w:t>
      </w:r>
      <w:r w:rsidR="00B47D8A">
        <w:t>However, it will be essential to keep a watching brief in this area.</w:t>
      </w:r>
    </w:p>
    <w:p w14:paraId="0DECCB65" w14:textId="77777777" w:rsidR="008860D8" w:rsidRDefault="008860D8" w:rsidP="00384C97">
      <w:r>
        <w:t>The general preference in industry was for voice service</w:t>
      </w:r>
      <w:r w:rsidR="000B3B3C">
        <w:t>s</w:t>
      </w:r>
      <w:r>
        <w:t xml:space="preserve"> to be provided on</w:t>
      </w:r>
      <w:r w:rsidR="009C2119">
        <w:t xml:space="preserve"> </w:t>
      </w:r>
      <w:r>
        <w:t xml:space="preserve">a commercial basis over the </w:t>
      </w:r>
      <w:r w:rsidR="003E11FE">
        <w:t>NBN</w:t>
      </w:r>
      <w:r>
        <w:t xml:space="preserve"> or other commercial networks</w:t>
      </w:r>
      <w:r w:rsidR="000B3B3C">
        <w:t>, particularly mobile and wireless,</w:t>
      </w:r>
      <w:r>
        <w:t xml:space="preserve"> to the greatest extent possible. That is, w</w:t>
      </w:r>
      <w:r w:rsidR="0064658D">
        <w:t>h</w:t>
      </w:r>
      <w:r>
        <w:t>ere services of the requisite quality were being offered at a generally affordable price and taken up by consumers, there should be no need for further intervention</w:t>
      </w:r>
      <w:r w:rsidR="0064658D">
        <w:t>, including subsidisation</w:t>
      </w:r>
      <w:r>
        <w:t>.</w:t>
      </w:r>
    </w:p>
    <w:p w14:paraId="0DECCB66" w14:textId="77777777" w:rsidR="00C8174F" w:rsidRDefault="008860D8" w:rsidP="00384C97">
      <w:r>
        <w:lastRenderedPageBreak/>
        <w:t xml:space="preserve">There were varying views, however, </w:t>
      </w:r>
      <w:r w:rsidR="002023B7">
        <w:t>on how any new mechanism to subsidise the delivery of voice services</w:t>
      </w:r>
      <w:r w:rsidR="009C2119">
        <w:t xml:space="preserve">, where </w:t>
      </w:r>
      <w:r w:rsidR="0064658D">
        <w:t>required</w:t>
      </w:r>
      <w:r w:rsidR="009C2119">
        <w:t>,</w:t>
      </w:r>
      <w:r w:rsidR="002023B7">
        <w:t xml:space="preserve"> should work if the current USO were reformed. Three broad ideas were put forward. The first involved per-service subsidies w</w:t>
      </w:r>
      <w:r w:rsidR="000B3B3C">
        <w:t>h</w:t>
      </w:r>
      <w:r w:rsidR="002023B7">
        <w:t>ere this would be need</w:t>
      </w:r>
      <w:r w:rsidR="000B3B3C">
        <w:t>ed</w:t>
      </w:r>
      <w:r w:rsidR="002023B7">
        <w:t xml:space="preserve"> to keep services affordable. In this instance, providers would seek subsidies for each consumer for whom they provided support. The second </w:t>
      </w:r>
      <w:r w:rsidR="000B3B3C">
        <w:t xml:space="preserve">idea </w:t>
      </w:r>
      <w:r w:rsidR="002023B7">
        <w:t>involved a per</w:t>
      </w:r>
      <w:r w:rsidR="00725D9D">
        <w:t>-</w:t>
      </w:r>
      <w:r w:rsidR="002023B7">
        <w:t>area model, whereby the supply of serv</w:t>
      </w:r>
      <w:r w:rsidR="00C8174F">
        <w:t>i</w:t>
      </w:r>
      <w:r w:rsidR="002023B7">
        <w:t xml:space="preserve">ce in a particular under-serviced area would be tendered out. The third option </w:t>
      </w:r>
      <w:r w:rsidR="00C8174F">
        <w:t xml:space="preserve">was a ‘play or pay’ model which </w:t>
      </w:r>
      <w:r w:rsidR="002023B7">
        <w:t xml:space="preserve">envisaged operators being able to provide infrastructure and services in an underserved </w:t>
      </w:r>
      <w:r w:rsidR="00975DF2">
        <w:t>areas</w:t>
      </w:r>
      <w:r w:rsidR="002023B7">
        <w:t xml:space="preserve"> </w:t>
      </w:r>
      <w:r w:rsidR="00C8174F">
        <w:t>in lieu of payments to the Telecommunications Industry Levy.</w:t>
      </w:r>
    </w:p>
    <w:p w14:paraId="0DECCB67" w14:textId="77777777" w:rsidR="008B7972" w:rsidRPr="009E3122" w:rsidRDefault="008B7972" w:rsidP="000A118F">
      <w:pPr>
        <w:pStyle w:val="Heading2"/>
      </w:pPr>
      <w:bookmarkStart w:id="79" w:name="_Toc529783738"/>
      <w:r w:rsidRPr="009E3122">
        <w:t>4. Conclusions</w:t>
      </w:r>
      <w:bookmarkEnd w:id="79"/>
    </w:p>
    <w:p w14:paraId="0DECCB68" w14:textId="77777777" w:rsidR="00311E59" w:rsidRDefault="001E4AA2" w:rsidP="000A118F">
      <w:pPr>
        <w:pStyle w:val="Heading3"/>
      </w:pPr>
      <w:bookmarkStart w:id="80" w:name="_Toc529783739"/>
      <w:bookmarkEnd w:id="54"/>
      <w:bookmarkEnd w:id="55"/>
      <w:r w:rsidRPr="006E4838">
        <w:t>Voice services</w:t>
      </w:r>
      <w:bookmarkEnd w:id="80"/>
      <w:r w:rsidRPr="006E4838">
        <w:t xml:space="preserve"> </w:t>
      </w:r>
    </w:p>
    <w:p w14:paraId="0DECCB69" w14:textId="77777777" w:rsidR="004F6436" w:rsidRDefault="004F6436" w:rsidP="004F6436">
      <w:pPr>
        <w:spacing w:before="120" w:after="120"/>
      </w:pPr>
      <w:r>
        <w:t>High-level costings by our consultant, Network Strategies, indicated</w:t>
      </w:r>
      <w:r w:rsidRPr="00562546">
        <w:t xml:space="preserve"> that </w:t>
      </w:r>
      <w:r w:rsidR="00F225F0">
        <w:t xml:space="preserve">a combination of </w:t>
      </w:r>
      <w:r>
        <w:t>wireless (</w:t>
      </w:r>
      <w:r w:rsidRPr="00562546">
        <w:t>mobile</w:t>
      </w:r>
      <w:r>
        <w:t>/fixed)</w:t>
      </w:r>
      <w:r w:rsidRPr="00562546">
        <w:t xml:space="preserve"> and satellite </w:t>
      </w:r>
      <w:r w:rsidR="00F225F0">
        <w:t xml:space="preserve">technologies </w:t>
      </w:r>
      <w:r w:rsidRPr="00562546">
        <w:t xml:space="preserve">could be </w:t>
      </w:r>
      <w:r w:rsidR="0064658D">
        <w:t xml:space="preserve">significantly </w:t>
      </w:r>
      <w:r w:rsidRPr="00562546">
        <w:t xml:space="preserve">more cost-effective </w:t>
      </w:r>
      <w:r>
        <w:t>in</w:t>
      </w:r>
      <w:r w:rsidRPr="00562546">
        <w:t xml:space="preserve"> delivering voice</w:t>
      </w:r>
      <w:r>
        <w:t xml:space="preserve"> services</w:t>
      </w:r>
      <w:r w:rsidR="00F225F0">
        <w:t>,</w:t>
      </w:r>
      <w:r w:rsidR="00263E4E">
        <w:t xml:space="preserve"> while noting quality of service on satellite could be lower</w:t>
      </w:r>
      <w:r>
        <w:t>. The modelling also indicate</w:t>
      </w:r>
      <w:r w:rsidR="00F225F0">
        <w:t>d</w:t>
      </w:r>
      <w:r>
        <w:t xml:space="preserve"> that ongoing delivery of services under the </w:t>
      </w:r>
      <w:r w:rsidR="0064658D">
        <w:t xml:space="preserve">USO contract </w:t>
      </w:r>
      <w:r>
        <w:t>is the most costly option, but that</w:t>
      </w:r>
      <w:r w:rsidR="00421058">
        <w:t xml:space="preserve"> USO </w:t>
      </w:r>
      <w:r>
        <w:t xml:space="preserve">funding provided to Telstra </w:t>
      </w:r>
      <w:r w:rsidR="0064658D">
        <w:t>is</w:t>
      </w:r>
      <w:r>
        <w:t xml:space="preserve"> </w:t>
      </w:r>
      <w:r w:rsidR="00F225F0">
        <w:t xml:space="preserve">broadly </w:t>
      </w:r>
      <w:r>
        <w:t>in line with its costs.</w:t>
      </w:r>
    </w:p>
    <w:p w14:paraId="0DECCB6A" w14:textId="77777777" w:rsidR="007333B2" w:rsidRDefault="004F6436" w:rsidP="004F6436">
      <w:pPr>
        <w:spacing w:before="120" w:after="120"/>
      </w:pPr>
      <w:r>
        <w:t xml:space="preserve">For savings to be maximised, however, the Telstra </w:t>
      </w:r>
      <w:r w:rsidR="00446BA7">
        <w:t>CCO</w:t>
      </w:r>
      <w:r w:rsidR="00263E4E">
        <w:t xml:space="preserve"> </w:t>
      </w:r>
      <w:r>
        <w:t xml:space="preserve">would need </w:t>
      </w:r>
      <w:r w:rsidRPr="002562EE">
        <w:t xml:space="preserve">to be </w:t>
      </w:r>
      <w:r w:rsidR="00975DF2">
        <w:t>removed from the USO contract</w:t>
      </w:r>
      <w:r>
        <w:t xml:space="preserve">. This would mean </w:t>
      </w:r>
      <w:r w:rsidR="0064658D" w:rsidRPr="000A118F">
        <w:t xml:space="preserve">around </w:t>
      </w:r>
      <w:r w:rsidRPr="000A118F">
        <w:t>2</w:t>
      </w:r>
      <w:r w:rsidR="00E570C7" w:rsidRPr="000A118F">
        <w:t>3</w:t>
      </w:r>
      <w:r w:rsidRPr="000A118F">
        <w:t xml:space="preserve">5,000 ADSL </w:t>
      </w:r>
      <w:r w:rsidR="00263E4E" w:rsidRPr="000A118F">
        <w:t>broadband</w:t>
      </w:r>
      <w:r w:rsidR="00263E4E">
        <w:t xml:space="preserve"> </w:t>
      </w:r>
      <w:r w:rsidRPr="002562EE">
        <w:t xml:space="preserve">customers </w:t>
      </w:r>
      <w:r>
        <w:t xml:space="preserve">on the Telstra copper network </w:t>
      </w:r>
      <w:r w:rsidR="00311E59">
        <w:t xml:space="preserve">would need to </w:t>
      </w:r>
      <w:r>
        <w:t xml:space="preserve">migrate </w:t>
      </w:r>
      <w:r w:rsidR="00381921">
        <w:t>to alternative platforms, most likely</w:t>
      </w:r>
      <w:r>
        <w:t xml:space="preserve"> </w:t>
      </w:r>
      <w:r w:rsidR="00381921">
        <w:t xml:space="preserve">either </w:t>
      </w:r>
      <w:r w:rsidR="003E11FE">
        <w:t>NBN </w:t>
      </w:r>
      <w:proofErr w:type="spellStart"/>
      <w:r>
        <w:t>Co’s</w:t>
      </w:r>
      <w:proofErr w:type="spellEnd"/>
      <w:r>
        <w:t xml:space="preserve"> fixed wireless </w:t>
      </w:r>
      <w:r w:rsidR="00381921">
        <w:t xml:space="preserve">or satellite </w:t>
      </w:r>
      <w:r>
        <w:t>network</w:t>
      </w:r>
      <w:r w:rsidR="00381921">
        <w:t>s</w:t>
      </w:r>
      <w:r>
        <w:t xml:space="preserve">. </w:t>
      </w:r>
      <w:r w:rsidR="003E11FE">
        <w:t>NBN</w:t>
      </w:r>
      <w:r w:rsidR="007333B2">
        <w:t xml:space="preserve"> Co </w:t>
      </w:r>
      <w:r w:rsidR="0064658D">
        <w:t xml:space="preserve">has </w:t>
      </w:r>
      <w:r w:rsidR="007333B2">
        <w:t>advi</w:t>
      </w:r>
      <w:r w:rsidR="007D5DE0">
        <w:t>s</w:t>
      </w:r>
      <w:r w:rsidR="007333B2">
        <w:t>e</w:t>
      </w:r>
      <w:r w:rsidR="007D5DE0">
        <w:t>d</w:t>
      </w:r>
      <w:r w:rsidR="007333B2">
        <w:t xml:space="preserve"> </w:t>
      </w:r>
      <w:r w:rsidR="0087520C">
        <w:t xml:space="preserve">us </w:t>
      </w:r>
      <w:r w:rsidR="007333B2">
        <w:t xml:space="preserve">that servicing these additional </w:t>
      </w:r>
      <w:r w:rsidR="007D5DE0">
        <w:t>premises</w:t>
      </w:r>
      <w:r w:rsidR="007333B2">
        <w:t xml:space="preserve"> would require it to undertake significant further investment in its network, particularly in its fixed wireless footprint</w:t>
      </w:r>
      <w:r w:rsidR="00263E4E">
        <w:t xml:space="preserve">, and create longer term spectrum pressure. </w:t>
      </w:r>
      <w:r w:rsidR="007333B2">
        <w:t>The</w:t>
      </w:r>
      <w:r w:rsidR="0064658D">
        <w:t>se estimated</w:t>
      </w:r>
      <w:r w:rsidR="007333B2">
        <w:t xml:space="preserve"> costs </w:t>
      </w:r>
      <w:r w:rsidR="0064658D">
        <w:t>would</w:t>
      </w:r>
      <w:r w:rsidR="007333B2">
        <w:t xml:space="preserve"> </w:t>
      </w:r>
      <w:r w:rsidR="007D5DE0">
        <w:t>outweigh</w:t>
      </w:r>
      <w:r w:rsidR="007333B2">
        <w:t xml:space="preserve"> any </w:t>
      </w:r>
      <w:r w:rsidR="0064658D">
        <w:t xml:space="preserve">estimated </w:t>
      </w:r>
      <w:r w:rsidR="007333B2">
        <w:t xml:space="preserve">savings </w:t>
      </w:r>
      <w:r w:rsidR="007D5DE0">
        <w:t xml:space="preserve">or efficiency gains </w:t>
      </w:r>
      <w:r w:rsidR="007333B2">
        <w:t xml:space="preserve">from </w:t>
      </w:r>
      <w:r w:rsidR="007D5DE0">
        <w:t>reform</w:t>
      </w:r>
      <w:r w:rsidR="0064658D">
        <w:t xml:space="preserve">. </w:t>
      </w:r>
    </w:p>
    <w:p w14:paraId="0DECCB6B" w14:textId="77777777" w:rsidR="000431F2" w:rsidRDefault="000431F2" w:rsidP="009D45AB">
      <w:r>
        <w:t xml:space="preserve">At the same </w:t>
      </w:r>
      <w:r w:rsidR="009C2119">
        <w:t>time</w:t>
      </w:r>
      <w:r>
        <w:t xml:space="preserve">, however, there are community </w:t>
      </w:r>
      <w:r w:rsidR="009C2119">
        <w:t>concerns</w:t>
      </w:r>
      <w:r>
        <w:t xml:space="preserve"> </w:t>
      </w:r>
      <w:r w:rsidR="009C2119">
        <w:t xml:space="preserve">about </w:t>
      </w:r>
      <w:r>
        <w:t xml:space="preserve">the quality </w:t>
      </w:r>
      <w:r w:rsidR="009C2119">
        <w:t>of</w:t>
      </w:r>
      <w:r>
        <w:t xml:space="preserve"> the copper and HCRC networks, and these networks will be under ongoing pressure from </w:t>
      </w:r>
      <w:r w:rsidR="0064658D">
        <w:t xml:space="preserve">wireless </w:t>
      </w:r>
      <w:r>
        <w:t xml:space="preserve">technologies. </w:t>
      </w:r>
      <w:r w:rsidR="009C2119">
        <w:t>Ultimately</w:t>
      </w:r>
      <w:r>
        <w:t xml:space="preserve"> the USO contract with Telstra will end in 2032 and a new delivery solution will be required beyond that </w:t>
      </w:r>
      <w:r w:rsidR="0064658D">
        <w:t>date</w:t>
      </w:r>
      <w:r>
        <w:t>.</w:t>
      </w:r>
    </w:p>
    <w:p w14:paraId="0DECCB6C" w14:textId="77777777" w:rsidR="000431F2" w:rsidRDefault="0087520C" w:rsidP="009D45AB">
      <w:r>
        <w:t>We</w:t>
      </w:r>
      <w:r w:rsidR="000431F2">
        <w:t xml:space="preserve"> also perceive that regional, rural and remotes </w:t>
      </w:r>
      <w:r w:rsidR="009C2119">
        <w:t>consumers</w:t>
      </w:r>
      <w:r w:rsidR="00263E4E">
        <w:t>’</w:t>
      </w:r>
      <w:r w:rsidR="000431F2">
        <w:t xml:space="preserve"> top priorities are to have good </w:t>
      </w:r>
      <w:r w:rsidR="009C2119">
        <w:t>quality</w:t>
      </w:r>
      <w:r w:rsidR="000431F2">
        <w:t>, affordable voice and broadband services which are highly reliable, including in terms of power supply and alternative back-up platforms in an emergency. I</w:t>
      </w:r>
      <w:r w:rsidR="0003509E">
        <w:t>f</w:t>
      </w:r>
      <w:r w:rsidR="000431F2">
        <w:t xml:space="preserve"> </w:t>
      </w:r>
      <w:r w:rsidR="009C2119">
        <w:t>service</w:t>
      </w:r>
      <w:r w:rsidR="0003509E">
        <w:t>s</w:t>
      </w:r>
      <w:r w:rsidR="000431F2">
        <w:t xml:space="preserve"> can meet these </w:t>
      </w:r>
      <w:r w:rsidR="009C2119">
        <w:t>requirements</w:t>
      </w:r>
      <w:r w:rsidR="000431F2">
        <w:t xml:space="preserve">, </w:t>
      </w:r>
      <w:r>
        <w:t>we</w:t>
      </w:r>
      <w:r w:rsidR="000431F2">
        <w:t xml:space="preserve"> perceive that the delivery technology itself is likely to be a secondary consideration.</w:t>
      </w:r>
      <w:r w:rsidR="0064658D">
        <w:t xml:space="preserve"> To the extent that mobile networks could deliver such outcomes, regional consumers may benefit in that they could have reliable fixed wireless services and greater mobile access. This suggests a key issue is to demonstrate mobile networks can in fact deliver acceptable fixed solutions.</w:t>
      </w:r>
    </w:p>
    <w:p w14:paraId="0DECCB6D" w14:textId="5622FED6" w:rsidR="00725D9D" w:rsidRDefault="000431F2" w:rsidP="007F6E84">
      <w:pPr>
        <w:spacing w:before="120" w:after="120"/>
      </w:pPr>
      <w:r>
        <w:t xml:space="preserve">At this stage, </w:t>
      </w:r>
      <w:r w:rsidR="0087520C">
        <w:t xml:space="preserve">we </w:t>
      </w:r>
      <w:r>
        <w:t>consider t</w:t>
      </w:r>
      <w:r w:rsidR="009C2119">
        <w:t>h</w:t>
      </w:r>
      <w:r>
        <w:t>at</w:t>
      </w:r>
      <w:r w:rsidR="0003509E">
        <w:t>,</w:t>
      </w:r>
      <w:r>
        <w:t xml:space="preserve"> for </w:t>
      </w:r>
      <w:r w:rsidR="007D5DE0">
        <w:t xml:space="preserve">the immediate future, the </w:t>
      </w:r>
      <w:r w:rsidR="0064658D">
        <w:t xml:space="preserve">broadband component of the </w:t>
      </w:r>
      <w:r w:rsidR="007D5DE0" w:rsidRPr="002562EE">
        <w:t xml:space="preserve">USG </w:t>
      </w:r>
      <w:r w:rsidR="004F0F4D">
        <w:t>is</w:t>
      </w:r>
      <w:r w:rsidR="007D5DE0" w:rsidRPr="002562EE">
        <w:t xml:space="preserve"> </w:t>
      </w:r>
      <w:r w:rsidR="007D5DE0">
        <w:t xml:space="preserve">best </w:t>
      </w:r>
      <w:r w:rsidR="007D5DE0" w:rsidRPr="002562EE">
        <w:t>delivered via</w:t>
      </w:r>
      <w:r w:rsidR="007D5DE0">
        <w:t xml:space="preserve"> the</w:t>
      </w:r>
      <w:r w:rsidR="007D5DE0" w:rsidRPr="002562EE">
        <w:t xml:space="preserve"> </w:t>
      </w:r>
      <w:r w:rsidR="003E11FE">
        <w:t>NBN</w:t>
      </w:r>
      <w:r w:rsidR="0064658D">
        <w:t xml:space="preserve">, </w:t>
      </w:r>
      <w:r w:rsidR="004F0F4D">
        <w:t xml:space="preserve">supplemented by other SIPs, </w:t>
      </w:r>
      <w:r w:rsidR="0064658D">
        <w:t xml:space="preserve">while the voice component </w:t>
      </w:r>
      <w:r w:rsidR="004F0F4D">
        <w:t>is</w:t>
      </w:r>
      <w:r w:rsidR="0064658D">
        <w:t xml:space="preserve"> best delivered under the existing USO contract</w:t>
      </w:r>
      <w:r w:rsidR="007D5DE0">
        <w:t>,</w:t>
      </w:r>
      <w:r w:rsidR="007D5DE0" w:rsidRPr="002562EE">
        <w:t xml:space="preserve"> pending </w:t>
      </w:r>
      <w:r w:rsidR="0064658D">
        <w:t>further</w:t>
      </w:r>
      <w:r w:rsidR="0064658D" w:rsidRPr="002562EE">
        <w:t xml:space="preserve"> </w:t>
      </w:r>
      <w:r w:rsidR="007D5DE0" w:rsidRPr="002562EE">
        <w:t>work</w:t>
      </w:r>
      <w:r w:rsidR="007D5DE0">
        <w:t xml:space="preserve"> </w:t>
      </w:r>
      <w:r w:rsidR="00DB649D">
        <w:t xml:space="preserve">on a more robust longer term </w:t>
      </w:r>
      <w:r w:rsidR="00F131F8">
        <w:t>USG strategy</w:t>
      </w:r>
      <w:r w:rsidR="007D5DE0">
        <w:t xml:space="preserve">. </w:t>
      </w:r>
      <w:r w:rsidR="00241613">
        <w:t xml:space="preserve">This would see voice services continuing to be delivered over the Telstra platforms currently in use in NBN </w:t>
      </w:r>
      <w:proofErr w:type="spellStart"/>
      <w:r w:rsidR="00241613">
        <w:t>Co’s</w:t>
      </w:r>
      <w:proofErr w:type="spellEnd"/>
      <w:r w:rsidR="00241613">
        <w:t xml:space="preserve"> fixed wireless and satellite footprints, principally Telstra’s copper network, but also </w:t>
      </w:r>
      <w:proofErr w:type="gramStart"/>
      <w:r w:rsidR="00241613">
        <w:t>its</w:t>
      </w:r>
      <w:proofErr w:type="gramEnd"/>
      <w:r w:rsidR="00241613">
        <w:t xml:space="preserve"> HCRC, NGWL and other existing networks. </w:t>
      </w:r>
      <w:r>
        <w:t>This</w:t>
      </w:r>
      <w:r w:rsidR="007F6E84">
        <w:t xml:space="preserve"> </w:t>
      </w:r>
      <w:r>
        <w:t xml:space="preserve">is because </w:t>
      </w:r>
      <w:r w:rsidR="0003509E">
        <w:t>of the</w:t>
      </w:r>
      <w:r>
        <w:t xml:space="preserve"> likely significant cost impact of change</w:t>
      </w:r>
      <w:r w:rsidR="0003509E">
        <w:t>s</w:t>
      </w:r>
      <w:r>
        <w:t xml:space="preserve"> to the USO contract</w:t>
      </w:r>
      <w:r w:rsidR="0064658D">
        <w:t xml:space="preserve"> and</w:t>
      </w:r>
      <w:r>
        <w:t xml:space="preserve"> the concerns in regional, rural and remote communities about significant change in the absence of proven alternatives</w:t>
      </w:r>
      <w:r w:rsidR="0064658D">
        <w:t xml:space="preserve">. If change were to take place, there are </w:t>
      </w:r>
      <w:r>
        <w:t xml:space="preserve">clear logistical challenges </w:t>
      </w:r>
      <w:r w:rsidR="0064658D">
        <w:t xml:space="preserve">that would need to be addressed </w:t>
      </w:r>
      <w:r w:rsidR="001E3E9A">
        <w:t xml:space="preserve">and </w:t>
      </w:r>
      <w:r w:rsidR="0064658D">
        <w:t xml:space="preserve">satisfactory </w:t>
      </w:r>
      <w:r w:rsidR="001E3E9A">
        <w:t xml:space="preserve">contractual </w:t>
      </w:r>
      <w:r w:rsidR="0064658D">
        <w:t xml:space="preserve">changes would need to be </w:t>
      </w:r>
      <w:r w:rsidR="0064658D" w:rsidRPr="0064658D">
        <w:t>negotiate</w:t>
      </w:r>
      <w:r w:rsidR="0064658D">
        <w:t>d with Telstra</w:t>
      </w:r>
      <w:r w:rsidR="007F6E84">
        <w:t>.</w:t>
      </w:r>
      <w:r w:rsidR="007F6E84" w:rsidRPr="007F6E84">
        <w:t xml:space="preserve"> </w:t>
      </w:r>
    </w:p>
    <w:p w14:paraId="0DECCB6E" w14:textId="77777777" w:rsidR="007F6E84" w:rsidRDefault="0003509E" w:rsidP="007F6E84">
      <w:pPr>
        <w:spacing w:before="120" w:after="120"/>
      </w:pPr>
      <w:r>
        <w:t>In the interim,</w:t>
      </w:r>
      <w:r w:rsidR="007F6E84" w:rsidRPr="00B55FF9">
        <w:t xml:space="preserve"> </w:t>
      </w:r>
      <w:r w:rsidR="007F6E84">
        <w:t>improved</w:t>
      </w:r>
      <w:r w:rsidR="007F6E84" w:rsidRPr="00B55FF9">
        <w:t xml:space="preserve"> management of the </w:t>
      </w:r>
      <w:r w:rsidR="00562C8A">
        <w:t>USO contract</w:t>
      </w:r>
      <w:r w:rsidR="00562C8A" w:rsidRPr="00B55FF9">
        <w:t xml:space="preserve"> </w:t>
      </w:r>
      <w:r w:rsidR="007F6E84">
        <w:t>would continue in</w:t>
      </w:r>
      <w:r w:rsidR="007F6E84" w:rsidRPr="00B55FF9">
        <w:t xml:space="preserve"> line with </w:t>
      </w:r>
      <w:r w:rsidR="00562C8A">
        <w:t>the department’s clear commitment on this front.</w:t>
      </w:r>
    </w:p>
    <w:p w14:paraId="0DECCB6F" w14:textId="77777777" w:rsidR="00562C8A" w:rsidRDefault="0003509E" w:rsidP="00562C8A">
      <w:pPr>
        <w:spacing w:before="120" w:after="120"/>
      </w:pPr>
      <w:r>
        <w:lastRenderedPageBreak/>
        <w:t>G</w:t>
      </w:r>
      <w:r w:rsidR="007D5DE0">
        <w:t xml:space="preserve">iven the </w:t>
      </w:r>
      <w:r w:rsidR="0049145E">
        <w:t xml:space="preserve">USO contract </w:t>
      </w:r>
      <w:r w:rsidR="007D5DE0">
        <w:t xml:space="preserve">has a defined end date, a long term </w:t>
      </w:r>
      <w:r w:rsidR="00D26F5C">
        <w:t xml:space="preserve">USG </w:t>
      </w:r>
      <w:r w:rsidR="007D5DE0">
        <w:t xml:space="preserve">solution will ultimately be needed. </w:t>
      </w:r>
      <w:r w:rsidR="0087520C">
        <w:t>We</w:t>
      </w:r>
      <w:r>
        <w:t xml:space="preserve"> </w:t>
      </w:r>
      <w:r w:rsidR="007F6E84">
        <w:t xml:space="preserve">therefore propose that further work be undertaken, in consultation with all stakeholders, to develop a robust plan for addressing the </w:t>
      </w:r>
      <w:r>
        <w:t xml:space="preserve">identified </w:t>
      </w:r>
      <w:r w:rsidR="007F6E84">
        <w:t>issue</w:t>
      </w:r>
      <w:r>
        <w:t>s</w:t>
      </w:r>
      <w:r w:rsidR="007F6E84">
        <w:t>.</w:t>
      </w:r>
      <w:r w:rsidR="00562C8A" w:rsidRPr="00562C8A">
        <w:t xml:space="preserve"> </w:t>
      </w:r>
    </w:p>
    <w:p w14:paraId="0DECCB70" w14:textId="77777777" w:rsidR="007D5DE0" w:rsidRDefault="007F6E84" w:rsidP="007D5DE0">
      <w:pPr>
        <w:spacing w:before="120" w:after="120"/>
      </w:pPr>
      <w:r>
        <w:t xml:space="preserve">Until such time </w:t>
      </w:r>
      <w:r w:rsidR="0003509E">
        <w:t xml:space="preserve">as </w:t>
      </w:r>
      <w:r>
        <w:t>an acceptable plan is developed, the voice component of the USG should be delivered under the existing arrangements.</w:t>
      </w:r>
    </w:p>
    <w:p w14:paraId="0DECCB71" w14:textId="77777777" w:rsidR="004F6436" w:rsidRDefault="004F6436" w:rsidP="000A118F">
      <w:pPr>
        <w:pStyle w:val="Heading3"/>
      </w:pPr>
      <w:bookmarkStart w:id="81" w:name="_Toc529783740"/>
      <w:r>
        <w:t>Payphones</w:t>
      </w:r>
      <w:bookmarkEnd w:id="81"/>
    </w:p>
    <w:p w14:paraId="0DECCB72" w14:textId="77777777" w:rsidR="004F6436" w:rsidRDefault="004F6436" w:rsidP="004F6436">
      <w:pPr>
        <w:tabs>
          <w:tab w:val="left" w:pos="851"/>
        </w:tabs>
        <w:spacing w:before="120" w:after="0"/>
      </w:pPr>
      <w:r>
        <w:t xml:space="preserve">The vast majority of </w:t>
      </w:r>
      <w:r w:rsidR="00C00ED6">
        <w:t xml:space="preserve">people living in </w:t>
      </w:r>
      <w:r>
        <w:t xml:space="preserve">Australia now have access to mobile phones and most payphones are located in areas which now have mobile coverage. </w:t>
      </w:r>
      <w:r w:rsidR="007D5DE0">
        <w:t xml:space="preserve">Given this, there </w:t>
      </w:r>
      <w:r w:rsidR="00C00ED6">
        <w:t>may be some</w:t>
      </w:r>
      <w:r w:rsidR="007D5DE0">
        <w:t xml:space="preserve"> scope </w:t>
      </w:r>
      <w:r>
        <w:t>to relax the rules around the provision of payphones to allow Telstra to remove payphones</w:t>
      </w:r>
      <w:r w:rsidR="009C2119">
        <w:t xml:space="preserve">. </w:t>
      </w:r>
      <w:r w:rsidR="0023441D">
        <w:t>T</w:t>
      </w:r>
      <w:r>
        <w:t xml:space="preserve">his </w:t>
      </w:r>
      <w:r w:rsidR="0023441D">
        <w:t xml:space="preserve">could </w:t>
      </w:r>
      <w:r>
        <w:t>include options such as:</w:t>
      </w:r>
    </w:p>
    <w:p w14:paraId="0DECCB73" w14:textId="77777777" w:rsidR="004F6436" w:rsidRDefault="003B0563" w:rsidP="004F6436">
      <w:pPr>
        <w:pStyle w:val="ListParagraph"/>
        <w:numPr>
          <w:ilvl w:val="0"/>
          <w:numId w:val="12"/>
        </w:numPr>
        <w:tabs>
          <w:tab w:val="left" w:pos="851"/>
        </w:tabs>
        <w:spacing w:before="120" w:after="120"/>
        <w:ind w:hanging="357"/>
        <w:contextualSpacing w:val="0"/>
      </w:pPr>
      <w:r w:rsidRPr="003B0563">
        <w:t>reducing multiple payphones at the same site or in close proximity</w:t>
      </w:r>
    </w:p>
    <w:p w14:paraId="0DECCB74" w14:textId="77777777" w:rsidR="004F6436" w:rsidRDefault="00562C8A" w:rsidP="004F6436">
      <w:pPr>
        <w:pStyle w:val="ListParagraph"/>
        <w:numPr>
          <w:ilvl w:val="0"/>
          <w:numId w:val="12"/>
        </w:numPr>
        <w:tabs>
          <w:tab w:val="left" w:pos="851"/>
        </w:tabs>
        <w:spacing w:before="120" w:after="120"/>
        <w:ind w:hanging="357"/>
        <w:contextualSpacing w:val="0"/>
      </w:pPr>
      <w:r>
        <w:t xml:space="preserve">retaining </w:t>
      </w:r>
      <w:r w:rsidR="004F6436">
        <w:t xml:space="preserve">payphones in </w:t>
      </w:r>
      <w:r>
        <w:t>locations of greatest utility, like</w:t>
      </w:r>
    </w:p>
    <w:p w14:paraId="0DECCB75" w14:textId="77777777" w:rsidR="004F6436" w:rsidRDefault="004F6436" w:rsidP="004F6436">
      <w:pPr>
        <w:pStyle w:val="ListParagraph"/>
        <w:numPr>
          <w:ilvl w:val="1"/>
          <w:numId w:val="12"/>
        </w:numPr>
        <w:tabs>
          <w:tab w:val="left" w:pos="851"/>
        </w:tabs>
        <w:spacing w:before="120" w:after="120"/>
        <w:ind w:hanging="357"/>
        <w:contextualSpacing w:val="0"/>
      </w:pPr>
      <w:r>
        <w:t xml:space="preserve">areas outside mobile coverage </w:t>
      </w:r>
    </w:p>
    <w:p w14:paraId="0DECCB76" w14:textId="77777777" w:rsidR="00BF4105" w:rsidRDefault="00BF4105" w:rsidP="004F6436">
      <w:pPr>
        <w:pStyle w:val="ListParagraph"/>
        <w:numPr>
          <w:ilvl w:val="1"/>
          <w:numId w:val="12"/>
        </w:numPr>
        <w:tabs>
          <w:tab w:val="left" w:pos="851"/>
        </w:tabs>
        <w:spacing w:before="120" w:after="120"/>
        <w:ind w:hanging="357"/>
        <w:contextualSpacing w:val="0"/>
      </w:pPr>
      <w:r>
        <w:t>Indigenous communities</w:t>
      </w:r>
    </w:p>
    <w:p w14:paraId="0DECCB77" w14:textId="77777777" w:rsidR="00BF4105" w:rsidRDefault="00BF4105" w:rsidP="004F6436">
      <w:pPr>
        <w:pStyle w:val="ListParagraph"/>
        <w:numPr>
          <w:ilvl w:val="1"/>
          <w:numId w:val="12"/>
        </w:numPr>
        <w:tabs>
          <w:tab w:val="left" w:pos="851"/>
        </w:tabs>
        <w:spacing w:before="120" w:after="120"/>
        <w:ind w:hanging="357"/>
        <w:contextualSpacing w:val="0"/>
      </w:pPr>
      <w:r>
        <w:t>in areas of demonstrated high usage</w:t>
      </w:r>
    </w:p>
    <w:p w14:paraId="0DECCB78" w14:textId="77777777" w:rsidR="004F6436" w:rsidRDefault="00BF4105" w:rsidP="004F6436">
      <w:pPr>
        <w:pStyle w:val="ListParagraph"/>
        <w:numPr>
          <w:ilvl w:val="1"/>
          <w:numId w:val="12"/>
        </w:numPr>
        <w:tabs>
          <w:tab w:val="left" w:pos="851"/>
        </w:tabs>
        <w:spacing w:before="120" w:after="120"/>
        <w:ind w:hanging="357"/>
        <w:contextualSpacing w:val="0"/>
      </w:pPr>
      <w:r>
        <w:t>in more isolated communities</w:t>
      </w:r>
      <w:r w:rsidR="004F6436">
        <w:t xml:space="preserve"> </w:t>
      </w:r>
    </w:p>
    <w:p w14:paraId="0DECCB79" w14:textId="77777777" w:rsidR="004F6436" w:rsidRDefault="004F6436" w:rsidP="004F6436">
      <w:pPr>
        <w:pStyle w:val="ListParagraph"/>
        <w:numPr>
          <w:ilvl w:val="1"/>
          <w:numId w:val="12"/>
        </w:numPr>
        <w:tabs>
          <w:tab w:val="left" w:pos="851"/>
        </w:tabs>
        <w:spacing w:before="120" w:after="240"/>
        <w:ind w:left="1434" w:hanging="357"/>
        <w:contextualSpacing w:val="0"/>
      </w:pPr>
      <w:r>
        <w:t>areas of greatest socio-economic disadvantage</w:t>
      </w:r>
    </w:p>
    <w:p w14:paraId="0DECCB7A" w14:textId="77777777" w:rsidR="0023441D" w:rsidRDefault="00C5017B" w:rsidP="004F6436">
      <w:pPr>
        <w:spacing w:after="240"/>
      </w:pPr>
      <w:r>
        <w:t>As a range of options are available, t</w:t>
      </w:r>
      <w:r w:rsidR="00562C8A">
        <w:t>he final approach in this are</w:t>
      </w:r>
      <w:r>
        <w:t>a should be</w:t>
      </w:r>
      <w:r w:rsidR="00BF4105">
        <w:t xml:space="preserve"> </w:t>
      </w:r>
      <w:r w:rsidR="0023441D">
        <w:t xml:space="preserve">subject to further market research, testing of community views and </w:t>
      </w:r>
      <w:r>
        <w:t>satisfactory negotiations in relation to savings</w:t>
      </w:r>
      <w:r w:rsidR="0023441D">
        <w:t xml:space="preserve">. </w:t>
      </w:r>
      <w:r w:rsidR="00BF4105">
        <w:t xml:space="preserve">This </w:t>
      </w:r>
      <w:r w:rsidR="00D25DD7">
        <w:t xml:space="preserve">work </w:t>
      </w:r>
      <w:r w:rsidR="001E3E9A">
        <w:t xml:space="preserve">could </w:t>
      </w:r>
      <w:r w:rsidR="00BF4105">
        <w:t>also assist with the development of targeted programs</w:t>
      </w:r>
      <w:r w:rsidR="00F225F0">
        <w:t xml:space="preserve">, if required, </w:t>
      </w:r>
      <w:r w:rsidR="00BF4105">
        <w:t xml:space="preserve">to </w:t>
      </w:r>
      <w:r w:rsidR="00455577">
        <w:t>help</w:t>
      </w:r>
      <w:r w:rsidR="00BF4105">
        <w:t xml:space="preserve"> any vulnerable groups who may be </w:t>
      </w:r>
      <w:r>
        <w:t xml:space="preserve">unduly </w:t>
      </w:r>
      <w:r w:rsidR="00BF4105">
        <w:t>affected by a reduction in payphones. For example, it may be such groups would be helped by providing easier access to low cost mobile phones and service</w:t>
      </w:r>
      <w:r w:rsidR="00455577">
        <w:t>s, including Wi-Fi</w:t>
      </w:r>
      <w:r w:rsidR="00BF4105">
        <w:t xml:space="preserve">, something </w:t>
      </w:r>
      <w:r w:rsidR="00F225F0">
        <w:t xml:space="preserve">which </w:t>
      </w:r>
      <w:r w:rsidR="00BF4105">
        <w:t xml:space="preserve">could also offer them greater </w:t>
      </w:r>
      <w:r w:rsidR="00455577">
        <w:t>freedom</w:t>
      </w:r>
      <w:r w:rsidR="00BF4105">
        <w:t xml:space="preserve"> and flexibility.</w:t>
      </w:r>
    </w:p>
    <w:p w14:paraId="0DECCB7B" w14:textId="77777777" w:rsidR="00455577" w:rsidRPr="00F31E71" w:rsidRDefault="00455577" w:rsidP="000A118F">
      <w:pPr>
        <w:pStyle w:val="Heading3"/>
      </w:pPr>
      <w:bookmarkStart w:id="82" w:name="_Toc529783741"/>
      <w:r>
        <w:t>Next steps</w:t>
      </w:r>
      <w:bookmarkEnd w:id="82"/>
    </w:p>
    <w:p w14:paraId="0DECCB7C" w14:textId="77777777" w:rsidR="00455577" w:rsidRDefault="00455577" w:rsidP="00455577">
      <w:pPr>
        <w:spacing w:before="120" w:after="120"/>
      </w:pPr>
      <w:r>
        <w:t xml:space="preserve">While </w:t>
      </w:r>
      <w:r w:rsidR="0087520C">
        <w:t>our</w:t>
      </w:r>
      <w:r>
        <w:t xml:space="preserve"> </w:t>
      </w:r>
      <w:r w:rsidR="0003509E">
        <w:t>conclusion</w:t>
      </w:r>
      <w:r>
        <w:t xml:space="preserve"> is the USG is best delivered for now by relying </w:t>
      </w:r>
      <w:r w:rsidR="00C00ED6">
        <w:t xml:space="preserve">primarily </w:t>
      </w:r>
      <w:r>
        <w:t xml:space="preserve">on the </w:t>
      </w:r>
      <w:r w:rsidR="003E11FE">
        <w:t>NBN</w:t>
      </w:r>
      <w:r>
        <w:t xml:space="preserve"> </w:t>
      </w:r>
      <w:r w:rsidR="00F225F0">
        <w:t xml:space="preserve">(for broadband) </w:t>
      </w:r>
      <w:r>
        <w:t xml:space="preserve">and the existing </w:t>
      </w:r>
      <w:r w:rsidR="00C5017B">
        <w:t>USO contract</w:t>
      </w:r>
      <w:r w:rsidR="00F225F0">
        <w:t xml:space="preserve"> (for voice services and payphones)</w:t>
      </w:r>
      <w:r>
        <w:t xml:space="preserve">, </w:t>
      </w:r>
      <w:r w:rsidR="0087520C">
        <w:t xml:space="preserve">we </w:t>
      </w:r>
      <w:r>
        <w:t xml:space="preserve">consider a better long term </w:t>
      </w:r>
      <w:r w:rsidR="00D26F5C">
        <w:t xml:space="preserve">USG </w:t>
      </w:r>
      <w:r>
        <w:t xml:space="preserve">delivery model can be put in place over </w:t>
      </w:r>
      <w:r w:rsidR="0003509E">
        <w:t>time</w:t>
      </w:r>
      <w:r>
        <w:t xml:space="preserve"> and will </w:t>
      </w:r>
      <w:r w:rsidR="0003509E">
        <w:t>ultimately</w:t>
      </w:r>
      <w:r>
        <w:t xml:space="preserve"> be required.</w:t>
      </w:r>
    </w:p>
    <w:p w14:paraId="0DECCB7D" w14:textId="77777777" w:rsidR="00C5017B" w:rsidRDefault="004F0F4D" w:rsidP="009E3122">
      <w:pPr>
        <w:tabs>
          <w:tab w:val="left" w:pos="851"/>
        </w:tabs>
        <w:spacing w:before="120" w:after="120"/>
      </w:pPr>
      <w:r>
        <w:t>W</w:t>
      </w:r>
      <w:r w:rsidR="0087520C">
        <w:t>e</w:t>
      </w:r>
      <w:r w:rsidR="00455577">
        <w:t xml:space="preserve"> </w:t>
      </w:r>
      <w:r w:rsidR="0003509E">
        <w:t>therefore</w:t>
      </w:r>
      <w:r w:rsidR="00455577">
        <w:t xml:space="preserve"> </w:t>
      </w:r>
      <w:r w:rsidR="0003509E">
        <w:t>propose</w:t>
      </w:r>
      <w:r w:rsidR="00455577">
        <w:t xml:space="preserve"> a range </w:t>
      </w:r>
      <w:r w:rsidR="0003509E">
        <w:t>of</w:t>
      </w:r>
      <w:r w:rsidR="00455577">
        <w:t xml:space="preserve"> further work including</w:t>
      </w:r>
      <w:r w:rsidR="00C5017B">
        <w:t>:</w:t>
      </w:r>
    </w:p>
    <w:p w14:paraId="0DECCB7E" w14:textId="77777777" w:rsidR="00455577" w:rsidRDefault="00C5017B" w:rsidP="00A761DB">
      <w:pPr>
        <w:pStyle w:val="ListParagraph"/>
        <w:numPr>
          <w:ilvl w:val="0"/>
          <w:numId w:val="12"/>
        </w:numPr>
        <w:tabs>
          <w:tab w:val="left" w:pos="851"/>
        </w:tabs>
        <w:spacing w:before="120" w:after="120"/>
        <w:ind w:hanging="357"/>
        <w:contextualSpacing w:val="0"/>
      </w:pPr>
      <w:r>
        <w:t>detailed</w:t>
      </w:r>
      <w:r w:rsidR="00455577">
        <w:t xml:space="preserve"> market research </w:t>
      </w:r>
      <w:r>
        <w:t>on</w:t>
      </w:r>
      <w:r w:rsidR="00455577">
        <w:t xml:space="preserve"> both regional </w:t>
      </w:r>
      <w:r w:rsidR="0003509E">
        <w:t>communications and</w:t>
      </w:r>
      <w:r w:rsidR="00455577">
        <w:t xml:space="preserve"> payphones</w:t>
      </w:r>
    </w:p>
    <w:p w14:paraId="0DECCB7F" w14:textId="77777777" w:rsidR="00455577" w:rsidRDefault="00455577" w:rsidP="00455577">
      <w:pPr>
        <w:pStyle w:val="ListParagraph"/>
        <w:numPr>
          <w:ilvl w:val="0"/>
          <w:numId w:val="12"/>
        </w:numPr>
        <w:tabs>
          <w:tab w:val="left" w:pos="851"/>
        </w:tabs>
        <w:spacing w:before="120" w:after="120"/>
        <w:ind w:hanging="357"/>
        <w:contextualSpacing w:val="0"/>
      </w:pPr>
      <w:r>
        <w:t xml:space="preserve">more refined cost modelling </w:t>
      </w:r>
    </w:p>
    <w:p w14:paraId="0DECCB80" w14:textId="77777777" w:rsidR="00455577" w:rsidRDefault="00455577" w:rsidP="00455577">
      <w:pPr>
        <w:pStyle w:val="ListParagraph"/>
        <w:numPr>
          <w:ilvl w:val="0"/>
          <w:numId w:val="12"/>
        </w:numPr>
        <w:tabs>
          <w:tab w:val="left" w:pos="851"/>
        </w:tabs>
        <w:spacing w:before="120" w:after="120"/>
        <w:ind w:hanging="357"/>
        <w:contextualSpacing w:val="0"/>
      </w:pPr>
      <w:r>
        <w:t xml:space="preserve">a trial to test and demonstrate </w:t>
      </w:r>
      <w:r w:rsidR="00F225F0">
        <w:t xml:space="preserve">the quality of </w:t>
      </w:r>
      <w:r>
        <w:t xml:space="preserve">alternative voice solutions to consumers </w:t>
      </w:r>
    </w:p>
    <w:p w14:paraId="0DECCB81" w14:textId="77777777" w:rsidR="00455577" w:rsidRDefault="00455577" w:rsidP="00455577">
      <w:pPr>
        <w:pStyle w:val="ListParagraph"/>
        <w:numPr>
          <w:ilvl w:val="0"/>
          <w:numId w:val="12"/>
        </w:numPr>
        <w:tabs>
          <w:tab w:val="left" w:pos="851"/>
        </w:tabs>
        <w:spacing w:before="120" w:after="120"/>
        <w:ind w:hanging="357"/>
        <w:contextualSpacing w:val="0"/>
      </w:pPr>
      <w:r>
        <w:t xml:space="preserve">further engagement with Telstra, </w:t>
      </w:r>
      <w:r w:rsidR="003E11FE">
        <w:t>NBN</w:t>
      </w:r>
      <w:r>
        <w:t xml:space="preserve"> Co and other industry players on practical solutions </w:t>
      </w:r>
    </w:p>
    <w:p w14:paraId="0DECCB82" w14:textId="77777777" w:rsidR="00455577" w:rsidRDefault="00455577" w:rsidP="00455577">
      <w:pPr>
        <w:pStyle w:val="ListParagraph"/>
        <w:numPr>
          <w:ilvl w:val="0"/>
          <w:numId w:val="12"/>
        </w:numPr>
        <w:tabs>
          <w:tab w:val="left" w:pos="851"/>
        </w:tabs>
        <w:spacing w:before="120" w:after="120"/>
        <w:ind w:hanging="357"/>
        <w:contextualSpacing w:val="0"/>
      </w:pPr>
      <w:r>
        <w:t xml:space="preserve">a communications and support program for regional consumers </w:t>
      </w:r>
    </w:p>
    <w:p w14:paraId="0DECCB83" w14:textId="77777777" w:rsidR="00455577" w:rsidRDefault="00455577" w:rsidP="00455577">
      <w:pPr>
        <w:pStyle w:val="ListParagraph"/>
        <w:numPr>
          <w:ilvl w:val="0"/>
          <w:numId w:val="12"/>
        </w:numPr>
        <w:tabs>
          <w:tab w:val="left" w:pos="851"/>
        </w:tabs>
        <w:spacing w:before="120" w:after="120"/>
        <w:ind w:hanging="357"/>
        <w:contextualSpacing w:val="0"/>
      </w:pPr>
      <w:r>
        <w:t xml:space="preserve">the development of contestable delivery models </w:t>
      </w:r>
    </w:p>
    <w:p w14:paraId="0DECCB84" w14:textId="77777777" w:rsidR="00455577" w:rsidRDefault="00455577" w:rsidP="00E671EE">
      <w:pPr>
        <w:pStyle w:val="ListParagraph"/>
        <w:numPr>
          <w:ilvl w:val="0"/>
          <w:numId w:val="12"/>
        </w:numPr>
        <w:tabs>
          <w:tab w:val="left" w:pos="851"/>
        </w:tabs>
        <w:spacing w:before="120" w:after="120"/>
        <w:ind w:hanging="357"/>
        <w:contextualSpacing w:val="0"/>
      </w:pPr>
      <w:r>
        <w:t xml:space="preserve">the development of </w:t>
      </w:r>
      <w:r w:rsidR="00F225F0">
        <w:t xml:space="preserve">contractual and associated </w:t>
      </w:r>
      <w:r>
        <w:t xml:space="preserve">regulatory changes, </w:t>
      </w:r>
      <w:r w:rsidR="0003509E">
        <w:t>particularly</w:t>
      </w:r>
      <w:r>
        <w:t xml:space="preserve"> for payphones </w:t>
      </w:r>
    </w:p>
    <w:p w14:paraId="0DECCB85" w14:textId="77777777" w:rsidR="00C5017B" w:rsidRPr="0009274F" w:rsidRDefault="00C5017B" w:rsidP="00C5017B">
      <w:pPr>
        <w:spacing w:before="120" w:after="120"/>
      </w:pPr>
      <w:r>
        <w:t xml:space="preserve">As part of this work, we propose to explore with Telstra </w:t>
      </w:r>
      <w:r w:rsidRPr="00725D9D">
        <w:t xml:space="preserve">what </w:t>
      </w:r>
      <w:r>
        <w:t>benefits</w:t>
      </w:r>
      <w:r w:rsidRPr="00725D9D">
        <w:t xml:space="preserve"> could be </w:t>
      </w:r>
      <w:r>
        <w:t>realised</w:t>
      </w:r>
      <w:r w:rsidRPr="00725D9D">
        <w:t xml:space="preserve"> if </w:t>
      </w:r>
      <w:r>
        <w:t>it</w:t>
      </w:r>
      <w:r w:rsidRPr="00725D9D">
        <w:t xml:space="preserve"> had greater technological flexibility under the USO contract</w:t>
      </w:r>
      <w:r>
        <w:t xml:space="preserve">, subject to consumers’ interests being </w:t>
      </w:r>
      <w:r w:rsidR="00B048D9">
        <w:t>effectively</w:t>
      </w:r>
      <w:r>
        <w:t xml:space="preserve"> protected, flow-on cost impacts being con</w:t>
      </w:r>
      <w:r w:rsidR="00B048D9">
        <w:t>tained</w:t>
      </w:r>
      <w:r w:rsidR="00ED2FD2">
        <w:t>,</w:t>
      </w:r>
      <w:r w:rsidR="00B048D9">
        <w:t xml:space="preserve"> </w:t>
      </w:r>
      <w:r>
        <w:t>and satisfactory negotiations on the treatment of any savings.</w:t>
      </w:r>
      <w:r w:rsidRPr="00725D9D">
        <w:t xml:space="preserve"> For example, </w:t>
      </w:r>
      <w:r>
        <w:t xml:space="preserve">if </w:t>
      </w:r>
      <w:r w:rsidRPr="00725D9D">
        <w:t xml:space="preserve">greater use of wireless </w:t>
      </w:r>
      <w:r>
        <w:t xml:space="preserve">benefitted consumers because it provided a better </w:t>
      </w:r>
      <w:r>
        <w:lastRenderedPageBreak/>
        <w:t>service and greater mobility and was acceptable to them, it is not clear why it should not be facilitated if it can be done without increasing costs.</w:t>
      </w:r>
      <w:r w:rsidR="00B048D9">
        <w:t xml:space="preserve"> We envisage this work </w:t>
      </w:r>
      <w:r w:rsidR="0009274F" w:rsidRPr="00DB649D">
        <w:rPr>
          <w:rFonts w:ascii="Calibri" w:hAnsi="Calibri"/>
          <w:iCs/>
        </w:rPr>
        <w:t xml:space="preserve">will reinforce the long term, sustainable delivery of </w:t>
      </w:r>
      <w:r w:rsidR="00DB649D">
        <w:rPr>
          <w:rFonts w:ascii="Calibri" w:hAnsi="Calibri"/>
          <w:iCs/>
        </w:rPr>
        <w:t xml:space="preserve">baseline </w:t>
      </w:r>
      <w:r w:rsidR="0009274F" w:rsidRPr="00DB649D">
        <w:rPr>
          <w:rFonts w:ascii="Calibri" w:hAnsi="Calibri"/>
          <w:iCs/>
        </w:rPr>
        <w:t>telecommunications in regional Australia</w:t>
      </w:r>
      <w:r w:rsidR="00B048D9" w:rsidRPr="0009274F">
        <w:t>.</w:t>
      </w:r>
    </w:p>
    <w:p w14:paraId="0DECCB86" w14:textId="77777777" w:rsidR="007F573D" w:rsidRDefault="0087520C" w:rsidP="009D45AB">
      <w:pPr>
        <w:tabs>
          <w:tab w:val="left" w:pos="851"/>
        </w:tabs>
        <w:spacing w:before="120" w:after="120"/>
      </w:pPr>
      <w:r>
        <w:t>We</w:t>
      </w:r>
      <w:r w:rsidR="00455577">
        <w:t xml:space="preserve"> </w:t>
      </w:r>
      <w:r w:rsidR="007F573D">
        <w:t>emphasise</w:t>
      </w:r>
      <w:r w:rsidR="00455577">
        <w:t>,</w:t>
      </w:r>
      <w:r w:rsidR="00466C68">
        <w:t xml:space="preserve"> </w:t>
      </w:r>
      <w:r w:rsidR="00455577">
        <w:t xml:space="preserve">however, that </w:t>
      </w:r>
      <w:r>
        <w:t xml:space="preserve">our </w:t>
      </w:r>
      <w:r w:rsidR="00455577">
        <w:t xml:space="preserve">strong view is that the </w:t>
      </w:r>
      <w:r w:rsidR="007F573D">
        <w:t>current</w:t>
      </w:r>
      <w:r w:rsidR="00455577">
        <w:t xml:space="preserve"> voice arrangements should remain in place and be effectively administered unless and until robust acceptable proven </w:t>
      </w:r>
      <w:r w:rsidR="007F573D">
        <w:t>alternatives</w:t>
      </w:r>
      <w:r w:rsidR="00455577">
        <w:t xml:space="preserve"> are identified </w:t>
      </w:r>
      <w:r w:rsidR="007F573D">
        <w:t>and</w:t>
      </w:r>
      <w:r w:rsidR="00455577">
        <w:t xml:space="preserve"> </w:t>
      </w:r>
      <w:r w:rsidR="007F573D">
        <w:t xml:space="preserve">able to be </w:t>
      </w:r>
      <w:r w:rsidR="00263E4E">
        <w:t>implemented</w:t>
      </w:r>
      <w:r w:rsidR="007F573D">
        <w:t xml:space="preserve">. In all instances, </w:t>
      </w:r>
      <w:r>
        <w:t xml:space="preserve">we </w:t>
      </w:r>
      <w:r w:rsidR="007F573D">
        <w:t xml:space="preserve">would only see change taking place after careful planning and close consultation with stakeholders. Any change process would need to be staged and take place over an extended period, most likely years. </w:t>
      </w:r>
      <w:r w:rsidR="0041282D">
        <w:t>We</w:t>
      </w:r>
      <w:r w:rsidR="007F573D">
        <w:t xml:space="preserve"> would also expect </w:t>
      </w:r>
      <w:r w:rsidR="00462BA8">
        <w:t xml:space="preserve">existing </w:t>
      </w:r>
      <w:r w:rsidR="007F573D">
        <w:t xml:space="preserve">services </w:t>
      </w:r>
      <w:r w:rsidR="00462BA8">
        <w:t xml:space="preserve">to </w:t>
      </w:r>
      <w:r w:rsidR="007F573D">
        <w:t>remain in place until new services were provided and were proven to work over a sensible transition period.</w:t>
      </w:r>
    </w:p>
    <w:p w14:paraId="0DECCB87" w14:textId="77777777" w:rsidR="00B07289" w:rsidRPr="00CD63F5" w:rsidRDefault="00B07289">
      <w:pPr>
        <w:spacing w:after="160" w:line="259" w:lineRule="auto"/>
        <w:rPr>
          <w:lang w:eastAsia="en-US"/>
        </w:rPr>
      </w:pPr>
      <w:r w:rsidRPr="00CD63F5">
        <w:rPr>
          <w:lang w:eastAsia="en-US"/>
        </w:rPr>
        <w:br w:type="page"/>
      </w:r>
    </w:p>
    <w:p w14:paraId="0DECCB88" w14:textId="77777777" w:rsidR="00B07289" w:rsidRPr="00950DB6" w:rsidRDefault="00B07289" w:rsidP="00950DB6">
      <w:pPr>
        <w:pStyle w:val="Heading2"/>
      </w:pPr>
      <w:bookmarkStart w:id="83" w:name="_Toc520983390"/>
      <w:bookmarkStart w:id="84" w:name="_Toc520986062"/>
      <w:bookmarkStart w:id="85" w:name="_Toc529783742"/>
      <w:r w:rsidRPr="00950DB6">
        <w:lastRenderedPageBreak/>
        <w:t xml:space="preserve">Appendix 1: </w:t>
      </w:r>
      <w:bookmarkEnd w:id="83"/>
      <w:bookmarkEnd w:id="84"/>
      <w:r w:rsidR="001B6508" w:rsidRPr="00950DB6">
        <w:t>Stakeholder consultation</w:t>
      </w:r>
      <w:bookmarkEnd w:id="85"/>
    </w:p>
    <w:p w14:paraId="0DECCB89" w14:textId="77777777" w:rsidR="00B96C4B" w:rsidRDefault="00B96C4B" w:rsidP="009D45AB">
      <w:pPr>
        <w:spacing w:after="120"/>
      </w:pPr>
      <w:r>
        <w:t xml:space="preserve">A series of </w:t>
      </w:r>
      <w:r w:rsidR="00EE6DA8">
        <w:t>g</w:t>
      </w:r>
      <w:r>
        <w:t>overnment consultation processes have been undertaken regarding USO reform</w:t>
      </w:r>
      <w:r w:rsidR="00EE6DA8">
        <w:t xml:space="preserve"> over the past years</w:t>
      </w:r>
      <w:r>
        <w:t xml:space="preserve">, </w:t>
      </w:r>
      <w:r w:rsidR="00EE6DA8">
        <w:t xml:space="preserve">engaging with </w:t>
      </w:r>
      <w:r>
        <w:t>a number of key stakeholders. These have canvased a wide range of views on potential options for reform, including those explored in this report.</w:t>
      </w:r>
      <w:r w:rsidR="00E96C9E">
        <w:t xml:space="preserve"> </w:t>
      </w:r>
      <w:r w:rsidR="0041282D">
        <w:t>We</w:t>
      </w:r>
      <w:r w:rsidR="00E96C9E">
        <w:t xml:space="preserve"> </w:t>
      </w:r>
      <w:r w:rsidR="00EE6DA8">
        <w:t xml:space="preserve">would again like to </w:t>
      </w:r>
      <w:r w:rsidR="00E96C9E">
        <w:t>thank stakeholders for their time and considered contributions</w:t>
      </w:r>
      <w:r w:rsidR="00EE6DA8">
        <w:t xml:space="preserve"> to these past processes and our work</w:t>
      </w:r>
      <w:r w:rsidR="00E96C9E">
        <w:t xml:space="preserve">. </w:t>
      </w:r>
    </w:p>
    <w:p w14:paraId="0DECCB8A" w14:textId="77777777" w:rsidR="00B96C4B" w:rsidRPr="002F6F5A" w:rsidRDefault="00B96C4B" w:rsidP="009D45AB">
      <w:pPr>
        <w:spacing w:after="120"/>
        <w:rPr>
          <w:b/>
        </w:rPr>
      </w:pPr>
      <w:r w:rsidRPr="002F6F5A">
        <w:rPr>
          <w:b/>
        </w:rPr>
        <w:t>Regional and consumer groups</w:t>
      </w:r>
    </w:p>
    <w:p w14:paraId="0DECCB8B" w14:textId="77777777" w:rsidR="00E96C9E" w:rsidRDefault="00B96C4B">
      <w:pPr>
        <w:pStyle w:val="ListParagraph"/>
        <w:numPr>
          <w:ilvl w:val="0"/>
          <w:numId w:val="9"/>
        </w:numPr>
        <w:spacing w:after="240"/>
      </w:pPr>
      <w:r w:rsidRPr="00801C08">
        <w:t>Regional, Rural and Remote Communications Coalition</w:t>
      </w:r>
      <w:r>
        <w:t xml:space="preserve"> (RRRCC)</w:t>
      </w:r>
      <w:r w:rsidR="00CF6B65">
        <w:t>:</w:t>
      </w:r>
    </w:p>
    <w:p w14:paraId="0DECCB8C" w14:textId="77777777" w:rsidR="00CF6B65" w:rsidRPr="009D45AB" w:rsidRDefault="00CF6B65" w:rsidP="00E671EE">
      <w:pPr>
        <w:pStyle w:val="ListParagraph"/>
        <w:numPr>
          <w:ilvl w:val="1"/>
          <w:numId w:val="9"/>
        </w:numPr>
        <w:spacing w:after="240"/>
        <w:rPr>
          <w:i/>
        </w:rPr>
      </w:pPr>
      <w:r>
        <w:t>Australian Communications Consumer Action Network (ACCAN)</w:t>
      </w:r>
    </w:p>
    <w:p w14:paraId="0DECCB8D" w14:textId="77777777" w:rsidR="00CF6B65" w:rsidRPr="00416A2C" w:rsidRDefault="00CF6B65" w:rsidP="00CF6B65">
      <w:pPr>
        <w:pStyle w:val="ListParagraph"/>
        <w:numPr>
          <w:ilvl w:val="1"/>
          <w:numId w:val="9"/>
        </w:numPr>
        <w:spacing w:after="240"/>
        <w:rPr>
          <w:i/>
        </w:rPr>
      </w:pPr>
      <w:proofErr w:type="spellStart"/>
      <w:r>
        <w:t>AgForce</w:t>
      </w:r>
      <w:proofErr w:type="spellEnd"/>
      <w:r>
        <w:t xml:space="preserve"> Queensland</w:t>
      </w:r>
    </w:p>
    <w:p w14:paraId="0DECCB8E" w14:textId="77777777" w:rsidR="00CF6B65" w:rsidRDefault="00CF6B65" w:rsidP="00CF6B65">
      <w:pPr>
        <w:pStyle w:val="ListParagraph"/>
        <w:numPr>
          <w:ilvl w:val="1"/>
          <w:numId w:val="9"/>
        </w:numPr>
        <w:spacing w:after="240"/>
      </w:pPr>
      <w:r>
        <w:t xml:space="preserve">Australian Forest Products Association </w:t>
      </w:r>
    </w:p>
    <w:p w14:paraId="0DECCB8F" w14:textId="77777777" w:rsidR="00B96C4B" w:rsidRDefault="00B96C4B" w:rsidP="00E671EE">
      <w:pPr>
        <w:pStyle w:val="ListParagraph"/>
        <w:numPr>
          <w:ilvl w:val="1"/>
          <w:numId w:val="9"/>
        </w:numPr>
        <w:spacing w:after="240"/>
      </w:pPr>
      <w:r>
        <w:t xml:space="preserve">Better Internet for </w:t>
      </w:r>
      <w:r w:rsidR="009A2BB3">
        <w:t xml:space="preserve">Rural, </w:t>
      </w:r>
      <w:r>
        <w:t>Regional and Remote Australia (BIRRR)</w:t>
      </w:r>
    </w:p>
    <w:p w14:paraId="0DECCB90" w14:textId="77777777" w:rsidR="00CF6B65" w:rsidRDefault="00CF6B65" w:rsidP="00CF6B65">
      <w:pPr>
        <w:pStyle w:val="ListParagraph"/>
        <w:numPr>
          <w:ilvl w:val="1"/>
          <w:numId w:val="9"/>
        </w:numPr>
        <w:spacing w:after="240"/>
      </w:pPr>
      <w:r>
        <w:t>Broadband for the Bush Alliance Network (BB4A)</w:t>
      </w:r>
    </w:p>
    <w:p w14:paraId="0DECCB91" w14:textId="77777777" w:rsidR="00CF6B65" w:rsidRDefault="00CF6B65" w:rsidP="00CF6B65">
      <w:pPr>
        <w:pStyle w:val="ListParagraph"/>
        <w:numPr>
          <w:ilvl w:val="1"/>
          <w:numId w:val="9"/>
        </w:numPr>
        <w:spacing w:after="240"/>
      </w:pPr>
      <w:r>
        <w:t>Cotton Australia</w:t>
      </w:r>
    </w:p>
    <w:p w14:paraId="0DECCB92" w14:textId="77777777" w:rsidR="00CF6B65" w:rsidRDefault="00CF6B65" w:rsidP="00CF6B65">
      <w:pPr>
        <w:pStyle w:val="ListParagraph"/>
        <w:numPr>
          <w:ilvl w:val="1"/>
          <w:numId w:val="9"/>
        </w:numPr>
        <w:spacing w:after="240"/>
      </w:pPr>
      <w:r>
        <w:t>Country Women’s Association – National, NSW and South Australia</w:t>
      </w:r>
    </w:p>
    <w:p w14:paraId="0DECCB93" w14:textId="77777777" w:rsidR="00E11C88" w:rsidRDefault="00CF6B65" w:rsidP="00CF6B65">
      <w:pPr>
        <w:pStyle w:val="ListParagraph"/>
        <w:numPr>
          <w:ilvl w:val="1"/>
          <w:numId w:val="9"/>
        </w:numPr>
        <w:spacing w:after="240"/>
      </w:pPr>
      <w:proofErr w:type="spellStart"/>
      <w:r>
        <w:t>GrainGrowers</w:t>
      </w:r>
      <w:proofErr w:type="spellEnd"/>
    </w:p>
    <w:p w14:paraId="0DECCB94" w14:textId="77777777" w:rsidR="00E11C88" w:rsidRDefault="00E11C88" w:rsidP="00BA0FC7">
      <w:pPr>
        <w:pStyle w:val="ListParagraph"/>
        <w:numPr>
          <w:ilvl w:val="1"/>
          <w:numId w:val="9"/>
        </w:numPr>
        <w:spacing w:after="240"/>
      </w:pPr>
      <w:r w:rsidRPr="004D34D7">
        <w:t>Isolated Children's Parents</w:t>
      </w:r>
      <w:r>
        <w:t>’</w:t>
      </w:r>
      <w:r w:rsidRPr="004D34D7">
        <w:t xml:space="preserve"> Association</w:t>
      </w:r>
      <w:r>
        <w:t xml:space="preserve"> (ICPA) – Federal </w:t>
      </w:r>
    </w:p>
    <w:p w14:paraId="0DECCB95" w14:textId="77777777" w:rsidR="00E96C9E" w:rsidRPr="009D45AB" w:rsidRDefault="00E96C9E" w:rsidP="00E671EE">
      <w:pPr>
        <w:pStyle w:val="ListParagraph"/>
        <w:numPr>
          <w:ilvl w:val="1"/>
          <w:numId w:val="9"/>
        </w:numPr>
        <w:spacing w:after="240"/>
        <w:rPr>
          <w:i/>
        </w:rPr>
      </w:pPr>
      <w:r>
        <w:t>National Farmers’ Federation (NFF)</w:t>
      </w:r>
    </w:p>
    <w:p w14:paraId="0DECCB96" w14:textId="77777777" w:rsidR="00CF6B65" w:rsidRDefault="00CF6B65" w:rsidP="00CF6B65">
      <w:pPr>
        <w:pStyle w:val="ListParagraph"/>
        <w:numPr>
          <w:ilvl w:val="1"/>
          <w:numId w:val="9"/>
        </w:numPr>
        <w:spacing w:after="240"/>
      </w:pPr>
      <w:r>
        <w:t>National Rural Health Alliance</w:t>
      </w:r>
    </w:p>
    <w:p w14:paraId="0DECCB97" w14:textId="05502D1D" w:rsidR="00CF6B65" w:rsidRDefault="00CF6B65" w:rsidP="00CF6B65">
      <w:pPr>
        <w:pStyle w:val="ListParagraph"/>
        <w:numPr>
          <w:ilvl w:val="1"/>
          <w:numId w:val="9"/>
        </w:numPr>
        <w:spacing w:after="240"/>
      </w:pPr>
      <w:r>
        <w:t>N</w:t>
      </w:r>
      <w:r w:rsidR="00EB4A55">
        <w:t>ational Rural Women’s Coalition</w:t>
      </w:r>
    </w:p>
    <w:p w14:paraId="0DECCB98" w14:textId="0DC0BCF6" w:rsidR="00CF6B65" w:rsidRDefault="00CF6B65" w:rsidP="00CF6B65">
      <w:pPr>
        <w:pStyle w:val="ListParagraph"/>
        <w:numPr>
          <w:ilvl w:val="1"/>
          <w:numId w:val="9"/>
        </w:numPr>
        <w:spacing w:after="240"/>
      </w:pPr>
      <w:r>
        <w:t>Northern Te</w:t>
      </w:r>
      <w:r w:rsidR="00EB4A55">
        <w:t>rritory Cattleman’s Association</w:t>
      </w:r>
    </w:p>
    <w:p w14:paraId="0DECCB99" w14:textId="77777777" w:rsidR="00CF6B65" w:rsidRPr="00801C08" w:rsidRDefault="00CF6B65" w:rsidP="00E671EE">
      <w:pPr>
        <w:pStyle w:val="ListParagraph"/>
        <w:numPr>
          <w:ilvl w:val="1"/>
          <w:numId w:val="9"/>
        </w:numPr>
        <w:spacing w:after="240"/>
        <w:rPr>
          <w:i/>
        </w:rPr>
      </w:pPr>
      <w:r>
        <w:t>NSW Farmers</w:t>
      </w:r>
    </w:p>
    <w:p w14:paraId="0DECCB9A" w14:textId="77777777" w:rsidR="00CF6B65" w:rsidRDefault="00CF6B65" w:rsidP="00CF6B65">
      <w:pPr>
        <w:pStyle w:val="ListParagraph"/>
        <w:numPr>
          <w:ilvl w:val="1"/>
          <w:numId w:val="9"/>
        </w:numPr>
        <w:spacing w:after="240"/>
      </w:pPr>
      <w:r>
        <w:t>The Pastoralists’ Association of West Darling</w:t>
      </w:r>
    </w:p>
    <w:p w14:paraId="0DECCB9B" w14:textId="760EC6BA" w:rsidR="00CF6B65" w:rsidRDefault="00CF6B65" w:rsidP="00CF6B65">
      <w:pPr>
        <w:pStyle w:val="ListParagraph"/>
        <w:numPr>
          <w:ilvl w:val="1"/>
          <w:numId w:val="9"/>
        </w:numPr>
        <w:spacing w:after="240"/>
      </w:pPr>
      <w:r>
        <w:t>Rice Growers Association of Australi</w:t>
      </w:r>
      <w:r w:rsidR="00EB4A55">
        <w:t>a</w:t>
      </w:r>
    </w:p>
    <w:p w14:paraId="0DECCB9C" w14:textId="0C1C9C69" w:rsidR="00CF6B65" w:rsidRPr="00E671EE" w:rsidRDefault="00CF6B65" w:rsidP="00E671EE">
      <w:pPr>
        <w:pStyle w:val="ListParagraph"/>
        <w:numPr>
          <w:ilvl w:val="1"/>
          <w:numId w:val="9"/>
        </w:numPr>
        <w:spacing w:after="240"/>
        <w:rPr>
          <w:i/>
        </w:rPr>
      </w:pPr>
      <w:r>
        <w:t>Queensland Farmers</w:t>
      </w:r>
      <w:r w:rsidR="00EB4A55">
        <w:t>’</w:t>
      </w:r>
      <w:r>
        <w:t xml:space="preserve"> Federation </w:t>
      </w:r>
    </w:p>
    <w:p w14:paraId="0DECCB9D" w14:textId="77777777" w:rsidR="00CF6B65" w:rsidRDefault="00CF6B65" w:rsidP="00CF6B65">
      <w:pPr>
        <w:pStyle w:val="ListParagraph"/>
        <w:numPr>
          <w:ilvl w:val="1"/>
          <w:numId w:val="9"/>
        </w:numPr>
        <w:spacing w:after="240"/>
      </w:pPr>
      <w:r>
        <w:t>South Australia</w:t>
      </w:r>
      <w:r w:rsidRPr="00CF6B65">
        <w:t xml:space="preserve"> </w:t>
      </w:r>
      <w:r>
        <w:t>Country Women’s Association</w:t>
      </w:r>
    </w:p>
    <w:p w14:paraId="0DECCB9E" w14:textId="77777777" w:rsidR="00E96C9E" w:rsidRPr="00E671EE" w:rsidRDefault="00E96C9E" w:rsidP="00E671EE">
      <w:pPr>
        <w:pStyle w:val="ListParagraph"/>
        <w:numPr>
          <w:ilvl w:val="1"/>
          <w:numId w:val="9"/>
        </w:numPr>
        <w:spacing w:after="240"/>
        <w:rPr>
          <w:i/>
        </w:rPr>
      </w:pPr>
      <w:r>
        <w:t>Victorian Farmers Federation</w:t>
      </w:r>
    </w:p>
    <w:p w14:paraId="0DECCB9F" w14:textId="77777777" w:rsidR="00E96C9E" w:rsidRPr="007A032F" w:rsidRDefault="00CF6B65" w:rsidP="00E96C9E">
      <w:pPr>
        <w:pStyle w:val="ListParagraph"/>
        <w:numPr>
          <w:ilvl w:val="1"/>
          <w:numId w:val="9"/>
        </w:numPr>
        <w:spacing w:after="240"/>
        <w:rPr>
          <w:i/>
        </w:rPr>
      </w:pPr>
      <w:proofErr w:type="spellStart"/>
      <w:r>
        <w:t>WA</w:t>
      </w:r>
      <w:r w:rsidR="00E96C9E">
        <w:t>Farmers</w:t>
      </w:r>
      <w:proofErr w:type="spellEnd"/>
      <w:r w:rsidR="00E96C9E">
        <w:t xml:space="preserve"> </w:t>
      </w:r>
    </w:p>
    <w:p w14:paraId="0DECCBA0" w14:textId="77777777" w:rsidR="00EE6DA8" w:rsidRDefault="00EE6DA8" w:rsidP="00A761DB">
      <w:pPr>
        <w:pStyle w:val="ListParagraph"/>
        <w:numPr>
          <w:ilvl w:val="0"/>
          <w:numId w:val="9"/>
        </w:numPr>
        <w:spacing w:after="240"/>
      </w:pPr>
      <w:r w:rsidRPr="004D34D7">
        <w:t>Isolated Children's Parents</w:t>
      </w:r>
      <w:r w:rsidR="00967427">
        <w:t>’</w:t>
      </w:r>
      <w:r w:rsidRPr="004D34D7">
        <w:t xml:space="preserve"> Association</w:t>
      </w:r>
      <w:r>
        <w:t xml:space="preserve"> (ICPA) – QLD </w:t>
      </w:r>
    </w:p>
    <w:p w14:paraId="0DECCBA1" w14:textId="77777777" w:rsidR="00B96C4B" w:rsidRDefault="00C01901" w:rsidP="00B96C4B">
      <w:pPr>
        <w:pStyle w:val="ListParagraph"/>
        <w:numPr>
          <w:ilvl w:val="0"/>
          <w:numId w:val="9"/>
        </w:numPr>
        <w:spacing w:after="240"/>
      </w:pPr>
      <w:r>
        <w:t xml:space="preserve">First Nations Media Australia (formerly </w:t>
      </w:r>
      <w:r w:rsidR="00B96C4B" w:rsidRPr="00801C08">
        <w:t>Indigenous Remote Communication Association</w:t>
      </w:r>
      <w:r>
        <w:t>)</w:t>
      </w:r>
    </w:p>
    <w:p w14:paraId="0DECCBA2" w14:textId="77777777" w:rsidR="00263E4E" w:rsidRPr="00801C08" w:rsidRDefault="00263E4E" w:rsidP="00263E4E">
      <w:pPr>
        <w:pStyle w:val="ListParagraph"/>
        <w:numPr>
          <w:ilvl w:val="0"/>
          <w:numId w:val="9"/>
        </w:numPr>
        <w:spacing w:after="240"/>
      </w:pPr>
      <w:r>
        <w:t xml:space="preserve">St Vincent de Paul/Amelie House </w:t>
      </w:r>
    </w:p>
    <w:p w14:paraId="0DECCBA3" w14:textId="77777777" w:rsidR="00263E4E" w:rsidRPr="00801C08" w:rsidRDefault="00263E4E" w:rsidP="00263E4E">
      <w:pPr>
        <w:pStyle w:val="ListParagraph"/>
        <w:numPr>
          <w:ilvl w:val="0"/>
          <w:numId w:val="9"/>
        </w:numPr>
        <w:spacing w:after="240"/>
      </w:pPr>
      <w:r w:rsidRPr="00801C08">
        <w:t>T</w:t>
      </w:r>
      <w:r>
        <w:t xml:space="preserve">elecommunications </w:t>
      </w:r>
      <w:r w:rsidRPr="00801C08">
        <w:t>I</w:t>
      </w:r>
      <w:r>
        <w:t xml:space="preserve">ndustry </w:t>
      </w:r>
      <w:r w:rsidRPr="00801C08">
        <w:t>O</w:t>
      </w:r>
      <w:r>
        <w:t>mbudsm</w:t>
      </w:r>
      <w:r w:rsidR="00967427">
        <w:t>a</w:t>
      </w:r>
      <w:r>
        <w:t>n (TIO)</w:t>
      </w:r>
    </w:p>
    <w:p w14:paraId="0DECCBA4" w14:textId="77777777" w:rsidR="00E96C9E" w:rsidRPr="002F6F5A" w:rsidRDefault="00E96C9E" w:rsidP="00E96C9E">
      <w:pPr>
        <w:spacing w:after="120"/>
        <w:rPr>
          <w:b/>
        </w:rPr>
      </w:pPr>
      <w:r w:rsidRPr="002F6F5A">
        <w:rPr>
          <w:b/>
        </w:rPr>
        <w:t>Industry</w:t>
      </w:r>
    </w:p>
    <w:p w14:paraId="0DECCBA5" w14:textId="77777777" w:rsidR="00CF6B65" w:rsidRDefault="00CF6B65" w:rsidP="00CF6B65">
      <w:pPr>
        <w:pStyle w:val="ListParagraph"/>
        <w:numPr>
          <w:ilvl w:val="0"/>
          <w:numId w:val="9"/>
        </w:numPr>
        <w:spacing w:after="240"/>
      </w:pPr>
      <w:r>
        <w:t>Activ8me</w:t>
      </w:r>
    </w:p>
    <w:p w14:paraId="0DECCBA6" w14:textId="77777777" w:rsidR="00CF6B65" w:rsidRDefault="00CF6B65" w:rsidP="00CF6B65">
      <w:pPr>
        <w:pStyle w:val="ListParagraph"/>
        <w:numPr>
          <w:ilvl w:val="0"/>
          <w:numId w:val="9"/>
        </w:numPr>
        <w:spacing w:after="240"/>
      </w:pPr>
      <w:r>
        <w:t>Communications Alliance</w:t>
      </w:r>
    </w:p>
    <w:p w14:paraId="0DECCBA7" w14:textId="77777777" w:rsidR="00CF6B65" w:rsidRDefault="00CF6B65" w:rsidP="00CF6B65">
      <w:pPr>
        <w:pStyle w:val="ListParagraph"/>
        <w:numPr>
          <w:ilvl w:val="0"/>
          <w:numId w:val="9"/>
        </w:numPr>
        <w:spacing w:after="240"/>
      </w:pPr>
      <w:proofErr w:type="spellStart"/>
      <w:r w:rsidRPr="00DF4804">
        <w:t>Commpete</w:t>
      </w:r>
      <w:proofErr w:type="spellEnd"/>
      <w:r>
        <w:t xml:space="preserve"> (</w:t>
      </w:r>
      <w:r w:rsidR="00967427">
        <w:t xml:space="preserve">formerly </w:t>
      </w:r>
      <w:r w:rsidRPr="00801C08">
        <w:t>Competitive Carriers' Coalition</w:t>
      </w:r>
      <w:r>
        <w:t>)</w:t>
      </w:r>
    </w:p>
    <w:p w14:paraId="0DECCBA8" w14:textId="77777777" w:rsidR="00CF6B65" w:rsidRDefault="00CF6B65" w:rsidP="00CF6B65">
      <w:pPr>
        <w:pStyle w:val="ListParagraph"/>
        <w:numPr>
          <w:ilvl w:val="1"/>
          <w:numId w:val="9"/>
        </w:numPr>
        <w:spacing w:after="240"/>
      </w:pPr>
      <w:proofErr w:type="spellStart"/>
      <w:r>
        <w:t>Amaysim</w:t>
      </w:r>
      <w:proofErr w:type="spellEnd"/>
    </w:p>
    <w:p w14:paraId="0DECCBA9" w14:textId="77777777" w:rsidR="00CF6B65" w:rsidRDefault="00CF6B65" w:rsidP="00E671EE">
      <w:pPr>
        <w:pStyle w:val="ListParagraph"/>
        <w:numPr>
          <w:ilvl w:val="1"/>
          <w:numId w:val="9"/>
        </w:numPr>
        <w:spacing w:after="240"/>
      </w:pPr>
      <w:r>
        <w:t>Macquarie Telecom</w:t>
      </w:r>
    </w:p>
    <w:p w14:paraId="0DECCBAA" w14:textId="77777777" w:rsidR="00CF6B65" w:rsidRDefault="00CF6B65" w:rsidP="00CF6B65">
      <w:pPr>
        <w:pStyle w:val="ListParagraph"/>
        <w:numPr>
          <w:ilvl w:val="1"/>
          <w:numId w:val="9"/>
        </w:numPr>
        <w:spacing w:after="240"/>
      </w:pPr>
      <w:proofErr w:type="spellStart"/>
      <w:r>
        <w:t>MyRepublic</w:t>
      </w:r>
      <w:proofErr w:type="spellEnd"/>
    </w:p>
    <w:p w14:paraId="0DECCBAB" w14:textId="77777777" w:rsidR="00CF6B65" w:rsidRDefault="00CF6B65" w:rsidP="00CF6B65">
      <w:pPr>
        <w:pStyle w:val="ListParagraph"/>
        <w:numPr>
          <w:ilvl w:val="1"/>
          <w:numId w:val="9"/>
        </w:numPr>
        <w:spacing w:after="240"/>
      </w:pPr>
      <w:proofErr w:type="spellStart"/>
      <w:r>
        <w:t>MyNetFone</w:t>
      </w:r>
      <w:proofErr w:type="spellEnd"/>
    </w:p>
    <w:p w14:paraId="0DECCBAC" w14:textId="77777777" w:rsidR="00CF6B65" w:rsidRDefault="00CF6B65" w:rsidP="00E671EE">
      <w:pPr>
        <w:pStyle w:val="ListParagraph"/>
        <w:numPr>
          <w:ilvl w:val="1"/>
          <w:numId w:val="9"/>
        </w:numPr>
        <w:spacing w:after="240"/>
      </w:pPr>
      <w:r>
        <w:t>Southern Phone</w:t>
      </w:r>
    </w:p>
    <w:p w14:paraId="0DECCBAD" w14:textId="77777777" w:rsidR="00CF6B65" w:rsidRDefault="00CF6B65" w:rsidP="00381921">
      <w:pPr>
        <w:pStyle w:val="ListParagraph"/>
        <w:numPr>
          <w:ilvl w:val="1"/>
          <w:numId w:val="9"/>
        </w:numPr>
        <w:spacing w:after="240"/>
      </w:pPr>
      <w:proofErr w:type="spellStart"/>
      <w:r>
        <w:t>TasmaNet</w:t>
      </w:r>
      <w:proofErr w:type="spellEnd"/>
    </w:p>
    <w:p w14:paraId="0DECCBAE" w14:textId="77777777" w:rsidR="00CF6B65" w:rsidRDefault="00CF6B65" w:rsidP="00CF6B65">
      <w:pPr>
        <w:pStyle w:val="ListParagraph"/>
        <w:numPr>
          <w:ilvl w:val="0"/>
          <w:numId w:val="9"/>
        </w:numPr>
        <w:spacing w:after="240"/>
      </w:pPr>
      <w:r>
        <w:t>IPSTAR Australia</w:t>
      </w:r>
    </w:p>
    <w:p w14:paraId="0DECCBAF" w14:textId="77777777" w:rsidR="00CF6B65" w:rsidRDefault="003E11FE" w:rsidP="00CF6B65">
      <w:pPr>
        <w:pStyle w:val="ListParagraph"/>
        <w:numPr>
          <w:ilvl w:val="0"/>
          <w:numId w:val="9"/>
        </w:numPr>
        <w:spacing w:after="240"/>
      </w:pPr>
      <w:r>
        <w:t>NBN</w:t>
      </w:r>
      <w:r w:rsidR="00CF6B65">
        <w:t xml:space="preserve"> Co</w:t>
      </w:r>
    </w:p>
    <w:p w14:paraId="0DECCBB0" w14:textId="77777777" w:rsidR="00CF6B65" w:rsidRDefault="00CF6B65" w:rsidP="00CF6B65">
      <w:pPr>
        <w:pStyle w:val="ListParagraph"/>
        <w:numPr>
          <w:ilvl w:val="0"/>
          <w:numId w:val="9"/>
        </w:numPr>
        <w:spacing w:after="240"/>
      </w:pPr>
      <w:proofErr w:type="spellStart"/>
      <w:r>
        <w:t>OneWeb</w:t>
      </w:r>
      <w:proofErr w:type="spellEnd"/>
    </w:p>
    <w:p w14:paraId="0DECCBB1" w14:textId="77777777" w:rsidR="00CF6B65" w:rsidRDefault="00CF6B65" w:rsidP="00CF6B65">
      <w:pPr>
        <w:pStyle w:val="ListParagraph"/>
        <w:numPr>
          <w:ilvl w:val="0"/>
          <w:numId w:val="9"/>
        </w:numPr>
        <w:spacing w:after="240"/>
      </w:pPr>
      <w:r>
        <w:t>Optus</w:t>
      </w:r>
    </w:p>
    <w:p w14:paraId="0DECCBB2" w14:textId="77777777" w:rsidR="00CF6B65" w:rsidRDefault="00CF6B65" w:rsidP="00CF6B65">
      <w:pPr>
        <w:pStyle w:val="ListParagraph"/>
        <w:numPr>
          <w:ilvl w:val="0"/>
          <w:numId w:val="9"/>
        </w:numPr>
        <w:spacing w:after="240"/>
      </w:pPr>
      <w:proofErr w:type="spellStart"/>
      <w:r>
        <w:t>Pivotel</w:t>
      </w:r>
      <w:proofErr w:type="spellEnd"/>
    </w:p>
    <w:p w14:paraId="0DECCBB3" w14:textId="77777777" w:rsidR="00E96C9E" w:rsidRDefault="00E96C9E" w:rsidP="00CF6B65">
      <w:pPr>
        <w:pStyle w:val="ListParagraph"/>
        <w:numPr>
          <w:ilvl w:val="0"/>
          <w:numId w:val="9"/>
        </w:numPr>
        <w:spacing w:after="240"/>
      </w:pPr>
      <w:r w:rsidRPr="00DF4804">
        <w:t>Telstra</w:t>
      </w:r>
    </w:p>
    <w:p w14:paraId="0DECCBB4" w14:textId="77777777" w:rsidR="00CF6B65" w:rsidRDefault="00CF6B65" w:rsidP="00CF6B65">
      <w:pPr>
        <w:pStyle w:val="ListParagraph"/>
        <w:numPr>
          <w:ilvl w:val="0"/>
          <w:numId w:val="9"/>
        </w:numPr>
        <w:spacing w:after="240"/>
      </w:pPr>
      <w:r>
        <w:lastRenderedPageBreak/>
        <w:t>TPG</w:t>
      </w:r>
    </w:p>
    <w:p w14:paraId="0DECCBB5" w14:textId="77777777" w:rsidR="0053649A" w:rsidRDefault="0053649A" w:rsidP="00CF6B65">
      <w:pPr>
        <w:pStyle w:val="ListParagraph"/>
        <w:numPr>
          <w:ilvl w:val="0"/>
          <w:numId w:val="9"/>
        </w:numPr>
        <w:spacing w:after="240"/>
      </w:pPr>
      <w:proofErr w:type="spellStart"/>
      <w:r>
        <w:t>Vocus</w:t>
      </w:r>
      <w:proofErr w:type="spellEnd"/>
    </w:p>
    <w:p w14:paraId="0DECCBB6" w14:textId="77777777" w:rsidR="00E96C9E" w:rsidRDefault="00E96C9E" w:rsidP="00E96C9E">
      <w:pPr>
        <w:pStyle w:val="ListParagraph"/>
        <w:numPr>
          <w:ilvl w:val="0"/>
          <w:numId w:val="9"/>
        </w:numPr>
        <w:spacing w:after="240"/>
      </w:pPr>
      <w:r>
        <w:t>Vodafone Australia</w:t>
      </w:r>
    </w:p>
    <w:p w14:paraId="0DECCBB7" w14:textId="77777777" w:rsidR="00B96C4B" w:rsidRPr="002F6F5A" w:rsidRDefault="00B96C4B" w:rsidP="009D45AB">
      <w:pPr>
        <w:spacing w:after="120"/>
        <w:rPr>
          <w:b/>
        </w:rPr>
      </w:pPr>
      <w:r w:rsidRPr="002F6F5A">
        <w:rPr>
          <w:b/>
        </w:rPr>
        <w:t>Government</w:t>
      </w:r>
    </w:p>
    <w:p w14:paraId="0DECCBB8" w14:textId="77777777" w:rsidR="00B96C4B" w:rsidRDefault="00CF6B65" w:rsidP="00B96C4B">
      <w:pPr>
        <w:pStyle w:val="ListParagraph"/>
        <w:numPr>
          <w:ilvl w:val="0"/>
          <w:numId w:val="9"/>
        </w:numPr>
        <w:spacing w:after="240"/>
      </w:pPr>
      <w:r>
        <w:t>Australian Communications and Media Authority (</w:t>
      </w:r>
      <w:r w:rsidR="00B96C4B">
        <w:t>ACMA</w:t>
      </w:r>
      <w:r>
        <w:t>)</w:t>
      </w:r>
    </w:p>
    <w:p w14:paraId="0DECCBB9" w14:textId="77777777" w:rsidR="00B96C4B" w:rsidRDefault="00CF6B65" w:rsidP="00B96C4B">
      <w:pPr>
        <w:pStyle w:val="ListParagraph"/>
        <w:numPr>
          <w:ilvl w:val="0"/>
          <w:numId w:val="9"/>
        </w:numPr>
        <w:spacing w:after="240"/>
      </w:pPr>
      <w:r>
        <w:t>Australian Competition and Consumer Commission (</w:t>
      </w:r>
      <w:r w:rsidR="00B96C4B">
        <w:t>ACCC</w:t>
      </w:r>
      <w:r>
        <w:t>)</w:t>
      </w:r>
    </w:p>
    <w:p w14:paraId="0DECCBBA" w14:textId="77777777" w:rsidR="00CF6B65" w:rsidRDefault="00CF6B65" w:rsidP="00CF6B65">
      <w:pPr>
        <w:pStyle w:val="ListParagraph"/>
        <w:numPr>
          <w:ilvl w:val="0"/>
          <w:numId w:val="9"/>
        </w:numPr>
        <w:spacing w:after="240"/>
      </w:pPr>
      <w:r>
        <w:t>Australian Local Government Association (ALGA)</w:t>
      </w:r>
    </w:p>
    <w:p w14:paraId="0DECCBBB" w14:textId="77777777" w:rsidR="00CF6B65" w:rsidRPr="00CD63F5" w:rsidRDefault="00CF6B65" w:rsidP="00EB4A55">
      <w:pPr>
        <w:pStyle w:val="ListParagraph"/>
        <w:numPr>
          <w:ilvl w:val="0"/>
          <w:numId w:val="9"/>
        </w:numPr>
        <w:spacing w:after="240"/>
      </w:pPr>
      <w:r>
        <w:t>Data61/CSIRO</w:t>
      </w:r>
    </w:p>
    <w:p w14:paraId="0DECCBBC" w14:textId="77777777" w:rsidR="00CF6B65" w:rsidRDefault="00CF6B65" w:rsidP="00CF6B65">
      <w:pPr>
        <w:pStyle w:val="ListParagraph"/>
        <w:numPr>
          <w:ilvl w:val="0"/>
          <w:numId w:val="9"/>
        </w:numPr>
        <w:spacing w:after="240"/>
      </w:pPr>
      <w:r>
        <w:t>Department of Agriculture and Water Resources</w:t>
      </w:r>
    </w:p>
    <w:p w14:paraId="0DECCBBD" w14:textId="77777777" w:rsidR="00CF6B65" w:rsidRDefault="00CF6B65" w:rsidP="00CF6B65">
      <w:pPr>
        <w:pStyle w:val="ListParagraph"/>
        <w:numPr>
          <w:ilvl w:val="0"/>
          <w:numId w:val="9"/>
        </w:numPr>
        <w:spacing w:after="240"/>
      </w:pPr>
      <w:r>
        <w:t>Department of Finance</w:t>
      </w:r>
    </w:p>
    <w:p w14:paraId="0DECCBBE" w14:textId="77777777" w:rsidR="00CF6B65" w:rsidRDefault="00CF6B65" w:rsidP="00CF6B65">
      <w:pPr>
        <w:pStyle w:val="ListParagraph"/>
        <w:numPr>
          <w:ilvl w:val="0"/>
          <w:numId w:val="9"/>
        </w:numPr>
        <w:spacing w:after="240"/>
      </w:pPr>
      <w:r>
        <w:t>Department of Home Affairs</w:t>
      </w:r>
    </w:p>
    <w:p w14:paraId="0DECCBBF" w14:textId="77777777" w:rsidR="00CF6B65" w:rsidRDefault="00CF6B65" w:rsidP="00CF6B65">
      <w:pPr>
        <w:pStyle w:val="ListParagraph"/>
        <w:numPr>
          <w:ilvl w:val="0"/>
          <w:numId w:val="9"/>
        </w:numPr>
        <w:spacing w:after="240"/>
      </w:pPr>
      <w:r>
        <w:t>Department of Human Services</w:t>
      </w:r>
    </w:p>
    <w:p w14:paraId="0DECCBC0" w14:textId="77777777" w:rsidR="00CF6B65" w:rsidRDefault="00CF6B65" w:rsidP="00CF6B65">
      <w:pPr>
        <w:pStyle w:val="ListParagraph"/>
        <w:numPr>
          <w:ilvl w:val="0"/>
          <w:numId w:val="9"/>
        </w:numPr>
        <w:spacing w:after="240"/>
      </w:pPr>
      <w:r>
        <w:t>Department of Industry, Innovation and Science</w:t>
      </w:r>
    </w:p>
    <w:p w14:paraId="0DECCBC1" w14:textId="77777777" w:rsidR="00CF6B65" w:rsidRPr="00617809" w:rsidRDefault="00CF6B65" w:rsidP="00CF6B65">
      <w:pPr>
        <w:pStyle w:val="ListParagraph"/>
        <w:numPr>
          <w:ilvl w:val="0"/>
          <w:numId w:val="9"/>
        </w:numPr>
      </w:pPr>
      <w:r>
        <w:t>Department of Infrastructure, Regional Development and Cities</w:t>
      </w:r>
    </w:p>
    <w:p w14:paraId="0DECCBC2" w14:textId="77777777" w:rsidR="00CF6B65" w:rsidRDefault="00CF6B65" w:rsidP="00CF6B65">
      <w:pPr>
        <w:pStyle w:val="ListParagraph"/>
        <w:numPr>
          <w:ilvl w:val="0"/>
          <w:numId w:val="9"/>
        </w:numPr>
        <w:spacing w:after="240"/>
      </w:pPr>
      <w:r>
        <w:t>Department of Social Services</w:t>
      </w:r>
    </w:p>
    <w:p w14:paraId="0DECCBC3" w14:textId="77777777" w:rsidR="00B96C4B" w:rsidRDefault="00B96C4B" w:rsidP="00B96C4B">
      <w:pPr>
        <w:pStyle w:val="ListParagraph"/>
        <w:numPr>
          <w:ilvl w:val="0"/>
          <w:numId w:val="9"/>
        </w:numPr>
        <w:spacing w:after="240"/>
      </w:pPr>
      <w:r>
        <w:t>Department of the Prime Minister and Cabinet</w:t>
      </w:r>
      <w:r w:rsidR="00DC6834">
        <w:t xml:space="preserve"> (including Indigenous Affairs and Office for Women)</w:t>
      </w:r>
    </w:p>
    <w:p w14:paraId="0DECCBC4" w14:textId="77777777" w:rsidR="004736DA" w:rsidRDefault="00B96C4B" w:rsidP="00B96C4B">
      <w:pPr>
        <w:pStyle w:val="ListParagraph"/>
        <w:numPr>
          <w:ilvl w:val="0"/>
          <w:numId w:val="9"/>
        </w:numPr>
        <w:spacing w:after="240"/>
      </w:pPr>
      <w:r>
        <w:t>Department of the Treasury</w:t>
      </w:r>
    </w:p>
    <w:p w14:paraId="0DECCBC5" w14:textId="77777777" w:rsidR="00CD63F5" w:rsidRPr="00DB649D" w:rsidRDefault="00B96C4B" w:rsidP="00BA0FC7">
      <w:pPr>
        <w:pStyle w:val="ListParagraph"/>
        <w:numPr>
          <w:ilvl w:val="0"/>
          <w:numId w:val="9"/>
        </w:numPr>
        <w:spacing w:after="240"/>
        <w:rPr>
          <w:lang w:eastAsia="en-US"/>
        </w:rPr>
      </w:pPr>
      <w:r>
        <w:t xml:space="preserve">State and Territory representatives (through the </w:t>
      </w:r>
      <w:r w:rsidR="003E11FE">
        <w:t>NBN</w:t>
      </w:r>
      <w:r>
        <w:t xml:space="preserve"> Liaison Group)</w:t>
      </w:r>
    </w:p>
    <w:sectPr w:rsidR="00CD63F5" w:rsidRPr="00DB649D" w:rsidSect="00DB649D">
      <w:type w:val="continuous"/>
      <w:pgSz w:w="11906" w:h="16838"/>
      <w:pgMar w:top="1418" w:right="1133" w:bottom="1440"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CCBD5" w14:textId="77777777" w:rsidR="00B2285E" w:rsidRDefault="00B2285E" w:rsidP="002117E6">
      <w:pPr>
        <w:spacing w:after="0"/>
      </w:pPr>
      <w:r>
        <w:separator/>
      </w:r>
    </w:p>
  </w:endnote>
  <w:endnote w:type="continuationSeparator" w:id="0">
    <w:p w14:paraId="0DECCBD6" w14:textId="77777777" w:rsidR="00B2285E" w:rsidRDefault="00B2285E" w:rsidP="002117E6">
      <w:pPr>
        <w:spacing w:after="0"/>
      </w:pPr>
      <w:r>
        <w:continuationSeparator/>
      </w:r>
    </w:p>
  </w:endnote>
  <w:endnote w:type="continuationNotice" w:id="1">
    <w:p w14:paraId="0DECCBD7" w14:textId="77777777" w:rsidR="00B2285E" w:rsidRDefault="00B22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5B798" w14:textId="77777777" w:rsidR="005331A8" w:rsidRDefault="00533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CBD9" w14:textId="77777777" w:rsidR="00B2285E" w:rsidRDefault="00B2285E"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DECCBDD" wp14:editId="0DECCBDE">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0DECCBDA" w14:textId="77777777" w:rsidR="00B2285E" w:rsidRPr="0037566A" w:rsidRDefault="00B2285E"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0DECCBDB" w14:textId="77777777" w:rsidR="00B2285E" w:rsidRPr="001D7905" w:rsidRDefault="00B2285E" w:rsidP="001D7905">
    <w:pPr>
      <w:pStyle w:val="Footer"/>
      <w:tabs>
        <w:tab w:val="clear" w:pos="4513"/>
        <w:tab w:val="clear" w:pos="9026"/>
        <w:tab w:val="center" w:pos="4536"/>
        <w:tab w:val="right" w:pos="9498"/>
      </w:tabs>
      <w:ind w:right="-46"/>
      <w:rPr>
        <w:rStyle w:val="Hyperlink"/>
        <w:color w:val="001C40" w:themeColor="text2"/>
        <w:sz w:val="18"/>
        <w:szCs w:val="18"/>
      </w:rPr>
    </w:pP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38782915"/>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9B11CC">
          <w:rPr>
            <w:bCs/>
            <w:noProof/>
            <w:color w:val="001C40" w:themeColor="text2"/>
            <w:sz w:val="18"/>
            <w:szCs w:val="18"/>
          </w:rPr>
          <w:t>21</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9B11CC">
          <w:rPr>
            <w:bCs/>
            <w:noProof/>
            <w:color w:val="001C40" w:themeColor="text2"/>
            <w:sz w:val="18"/>
            <w:szCs w:val="18"/>
          </w:rPr>
          <w:t>27</w:t>
        </w:r>
        <w:r w:rsidRPr="001D7905">
          <w:rPr>
            <w:bCs/>
            <w:color w:val="001C40" w:themeColor="text2"/>
            <w:sz w:val="18"/>
            <w:szCs w:val="18"/>
          </w:rPr>
          <w:fldChar w:fldCharType="end"/>
        </w:r>
      </w:sdtContent>
    </w:sdt>
  </w:p>
  <w:p w14:paraId="0DECCBDC" w14:textId="77777777" w:rsidR="00B2285E" w:rsidRPr="002117E6" w:rsidRDefault="00B2285E"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04B3A" w14:textId="77777777" w:rsidR="005331A8" w:rsidRDefault="00533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CCBD2" w14:textId="77777777" w:rsidR="00B2285E" w:rsidRDefault="00B2285E" w:rsidP="002117E6">
      <w:pPr>
        <w:spacing w:after="0"/>
      </w:pPr>
      <w:r>
        <w:separator/>
      </w:r>
    </w:p>
  </w:footnote>
  <w:footnote w:type="continuationSeparator" w:id="0">
    <w:p w14:paraId="0DECCBD3" w14:textId="77777777" w:rsidR="00B2285E" w:rsidRDefault="00B2285E" w:rsidP="002117E6">
      <w:pPr>
        <w:spacing w:after="0"/>
      </w:pPr>
      <w:r>
        <w:continuationSeparator/>
      </w:r>
    </w:p>
  </w:footnote>
  <w:footnote w:type="continuationNotice" w:id="1">
    <w:p w14:paraId="0DECCBD4" w14:textId="77777777" w:rsidR="00B2285E" w:rsidRDefault="00B2285E">
      <w:pPr>
        <w:spacing w:after="0"/>
      </w:pPr>
    </w:p>
  </w:footnote>
  <w:footnote w:id="2">
    <w:p w14:paraId="0DECCBDF" w14:textId="77777777" w:rsidR="00B2285E" w:rsidRPr="000A118F" w:rsidRDefault="00B2285E">
      <w:pPr>
        <w:pStyle w:val="FootnoteText"/>
        <w:rPr>
          <w:sz w:val="18"/>
          <w:szCs w:val="18"/>
        </w:rPr>
      </w:pPr>
      <w:r w:rsidRPr="000A118F">
        <w:rPr>
          <w:rStyle w:val="FootnoteReference"/>
          <w:sz w:val="18"/>
          <w:szCs w:val="18"/>
        </w:rPr>
        <w:footnoteRef/>
      </w:r>
      <w:r w:rsidRPr="000A118F">
        <w:rPr>
          <w:sz w:val="18"/>
          <w:szCs w:val="18"/>
        </w:rPr>
        <w:t xml:space="preserve"> NBN Co Corporate Plan 2019-2022</w:t>
      </w:r>
    </w:p>
  </w:footnote>
  <w:footnote w:id="3">
    <w:p w14:paraId="0DECCBE0" w14:textId="77777777" w:rsidR="00B2285E" w:rsidRDefault="00B2285E">
      <w:pPr>
        <w:pStyle w:val="FootnoteText"/>
      </w:pPr>
      <w:r w:rsidRPr="000A118F">
        <w:rPr>
          <w:rStyle w:val="FootnoteReference"/>
          <w:sz w:val="18"/>
          <w:szCs w:val="18"/>
        </w:rPr>
        <w:footnoteRef/>
      </w:r>
      <w:r w:rsidRPr="000A118F">
        <w:rPr>
          <w:sz w:val="18"/>
          <w:szCs w:val="18"/>
        </w:rPr>
        <w:t xml:space="preserve"> Department of Communications and the Arts findings based in part on data provided by Nielsen through its Consumer &amp; Media View for the Telecommunications category for the 4 years trend starting April 2014 and ending May 2018, for Total Australia 14+/mobile phone users/home phone users/home internet users, according to the Nielsen standard product hierarchy. Copyright © 2018, </w:t>
      </w:r>
      <w:proofErr w:type="gramStart"/>
      <w:r w:rsidRPr="000A118F">
        <w:rPr>
          <w:sz w:val="18"/>
          <w:szCs w:val="18"/>
        </w:rPr>
        <w:t>The</w:t>
      </w:r>
      <w:proofErr w:type="gramEnd"/>
      <w:r w:rsidRPr="000A118F">
        <w:rPr>
          <w:sz w:val="18"/>
          <w:szCs w:val="18"/>
        </w:rPr>
        <w:t xml:space="preserve"> Nielsen Company.</w:t>
      </w:r>
    </w:p>
  </w:footnote>
  <w:footnote w:id="4">
    <w:p w14:paraId="0DECCBE1" w14:textId="77777777" w:rsidR="00B2285E" w:rsidRPr="000A118F" w:rsidRDefault="00B2285E" w:rsidP="00A776D2">
      <w:pPr>
        <w:pStyle w:val="FootnoteText"/>
        <w:rPr>
          <w:sz w:val="18"/>
          <w:szCs w:val="18"/>
        </w:rPr>
      </w:pPr>
      <w:r w:rsidRPr="000A118F">
        <w:rPr>
          <w:rStyle w:val="FootnoteReference"/>
          <w:sz w:val="18"/>
          <w:szCs w:val="18"/>
        </w:rPr>
        <w:footnoteRef/>
      </w:r>
      <w:r w:rsidRPr="000A118F">
        <w:rPr>
          <w:sz w:val="18"/>
          <w:szCs w:val="18"/>
        </w:rPr>
        <w:t xml:space="preserve"> These are not USO services, however </w:t>
      </w:r>
      <w:r>
        <w:rPr>
          <w:sz w:val="18"/>
          <w:szCs w:val="18"/>
        </w:rPr>
        <w:t xml:space="preserve">the services </w:t>
      </w:r>
      <w:r w:rsidRPr="000A118F">
        <w:rPr>
          <w:sz w:val="18"/>
          <w:szCs w:val="18"/>
        </w:rPr>
        <w:t xml:space="preserve">are delivered over Telstra’s copper network. </w:t>
      </w:r>
    </w:p>
  </w:footnote>
  <w:footnote w:id="5">
    <w:p w14:paraId="0DECCBE2" w14:textId="77777777" w:rsidR="00B2285E" w:rsidRPr="000A118F" w:rsidRDefault="00B2285E" w:rsidP="008156F1">
      <w:pPr>
        <w:pStyle w:val="FootnoteText"/>
        <w:rPr>
          <w:sz w:val="18"/>
          <w:szCs w:val="18"/>
        </w:rPr>
      </w:pPr>
      <w:r w:rsidRPr="000A118F">
        <w:rPr>
          <w:rStyle w:val="FootnoteReference"/>
          <w:sz w:val="18"/>
          <w:szCs w:val="18"/>
        </w:rPr>
        <w:footnoteRef/>
      </w:r>
      <w:r w:rsidRPr="000A118F">
        <w:rPr>
          <w:sz w:val="18"/>
          <w:szCs w:val="18"/>
        </w:rPr>
        <w:t xml:space="preserve"> ABS, Table 2, 2071.0 Census of Population and Housing: Reflecting Australia - Stories from the Census, 2016 - Small Towns</w:t>
      </w:r>
      <w:r>
        <w:rPr>
          <w:sz w:val="18"/>
          <w:szCs w:val="18"/>
        </w:rPr>
        <w:t>.</w:t>
      </w:r>
    </w:p>
  </w:footnote>
  <w:footnote w:id="6">
    <w:p w14:paraId="0DECCBE3" w14:textId="77777777" w:rsidR="00B2285E" w:rsidRDefault="00B2285E">
      <w:pPr>
        <w:pStyle w:val="FootnoteText"/>
      </w:pPr>
      <w:r>
        <w:rPr>
          <w:rStyle w:val="FootnoteReference"/>
        </w:rPr>
        <w:footnoteRef/>
      </w:r>
      <w:r>
        <w:t xml:space="preserve"> </w:t>
      </w:r>
      <w:r>
        <w:rPr>
          <w:sz w:val="18"/>
          <w:szCs w:val="18"/>
        </w:rPr>
        <w:t>Includes 48,000 persons with no usual address.</w:t>
      </w:r>
    </w:p>
  </w:footnote>
  <w:footnote w:id="7">
    <w:p w14:paraId="0DECCBE4" w14:textId="77777777" w:rsidR="00B2285E" w:rsidRPr="00EA25E0" w:rsidRDefault="00B2285E" w:rsidP="00EA25E0">
      <w:pPr>
        <w:pStyle w:val="FootnoteText"/>
        <w:rPr>
          <w:sz w:val="18"/>
          <w:szCs w:val="18"/>
        </w:rPr>
      </w:pPr>
      <w:r w:rsidRPr="000A118F">
        <w:rPr>
          <w:rStyle w:val="FootnoteReference"/>
          <w:sz w:val="18"/>
          <w:szCs w:val="18"/>
        </w:rPr>
        <w:footnoteRef/>
      </w:r>
      <w:r w:rsidRPr="000A118F">
        <w:rPr>
          <w:sz w:val="18"/>
          <w:szCs w:val="18"/>
        </w:rPr>
        <w:t xml:space="preserve"> </w:t>
      </w:r>
      <w:r w:rsidRPr="00EA25E0">
        <w:rPr>
          <w:sz w:val="18"/>
          <w:szCs w:val="18"/>
        </w:rPr>
        <w:t xml:space="preserve">Data provided to the department by Telstra. </w:t>
      </w:r>
    </w:p>
  </w:footnote>
  <w:footnote w:id="8">
    <w:p w14:paraId="0DECCBE5" w14:textId="77777777" w:rsidR="00B2285E" w:rsidRPr="00EA25E0" w:rsidRDefault="00B2285E" w:rsidP="00EA25E0">
      <w:pPr>
        <w:pStyle w:val="FootnoteText"/>
        <w:rPr>
          <w:sz w:val="18"/>
          <w:szCs w:val="18"/>
        </w:rPr>
      </w:pPr>
      <w:r w:rsidRPr="00EA25E0">
        <w:rPr>
          <w:rStyle w:val="FootnoteReference"/>
          <w:sz w:val="18"/>
          <w:szCs w:val="18"/>
        </w:rPr>
        <w:footnoteRef/>
      </w:r>
      <w:r w:rsidRPr="00EA25E0">
        <w:rPr>
          <w:sz w:val="18"/>
          <w:szCs w:val="18"/>
        </w:rPr>
        <w:t xml:space="preserve"> </w:t>
      </w:r>
      <w:r w:rsidRPr="00EA25E0">
        <w:rPr>
          <w:i/>
          <w:sz w:val="18"/>
          <w:szCs w:val="18"/>
        </w:rPr>
        <w:t>Telstra Strategy Update</w:t>
      </w:r>
      <w:r w:rsidRPr="00EA25E0">
        <w:rPr>
          <w:sz w:val="18"/>
          <w:szCs w:val="18"/>
        </w:rPr>
        <w:t>, 20 June 2018 – Transcript, p. 22.</w:t>
      </w:r>
    </w:p>
  </w:footnote>
  <w:footnote w:id="9">
    <w:p w14:paraId="0DECCBE6" w14:textId="77777777" w:rsidR="00B2285E" w:rsidRPr="005B646A" w:rsidRDefault="00B2285E" w:rsidP="00943C59">
      <w:pPr>
        <w:pStyle w:val="FootnoteText"/>
        <w:rPr>
          <w:highlight w:val="yellow"/>
        </w:rPr>
      </w:pPr>
      <w:r w:rsidRPr="00EA25E0">
        <w:rPr>
          <w:rStyle w:val="FootnoteReference"/>
          <w:sz w:val="18"/>
          <w:szCs w:val="18"/>
        </w:rPr>
        <w:footnoteRef/>
      </w:r>
      <w:r w:rsidRPr="00EA25E0">
        <w:rPr>
          <w:sz w:val="18"/>
          <w:szCs w:val="18"/>
        </w:rPr>
        <w:t xml:space="preserve"> ACMA-commissioned consumer research, yet to be published.</w:t>
      </w:r>
    </w:p>
  </w:footnote>
  <w:footnote w:id="10">
    <w:p w14:paraId="0DECCBE7" w14:textId="77777777" w:rsidR="00B2285E" w:rsidRPr="000A118F" w:rsidRDefault="00B2285E" w:rsidP="00667A88">
      <w:pPr>
        <w:pStyle w:val="FootnoteText"/>
        <w:rPr>
          <w:sz w:val="18"/>
          <w:szCs w:val="18"/>
        </w:rPr>
      </w:pPr>
      <w:r w:rsidRPr="000A118F">
        <w:rPr>
          <w:rStyle w:val="FootnoteReference"/>
          <w:sz w:val="18"/>
          <w:szCs w:val="18"/>
        </w:rPr>
        <w:footnoteRef/>
      </w:r>
      <w:r w:rsidRPr="000A118F">
        <w:rPr>
          <w:sz w:val="18"/>
          <w:szCs w:val="18"/>
        </w:rPr>
        <w:t xml:space="preserve"> </w:t>
      </w:r>
      <w:r w:rsidRPr="00192A4E">
        <w:rPr>
          <w:sz w:val="18"/>
          <w:szCs w:val="18"/>
        </w:rPr>
        <w:t>ACMA, Communications Report 2016-17, p. 95</w:t>
      </w:r>
      <w:r>
        <w:rPr>
          <w:sz w:val="18"/>
          <w:szCs w:val="18"/>
        </w:rPr>
        <w:t>.</w:t>
      </w:r>
    </w:p>
  </w:footnote>
  <w:footnote w:id="11">
    <w:p w14:paraId="0DECCBE8" w14:textId="77777777" w:rsidR="00B2285E" w:rsidRDefault="00B2285E" w:rsidP="00DC12DA">
      <w:pPr>
        <w:pStyle w:val="FootnoteText"/>
      </w:pPr>
      <w:r w:rsidRPr="000A118F">
        <w:rPr>
          <w:rStyle w:val="FootnoteReference"/>
          <w:sz w:val="18"/>
          <w:szCs w:val="18"/>
        </w:rPr>
        <w:footnoteRef/>
      </w:r>
      <w:r w:rsidRPr="000A118F">
        <w:rPr>
          <w:sz w:val="18"/>
          <w:szCs w:val="18"/>
        </w:rPr>
        <w:t xml:space="preserve"> </w:t>
      </w:r>
      <w:r w:rsidRPr="00192A4E">
        <w:rPr>
          <w:sz w:val="18"/>
          <w:szCs w:val="18"/>
        </w:rPr>
        <w:t>Ibid, p. 94-95.</w:t>
      </w:r>
    </w:p>
  </w:footnote>
  <w:footnote w:id="12">
    <w:p w14:paraId="0DECCBE9" w14:textId="77777777" w:rsidR="00B2285E" w:rsidRPr="000A118F" w:rsidRDefault="00B2285E" w:rsidP="00667A88">
      <w:pPr>
        <w:pStyle w:val="FootnoteText"/>
        <w:rPr>
          <w:sz w:val="18"/>
          <w:szCs w:val="18"/>
        </w:rPr>
      </w:pPr>
      <w:r w:rsidRPr="000A118F">
        <w:rPr>
          <w:rStyle w:val="FootnoteReference"/>
          <w:sz w:val="18"/>
          <w:szCs w:val="18"/>
        </w:rPr>
        <w:footnoteRef/>
      </w:r>
      <w:r w:rsidRPr="000A118F">
        <w:rPr>
          <w:sz w:val="18"/>
          <w:szCs w:val="18"/>
        </w:rPr>
        <w:t xml:space="preserve"> Based on 2017-18 payphone call data provided by Telstra. </w:t>
      </w:r>
      <w:r w:rsidRPr="00192A4E">
        <w:rPr>
          <w:sz w:val="18"/>
          <w:szCs w:val="18"/>
        </w:rPr>
        <w:t xml:space="preserve">According to Telstra’s ‘Enhanced 000 Policy for V3 - Emergency Call Person Support’, </w:t>
      </w:r>
      <w:r>
        <w:rPr>
          <w:sz w:val="18"/>
          <w:szCs w:val="18"/>
        </w:rPr>
        <w:t xml:space="preserve">when there is doubt as to </w:t>
      </w:r>
      <w:r w:rsidRPr="00192A4E">
        <w:rPr>
          <w:sz w:val="18"/>
          <w:szCs w:val="18"/>
        </w:rPr>
        <w:t>whether a call is a genuine emergency or not, the agent is to connect the call to the relevant police service. According to the Department of Communication’s 2015 review into the Triple Zero service, between 4</w:t>
      </w:r>
      <w:r>
        <w:rPr>
          <w:sz w:val="18"/>
          <w:szCs w:val="18"/>
        </w:rPr>
        <w:t>%</w:t>
      </w:r>
      <w:r w:rsidRPr="00192A4E">
        <w:rPr>
          <w:sz w:val="18"/>
          <w:szCs w:val="18"/>
        </w:rPr>
        <w:t xml:space="preserve"> and 21% of calls transferred to state or territory police service were </w:t>
      </w:r>
      <w:r>
        <w:rPr>
          <w:sz w:val="18"/>
          <w:szCs w:val="18"/>
        </w:rPr>
        <w:t xml:space="preserve">eventually </w:t>
      </w:r>
      <w:r w:rsidRPr="00192A4E">
        <w:rPr>
          <w:sz w:val="18"/>
          <w:szCs w:val="18"/>
        </w:rPr>
        <w:t>considered to be a non-emergency, hoax or nuisance call.</w:t>
      </w:r>
    </w:p>
  </w:footnote>
  <w:footnote w:id="13">
    <w:p w14:paraId="0DECCBEA" w14:textId="77777777" w:rsidR="00B2285E" w:rsidRPr="000A118F" w:rsidRDefault="00B2285E">
      <w:pPr>
        <w:pStyle w:val="FootnoteText"/>
        <w:rPr>
          <w:sz w:val="18"/>
          <w:szCs w:val="18"/>
        </w:rPr>
      </w:pPr>
      <w:r w:rsidRPr="000A118F">
        <w:rPr>
          <w:rStyle w:val="FootnoteReference"/>
          <w:sz w:val="18"/>
          <w:szCs w:val="18"/>
        </w:rPr>
        <w:footnoteRef/>
      </w:r>
      <w:r w:rsidRPr="000A118F">
        <w:rPr>
          <w:sz w:val="18"/>
          <w:szCs w:val="18"/>
        </w:rPr>
        <w:t xml:space="preserve"> By contrast, a double hop call requires the call to be transmitted to a satellite, returned to an earth station for </w:t>
      </w:r>
      <w:r>
        <w:rPr>
          <w:sz w:val="18"/>
          <w:szCs w:val="18"/>
        </w:rPr>
        <w:t>routing</w:t>
      </w:r>
      <w:r w:rsidRPr="000A118F">
        <w:rPr>
          <w:sz w:val="18"/>
          <w:szCs w:val="18"/>
        </w:rPr>
        <w:t>, then back to a satellite before finally being connected to the other caller. This increases latency and affects quality.</w:t>
      </w:r>
    </w:p>
  </w:footnote>
  <w:footnote w:id="14">
    <w:p w14:paraId="0DECCBEB" w14:textId="77777777" w:rsidR="00B2285E" w:rsidRDefault="00B2285E">
      <w:pPr>
        <w:pStyle w:val="FootnoteText"/>
      </w:pPr>
      <w:r>
        <w:rPr>
          <w:rStyle w:val="FootnoteReference"/>
        </w:rPr>
        <w:footnoteRef/>
      </w:r>
      <w:r>
        <w:t xml:space="preserve"> See, for example, 2017 P3 connect Mobile Benchmark in Australia.</w:t>
      </w:r>
    </w:p>
  </w:footnote>
  <w:footnote w:id="15">
    <w:p w14:paraId="0DECCBEC" w14:textId="77777777" w:rsidR="00B2285E" w:rsidRDefault="00B2285E">
      <w:pPr>
        <w:pStyle w:val="FootnoteText"/>
      </w:pPr>
      <w:r>
        <w:rPr>
          <w:rStyle w:val="FootnoteReference"/>
        </w:rPr>
        <w:footnoteRef/>
      </w:r>
      <w:r>
        <w:t xml:space="preserve"> External antennas can be installed on the outside of premises to maximise mobile signal strength and overcome signal obstructions. For premises on the outer limits of the mobile coverage maps, an external antenna can improve performance. Legal repeaters, or smart antennas, are devices that extend indoor mobile coverage by relaying mobile signals from one area to another.</w:t>
      </w:r>
    </w:p>
  </w:footnote>
  <w:footnote w:id="16">
    <w:p w14:paraId="0DECCBED" w14:textId="77777777" w:rsidR="00B2285E" w:rsidRDefault="00B2285E">
      <w:pPr>
        <w:pStyle w:val="FootnoteText"/>
      </w:pPr>
      <w:r>
        <w:rPr>
          <w:rStyle w:val="FootnoteReference"/>
        </w:rPr>
        <w:footnoteRef/>
      </w:r>
      <w:r>
        <w:t xml:space="preserve"> </w:t>
      </w:r>
      <w:r w:rsidRPr="00537EC4">
        <w:t>Senate Standing Committee on Environment and Communications</w:t>
      </w:r>
      <w:r>
        <w:t xml:space="preserve">, </w:t>
      </w:r>
      <w:r w:rsidRPr="00537EC4">
        <w:t>Answers to Senate Estimates Questions on Notice</w:t>
      </w:r>
      <w:r>
        <w:t>, 3 November 2017, NBN Co Limited, Question No. 200.</w:t>
      </w:r>
    </w:p>
  </w:footnote>
  <w:footnote w:id="17">
    <w:p w14:paraId="0DECCBEE" w14:textId="77777777" w:rsidR="00B2285E" w:rsidRDefault="00B2285E">
      <w:pPr>
        <w:pStyle w:val="FootnoteText"/>
      </w:pPr>
      <w:r>
        <w:rPr>
          <w:rStyle w:val="FootnoteReference"/>
        </w:rPr>
        <w:footnoteRef/>
      </w:r>
      <w:r>
        <w:t xml:space="preserve"> BEREC updated survey on the implementation and application of the universal service provisions – a synthesis of the results, </w:t>
      </w:r>
      <w:proofErr w:type="spellStart"/>
      <w:r>
        <w:t>BoR</w:t>
      </w:r>
      <w:proofErr w:type="spellEnd"/>
      <w:r>
        <w:t xml:space="preserve"> (17)41, 24 February 2017.</w:t>
      </w:r>
    </w:p>
  </w:footnote>
  <w:footnote w:id="18">
    <w:p w14:paraId="0DECCBEF" w14:textId="77777777" w:rsidR="00B2285E" w:rsidRDefault="00B2285E">
      <w:pPr>
        <w:pStyle w:val="FootnoteText"/>
      </w:pPr>
      <w:r>
        <w:rPr>
          <w:rStyle w:val="FootnoteReference"/>
        </w:rPr>
        <w:footnoteRef/>
      </w:r>
      <w:r>
        <w:t xml:space="preserve"> See, for example, Canada’s universal service criteria that Canadian residential and business fixed internet access service subscribers should be able to access speeds of at least 50 Mbps download and 10 Mbps upload; </w:t>
      </w:r>
      <w:r w:rsidRPr="007E3FCB">
        <w:t>Telecom Regulatory Policy CRTC 2016-496</w:t>
      </w:r>
      <w:r>
        <w:t>, 21 December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3C1F0" w14:textId="77777777" w:rsidR="005331A8" w:rsidRDefault="00533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CBD8" w14:textId="55810EDD" w:rsidR="00B2285E" w:rsidRPr="007A4B0F" w:rsidRDefault="00B2285E" w:rsidP="001D7905">
    <w:pPr>
      <w:pStyle w:val="Header"/>
      <w:tabs>
        <w:tab w:val="clear" w:pos="9026"/>
        <w:tab w:val="right" w:pos="9333"/>
      </w:tabs>
      <w:ind w:right="-46"/>
      <w:rPr>
        <w:color w:val="155589"/>
      </w:rPr>
    </w:pPr>
    <w:r w:rsidRPr="007A4B0F">
      <w:rPr>
        <w:color w:val="155589"/>
      </w:rPr>
      <w:t>Department of Communications and the Arts</w:t>
    </w:r>
    <w:r w:rsidRPr="007A4B0F">
      <w:rPr>
        <w:color w:val="155589"/>
      </w:rPr>
      <w:tab/>
    </w:r>
    <w:r w:rsidRPr="007A4B0F">
      <w:rPr>
        <w:color w:val="155589"/>
      </w:rPr>
      <w:tab/>
    </w:r>
    <w:r w:rsidR="00A034AA">
      <w:rPr>
        <w:color w:val="155589"/>
      </w:rPr>
      <w:t>November</w:t>
    </w:r>
    <w:r>
      <w:rPr>
        <w:color w:val="155589"/>
      </w:rP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2019" w14:textId="77777777" w:rsidR="005331A8" w:rsidRDefault="00533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69038D8"/>
    <w:lvl w:ilvl="0">
      <w:start w:val="1"/>
      <w:numFmt w:val="decimal"/>
      <w:pStyle w:val="ListNumber"/>
      <w:lvlText w:val="%1."/>
      <w:lvlJc w:val="left"/>
      <w:pPr>
        <w:tabs>
          <w:tab w:val="num" w:pos="360"/>
        </w:tabs>
        <w:ind w:left="360" w:hanging="360"/>
      </w:pPr>
      <w:rPr>
        <w:b w:val="0"/>
        <w:bCs w:val="0"/>
        <w:i w:val="0"/>
        <w:iCs w:val="0"/>
        <w:caps w:val="0"/>
        <w:smallCaps w:val="0"/>
        <w:strike w:val="0"/>
        <w:dstrike w:val="0"/>
        <w:noProof w:val="0"/>
        <w:vanish w:val="0"/>
        <w:color w:val="77D0F6"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04D2428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3F871ED"/>
    <w:multiLevelType w:val="hybridMultilevel"/>
    <w:tmpl w:val="A934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247E1"/>
    <w:multiLevelType w:val="hybridMultilevel"/>
    <w:tmpl w:val="85C075C8"/>
    <w:lvl w:ilvl="0" w:tplc="59C416BC">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E808DC"/>
    <w:multiLevelType w:val="hybridMultilevel"/>
    <w:tmpl w:val="4462B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A74143F"/>
    <w:multiLevelType w:val="hybridMultilevel"/>
    <w:tmpl w:val="7D908BEE"/>
    <w:lvl w:ilvl="0" w:tplc="88AC8E48">
      <w:start w:val="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65824"/>
    <w:multiLevelType w:val="hybridMultilevel"/>
    <w:tmpl w:val="9076720E"/>
    <w:lvl w:ilvl="0" w:tplc="59C416BC">
      <w:numFmt w:val="bullet"/>
      <w:lvlText w:val="-"/>
      <w:lvlJc w:val="left"/>
      <w:pPr>
        <w:ind w:left="360" w:hanging="360"/>
      </w:pPr>
      <w:rPr>
        <w:rFonts w:ascii="Calibri" w:eastAsiaTheme="minorHAnsi"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A4ABB"/>
    <w:multiLevelType w:val="hybridMultilevel"/>
    <w:tmpl w:val="3BC69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D7A10"/>
    <w:multiLevelType w:val="hybridMultilevel"/>
    <w:tmpl w:val="1BF62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947F7F"/>
    <w:multiLevelType w:val="hybridMultilevel"/>
    <w:tmpl w:val="DB3AF9BE"/>
    <w:lvl w:ilvl="0" w:tplc="828E0DB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A7BE4"/>
    <w:multiLevelType w:val="hybridMultilevel"/>
    <w:tmpl w:val="40BA77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B4575"/>
    <w:multiLevelType w:val="multilevel"/>
    <w:tmpl w:val="F232F414"/>
    <w:lvl w:ilvl="0">
      <w:start w:val="1"/>
      <w:numFmt w:val="decimal"/>
      <w:lvlText w:val="%1"/>
      <w:lvlJc w:val="left"/>
      <w:pPr>
        <w:ind w:left="360" w:hanging="360"/>
      </w:pPr>
      <w:rPr>
        <w:rFonts w:hint="default"/>
        <w:sz w:val="28"/>
      </w:rPr>
    </w:lvl>
    <w:lvl w:ilvl="1">
      <w:start w:val="1"/>
      <w:numFmt w:val="decimal"/>
      <w:lvlText w:val="%1.%2"/>
      <w:lvlJc w:val="left"/>
      <w:pPr>
        <w:tabs>
          <w:tab w:val="num" w:pos="2978"/>
        </w:tabs>
        <w:ind w:left="2978" w:firstLine="0"/>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98429E"/>
    <w:multiLevelType w:val="hybridMultilevel"/>
    <w:tmpl w:val="D2BC0E62"/>
    <w:lvl w:ilvl="0" w:tplc="0C090001">
      <w:start w:val="1"/>
      <w:numFmt w:val="bullet"/>
      <w:lvlText w:val=""/>
      <w:lvlJc w:val="left"/>
      <w:pPr>
        <w:ind w:left="360" w:hanging="360"/>
      </w:pPr>
      <w:rPr>
        <w:rFonts w:ascii="Symbol" w:hAnsi="Symbol" w:hint="default"/>
      </w:rPr>
    </w:lvl>
    <w:lvl w:ilvl="1" w:tplc="0C09001B">
      <w:start w:val="1"/>
      <w:numFmt w:val="lowerRoman"/>
      <w:lvlText w:val="%2."/>
      <w:lvlJc w:val="righ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004091"/>
    <w:multiLevelType w:val="hybridMultilevel"/>
    <w:tmpl w:val="9C02A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6D501A"/>
    <w:multiLevelType w:val="hybridMultilevel"/>
    <w:tmpl w:val="9BEE7DDA"/>
    <w:lvl w:ilvl="0" w:tplc="A774952E">
      <w:start w:val="1"/>
      <w:numFmt w:val="bullet"/>
      <w:lvlText w:val="•"/>
      <w:lvlJc w:val="left"/>
      <w:pPr>
        <w:tabs>
          <w:tab w:val="num" w:pos="720"/>
        </w:tabs>
        <w:ind w:left="720" w:hanging="360"/>
      </w:pPr>
      <w:rPr>
        <w:rFonts w:ascii="Arial" w:hAnsi="Arial" w:hint="default"/>
      </w:rPr>
    </w:lvl>
    <w:lvl w:ilvl="1" w:tplc="A566E320">
      <w:start w:val="154"/>
      <w:numFmt w:val="bullet"/>
      <w:lvlText w:val="–"/>
      <w:lvlJc w:val="left"/>
      <w:pPr>
        <w:tabs>
          <w:tab w:val="num" w:pos="1440"/>
        </w:tabs>
        <w:ind w:left="1440" w:hanging="360"/>
      </w:pPr>
      <w:rPr>
        <w:rFonts w:ascii="Arial" w:hAnsi="Arial" w:hint="default"/>
      </w:rPr>
    </w:lvl>
    <w:lvl w:ilvl="2" w:tplc="DE5AE526" w:tentative="1">
      <w:start w:val="1"/>
      <w:numFmt w:val="bullet"/>
      <w:lvlText w:val="•"/>
      <w:lvlJc w:val="left"/>
      <w:pPr>
        <w:tabs>
          <w:tab w:val="num" w:pos="2160"/>
        </w:tabs>
        <w:ind w:left="2160" w:hanging="360"/>
      </w:pPr>
      <w:rPr>
        <w:rFonts w:ascii="Arial" w:hAnsi="Arial" w:hint="default"/>
      </w:rPr>
    </w:lvl>
    <w:lvl w:ilvl="3" w:tplc="92600C70" w:tentative="1">
      <w:start w:val="1"/>
      <w:numFmt w:val="bullet"/>
      <w:lvlText w:val="•"/>
      <w:lvlJc w:val="left"/>
      <w:pPr>
        <w:tabs>
          <w:tab w:val="num" w:pos="2880"/>
        </w:tabs>
        <w:ind w:left="2880" w:hanging="360"/>
      </w:pPr>
      <w:rPr>
        <w:rFonts w:ascii="Arial" w:hAnsi="Arial" w:hint="default"/>
      </w:rPr>
    </w:lvl>
    <w:lvl w:ilvl="4" w:tplc="A4DCFA76" w:tentative="1">
      <w:start w:val="1"/>
      <w:numFmt w:val="bullet"/>
      <w:lvlText w:val="•"/>
      <w:lvlJc w:val="left"/>
      <w:pPr>
        <w:tabs>
          <w:tab w:val="num" w:pos="3600"/>
        </w:tabs>
        <w:ind w:left="3600" w:hanging="360"/>
      </w:pPr>
      <w:rPr>
        <w:rFonts w:ascii="Arial" w:hAnsi="Arial" w:hint="default"/>
      </w:rPr>
    </w:lvl>
    <w:lvl w:ilvl="5" w:tplc="419099A8" w:tentative="1">
      <w:start w:val="1"/>
      <w:numFmt w:val="bullet"/>
      <w:lvlText w:val="•"/>
      <w:lvlJc w:val="left"/>
      <w:pPr>
        <w:tabs>
          <w:tab w:val="num" w:pos="4320"/>
        </w:tabs>
        <w:ind w:left="4320" w:hanging="360"/>
      </w:pPr>
      <w:rPr>
        <w:rFonts w:ascii="Arial" w:hAnsi="Arial" w:hint="default"/>
      </w:rPr>
    </w:lvl>
    <w:lvl w:ilvl="6" w:tplc="2DE2BC0C" w:tentative="1">
      <w:start w:val="1"/>
      <w:numFmt w:val="bullet"/>
      <w:lvlText w:val="•"/>
      <w:lvlJc w:val="left"/>
      <w:pPr>
        <w:tabs>
          <w:tab w:val="num" w:pos="5040"/>
        </w:tabs>
        <w:ind w:left="5040" w:hanging="360"/>
      </w:pPr>
      <w:rPr>
        <w:rFonts w:ascii="Arial" w:hAnsi="Arial" w:hint="default"/>
      </w:rPr>
    </w:lvl>
    <w:lvl w:ilvl="7" w:tplc="A41A0AF6" w:tentative="1">
      <w:start w:val="1"/>
      <w:numFmt w:val="bullet"/>
      <w:lvlText w:val="•"/>
      <w:lvlJc w:val="left"/>
      <w:pPr>
        <w:tabs>
          <w:tab w:val="num" w:pos="5760"/>
        </w:tabs>
        <w:ind w:left="5760" w:hanging="360"/>
      </w:pPr>
      <w:rPr>
        <w:rFonts w:ascii="Arial" w:hAnsi="Arial" w:hint="default"/>
      </w:rPr>
    </w:lvl>
    <w:lvl w:ilvl="8" w:tplc="BAE46F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2A2578"/>
    <w:multiLevelType w:val="hybridMultilevel"/>
    <w:tmpl w:val="583C8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8F5F70"/>
    <w:multiLevelType w:val="hybridMultilevel"/>
    <w:tmpl w:val="593A64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7C852D8"/>
    <w:multiLevelType w:val="hybridMultilevel"/>
    <w:tmpl w:val="C38C6D24"/>
    <w:lvl w:ilvl="0" w:tplc="5E1235AA">
      <w:start w:val="1"/>
      <w:numFmt w:val="bullet"/>
      <w:lvlText w:val=""/>
      <w:lvlJc w:val="left"/>
      <w:pPr>
        <w:ind w:left="720" w:hanging="360"/>
      </w:pPr>
      <w:rPr>
        <w:rFonts w:ascii="Symbol" w:hAnsi="Symbol" w:hint="default"/>
      </w:rPr>
    </w:lvl>
    <w:lvl w:ilvl="1" w:tplc="22708AB8" w:tentative="1">
      <w:start w:val="1"/>
      <w:numFmt w:val="bullet"/>
      <w:lvlText w:val="o"/>
      <w:lvlJc w:val="left"/>
      <w:pPr>
        <w:ind w:left="1440" w:hanging="360"/>
      </w:pPr>
      <w:rPr>
        <w:rFonts w:ascii="Courier New" w:hAnsi="Courier New" w:cs="Courier New" w:hint="default"/>
      </w:rPr>
    </w:lvl>
    <w:lvl w:ilvl="2" w:tplc="5A0E29A4" w:tentative="1">
      <w:start w:val="1"/>
      <w:numFmt w:val="bullet"/>
      <w:lvlText w:val=""/>
      <w:lvlJc w:val="left"/>
      <w:pPr>
        <w:ind w:left="2160" w:hanging="360"/>
      </w:pPr>
      <w:rPr>
        <w:rFonts w:ascii="Wingdings" w:hAnsi="Wingdings" w:hint="default"/>
      </w:rPr>
    </w:lvl>
    <w:lvl w:ilvl="3" w:tplc="D2EA0B64" w:tentative="1">
      <w:start w:val="1"/>
      <w:numFmt w:val="bullet"/>
      <w:lvlText w:val=""/>
      <w:lvlJc w:val="left"/>
      <w:pPr>
        <w:ind w:left="2880" w:hanging="360"/>
      </w:pPr>
      <w:rPr>
        <w:rFonts w:ascii="Symbol" w:hAnsi="Symbol" w:hint="default"/>
      </w:rPr>
    </w:lvl>
    <w:lvl w:ilvl="4" w:tplc="4A0AC06E" w:tentative="1">
      <w:start w:val="1"/>
      <w:numFmt w:val="bullet"/>
      <w:lvlText w:val="o"/>
      <w:lvlJc w:val="left"/>
      <w:pPr>
        <w:ind w:left="3600" w:hanging="360"/>
      </w:pPr>
      <w:rPr>
        <w:rFonts w:ascii="Courier New" w:hAnsi="Courier New" w:cs="Courier New" w:hint="default"/>
      </w:rPr>
    </w:lvl>
    <w:lvl w:ilvl="5" w:tplc="CD20E2A6" w:tentative="1">
      <w:start w:val="1"/>
      <w:numFmt w:val="bullet"/>
      <w:lvlText w:val=""/>
      <w:lvlJc w:val="left"/>
      <w:pPr>
        <w:ind w:left="4320" w:hanging="360"/>
      </w:pPr>
      <w:rPr>
        <w:rFonts w:ascii="Wingdings" w:hAnsi="Wingdings" w:hint="default"/>
      </w:rPr>
    </w:lvl>
    <w:lvl w:ilvl="6" w:tplc="8C5C09E8" w:tentative="1">
      <w:start w:val="1"/>
      <w:numFmt w:val="bullet"/>
      <w:lvlText w:val=""/>
      <w:lvlJc w:val="left"/>
      <w:pPr>
        <w:ind w:left="5040" w:hanging="360"/>
      </w:pPr>
      <w:rPr>
        <w:rFonts w:ascii="Symbol" w:hAnsi="Symbol" w:hint="default"/>
      </w:rPr>
    </w:lvl>
    <w:lvl w:ilvl="7" w:tplc="642C4C5C" w:tentative="1">
      <w:start w:val="1"/>
      <w:numFmt w:val="bullet"/>
      <w:lvlText w:val="o"/>
      <w:lvlJc w:val="left"/>
      <w:pPr>
        <w:ind w:left="5760" w:hanging="360"/>
      </w:pPr>
      <w:rPr>
        <w:rFonts w:ascii="Courier New" w:hAnsi="Courier New" w:cs="Courier New" w:hint="default"/>
      </w:rPr>
    </w:lvl>
    <w:lvl w:ilvl="8" w:tplc="C7A0C8B6" w:tentative="1">
      <w:start w:val="1"/>
      <w:numFmt w:val="bullet"/>
      <w:lvlText w:val=""/>
      <w:lvlJc w:val="left"/>
      <w:pPr>
        <w:ind w:left="6480" w:hanging="360"/>
      </w:pPr>
      <w:rPr>
        <w:rFonts w:ascii="Wingdings" w:hAnsi="Wingdings" w:hint="default"/>
      </w:rPr>
    </w:lvl>
  </w:abstractNum>
  <w:abstractNum w:abstractNumId="20" w15:restartNumberingAfterBreak="0">
    <w:nsid w:val="57E07099"/>
    <w:multiLevelType w:val="hybridMultilevel"/>
    <w:tmpl w:val="C224813A"/>
    <w:lvl w:ilvl="0" w:tplc="B9CC3BB0">
      <w:start w:val="1"/>
      <w:numFmt w:val="bullet"/>
      <w:lvlText w:val=""/>
      <w:lvlJc w:val="left"/>
      <w:pPr>
        <w:ind w:left="360" w:hanging="360"/>
      </w:pPr>
      <w:rPr>
        <w:rFonts w:ascii="Symbol" w:hAnsi="Symbol" w:hint="default"/>
        <w:color w:val="auto"/>
      </w:rPr>
    </w:lvl>
    <w:lvl w:ilvl="1" w:tplc="6250052C">
      <w:start w:val="1"/>
      <w:numFmt w:val="bullet"/>
      <w:lvlText w:val="o"/>
      <w:lvlJc w:val="left"/>
      <w:pPr>
        <w:ind w:left="1080" w:hanging="360"/>
      </w:pPr>
      <w:rPr>
        <w:rFonts w:ascii="Courier New" w:hAnsi="Courier New" w:cs="Courier New" w:hint="default"/>
      </w:rPr>
    </w:lvl>
    <w:lvl w:ilvl="2" w:tplc="B79EB6C2" w:tentative="1">
      <w:start w:val="1"/>
      <w:numFmt w:val="bullet"/>
      <w:lvlText w:val=""/>
      <w:lvlJc w:val="left"/>
      <w:pPr>
        <w:ind w:left="1800" w:hanging="360"/>
      </w:pPr>
      <w:rPr>
        <w:rFonts w:ascii="Wingdings" w:hAnsi="Wingdings" w:hint="default"/>
      </w:rPr>
    </w:lvl>
    <w:lvl w:ilvl="3" w:tplc="D0388AE2" w:tentative="1">
      <w:start w:val="1"/>
      <w:numFmt w:val="bullet"/>
      <w:lvlText w:val=""/>
      <w:lvlJc w:val="left"/>
      <w:pPr>
        <w:ind w:left="2520" w:hanging="360"/>
      </w:pPr>
      <w:rPr>
        <w:rFonts w:ascii="Symbol" w:hAnsi="Symbol" w:hint="default"/>
      </w:rPr>
    </w:lvl>
    <w:lvl w:ilvl="4" w:tplc="98C2D3C6" w:tentative="1">
      <w:start w:val="1"/>
      <w:numFmt w:val="bullet"/>
      <w:lvlText w:val="o"/>
      <w:lvlJc w:val="left"/>
      <w:pPr>
        <w:ind w:left="3240" w:hanging="360"/>
      </w:pPr>
      <w:rPr>
        <w:rFonts w:ascii="Courier New" w:hAnsi="Courier New" w:cs="Courier New" w:hint="default"/>
      </w:rPr>
    </w:lvl>
    <w:lvl w:ilvl="5" w:tplc="13EA53A8" w:tentative="1">
      <w:start w:val="1"/>
      <w:numFmt w:val="bullet"/>
      <w:lvlText w:val=""/>
      <w:lvlJc w:val="left"/>
      <w:pPr>
        <w:ind w:left="3960" w:hanging="360"/>
      </w:pPr>
      <w:rPr>
        <w:rFonts w:ascii="Wingdings" w:hAnsi="Wingdings" w:hint="default"/>
      </w:rPr>
    </w:lvl>
    <w:lvl w:ilvl="6" w:tplc="D6CC033C" w:tentative="1">
      <w:start w:val="1"/>
      <w:numFmt w:val="bullet"/>
      <w:lvlText w:val=""/>
      <w:lvlJc w:val="left"/>
      <w:pPr>
        <w:ind w:left="4680" w:hanging="360"/>
      </w:pPr>
      <w:rPr>
        <w:rFonts w:ascii="Symbol" w:hAnsi="Symbol" w:hint="default"/>
      </w:rPr>
    </w:lvl>
    <w:lvl w:ilvl="7" w:tplc="799012B2" w:tentative="1">
      <w:start w:val="1"/>
      <w:numFmt w:val="bullet"/>
      <w:lvlText w:val="o"/>
      <w:lvlJc w:val="left"/>
      <w:pPr>
        <w:ind w:left="5400" w:hanging="360"/>
      </w:pPr>
      <w:rPr>
        <w:rFonts w:ascii="Courier New" w:hAnsi="Courier New" w:cs="Courier New" w:hint="default"/>
      </w:rPr>
    </w:lvl>
    <w:lvl w:ilvl="8" w:tplc="AF74852E" w:tentative="1">
      <w:start w:val="1"/>
      <w:numFmt w:val="bullet"/>
      <w:lvlText w:val=""/>
      <w:lvlJc w:val="left"/>
      <w:pPr>
        <w:ind w:left="6120" w:hanging="360"/>
      </w:pPr>
      <w:rPr>
        <w:rFonts w:ascii="Wingdings" w:hAnsi="Wingdings" w:hint="default"/>
      </w:rPr>
    </w:lvl>
  </w:abstractNum>
  <w:abstractNum w:abstractNumId="21" w15:restartNumberingAfterBreak="0">
    <w:nsid w:val="5ADE479D"/>
    <w:multiLevelType w:val="hybridMultilevel"/>
    <w:tmpl w:val="35BE0294"/>
    <w:lvl w:ilvl="0" w:tplc="5BBE0E4A">
      <w:start w:val="1"/>
      <w:numFmt w:val="bullet"/>
      <w:lvlText w:val="•"/>
      <w:lvlJc w:val="left"/>
      <w:pPr>
        <w:ind w:hanging="605"/>
      </w:pPr>
      <w:rPr>
        <w:rFonts w:ascii="Arial" w:eastAsia="Arial" w:hAnsi="Arial" w:hint="default"/>
        <w:color w:val="231F20"/>
        <w:w w:val="132"/>
        <w:sz w:val="20"/>
        <w:szCs w:val="20"/>
      </w:rPr>
    </w:lvl>
    <w:lvl w:ilvl="1" w:tplc="96E2FFB2">
      <w:start w:val="1"/>
      <w:numFmt w:val="bullet"/>
      <w:lvlText w:val="•"/>
      <w:lvlJc w:val="left"/>
      <w:rPr>
        <w:rFonts w:hint="default"/>
      </w:rPr>
    </w:lvl>
    <w:lvl w:ilvl="2" w:tplc="DFEE2C40">
      <w:start w:val="1"/>
      <w:numFmt w:val="bullet"/>
      <w:lvlText w:val="•"/>
      <w:lvlJc w:val="left"/>
      <w:rPr>
        <w:rFonts w:hint="default"/>
      </w:rPr>
    </w:lvl>
    <w:lvl w:ilvl="3" w:tplc="0DBA14D6">
      <w:start w:val="1"/>
      <w:numFmt w:val="bullet"/>
      <w:lvlText w:val="•"/>
      <w:lvlJc w:val="left"/>
      <w:rPr>
        <w:rFonts w:hint="default"/>
      </w:rPr>
    </w:lvl>
    <w:lvl w:ilvl="4" w:tplc="95509634">
      <w:start w:val="1"/>
      <w:numFmt w:val="bullet"/>
      <w:lvlText w:val="•"/>
      <w:lvlJc w:val="left"/>
      <w:rPr>
        <w:rFonts w:hint="default"/>
      </w:rPr>
    </w:lvl>
    <w:lvl w:ilvl="5" w:tplc="C978A7C6">
      <w:start w:val="1"/>
      <w:numFmt w:val="bullet"/>
      <w:lvlText w:val="•"/>
      <w:lvlJc w:val="left"/>
      <w:rPr>
        <w:rFonts w:hint="default"/>
      </w:rPr>
    </w:lvl>
    <w:lvl w:ilvl="6" w:tplc="BF54A688">
      <w:start w:val="1"/>
      <w:numFmt w:val="bullet"/>
      <w:lvlText w:val="•"/>
      <w:lvlJc w:val="left"/>
      <w:rPr>
        <w:rFonts w:hint="default"/>
      </w:rPr>
    </w:lvl>
    <w:lvl w:ilvl="7" w:tplc="43DCD104">
      <w:start w:val="1"/>
      <w:numFmt w:val="bullet"/>
      <w:lvlText w:val="•"/>
      <w:lvlJc w:val="left"/>
      <w:rPr>
        <w:rFonts w:hint="default"/>
      </w:rPr>
    </w:lvl>
    <w:lvl w:ilvl="8" w:tplc="0DB66786">
      <w:start w:val="1"/>
      <w:numFmt w:val="bullet"/>
      <w:lvlText w:val="•"/>
      <w:lvlJc w:val="left"/>
      <w:rPr>
        <w:rFonts w:hint="default"/>
      </w:rPr>
    </w:lvl>
  </w:abstractNum>
  <w:abstractNum w:abstractNumId="22" w15:restartNumberingAfterBreak="0">
    <w:nsid w:val="5B924CCF"/>
    <w:multiLevelType w:val="hybridMultilevel"/>
    <w:tmpl w:val="DC52D33A"/>
    <w:lvl w:ilvl="0" w:tplc="00F286BE">
      <w:start w:val="1"/>
      <w:numFmt w:val="bullet"/>
      <w:lvlText w:val="•"/>
      <w:lvlJc w:val="left"/>
      <w:pPr>
        <w:tabs>
          <w:tab w:val="num" w:pos="720"/>
        </w:tabs>
        <w:ind w:left="720" w:hanging="360"/>
      </w:pPr>
      <w:rPr>
        <w:rFonts w:ascii="Arial" w:hAnsi="Arial" w:hint="default"/>
      </w:rPr>
    </w:lvl>
    <w:lvl w:ilvl="1" w:tplc="95126FE4">
      <w:start w:val="154"/>
      <w:numFmt w:val="bullet"/>
      <w:lvlText w:val="–"/>
      <w:lvlJc w:val="left"/>
      <w:pPr>
        <w:tabs>
          <w:tab w:val="num" w:pos="1440"/>
        </w:tabs>
        <w:ind w:left="1440" w:hanging="360"/>
      </w:pPr>
      <w:rPr>
        <w:rFonts w:ascii="Arial" w:hAnsi="Arial" w:hint="default"/>
      </w:rPr>
    </w:lvl>
    <w:lvl w:ilvl="2" w:tplc="143487C4" w:tentative="1">
      <w:start w:val="1"/>
      <w:numFmt w:val="bullet"/>
      <w:lvlText w:val="•"/>
      <w:lvlJc w:val="left"/>
      <w:pPr>
        <w:tabs>
          <w:tab w:val="num" w:pos="2160"/>
        </w:tabs>
        <w:ind w:left="2160" w:hanging="360"/>
      </w:pPr>
      <w:rPr>
        <w:rFonts w:ascii="Arial" w:hAnsi="Arial" w:hint="default"/>
      </w:rPr>
    </w:lvl>
    <w:lvl w:ilvl="3" w:tplc="CA247722" w:tentative="1">
      <w:start w:val="1"/>
      <w:numFmt w:val="bullet"/>
      <w:lvlText w:val="•"/>
      <w:lvlJc w:val="left"/>
      <w:pPr>
        <w:tabs>
          <w:tab w:val="num" w:pos="2880"/>
        </w:tabs>
        <w:ind w:left="2880" w:hanging="360"/>
      </w:pPr>
      <w:rPr>
        <w:rFonts w:ascii="Arial" w:hAnsi="Arial" w:hint="default"/>
      </w:rPr>
    </w:lvl>
    <w:lvl w:ilvl="4" w:tplc="C6041AA6" w:tentative="1">
      <w:start w:val="1"/>
      <w:numFmt w:val="bullet"/>
      <w:lvlText w:val="•"/>
      <w:lvlJc w:val="left"/>
      <w:pPr>
        <w:tabs>
          <w:tab w:val="num" w:pos="3600"/>
        </w:tabs>
        <w:ind w:left="3600" w:hanging="360"/>
      </w:pPr>
      <w:rPr>
        <w:rFonts w:ascii="Arial" w:hAnsi="Arial" w:hint="default"/>
      </w:rPr>
    </w:lvl>
    <w:lvl w:ilvl="5" w:tplc="D36C7CBA" w:tentative="1">
      <w:start w:val="1"/>
      <w:numFmt w:val="bullet"/>
      <w:lvlText w:val="•"/>
      <w:lvlJc w:val="left"/>
      <w:pPr>
        <w:tabs>
          <w:tab w:val="num" w:pos="4320"/>
        </w:tabs>
        <w:ind w:left="4320" w:hanging="360"/>
      </w:pPr>
      <w:rPr>
        <w:rFonts w:ascii="Arial" w:hAnsi="Arial" w:hint="default"/>
      </w:rPr>
    </w:lvl>
    <w:lvl w:ilvl="6" w:tplc="7DEC2C52" w:tentative="1">
      <w:start w:val="1"/>
      <w:numFmt w:val="bullet"/>
      <w:lvlText w:val="•"/>
      <w:lvlJc w:val="left"/>
      <w:pPr>
        <w:tabs>
          <w:tab w:val="num" w:pos="5040"/>
        </w:tabs>
        <w:ind w:left="5040" w:hanging="360"/>
      </w:pPr>
      <w:rPr>
        <w:rFonts w:ascii="Arial" w:hAnsi="Arial" w:hint="default"/>
      </w:rPr>
    </w:lvl>
    <w:lvl w:ilvl="7" w:tplc="BE64ACD4" w:tentative="1">
      <w:start w:val="1"/>
      <w:numFmt w:val="bullet"/>
      <w:lvlText w:val="•"/>
      <w:lvlJc w:val="left"/>
      <w:pPr>
        <w:tabs>
          <w:tab w:val="num" w:pos="5760"/>
        </w:tabs>
        <w:ind w:left="5760" w:hanging="360"/>
      </w:pPr>
      <w:rPr>
        <w:rFonts w:ascii="Arial" w:hAnsi="Arial" w:hint="default"/>
      </w:rPr>
    </w:lvl>
    <w:lvl w:ilvl="8" w:tplc="BFC8E7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5D5098"/>
    <w:multiLevelType w:val="hybridMultilevel"/>
    <w:tmpl w:val="28E6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D05F25"/>
    <w:multiLevelType w:val="hybridMultilevel"/>
    <w:tmpl w:val="9320A242"/>
    <w:lvl w:ilvl="0" w:tplc="0B3A07C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7E92D12"/>
    <w:multiLevelType w:val="hybridMultilevel"/>
    <w:tmpl w:val="9C02A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820E5C"/>
    <w:multiLevelType w:val="hybridMultilevel"/>
    <w:tmpl w:val="2FD20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9D522D"/>
    <w:multiLevelType w:val="hybridMultilevel"/>
    <w:tmpl w:val="794032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6BEE5C08"/>
    <w:multiLevelType w:val="hybridMultilevel"/>
    <w:tmpl w:val="E6F2944C"/>
    <w:lvl w:ilvl="0" w:tplc="0C090001">
      <w:start w:val="1"/>
      <w:numFmt w:val="bullet"/>
      <w:lvlText w:val=""/>
      <w:lvlJc w:val="left"/>
      <w:pPr>
        <w:ind w:left="360" w:hanging="360"/>
      </w:pPr>
      <w:rPr>
        <w:rFonts w:ascii="Symbol" w:hAnsi="Symbol" w:hint="default"/>
      </w:rPr>
    </w:lvl>
    <w:lvl w:ilvl="1" w:tplc="34343F20">
      <w:start w:val="1"/>
      <w:numFmt w:val="bullet"/>
      <w:lvlText w:val="o"/>
      <w:lvlJc w:val="left"/>
      <w:pPr>
        <w:ind w:left="1080" w:hanging="360"/>
      </w:pPr>
      <w:rPr>
        <w:rFonts w:ascii="Courier New" w:hAnsi="Courier New" w:cs="Courier New" w:hint="default"/>
      </w:rPr>
    </w:lvl>
    <w:lvl w:ilvl="2" w:tplc="240413FA" w:tentative="1">
      <w:start w:val="1"/>
      <w:numFmt w:val="bullet"/>
      <w:lvlText w:val=""/>
      <w:lvlJc w:val="left"/>
      <w:pPr>
        <w:ind w:left="1800" w:hanging="360"/>
      </w:pPr>
      <w:rPr>
        <w:rFonts w:ascii="Wingdings" w:hAnsi="Wingdings" w:hint="default"/>
      </w:rPr>
    </w:lvl>
    <w:lvl w:ilvl="3" w:tplc="9C666118" w:tentative="1">
      <w:start w:val="1"/>
      <w:numFmt w:val="bullet"/>
      <w:lvlText w:val=""/>
      <w:lvlJc w:val="left"/>
      <w:pPr>
        <w:ind w:left="2520" w:hanging="360"/>
      </w:pPr>
      <w:rPr>
        <w:rFonts w:ascii="Symbol" w:hAnsi="Symbol" w:hint="default"/>
      </w:rPr>
    </w:lvl>
    <w:lvl w:ilvl="4" w:tplc="710C4DE8" w:tentative="1">
      <w:start w:val="1"/>
      <w:numFmt w:val="bullet"/>
      <w:lvlText w:val="o"/>
      <w:lvlJc w:val="left"/>
      <w:pPr>
        <w:ind w:left="3240" w:hanging="360"/>
      </w:pPr>
      <w:rPr>
        <w:rFonts w:ascii="Courier New" w:hAnsi="Courier New" w:cs="Courier New" w:hint="default"/>
      </w:rPr>
    </w:lvl>
    <w:lvl w:ilvl="5" w:tplc="357E9208" w:tentative="1">
      <w:start w:val="1"/>
      <w:numFmt w:val="bullet"/>
      <w:lvlText w:val=""/>
      <w:lvlJc w:val="left"/>
      <w:pPr>
        <w:ind w:left="3960" w:hanging="360"/>
      </w:pPr>
      <w:rPr>
        <w:rFonts w:ascii="Wingdings" w:hAnsi="Wingdings" w:hint="default"/>
      </w:rPr>
    </w:lvl>
    <w:lvl w:ilvl="6" w:tplc="C5D4083E" w:tentative="1">
      <w:start w:val="1"/>
      <w:numFmt w:val="bullet"/>
      <w:lvlText w:val=""/>
      <w:lvlJc w:val="left"/>
      <w:pPr>
        <w:ind w:left="4680" w:hanging="360"/>
      </w:pPr>
      <w:rPr>
        <w:rFonts w:ascii="Symbol" w:hAnsi="Symbol" w:hint="default"/>
      </w:rPr>
    </w:lvl>
    <w:lvl w:ilvl="7" w:tplc="88C8F8A0" w:tentative="1">
      <w:start w:val="1"/>
      <w:numFmt w:val="bullet"/>
      <w:lvlText w:val="o"/>
      <w:lvlJc w:val="left"/>
      <w:pPr>
        <w:ind w:left="5400" w:hanging="360"/>
      </w:pPr>
      <w:rPr>
        <w:rFonts w:ascii="Courier New" w:hAnsi="Courier New" w:cs="Courier New" w:hint="default"/>
      </w:rPr>
    </w:lvl>
    <w:lvl w:ilvl="8" w:tplc="D556F88C" w:tentative="1">
      <w:start w:val="1"/>
      <w:numFmt w:val="bullet"/>
      <w:lvlText w:val=""/>
      <w:lvlJc w:val="left"/>
      <w:pPr>
        <w:ind w:left="6120" w:hanging="360"/>
      </w:pPr>
      <w:rPr>
        <w:rFonts w:ascii="Wingdings" w:hAnsi="Wingdings" w:hint="default"/>
      </w:rPr>
    </w:lvl>
  </w:abstractNum>
  <w:abstractNum w:abstractNumId="29" w15:restartNumberingAfterBreak="0">
    <w:nsid w:val="6DED6F2A"/>
    <w:multiLevelType w:val="hybridMultilevel"/>
    <w:tmpl w:val="407E9F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B9B4790"/>
    <w:multiLevelType w:val="hybridMultilevel"/>
    <w:tmpl w:val="9F0C0CEE"/>
    <w:lvl w:ilvl="0" w:tplc="828E0DB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C91680"/>
    <w:multiLevelType w:val="hybridMultilevel"/>
    <w:tmpl w:val="B84AA0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5173A1"/>
    <w:multiLevelType w:val="hybridMultilevel"/>
    <w:tmpl w:val="6930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
  </w:num>
  <w:num w:numId="4">
    <w:abstractNumId w:val="28"/>
  </w:num>
  <w:num w:numId="5">
    <w:abstractNumId w:val="0"/>
  </w:num>
  <w:num w:numId="6">
    <w:abstractNumId w:val="29"/>
  </w:num>
  <w:num w:numId="7">
    <w:abstractNumId w:val="24"/>
  </w:num>
  <w:num w:numId="8">
    <w:abstractNumId w:val="21"/>
  </w:num>
  <w:num w:numId="9">
    <w:abstractNumId w:val="7"/>
  </w:num>
  <w:num w:numId="10">
    <w:abstractNumId w:val="3"/>
  </w:num>
  <w:num w:numId="11">
    <w:abstractNumId w:val="25"/>
  </w:num>
  <w:num w:numId="12">
    <w:abstractNumId w:val="15"/>
  </w:num>
  <w:num w:numId="13">
    <w:abstractNumId w:val="13"/>
  </w:num>
  <w:num w:numId="14">
    <w:abstractNumId w:val="5"/>
  </w:num>
  <w:num w:numId="15">
    <w:abstractNumId w:val="14"/>
  </w:num>
  <w:num w:numId="16">
    <w:abstractNumId w:val="22"/>
  </w:num>
  <w:num w:numId="17">
    <w:abstractNumId w:val="16"/>
  </w:num>
  <w:num w:numId="18">
    <w:abstractNumId w:val="33"/>
  </w:num>
  <w:num w:numId="19">
    <w:abstractNumId w:val="27"/>
  </w:num>
  <w:num w:numId="20">
    <w:abstractNumId w:val="20"/>
  </w:num>
  <w:num w:numId="21">
    <w:abstractNumId w:val="19"/>
  </w:num>
  <w:num w:numId="22">
    <w:abstractNumId w:val="4"/>
  </w:num>
  <w:num w:numId="23">
    <w:abstractNumId w:val="2"/>
  </w:num>
  <w:num w:numId="24">
    <w:abstractNumId w:val="31"/>
  </w:num>
  <w:num w:numId="25">
    <w:abstractNumId w:val="11"/>
  </w:num>
  <w:num w:numId="26">
    <w:abstractNumId w:val="10"/>
  </w:num>
  <w:num w:numId="27">
    <w:abstractNumId w:val="9"/>
  </w:num>
  <w:num w:numId="28">
    <w:abstractNumId w:val="23"/>
  </w:num>
  <w:num w:numId="29">
    <w:abstractNumId w:val="6"/>
  </w:num>
  <w:num w:numId="30">
    <w:abstractNumId w:val="17"/>
  </w:num>
  <w:num w:numId="31">
    <w:abstractNumId w:val="18"/>
  </w:num>
  <w:num w:numId="32">
    <w:abstractNumId w:val="26"/>
  </w:num>
  <w:num w:numId="33">
    <w:abstractNumId w:val="32"/>
  </w:num>
  <w:num w:numId="3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B7"/>
    <w:rsid w:val="00001FD0"/>
    <w:rsid w:val="00002278"/>
    <w:rsid w:val="00002B42"/>
    <w:rsid w:val="000046AD"/>
    <w:rsid w:val="00004FED"/>
    <w:rsid w:val="000054C2"/>
    <w:rsid w:val="00005FF7"/>
    <w:rsid w:val="00007EDC"/>
    <w:rsid w:val="00010514"/>
    <w:rsid w:val="000107B4"/>
    <w:rsid w:val="000107EF"/>
    <w:rsid w:val="0001170D"/>
    <w:rsid w:val="0001231B"/>
    <w:rsid w:val="00013495"/>
    <w:rsid w:val="00013964"/>
    <w:rsid w:val="0001490C"/>
    <w:rsid w:val="000227E6"/>
    <w:rsid w:val="0002363C"/>
    <w:rsid w:val="000251EB"/>
    <w:rsid w:val="000274E8"/>
    <w:rsid w:val="00032D42"/>
    <w:rsid w:val="000338F4"/>
    <w:rsid w:val="0003399A"/>
    <w:rsid w:val="00033A54"/>
    <w:rsid w:val="00034A0D"/>
    <w:rsid w:val="0003509E"/>
    <w:rsid w:val="000365AF"/>
    <w:rsid w:val="00037823"/>
    <w:rsid w:val="0004290E"/>
    <w:rsid w:val="000431F2"/>
    <w:rsid w:val="00043E86"/>
    <w:rsid w:val="00044A95"/>
    <w:rsid w:val="00052429"/>
    <w:rsid w:val="00052A3A"/>
    <w:rsid w:val="00052EEF"/>
    <w:rsid w:val="00055B9B"/>
    <w:rsid w:val="0005609C"/>
    <w:rsid w:val="00057A7C"/>
    <w:rsid w:val="00060AA3"/>
    <w:rsid w:val="0006285A"/>
    <w:rsid w:val="00065C7A"/>
    <w:rsid w:val="00066CC4"/>
    <w:rsid w:val="00070204"/>
    <w:rsid w:val="00072AD3"/>
    <w:rsid w:val="00073F33"/>
    <w:rsid w:val="00074661"/>
    <w:rsid w:val="00077873"/>
    <w:rsid w:val="00077A41"/>
    <w:rsid w:val="00080FED"/>
    <w:rsid w:val="000819E4"/>
    <w:rsid w:val="00081FE6"/>
    <w:rsid w:val="000823E8"/>
    <w:rsid w:val="00082A70"/>
    <w:rsid w:val="00083D91"/>
    <w:rsid w:val="0008400F"/>
    <w:rsid w:val="000852F7"/>
    <w:rsid w:val="00085D89"/>
    <w:rsid w:val="00087D9B"/>
    <w:rsid w:val="00090F25"/>
    <w:rsid w:val="0009274F"/>
    <w:rsid w:val="000A118F"/>
    <w:rsid w:val="000A15E8"/>
    <w:rsid w:val="000A53C6"/>
    <w:rsid w:val="000A5EBE"/>
    <w:rsid w:val="000A659A"/>
    <w:rsid w:val="000A7B76"/>
    <w:rsid w:val="000B048E"/>
    <w:rsid w:val="000B059A"/>
    <w:rsid w:val="000B0DDC"/>
    <w:rsid w:val="000B17CF"/>
    <w:rsid w:val="000B200E"/>
    <w:rsid w:val="000B3B3C"/>
    <w:rsid w:val="000B4C17"/>
    <w:rsid w:val="000B59FA"/>
    <w:rsid w:val="000B7106"/>
    <w:rsid w:val="000B7A47"/>
    <w:rsid w:val="000C2DB7"/>
    <w:rsid w:val="000C31BF"/>
    <w:rsid w:val="000C5802"/>
    <w:rsid w:val="000C5A55"/>
    <w:rsid w:val="000C757C"/>
    <w:rsid w:val="000C75B9"/>
    <w:rsid w:val="000C7CB6"/>
    <w:rsid w:val="000D10A9"/>
    <w:rsid w:val="000D158B"/>
    <w:rsid w:val="000D299B"/>
    <w:rsid w:val="000D3BED"/>
    <w:rsid w:val="000D4376"/>
    <w:rsid w:val="000D60E8"/>
    <w:rsid w:val="000D6B00"/>
    <w:rsid w:val="000E1AC6"/>
    <w:rsid w:val="000E25C6"/>
    <w:rsid w:val="000E2BC5"/>
    <w:rsid w:val="000E2E40"/>
    <w:rsid w:val="000E5984"/>
    <w:rsid w:val="000E5E56"/>
    <w:rsid w:val="000E5EE9"/>
    <w:rsid w:val="000E78C4"/>
    <w:rsid w:val="000F0CF1"/>
    <w:rsid w:val="000F2D08"/>
    <w:rsid w:val="000F5A44"/>
    <w:rsid w:val="000F5D8C"/>
    <w:rsid w:val="000F5DE5"/>
    <w:rsid w:val="00100EB1"/>
    <w:rsid w:val="00101B19"/>
    <w:rsid w:val="00101D0D"/>
    <w:rsid w:val="00103E19"/>
    <w:rsid w:val="0010698D"/>
    <w:rsid w:val="00106C19"/>
    <w:rsid w:val="001070CC"/>
    <w:rsid w:val="0010735F"/>
    <w:rsid w:val="001100CE"/>
    <w:rsid w:val="00110E2D"/>
    <w:rsid w:val="00111A64"/>
    <w:rsid w:val="0011251D"/>
    <w:rsid w:val="001131AF"/>
    <w:rsid w:val="001152D6"/>
    <w:rsid w:val="001170B9"/>
    <w:rsid w:val="001173B1"/>
    <w:rsid w:val="0012235D"/>
    <w:rsid w:val="001229A1"/>
    <w:rsid w:val="00124EF8"/>
    <w:rsid w:val="00125E9D"/>
    <w:rsid w:val="00127AFA"/>
    <w:rsid w:val="00130F4F"/>
    <w:rsid w:val="00131231"/>
    <w:rsid w:val="00131A06"/>
    <w:rsid w:val="0013235E"/>
    <w:rsid w:val="00132B60"/>
    <w:rsid w:val="00133B2A"/>
    <w:rsid w:val="00133C74"/>
    <w:rsid w:val="00134A35"/>
    <w:rsid w:val="00135C80"/>
    <w:rsid w:val="00136E76"/>
    <w:rsid w:val="00136FC1"/>
    <w:rsid w:val="001372B8"/>
    <w:rsid w:val="0013734C"/>
    <w:rsid w:val="00140286"/>
    <w:rsid w:val="0014064D"/>
    <w:rsid w:val="001421BC"/>
    <w:rsid w:val="00142D57"/>
    <w:rsid w:val="001445A5"/>
    <w:rsid w:val="00144ADC"/>
    <w:rsid w:val="00145088"/>
    <w:rsid w:val="001460DB"/>
    <w:rsid w:val="001464EF"/>
    <w:rsid w:val="00146D88"/>
    <w:rsid w:val="001471EA"/>
    <w:rsid w:val="001472FC"/>
    <w:rsid w:val="0015001C"/>
    <w:rsid w:val="00150233"/>
    <w:rsid w:val="00151C6C"/>
    <w:rsid w:val="00152EF1"/>
    <w:rsid w:val="00154F32"/>
    <w:rsid w:val="001605D3"/>
    <w:rsid w:val="00160D83"/>
    <w:rsid w:val="00161D88"/>
    <w:rsid w:val="00162ACA"/>
    <w:rsid w:val="001635A5"/>
    <w:rsid w:val="00164B85"/>
    <w:rsid w:val="0016559D"/>
    <w:rsid w:val="00167060"/>
    <w:rsid w:val="00167793"/>
    <w:rsid w:val="00167CB5"/>
    <w:rsid w:val="00170755"/>
    <w:rsid w:val="0017094C"/>
    <w:rsid w:val="00170AF0"/>
    <w:rsid w:val="001717F9"/>
    <w:rsid w:val="001736CC"/>
    <w:rsid w:val="00173BD5"/>
    <w:rsid w:val="00173CEC"/>
    <w:rsid w:val="00175FB9"/>
    <w:rsid w:val="001771E1"/>
    <w:rsid w:val="001808A3"/>
    <w:rsid w:val="001809F9"/>
    <w:rsid w:val="00180F4F"/>
    <w:rsid w:val="001811A8"/>
    <w:rsid w:val="001814A9"/>
    <w:rsid w:val="001835D2"/>
    <w:rsid w:val="00184E1E"/>
    <w:rsid w:val="00185081"/>
    <w:rsid w:val="00185123"/>
    <w:rsid w:val="00185976"/>
    <w:rsid w:val="00185C4E"/>
    <w:rsid w:val="00185E2C"/>
    <w:rsid w:val="00185E9F"/>
    <w:rsid w:val="001868A3"/>
    <w:rsid w:val="0019174B"/>
    <w:rsid w:val="0019217B"/>
    <w:rsid w:val="001921D9"/>
    <w:rsid w:val="001923C6"/>
    <w:rsid w:val="00192A4E"/>
    <w:rsid w:val="0019701B"/>
    <w:rsid w:val="00197168"/>
    <w:rsid w:val="001978A1"/>
    <w:rsid w:val="00197B2A"/>
    <w:rsid w:val="001A09EF"/>
    <w:rsid w:val="001A20DF"/>
    <w:rsid w:val="001A2C8E"/>
    <w:rsid w:val="001A4240"/>
    <w:rsid w:val="001A4AAF"/>
    <w:rsid w:val="001A6D0D"/>
    <w:rsid w:val="001A6D7D"/>
    <w:rsid w:val="001A7761"/>
    <w:rsid w:val="001A7C73"/>
    <w:rsid w:val="001B1F9D"/>
    <w:rsid w:val="001B3547"/>
    <w:rsid w:val="001B3D2A"/>
    <w:rsid w:val="001B414C"/>
    <w:rsid w:val="001B475D"/>
    <w:rsid w:val="001B6508"/>
    <w:rsid w:val="001B6599"/>
    <w:rsid w:val="001B6CD0"/>
    <w:rsid w:val="001B7AD7"/>
    <w:rsid w:val="001C0A79"/>
    <w:rsid w:val="001C1304"/>
    <w:rsid w:val="001C38BD"/>
    <w:rsid w:val="001C4DF0"/>
    <w:rsid w:val="001C5948"/>
    <w:rsid w:val="001C5B18"/>
    <w:rsid w:val="001C5C9A"/>
    <w:rsid w:val="001C6212"/>
    <w:rsid w:val="001C734F"/>
    <w:rsid w:val="001D047A"/>
    <w:rsid w:val="001D06BF"/>
    <w:rsid w:val="001D20EA"/>
    <w:rsid w:val="001D2FA4"/>
    <w:rsid w:val="001D6731"/>
    <w:rsid w:val="001D7027"/>
    <w:rsid w:val="001D784D"/>
    <w:rsid w:val="001D7905"/>
    <w:rsid w:val="001D7EDC"/>
    <w:rsid w:val="001E2469"/>
    <w:rsid w:val="001E3E9A"/>
    <w:rsid w:val="001E4AA2"/>
    <w:rsid w:val="001E4DD3"/>
    <w:rsid w:val="001E5EC5"/>
    <w:rsid w:val="001E6B4D"/>
    <w:rsid w:val="001F06AC"/>
    <w:rsid w:val="001F08A7"/>
    <w:rsid w:val="001F12FB"/>
    <w:rsid w:val="001F3023"/>
    <w:rsid w:val="001F3291"/>
    <w:rsid w:val="001F350C"/>
    <w:rsid w:val="001F4210"/>
    <w:rsid w:val="001F4F6D"/>
    <w:rsid w:val="001F6C36"/>
    <w:rsid w:val="00200616"/>
    <w:rsid w:val="00201BB8"/>
    <w:rsid w:val="00201F15"/>
    <w:rsid w:val="002023B7"/>
    <w:rsid w:val="00202619"/>
    <w:rsid w:val="002046F2"/>
    <w:rsid w:val="002053D5"/>
    <w:rsid w:val="002074D0"/>
    <w:rsid w:val="002117E6"/>
    <w:rsid w:val="00211ACF"/>
    <w:rsid w:val="00211FBB"/>
    <w:rsid w:val="00212037"/>
    <w:rsid w:val="00215E1F"/>
    <w:rsid w:val="00217233"/>
    <w:rsid w:val="00217832"/>
    <w:rsid w:val="00217C70"/>
    <w:rsid w:val="002201E2"/>
    <w:rsid w:val="00220D3D"/>
    <w:rsid w:val="00222D64"/>
    <w:rsid w:val="00223FD6"/>
    <w:rsid w:val="0022554C"/>
    <w:rsid w:val="00225648"/>
    <w:rsid w:val="00225C22"/>
    <w:rsid w:val="00227646"/>
    <w:rsid w:val="002313B4"/>
    <w:rsid w:val="002320CC"/>
    <w:rsid w:val="002328D0"/>
    <w:rsid w:val="0023441D"/>
    <w:rsid w:val="00234543"/>
    <w:rsid w:val="00234A33"/>
    <w:rsid w:val="00235E86"/>
    <w:rsid w:val="0023674A"/>
    <w:rsid w:val="002367A9"/>
    <w:rsid w:val="00240AD7"/>
    <w:rsid w:val="00241613"/>
    <w:rsid w:val="002433C1"/>
    <w:rsid w:val="002437E5"/>
    <w:rsid w:val="00244817"/>
    <w:rsid w:val="00244A58"/>
    <w:rsid w:val="0024550B"/>
    <w:rsid w:val="00245AAD"/>
    <w:rsid w:val="00245FD1"/>
    <w:rsid w:val="00246A06"/>
    <w:rsid w:val="00246B05"/>
    <w:rsid w:val="00246B8E"/>
    <w:rsid w:val="00246F27"/>
    <w:rsid w:val="002510E3"/>
    <w:rsid w:val="00253CD1"/>
    <w:rsid w:val="00254399"/>
    <w:rsid w:val="00257CD4"/>
    <w:rsid w:val="00263BD3"/>
    <w:rsid w:val="00263DDB"/>
    <w:rsid w:val="00263E4E"/>
    <w:rsid w:val="002647CD"/>
    <w:rsid w:val="00265089"/>
    <w:rsid w:val="002656C4"/>
    <w:rsid w:val="00266264"/>
    <w:rsid w:val="00272300"/>
    <w:rsid w:val="00272B1F"/>
    <w:rsid w:val="002746A4"/>
    <w:rsid w:val="0027773D"/>
    <w:rsid w:val="00277BDB"/>
    <w:rsid w:val="0028051F"/>
    <w:rsid w:val="00280F37"/>
    <w:rsid w:val="0028345F"/>
    <w:rsid w:val="0028440F"/>
    <w:rsid w:val="002846D4"/>
    <w:rsid w:val="00286E8F"/>
    <w:rsid w:val="00286EA4"/>
    <w:rsid w:val="00287302"/>
    <w:rsid w:val="00290CF4"/>
    <w:rsid w:val="00290D85"/>
    <w:rsid w:val="00290FEC"/>
    <w:rsid w:val="002926FD"/>
    <w:rsid w:val="002927EB"/>
    <w:rsid w:val="00293DD6"/>
    <w:rsid w:val="00294F88"/>
    <w:rsid w:val="0029513E"/>
    <w:rsid w:val="00295BAD"/>
    <w:rsid w:val="002962B6"/>
    <w:rsid w:val="00297891"/>
    <w:rsid w:val="002A109C"/>
    <w:rsid w:val="002A17CE"/>
    <w:rsid w:val="002A1CFB"/>
    <w:rsid w:val="002A1E81"/>
    <w:rsid w:val="002A23B4"/>
    <w:rsid w:val="002A3761"/>
    <w:rsid w:val="002A3C4F"/>
    <w:rsid w:val="002A3EBA"/>
    <w:rsid w:val="002A557E"/>
    <w:rsid w:val="002A680B"/>
    <w:rsid w:val="002B0625"/>
    <w:rsid w:val="002B09F7"/>
    <w:rsid w:val="002B1D0C"/>
    <w:rsid w:val="002B1DB6"/>
    <w:rsid w:val="002B3102"/>
    <w:rsid w:val="002B47CD"/>
    <w:rsid w:val="002B5439"/>
    <w:rsid w:val="002B571B"/>
    <w:rsid w:val="002C12C0"/>
    <w:rsid w:val="002C3F7B"/>
    <w:rsid w:val="002C45CA"/>
    <w:rsid w:val="002C4D7E"/>
    <w:rsid w:val="002C6C49"/>
    <w:rsid w:val="002D0ECF"/>
    <w:rsid w:val="002D0FE7"/>
    <w:rsid w:val="002D2387"/>
    <w:rsid w:val="002D2CAE"/>
    <w:rsid w:val="002D3F05"/>
    <w:rsid w:val="002D5A14"/>
    <w:rsid w:val="002D725C"/>
    <w:rsid w:val="002D78AE"/>
    <w:rsid w:val="002E0EE0"/>
    <w:rsid w:val="002E371B"/>
    <w:rsid w:val="002E4CF3"/>
    <w:rsid w:val="002E6253"/>
    <w:rsid w:val="002E7F7D"/>
    <w:rsid w:val="002F1EF2"/>
    <w:rsid w:val="002F26C0"/>
    <w:rsid w:val="002F3791"/>
    <w:rsid w:val="002F3895"/>
    <w:rsid w:val="002F502D"/>
    <w:rsid w:val="002F5CBC"/>
    <w:rsid w:val="002F6F5A"/>
    <w:rsid w:val="002F784A"/>
    <w:rsid w:val="00300E03"/>
    <w:rsid w:val="00301264"/>
    <w:rsid w:val="00301E3C"/>
    <w:rsid w:val="003028E9"/>
    <w:rsid w:val="0030492B"/>
    <w:rsid w:val="00304ED4"/>
    <w:rsid w:val="0030569B"/>
    <w:rsid w:val="00307197"/>
    <w:rsid w:val="00307443"/>
    <w:rsid w:val="003102EE"/>
    <w:rsid w:val="00311BBB"/>
    <w:rsid w:val="00311E59"/>
    <w:rsid w:val="0031280C"/>
    <w:rsid w:val="00312BF3"/>
    <w:rsid w:val="00312C8D"/>
    <w:rsid w:val="00313511"/>
    <w:rsid w:val="003161BE"/>
    <w:rsid w:val="00316C35"/>
    <w:rsid w:val="0031731F"/>
    <w:rsid w:val="003175E3"/>
    <w:rsid w:val="003200C6"/>
    <w:rsid w:val="00320218"/>
    <w:rsid w:val="0032050B"/>
    <w:rsid w:val="00321119"/>
    <w:rsid w:val="00321225"/>
    <w:rsid w:val="003248F8"/>
    <w:rsid w:val="0032573D"/>
    <w:rsid w:val="003259E3"/>
    <w:rsid w:val="00326AB1"/>
    <w:rsid w:val="00327428"/>
    <w:rsid w:val="00327F06"/>
    <w:rsid w:val="00330FCD"/>
    <w:rsid w:val="0033440D"/>
    <w:rsid w:val="00334EA4"/>
    <w:rsid w:val="00335334"/>
    <w:rsid w:val="0033595C"/>
    <w:rsid w:val="00336DDD"/>
    <w:rsid w:val="003400C0"/>
    <w:rsid w:val="00341271"/>
    <w:rsid w:val="00341A70"/>
    <w:rsid w:val="00342BE6"/>
    <w:rsid w:val="00342CB2"/>
    <w:rsid w:val="00342FE5"/>
    <w:rsid w:val="00343216"/>
    <w:rsid w:val="003454C2"/>
    <w:rsid w:val="0035090D"/>
    <w:rsid w:val="00350978"/>
    <w:rsid w:val="00352A9A"/>
    <w:rsid w:val="00353774"/>
    <w:rsid w:val="00355314"/>
    <w:rsid w:val="00357073"/>
    <w:rsid w:val="00360226"/>
    <w:rsid w:val="003608DA"/>
    <w:rsid w:val="003623E5"/>
    <w:rsid w:val="003649BF"/>
    <w:rsid w:val="0036590A"/>
    <w:rsid w:val="00365AFE"/>
    <w:rsid w:val="0036694D"/>
    <w:rsid w:val="00370908"/>
    <w:rsid w:val="00371CC2"/>
    <w:rsid w:val="0037227B"/>
    <w:rsid w:val="00372F5A"/>
    <w:rsid w:val="0037449F"/>
    <w:rsid w:val="00375572"/>
    <w:rsid w:val="0037624D"/>
    <w:rsid w:val="00377CE5"/>
    <w:rsid w:val="00380141"/>
    <w:rsid w:val="00380415"/>
    <w:rsid w:val="00381364"/>
    <w:rsid w:val="0038169E"/>
    <w:rsid w:val="00381921"/>
    <w:rsid w:val="003821E1"/>
    <w:rsid w:val="003823C3"/>
    <w:rsid w:val="00382B82"/>
    <w:rsid w:val="003830E2"/>
    <w:rsid w:val="0038380F"/>
    <w:rsid w:val="00384C97"/>
    <w:rsid w:val="00384D8E"/>
    <w:rsid w:val="00385BC1"/>
    <w:rsid w:val="00385F2D"/>
    <w:rsid w:val="0038612D"/>
    <w:rsid w:val="0039004C"/>
    <w:rsid w:val="00392067"/>
    <w:rsid w:val="0039321D"/>
    <w:rsid w:val="00394593"/>
    <w:rsid w:val="0039487D"/>
    <w:rsid w:val="003975F4"/>
    <w:rsid w:val="00397BB0"/>
    <w:rsid w:val="003A240E"/>
    <w:rsid w:val="003A2717"/>
    <w:rsid w:val="003A363D"/>
    <w:rsid w:val="003A7C13"/>
    <w:rsid w:val="003B0563"/>
    <w:rsid w:val="003B148D"/>
    <w:rsid w:val="003B176A"/>
    <w:rsid w:val="003B3197"/>
    <w:rsid w:val="003B32E6"/>
    <w:rsid w:val="003B5B1D"/>
    <w:rsid w:val="003B6ADB"/>
    <w:rsid w:val="003B6BBE"/>
    <w:rsid w:val="003B74E6"/>
    <w:rsid w:val="003C1AB3"/>
    <w:rsid w:val="003C1B5E"/>
    <w:rsid w:val="003C358E"/>
    <w:rsid w:val="003C3B27"/>
    <w:rsid w:val="003C41FD"/>
    <w:rsid w:val="003C4937"/>
    <w:rsid w:val="003C59BC"/>
    <w:rsid w:val="003C6740"/>
    <w:rsid w:val="003C6DF5"/>
    <w:rsid w:val="003C70D4"/>
    <w:rsid w:val="003D07A4"/>
    <w:rsid w:val="003D0D99"/>
    <w:rsid w:val="003D1D87"/>
    <w:rsid w:val="003D21F0"/>
    <w:rsid w:val="003D2702"/>
    <w:rsid w:val="003D2E66"/>
    <w:rsid w:val="003D37C1"/>
    <w:rsid w:val="003D496F"/>
    <w:rsid w:val="003D5C14"/>
    <w:rsid w:val="003D5E5D"/>
    <w:rsid w:val="003D7040"/>
    <w:rsid w:val="003D77C5"/>
    <w:rsid w:val="003D77EB"/>
    <w:rsid w:val="003E1023"/>
    <w:rsid w:val="003E11FE"/>
    <w:rsid w:val="003E185A"/>
    <w:rsid w:val="003E26A2"/>
    <w:rsid w:val="003E2FD7"/>
    <w:rsid w:val="003E36F1"/>
    <w:rsid w:val="003E3895"/>
    <w:rsid w:val="003E39F5"/>
    <w:rsid w:val="003E3B58"/>
    <w:rsid w:val="003E4208"/>
    <w:rsid w:val="003E45D1"/>
    <w:rsid w:val="003E4C59"/>
    <w:rsid w:val="003E6206"/>
    <w:rsid w:val="003E79CB"/>
    <w:rsid w:val="003F0859"/>
    <w:rsid w:val="003F1077"/>
    <w:rsid w:val="003F1D91"/>
    <w:rsid w:val="003F2108"/>
    <w:rsid w:val="003F34D6"/>
    <w:rsid w:val="003F3B71"/>
    <w:rsid w:val="003F41C5"/>
    <w:rsid w:val="003F495D"/>
    <w:rsid w:val="003F4F06"/>
    <w:rsid w:val="003F517F"/>
    <w:rsid w:val="003F5892"/>
    <w:rsid w:val="003F6A21"/>
    <w:rsid w:val="003F7471"/>
    <w:rsid w:val="00400432"/>
    <w:rsid w:val="00400CEC"/>
    <w:rsid w:val="00400E77"/>
    <w:rsid w:val="0040329B"/>
    <w:rsid w:val="00404742"/>
    <w:rsid w:val="00405BCF"/>
    <w:rsid w:val="00405DE5"/>
    <w:rsid w:val="00405DEF"/>
    <w:rsid w:val="00405E75"/>
    <w:rsid w:val="00406177"/>
    <w:rsid w:val="0040784B"/>
    <w:rsid w:val="00407856"/>
    <w:rsid w:val="004079F4"/>
    <w:rsid w:val="004108BC"/>
    <w:rsid w:val="00411630"/>
    <w:rsid w:val="00411BC9"/>
    <w:rsid w:val="0041282D"/>
    <w:rsid w:val="00412860"/>
    <w:rsid w:val="00412B82"/>
    <w:rsid w:val="004133D0"/>
    <w:rsid w:val="0041704F"/>
    <w:rsid w:val="00417072"/>
    <w:rsid w:val="00417402"/>
    <w:rsid w:val="00417ADC"/>
    <w:rsid w:val="00417B8E"/>
    <w:rsid w:val="00417D03"/>
    <w:rsid w:val="00417DFD"/>
    <w:rsid w:val="00417E0A"/>
    <w:rsid w:val="004204E3"/>
    <w:rsid w:val="00421058"/>
    <w:rsid w:val="004214E5"/>
    <w:rsid w:val="00422E28"/>
    <w:rsid w:val="0042310B"/>
    <w:rsid w:val="004231A7"/>
    <w:rsid w:val="0042462E"/>
    <w:rsid w:val="0042522A"/>
    <w:rsid w:val="004256EC"/>
    <w:rsid w:val="00425DB5"/>
    <w:rsid w:val="00426EDB"/>
    <w:rsid w:val="00427396"/>
    <w:rsid w:val="004300FF"/>
    <w:rsid w:val="004311C4"/>
    <w:rsid w:val="00431A30"/>
    <w:rsid w:val="004323BC"/>
    <w:rsid w:val="00433A5D"/>
    <w:rsid w:val="00436DF0"/>
    <w:rsid w:val="004379BD"/>
    <w:rsid w:val="00437E85"/>
    <w:rsid w:val="00440896"/>
    <w:rsid w:val="00444226"/>
    <w:rsid w:val="00444B2A"/>
    <w:rsid w:val="00446867"/>
    <w:rsid w:val="00446BA7"/>
    <w:rsid w:val="00447949"/>
    <w:rsid w:val="00450D6E"/>
    <w:rsid w:val="00450E9B"/>
    <w:rsid w:val="00453606"/>
    <w:rsid w:val="00453B08"/>
    <w:rsid w:val="0045408B"/>
    <w:rsid w:val="00455577"/>
    <w:rsid w:val="00455BD6"/>
    <w:rsid w:val="00456AEE"/>
    <w:rsid w:val="00460278"/>
    <w:rsid w:val="00461A77"/>
    <w:rsid w:val="00462BA8"/>
    <w:rsid w:val="00462D0A"/>
    <w:rsid w:val="00464495"/>
    <w:rsid w:val="004659B0"/>
    <w:rsid w:val="00465DB5"/>
    <w:rsid w:val="00466183"/>
    <w:rsid w:val="00466C68"/>
    <w:rsid w:val="0046755E"/>
    <w:rsid w:val="00467DD2"/>
    <w:rsid w:val="00472FF4"/>
    <w:rsid w:val="004736DA"/>
    <w:rsid w:val="004752AC"/>
    <w:rsid w:val="00475587"/>
    <w:rsid w:val="00475D29"/>
    <w:rsid w:val="00476141"/>
    <w:rsid w:val="004761C7"/>
    <w:rsid w:val="00476857"/>
    <w:rsid w:val="00477027"/>
    <w:rsid w:val="0048117F"/>
    <w:rsid w:val="00481C20"/>
    <w:rsid w:val="00482BC6"/>
    <w:rsid w:val="00482D75"/>
    <w:rsid w:val="00483F9F"/>
    <w:rsid w:val="0048522D"/>
    <w:rsid w:val="00487BFC"/>
    <w:rsid w:val="0049145E"/>
    <w:rsid w:val="004921B2"/>
    <w:rsid w:val="00492404"/>
    <w:rsid w:val="00492A13"/>
    <w:rsid w:val="00492B39"/>
    <w:rsid w:val="004949A7"/>
    <w:rsid w:val="004957AE"/>
    <w:rsid w:val="00495C9F"/>
    <w:rsid w:val="00496393"/>
    <w:rsid w:val="004A2E49"/>
    <w:rsid w:val="004A30BD"/>
    <w:rsid w:val="004A323A"/>
    <w:rsid w:val="004A5B65"/>
    <w:rsid w:val="004A5FFB"/>
    <w:rsid w:val="004B1E74"/>
    <w:rsid w:val="004B220D"/>
    <w:rsid w:val="004B2458"/>
    <w:rsid w:val="004B2F98"/>
    <w:rsid w:val="004B3499"/>
    <w:rsid w:val="004B461D"/>
    <w:rsid w:val="004B59A8"/>
    <w:rsid w:val="004B67DF"/>
    <w:rsid w:val="004C013F"/>
    <w:rsid w:val="004C329F"/>
    <w:rsid w:val="004C42E6"/>
    <w:rsid w:val="004C4751"/>
    <w:rsid w:val="004C4FBE"/>
    <w:rsid w:val="004C5127"/>
    <w:rsid w:val="004C6494"/>
    <w:rsid w:val="004C716E"/>
    <w:rsid w:val="004C7246"/>
    <w:rsid w:val="004C7A47"/>
    <w:rsid w:val="004D0B79"/>
    <w:rsid w:val="004D26E1"/>
    <w:rsid w:val="004D3399"/>
    <w:rsid w:val="004D4E93"/>
    <w:rsid w:val="004D54F3"/>
    <w:rsid w:val="004D5D2D"/>
    <w:rsid w:val="004E2E87"/>
    <w:rsid w:val="004E3646"/>
    <w:rsid w:val="004E38DC"/>
    <w:rsid w:val="004E3BD1"/>
    <w:rsid w:val="004E4B7C"/>
    <w:rsid w:val="004E5654"/>
    <w:rsid w:val="004E5AD0"/>
    <w:rsid w:val="004E688C"/>
    <w:rsid w:val="004E6E49"/>
    <w:rsid w:val="004E7697"/>
    <w:rsid w:val="004F0E21"/>
    <w:rsid w:val="004F0F4D"/>
    <w:rsid w:val="004F1672"/>
    <w:rsid w:val="004F1728"/>
    <w:rsid w:val="004F2B18"/>
    <w:rsid w:val="004F3C75"/>
    <w:rsid w:val="004F4751"/>
    <w:rsid w:val="004F4F5F"/>
    <w:rsid w:val="004F4FFF"/>
    <w:rsid w:val="004F51E3"/>
    <w:rsid w:val="004F6122"/>
    <w:rsid w:val="004F6436"/>
    <w:rsid w:val="004F70C2"/>
    <w:rsid w:val="005000D1"/>
    <w:rsid w:val="005006AB"/>
    <w:rsid w:val="00500BCD"/>
    <w:rsid w:val="0050255A"/>
    <w:rsid w:val="00504A88"/>
    <w:rsid w:val="00506838"/>
    <w:rsid w:val="005073D5"/>
    <w:rsid w:val="00513271"/>
    <w:rsid w:val="00513E88"/>
    <w:rsid w:val="00514CFA"/>
    <w:rsid w:val="00515CE8"/>
    <w:rsid w:val="00515E21"/>
    <w:rsid w:val="0051757F"/>
    <w:rsid w:val="0052195E"/>
    <w:rsid w:val="00522FC4"/>
    <w:rsid w:val="0052369B"/>
    <w:rsid w:val="00524C9C"/>
    <w:rsid w:val="00525EC3"/>
    <w:rsid w:val="00526DDF"/>
    <w:rsid w:val="00526E0A"/>
    <w:rsid w:val="005278FB"/>
    <w:rsid w:val="00532CBB"/>
    <w:rsid w:val="005331A8"/>
    <w:rsid w:val="005339B9"/>
    <w:rsid w:val="00533BA8"/>
    <w:rsid w:val="0053490F"/>
    <w:rsid w:val="005362FE"/>
    <w:rsid w:val="0053649A"/>
    <w:rsid w:val="00536DDE"/>
    <w:rsid w:val="0053747D"/>
    <w:rsid w:val="00537EC4"/>
    <w:rsid w:val="00540FDB"/>
    <w:rsid w:val="00541F77"/>
    <w:rsid w:val="00542AE8"/>
    <w:rsid w:val="00542DE1"/>
    <w:rsid w:val="00544465"/>
    <w:rsid w:val="00547E9C"/>
    <w:rsid w:val="0055038E"/>
    <w:rsid w:val="00553021"/>
    <w:rsid w:val="00554473"/>
    <w:rsid w:val="00554FAB"/>
    <w:rsid w:val="00556936"/>
    <w:rsid w:val="00556AF7"/>
    <w:rsid w:val="00556DD0"/>
    <w:rsid w:val="0055724E"/>
    <w:rsid w:val="005577AE"/>
    <w:rsid w:val="0056008D"/>
    <w:rsid w:val="00561190"/>
    <w:rsid w:val="00562C8A"/>
    <w:rsid w:val="005658F1"/>
    <w:rsid w:val="00565B47"/>
    <w:rsid w:val="00565B97"/>
    <w:rsid w:val="00566D30"/>
    <w:rsid w:val="005678B6"/>
    <w:rsid w:val="005719B4"/>
    <w:rsid w:val="00571A58"/>
    <w:rsid w:val="00571FEF"/>
    <w:rsid w:val="005726DC"/>
    <w:rsid w:val="00574727"/>
    <w:rsid w:val="00575A5A"/>
    <w:rsid w:val="00575C47"/>
    <w:rsid w:val="00580441"/>
    <w:rsid w:val="00581C5C"/>
    <w:rsid w:val="0058246B"/>
    <w:rsid w:val="005828A0"/>
    <w:rsid w:val="0058424C"/>
    <w:rsid w:val="00585EE8"/>
    <w:rsid w:val="005909B7"/>
    <w:rsid w:val="005912F8"/>
    <w:rsid w:val="0059188C"/>
    <w:rsid w:val="00591BE5"/>
    <w:rsid w:val="005932D0"/>
    <w:rsid w:val="00595369"/>
    <w:rsid w:val="005958A4"/>
    <w:rsid w:val="00595A4C"/>
    <w:rsid w:val="00596BCD"/>
    <w:rsid w:val="00597DA8"/>
    <w:rsid w:val="00597F9B"/>
    <w:rsid w:val="005A0CC7"/>
    <w:rsid w:val="005A1DF0"/>
    <w:rsid w:val="005A2B14"/>
    <w:rsid w:val="005A2F97"/>
    <w:rsid w:val="005A38E7"/>
    <w:rsid w:val="005A3DB6"/>
    <w:rsid w:val="005A5814"/>
    <w:rsid w:val="005A58BE"/>
    <w:rsid w:val="005A5AB5"/>
    <w:rsid w:val="005A6C8B"/>
    <w:rsid w:val="005A6E2A"/>
    <w:rsid w:val="005A70DB"/>
    <w:rsid w:val="005A7BDE"/>
    <w:rsid w:val="005B2E36"/>
    <w:rsid w:val="005B373F"/>
    <w:rsid w:val="005B3BD2"/>
    <w:rsid w:val="005B4322"/>
    <w:rsid w:val="005B5897"/>
    <w:rsid w:val="005B5C1D"/>
    <w:rsid w:val="005B7B5A"/>
    <w:rsid w:val="005B7DB8"/>
    <w:rsid w:val="005C042A"/>
    <w:rsid w:val="005C0957"/>
    <w:rsid w:val="005C0F9A"/>
    <w:rsid w:val="005C1634"/>
    <w:rsid w:val="005C16C5"/>
    <w:rsid w:val="005C19A2"/>
    <w:rsid w:val="005C1D3B"/>
    <w:rsid w:val="005C20C4"/>
    <w:rsid w:val="005C23EA"/>
    <w:rsid w:val="005C3E4C"/>
    <w:rsid w:val="005C45E8"/>
    <w:rsid w:val="005C4992"/>
    <w:rsid w:val="005C5D84"/>
    <w:rsid w:val="005C7A5F"/>
    <w:rsid w:val="005D1CAE"/>
    <w:rsid w:val="005D2288"/>
    <w:rsid w:val="005D3DFB"/>
    <w:rsid w:val="005D3F7B"/>
    <w:rsid w:val="005D4812"/>
    <w:rsid w:val="005D5DE4"/>
    <w:rsid w:val="005D7D1D"/>
    <w:rsid w:val="005E1A82"/>
    <w:rsid w:val="005E1DED"/>
    <w:rsid w:val="005E28BB"/>
    <w:rsid w:val="005F0385"/>
    <w:rsid w:val="005F1485"/>
    <w:rsid w:val="005F41B0"/>
    <w:rsid w:val="005F5908"/>
    <w:rsid w:val="005F757A"/>
    <w:rsid w:val="005F7699"/>
    <w:rsid w:val="005F7B06"/>
    <w:rsid w:val="00604926"/>
    <w:rsid w:val="00605C8A"/>
    <w:rsid w:val="006077AC"/>
    <w:rsid w:val="00611311"/>
    <w:rsid w:val="00611908"/>
    <w:rsid w:val="0061446D"/>
    <w:rsid w:val="00614DBE"/>
    <w:rsid w:val="00614F02"/>
    <w:rsid w:val="00614FF5"/>
    <w:rsid w:val="00615514"/>
    <w:rsid w:val="00620ED1"/>
    <w:rsid w:val="006220D3"/>
    <w:rsid w:val="00622781"/>
    <w:rsid w:val="00623386"/>
    <w:rsid w:val="006245B1"/>
    <w:rsid w:val="00625397"/>
    <w:rsid w:val="00625650"/>
    <w:rsid w:val="00625D52"/>
    <w:rsid w:val="00626319"/>
    <w:rsid w:val="00627162"/>
    <w:rsid w:val="006275DE"/>
    <w:rsid w:val="0063064D"/>
    <w:rsid w:val="00630933"/>
    <w:rsid w:val="00631CE4"/>
    <w:rsid w:val="006323B7"/>
    <w:rsid w:val="00632D44"/>
    <w:rsid w:val="00632DDD"/>
    <w:rsid w:val="00632EBE"/>
    <w:rsid w:val="00636D49"/>
    <w:rsid w:val="00636D50"/>
    <w:rsid w:val="00637F6C"/>
    <w:rsid w:val="0064138E"/>
    <w:rsid w:val="00643305"/>
    <w:rsid w:val="00643EBD"/>
    <w:rsid w:val="00644912"/>
    <w:rsid w:val="00644B85"/>
    <w:rsid w:val="006462CF"/>
    <w:rsid w:val="00646341"/>
    <w:rsid w:val="0064658D"/>
    <w:rsid w:val="00646666"/>
    <w:rsid w:val="00647819"/>
    <w:rsid w:val="0065017B"/>
    <w:rsid w:val="00651351"/>
    <w:rsid w:val="0065176F"/>
    <w:rsid w:val="0065601E"/>
    <w:rsid w:val="00657CA6"/>
    <w:rsid w:val="00657E5C"/>
    <w:rsid w:val="00657E62"/>
    <w:rsid w:val="00660532"/>
    <w:rsid w:val="006619D0"/>
    <w:rsid w:val="00662E71"/>
    <w:rsid w:val="006635E4"/>
    <w:rsid w:val="00663ECA"/>
    <w:rsid w:val="00663F7D"/>
    <w:rsid w:val="00664853"/>
    <w:rsid w:val="00664EB0"/>
    <w:rsid w:val="0066500A"/>
    <w:rsid w:val="006671DB"/>
    <w:rsid w:val="00667A88"/>
    <w:rsid w:val="00667D83"/>
    <w:rsid w:val="00670BDA"/>
    <w:rsid w:val="00672C45"/>
    <w:rsid w:val="00672E47"/>
    <w:rsid w:val="006730CD"/>
    <w:rsid w:val="006740E3"/>
    <w:rsid w:val="00677D74"/>
    <w:rsid w:val="00677FA4"/>
    <w:rsid w:val="0068034C"/>
    <w:rsid w:val="00680D9C"/>
    <w:rsid w:val="00681F5E"/>
    <w:rsid w:val="006844EF"/>
    <w:rsid w:val="0068499B"/>
    <w:rsid w:val="00684EFA"/>
    <w:rsid w:val="006854DA"/>
    <w:rsid w:val="0068571E"/>
    <w:rsid w:val="0068607C"/>
    <w:rsid w:val="00687716"/>
    <w:rsid w:val="00687968"/>
    <w:rsid w:val="006911FB"/>
    <w:rsid w:val="0069137E"/>
    <w:rsid w:val="0069137F"/>
    <w:rsid w:val="00691E89"/>
    <w:rsid w:val="0069256D"/>
    <w:rsid w:val="006926D7"/>
    <w:rsid w:val="00692BDD"/>
    <w:rsid w:val="0069547A"/>
    <w:rsid w:val="00696CFB"/>
    <w:rsid w:val="00697E2A"/>
    <w:rsid w:val="006A002F"/>
    <w:rsid w:val="006A2DCB"/>
    <w:rsid w:val="006A2DD8"/>
    <w:rsid w:val="006A2F0E"/>
    <w:rsid w:val="006A3288"/>
    <w:rsid w:val="006A76CD"/>
    <w:rsid w:val="006A7C67"/>
    <w:rsid w:val="006B0E84"/>
    <w:rsid w:val="006B28BE"/>
    <w:rsid w:val="006B3B0C"/>
    <w:rsid w:val="006B3CAD"/>
    <w:rsid w:val="006B409A"/>
    <w:rsid w:val="006B4600"/>
    <w:rsid w:val="006B4F1F"/>
    <w:rsid w:val="006B540D"/>
    <w:rsid w:val="006B5568"/>
    <w:rsid w:val="006B5EB8"/>
    <w:rsid w:val="006B6952"/>
    <w:rsid w:val="006C2EF1"/>
    <w:rsid w:val="006C30C9"/>
    <w:rsid w:val="006C3449"/>
    <w:rsid w:val="006C3D9A"/>
    <w:rsid w:val="006C40BD"/>
    <w:rsid w:val="006C4944"/>
    <w:rsid w:val="006C57B7"/>
    <w:rsid w:val="006C5EFC"/>
    <w:rsid w:val="006C6B25"/>
    <w:rsid w:val="006C772C"/>
    <w:rsid w:val="006D3496"/>
    <w:rsid w:val="006D46E2"/>
    <w:rsid w:val="006D548C"/>
    <w:rsid w:val="006D65E7"/>
    <w:rsid w:val="006D6F78"/>
    <w:rsid w:val="006E4838"/>
    <w:rsid w:val="006E5DBF"/>
    <w:rsid w:val="006E7A1E"/>
    <w:rsid w:val="006F0018"/>
    <w:rsid w:val="006F06FD"/>
    <w:rsid w:val="006F0BBC"/>
    <w:rsid w:val="006F2307"/>
    <w:rsid w:val="006F2661"/>
    <w:rsid w:val="006F60DE"/>
    <w:rsid w:val="006F6BAB"/>
    <w:rsid w:val="006F7421"/>
    <w:rsid w:val="006F7D1B"/>
    <w:rsid w:val="00700616"/>
    <w:rsid w:val="0070525B"/>
    <w:rsid w:val="00705B86"/>
    <w:rsid w:val="00710C86"/>
    <w:rsid w:val="00714224"/>
    <w:rsid w:val="00715A23"/>
    <w:rsid w:val="00715B02"/>
    <w:rsid w:val="00716787"/>
    <w:rsid w:val="007168F5"/>
    <w:rsid w:val="00722E48"/>
    <w:rsid w:val="00723758"/>
    <w:rsid w:val="00723767"/>
    <w:rsid w:val="007238F7"/>
    <w:rsid w:val="00723F6E"/>
    <w:rsid w:val="00724631"/>
    <w:rsid w:val="00724A5C"/>
    <w:rsid w:val="00725481"/>
    <w:rsid w:val="007259C0"/>
    <w:rsid w:val="00725D9D"/>
    <w:rsid w:val="00726FD7"/>
    <w:rsid w:val="007311F7"/>
    <w:rsid w:val="0073136B"/>
    <w:rsid w:val="007333B2"/>
    <w:rsid w:val="00734F9C"/>
    <w:rsid w:val="00735AFB"/>
    <w:rsid w:val="0073630C"/>
    <w:rsid w:val="00736A1F"/>
    <w:rsid w:val="00737CB5"/>
    <w:rsid w:val="0074012D"/>
    <w:rsid w:val="007412E8"/>
    <w:rsid w:val="00741F69"/>
    <w:rsid w:val="00741FA6"/>
    <w:rsid w:val="00743D95"/>
    <w:rsid w:val="00745564"/>
    <w:rsid w:val="007455B2"/>
    <w:rsid w:val="0075076C"/>
    <w:rsid w:val="00751286"/>
    <w:rsid w:val="00751650"/>
    <w:rsid w:val="00751C5D"/>
    <w:rsid w:val="00751C81"/>
    <w:rsid w:val="00752AA9"/>
    <w:rsid w:val="00753BB6"/>
    <w:rsid w:val="00753E02"/>
    <w:rsid w:val="00755A7F"/>
    <w:rsid w:val="007560A1"/>
    <w:rsid w:val="00756D64"/>
    <w:rsid w:val="00756FC4"/>
    <w:rsid w:val="00760599"/>
    <w:rsid w:val="007621C9"/>
    <w:rsid w:val="007623FC"/>
    <w:rsid w:val="00762842"/>
    <w:rsid w:val="007628D6"/>
    <w:rsid w:val="0076687E"/>
    <w:rsid w:val="007669AE"/>
    <w:rsid w:val="00766CEE"/>
    <w:rsid w:val="00766EC8"/>
    <w:rsid w:val="007672B4"/>
    <w:rsid w:val="0077342A"/>
    <w:rsid w:val="00773FEE"/>
    <w:rsid w:val="00774279"/>
    <w:rsid w:val="00775BFC"/>
    <w:rsid w:val="00776DA9"/>
    <w:rsid w:val="00776FB2"/>
    <w:rsid w:val="00782723"/>
    <w:rsid w:val="00783592"/>
    <w:rsid w:val="00783B47"/>
    <w:rsid w:val="00784C06"/>
    <w:rsid w:val="007855BD"/>
    <w:rsid w:val="00785AF9"/>
    <w:rsid w:val="00785C68"/>
    <w:rsid w:val="00785DB2"/>
    <w:rsid w:val="007877AD"/>
    <w:rsid w:val="0079001A"/>
    <w:rsid w:val="007929D0"/>
    <w:rsid w:val="00794AFA"/>
    <w:rsid w:val="007954DB"/>
    <w:rsid w:val="007967C3"/>
    <w:rsid w:val="007A07E7"/>
    <w:rsid w:val="007A2054"/>
    <w:rsid w:val="007A27D8"/>
    <w:rsid w:val="007A4B0F"/>
    <w:rsid w:val="007A571C"/>
    <w:rsid w:val="007A62B5"/>
    <w:rsid w:val="007A65FD"/>
    <w:rsid w:val="007A708F"/>
    <w:rsid w:val="007B0166"/>
    <w:rsid w:val="007B0CE6"/>
    <w:rsid w:val="007B1CC3"/>
    <w:rsid w:val="007B36FB"/>
    <w:rsid w:val="007B5FAD"/>
    <w:rsid w:val="007B63EB"/>
    <w:rsid w:val="007B6585"/>
    <w:rsid w:val="007B6B46"/>
    <w:rsid w:val="007B77E2"/>
    <w:rsid w:val="007B7FC5"/>
    <w:rsid w:val="007B7FCD"/>
    <w:rsid w:val="007C0BC1"/>
    <w:rsid w:val="007C4919"/>
    <w:rsid w:val="007C51B8"/>
    <w:rsid w:val="007C62DF"/>
    <w:rsid w:val="007C7798"/>
    <w:rsid w:val="007D082F"/>
    <w:rsid w:val="007D2640"/>
    <w:rsid w:val="007D27DC"/>
    <w:rsid w:val="007D28F2"/>
    <w:rsid w:val="007D388E"/>
    <w:rsid w:val="007D51DA"/>
    <w:rsid w:val="007D5326"/>
    <w:rsid w:val="007D5DE0"/>
    <w:rsid w:val="007D5FAE"/>
    <w:rsid w:val="007D62DC"/>
    <w:rsid w:val="007D785D"/>
    <w:rsid w:val="007D7901"/>
    <w:rsid w:val="007D79CB"/>
    <w:rsid w:val="007D7F91"/>
    <w:rsid w:val="007E3FCB"/>
    <w:rsid w:val="007E43F0"/>
    <w:rsid w:val="007E441E"/>
    <w:rsid w:val="007E63F9"/>
    <w:rsid w:val="007E6ABF"/>
    <w:rsid w:val="007F0D53"/>
    <w:rsid w:val="007F4505"/>
    <w:rsid w:val="007F573D"/>
    <w:rsid w:val="007F6E84"/>
    <w:rsid w:val="007F6F37"/>
    <w:rsid w:val="00802E02"/>
    <w:rsid w:val="0080363A"/>
    <w:rsid w:val="00803DDA"/>
    <w:rsid w:val="008045DD"/>
    <w:rsid w:val="008057B2"/>
    <w:rsid w:val="00806AD0"/>
    <w:rsid w:val="00806E5D"/>
    <w:rsid w:val="00807B54"/>
    <w:rsid w:val="0081114E"/>
    <w:rsid w:val="00812261"/>
    <w:rsid w:val="0081476D"/>
    <w:rsid w:val="008156A0"/>
    <w:rsid w:val="008156F1"/>
    <w:rsid w:val="0081570D"/>
    <w:rsid w:val="008169A6"/>
    <w:rsid w:val="0081712B"/>
    <w:rsid w:val="00817462"/>
    <w:rsid w:val="00820163"/>
    <w:rsid w:val="008215C5"/>
    <w:rsid w:val="008225D6"/>
    <w:rsid w:val="00824289"/>
    <w:rsid w:val="00825146"/>
    <w:rsid w:val="0082521F"/>
    <w:rsid w:val="0082552A"/>
    <w:rsid w:val="008256CC"/>
    <w:rsid w:val="00825852"/>
    <w:rsid w:val="0082607B"/>
    <w:rsid w:val="0082755E"/>
    <w:rsid w:val="008307C8"/>
    <w:rsid w:val="00830B4F"/>
    <w:rsid w:val="00831AA4"/>
    <w:rsid w:val="008344CE"/>
    <w:rsid w:val="00834599"/>
    <w:rsid w:val="008349FA"/>
    <w:rsid w:val="00834DE8"/>
    <w:rsid w:val="00834E82"/>
    <w:rsid w:val="0083565A"/>
    <w:rsid w:val="0083611E"/>
    <w:rsid w:val="008373C4"/>
    <w:rsid w:val="00840C55"/>
    <w:rsid w:val="00840C6E"/>
    <w:rsid w:val="0084144E"/>
    <w:rsid w:val="0084198F"/>
    <w:rsid w:val="00842255"/>
    <w:rsid w:val="00843D57"/>
    <w:rsid w:val="008448FC"/>
    <w:rsid w:val="0084500D"/>
    <w:rsid w:val="00845A0D"/>
    <w:rsid w:val="00846296"/>
    <w:rsid w:val="008479BB"/>
    <w:rsid w:val="00850B91"/>
    <w:rsid w:val="008514F3"/>
    <w:rsid w:val="008532E2"/>
    <w:rsid w:val="008548D7"/>
    <w:rsid w:val="008557ED"/>
    <w:rsid w:val="00856A8D"/>
    <w:rsid w:val="00857B55"/>
    <w:rsid w:val="008646E6"/>
    <w:rsid w:val="008651BF"/>
    <w:rsid w:val="00866475"/>
    <w:rsid w:val="008712F4"/>
    <w:rsid w:val="0087219A"/>
    <w:rsid w:val="008724AD"/>
    <w:rsid w:val="00872B64"/>
    <w:rsid w:val="00873A66"/>
    <w:rsid w:val="00873D9F"/>
    <w:rsid w:val="008740AD"/>
    <w:rsid w:val="00874AD4"/>
    <w:rsid w:val="00874EFE"/>
    <w:rsid w:val="0087520C"/>
    <w:rsid w:val="00875607"/>
    <w:rsid w:val="00875674"/>
    <w:rsid w:val="00877091"/>
    <w:rsid w:val="008813C2"/>
    <w:rsid w:val="00881BE9"/>
    <w:rsid w:val="00881FF7"/>
    <w:rsid w:val="00882A7D"/>
    <w:rsid w:val="008835A4"/>
    <w:rsid w:val="00884642"/>
    <w:rsid w:val="00884782"/>
    <w:rsid w:val="00885735"/>
    <w:rsid w:val="00885AB1"/>
    <w:rsid w:val="00885CD1"/>
    <w:rsid w:val="008860D8"/>
    <w:rsid w:val="00887947"/>
    <w:rsid w:val="00887E13"/>
    <w:rsid w:val="0089081A"/>
    <w:rsid w:val="00890BDC"/>
    <w:rsid w:val="0089155D"/>
    <w:rsid w:val="008959EA"/>
    <w:rsid w:val="008966BE"/>
    <w:rsid w:val="00896E55"/>
    <w:rsid w:val="008A271D"/>
    <w:rsid w:val="008A315A"/>
    <w:rsid w:val="008A3D71"/>
    <w:rsid w:val="008A4283"/>
    <w:rsid w:val="008A45CE"/>
    <w:rsid w:val="008A4B1F"/>
    <w:rsid w:val="008A69CF"/>
    <w:rsid w:val="008A6F28"/>
    <w:rsid w:val="008A7B81"/>
    <w:rsid w:val="008B0405"/>
    <w:rsid w:val="008B055D"/>
    <w:rsid w:val="008B0B41"/>
    <w:rsid w:val="008B0BC3"/>
    <w:rsid w:val="008B1A59"/>
    <w:rsid w:val="008B41DF"/>
    <w:rsid w:val="008B4DB0"/>
    <w:rsid w:val="008B6085"/>
    <w:rsid w:val="008B6918"/>
    <w:rsid w:val="008B7972"/>
    <w:rsid w:val="008B7C29"/>
    <w:rsid w:val="008C1FD8"/>
    <w:rsid w:val="008C2145"/>
    <w:rsid w:val="008C3F6E"/>
    <w:rsid w:val="008C59AC"/>
    <w:rsid w:val="008C76DB"/>
    <w:rsid w:val="008C7C86"/>
    <w:rsid w:val="008D15F4"/>
    <w:rsid w:val="008D1D00"/>
    <w:rsid w:val="008D2194"/>
    <w:rsid w:val="008D296B"/>
    <w:rsid w:val="008D3C5F"/>
    <w:rsid w:val="008D453E"/>
    <w:rsid w:val="008D4DED"/>
    <w:rsid w:val="008D4E53"/>
    <w:rsid w:val="008D61AD"/>
    <w:rsid w:val="008D6799"/>
    <w:rsid w:val="008E0831"/>
    <w:rsid w:val="008E15E8"/>
    <w:rsid w:val="008E2995"/>
    <w:rsid w:val="008E2DBB"/>
    <w:rsid w:val="008E3064"/>
    <w:rsid w:val="008E35A0"/>
    <w:rsid w:val="008E4809"/>
    <w:rsid w:val="008E4EC1"/>
    <w:rsid w:val="008E52B5"/>
    <w:rsid w:val="008E538A"/>
    <w:rsid w:val="008E5593"/>
    <w:rsid w:val="008E6324"/>
    <w:rsid w:val="008E6652"/>
    <w:rsid w:val="008E6BE6"/>
    <w:rsid w:val="008E7943"/>
    <w:rsid w:val="008E7C94"/>
    <w:rsid w:val="008E7EB3"/>
    <w:rsid w:val="008F176B"/>
    <w:rsid w:val="008F324C"/>
    <w:rsid w:val="008F3B51"/>
    <w:rsid w:val="008F3EF2"/>
    <w:rsid w:val="008F4ABF"/>
    <w:rsid w:val="009012D0"/>
    <w:rsid w:val="00901CAD"/>
    <w:rsid w:val="00903D97"/>
    <w:rsid w:val="00903E86"/>
    <w:rsid w:val="00904DDE"/>
    <w:rsid w:val="00905403"/>
    <w:rsid w:val="00906177"/>
    <w:rsid w:val="00907F67"/>
    <w:rsid w:val="009111CA"/>
    <w:rsid w:val="00912405"/>
    <w:rsid w:val="009127ED"/>
    <w:rsid w:val="00912C39"/>
    <w:rsid w:val="00914879"/>
    <w:rsid w:val="0091556A"/>
    <w:rsid w:val="009215F2"/>
    <w:rsid w:val="0092599A"/>
    <w:rsid w:val="00926845"/>
    <w:rsid w:val="00926E6D"/>
    <w:rsid w:val="009307DA"/>
    <w:rsid w:val="009313D2"/>
    <w:rsid w:val="009344DB"/>
    <w:rsid w:val="009361B8"/>
    <w:rsid w:val="00937493"/>
    <w:rsid w:val="00937FF3"/>
    <w:rsid w:val="0094124E"/>
    <w:rsid w:val="00942443"/>
    <w:rsid w:val="00943C59"/>
    <w:rsid w:val="00944540"/>
    <w:rsid w:val="00946CB6"/>
    <w:rsid w:val="0094716A"/>
    <w:rsid w:val="00950DB6"/>
    <w:rsid w:val="00951570"/>
    <w:rsid w:val="00951A0B"/>
    <w:rsid w:val="00954AC6"/>
    <w:rsid w:val="0096022E"/>
    <w:rsid w:val="00960934"/>
    <w:rsid w:val="00960CAB"/>
    <w:rsid w:val="0096133E"/>
    <w:rsid w:val="009635D7"/>
    <w:rsid w:val="009640E5"/>
    <w:rsid w:val="00965813"/>
    <w:rsid w:val="00965E7E"/>
    <w:rsid w:val="00966317"/>
    <w:rsid w:val="0096738E"/>
    <w:rsid w:val="00967427"/>
    <w:rsid w:val="00972BE3"/>
    <w:rsid w:val="00972D1B"/>
    <w:rsid w:val="00974F01"/>
    <w:rsid w:val="0097552E"/>
    <w:rsid w:val="00975DF2"/>
    <w:rsid w:val="00975E17"/>
    <w:rsid w:val="0097687B"/>
    <w:rsid w:val="0098194F"/>
    <w:rsid w:val="00982435"/>
    <w:rsid w:val="00990973"/>
    <w:rsid w:val="00990AB1"/>
    <w:rsid w:val="0099390D"/>
    <w:rsid w:val="00995230"/>
    <w:rsid w:val="009967FC"/>
    <w:rsid w:val="0099728F"/>
    <w:rsid w:val="009A0639"/>
    <w:rsid w:val="009A06DF"/>
    <w:rsid w:val="009A2BB3"/>
    <w:rsid w:val="009A3323"/>
    <w:rsid w:val="009A37C5"/>
    <w:rsid w:val="009A3C0B"/>
    <w:rsid w:val="009A73F8"/>
    <w:rsid w:val="009B11CC"/>
    <w:rsid w:val="009B2B30"/>
    <w:rsid w:val="009B4BFE"/>
    <w:rsid w:val="009B5D41"/>
    <w:rsid w:val="009B7558"/>
    <w:rsid w:val="009B7A2D"/>
    <w:rsid w:val="009B7EF0"/>
    <w:rsid w:val="009C00F7"/>
    <w:rsid w:val="009C0A72"/>
    <w:rsid w:val="009C2119"/>
    <w:rsid w:val="009C5128"/>
    <w:rsid w:val="009C567A"/>
    <w:rsid w:val="009C641D"/>
    <w:rsid w:val="009D0179"/>
    <w:rsid w:val="009D2F63"/>
    <w:rsid w:val="009D39EB"/>
    <w:rsid w:val="009D3FFA"/>
    <w:rsid w:val="009D45AB"/>
    <w:rsid w:val="009D64AA"/>
    <w:rsid w:val="009D6A3A"/>
    <w:rsid w:val="009D77DB"/>
    <w:rsid w:val="009E008E"/>
    <w:rsid w:val="009E12E4"/>
    <w:rsid w:val="009E19B4"/>
    <w:rsid w:val="009E288B"/>
    <w:rsid w:val="009E2B48"/>
    <w:rsid w:val="009E3122"/>
    <w:rsid w:val="009E3793"/>
    <w:rsid w:val="009E3FC0"/>
    <w:rsid w:val="009E4EA2"/>
    <w:rsid w:val="009E54FF"/>
    <w:rsid w:val="009E5A64"/>
    <w:rsid w:val="009E5B5E"/>
    <w:rsid w:val="009E6025"/>
    <w:rsid w:val="009E629F"/>
    <w:rsid w:val="009E73D2"/>
    <w:rsid w:val="009F0D57"/>
    <w:rsid w:val="009F17C5"/>
    <w:rsid w:val="009F1AA9"/>
    <w:rsid w:val="009F1E79"/>
    <w:rsid w:val="009F2162"/>
    <w:rsid w:val="009F29BD"/>
    <w:rsid w:val="009F317D"/>
    <w:rsid w:val="009F33F6"/>
    <w:rsid w:val="009F347C"/>
    <w:rsid w:val="009F3F2B"/>
    <w:rsid w:val="009F52DB"/>
    <w:rsid w:val="009F5A7E"/>
    <w:rsid w:val="009F6F74"/>
    <w:rsid w:val="00A002BE"/>
    <w:rsid w:val="00A0282E"/>
    <w:rsid w:val="00A02C2C"/>
    <w:rsid w:val="00A03211"/>
    <w:rsid w:val="00A034AA"/>
    <w:rsid w:val="00A040CB"/>
    <w:rsid w:val="00A04BFB"/>
    <w:rsid w:val="00A04D28"/>
    <w:rsid w:val="00A05C1F"/>
    <w:rsid w:val="00A064EE"/>
    <w:rsid w:val="00A13C0F"/>
    <w:rsid w:val="00A1468D"/>
    <w:rsid w:val="00A1555A"/>
    <w:rsid w:val="00A16491"/>
    <w:rsid w:val="00A17139"/>
    <w:rsid w:val="00A17F07"/>
    <w:rsid w:val="00A206A8"/>
    <w:rsid w:val="00A22246"/>
    <w:rsid w:val="00A241FE"/>
    <w:rsid w:val="00A245DC"/>
    <w:rsid w:val="00A256CD"/>
    <w:rsid w:val="00A26C39"/>
    <w:rsid w:val="00A2747F"/>
    <w:rsid w:val="00A27533"/>
    <w:rsid w:val="00A319ED"/>
    <w:rsid w:val="00A31B78"/>
    <w:rsid w:val="00A34319"/>
    <w:rsid w:val="00A35CD0"/>
    <w:rsid w:val="00A36284"/>
    <w:rsid w:val="00A41AC2"/>
    <w:rsid w:val="00A423C9"/>
    <w:rsid w:val="00A435D3"/>
    <w:rsid w:val="00A44C62"/>
    <w:rsid w:val="00A46695"/>
    <w:rsid w:val="00A46EC7"/>
    <w:rsid w:val="00A477EB"/>
    <w:rsid w:val="00A51CC7"/>
    <w:rsid w:val="00A54AC3"/>
    <w:rsid w:val="00A5590D"/>
    <w:rsid w:val="00A55AB4"/>
    <w:rsid w:val="00A56CA6"/>
    <w:rsid w:val="00A5796F"/>
    <w:rsid w:val="00A606B1"/>
    <w:rsid w:val="00A64003"/>
    <w:rsid w:val="00A669EC"/>
    <w:rsid w:val="00A66B90"/>
    <w:rsid w:val="00A66F63"/>
    <w:rsid w:val="00A67765"/>
    <w:rsid w:val="00A67AB6"/>
    <w:rsid w:val="00A70065"/>
    <w:rsid w:val="00A70770"/>
    <w:rsid w:val="00A70E6A"/>
    <w:rsid w:val="00A71BD9"/>
    <w:rsid w:val="00A72EB5"/>
    <w:rsid w:val="00A7319A"/>
    <w:rsid w:val="00A737B0"/>
    <w:rsid w:val="00A74F60"/>
    <w:rsid w:val="00A761DB"/>
    <w:rsid w:val="00A767A9"/>
    <w:rsid w:val="00A773CC"/>
    <w:rsid w:val="00A776D2"/>
    <w:rsid w:val="00A80193"/>
    <w:rsid w:val="00A80249"/>
    <w:rsid w:val="00A806DB"/>
    <w:rsid w:val="00A80BD2"/>
    <w:rsid w:val="00A81E7D"/>
    <w:rsid w:val="00A8222D"/>
    <w:rsid w:val="00A851F3"/>
    <w:rsid w:val="00A86BD9"/>
    <w:rsid w:val="00A90EA7"/>
    <w:rsid w:val="00A91A29"/>
    <w:rsid w:val="00A93944"/>
    <w:rsid w:val="00A93A11"/>
    <w:rsid w:val="00A93DFA"/>
    <w:rsid w:val="00A9731D"/>
    <w:rsid w:val="00AA1917"/>
    <w:rsid w:val="00AA1E26"/>
    <w:rsid w:val="00AA371C"/>
    <w:rsid w:val="00AA394E"/>
    <w:rsid w:val="00AA3DA3"/>
    <w:rsid w:val="00AA4D41"/>
    <w:rsid w:val="00AA4EDC"/>
    <w:rsid w:val="00AA52D6"/>
    <w:rsid w:val="00AA5928"/>
    <w:rsid w:val="00AA6BC7"/>
    <w:rsid w:val="00AA6F06"/>
    <w:rsid w:val="00AB00D2"/>
    <w:rsid w:val="00AB08A5"/>
    <w:rsid w:val="00AB2E74"/>
    <w:rsid w:val="00AB7078"/>
    <w:rsid w:val="00AC0700"/>
    <w:rsid w:val="00AC2CB1"/>
    <w:rsid w:val="00AC58BD"/>
    <w:rsid w:val="00AC65E7"/>
    <w:rsid w:val="00AC76FF"/>
    <w:rsid w:val="00AD157A"/>
    <w:rsid w:val="00AD1692"/>
    <w:rsid w:val="00AD2E04"/>
    <w:rsid w:val="00AD47B3"/>
    <w:rsid w:val="00AD66C8"/>
    <w:rsid w:val="00AD6BF1"/>
    <w:rsid w:val="00AD737D"/>
    <w:rsid w:val="00AE0C08"/>
    <w:rsid w:val="00AE2959"/>
    <w:rsid w:val="00AE2CDB"/>
    <w:rsid w:val="00AE4F02"/>
    <w:rsid w:val="00AE650A"/>
    <w:rsid w:val="00AE6FF3"/>
    <w:rsid w:val="00AE7376"/>
    <w:rsid w:val="00AE7A22"/>
    <w:rsid w:val="00AF06C7"/>
    <w:rsid w:val="00AF0D1F"/>
    <w:rsid w:val="00AF275C"/>
    <w:rsid w:val="00AF34B6"/>
    <w:rsid w:val="00AF39FE"/>
    <w:rsid w:val="00AF3BC9"/>
    <w:rsid w:val="00AF4B75"/>
    <w:rsid w:val="00AF5E8D"/>
    <w:rsid w:val="00AF6A91"/>
    <w:rsid w:val="00AF6F42"/>
    <w:rsid w:val="00AF70F6"/>
    <w:rsid w:val="00B00174"/>
    <w:rsid w:val="00B0049F"/>
    <w:rsid w:val="00B008BB"/>
    <w:rsid w:val="00B02016"/>
    <w:rsid w:val="00B02F68"/>
    <w:rsid w:val="00B03DEE"/>
    <w:rsid w:val="00B048D9"/>
    <w:rsid w:val="00B049A4"/>
    <w:rsid w:val="00B06A17"/>
    <w:rsid w:val="00B07289"/>
    <w:rsid w:val="00B1045C"/>
    <w:rsid w:val="00B1134D"/>
    <w:rsid w:val="00B1291E"/>
    <w:rsid w:val="00B12B8F"/>
    <w:rsid w:val="00B12DB2"/>
    <w:rsid w:val="00B13A97"/>
    <w:rsid w:val="00B140D4"/>
    <w:rsid w:val="00B14CA1"/>
    <w:rsid w:val="00B15203"/>
    <w:rsid w:val="00B155C2"/>
    <w:rsid w:val="00B156A4"/>
    <w:rsid w:val="00B16000"/>
    <w:rsid w:val="00B204CC"/>
    <w:rsid w:val="00B207FB"/>
    <w:rsid w:val="00B21F00"/>
    <w:rsid w:val="00B22439"/>
    <w:rsid w:val="00B2285E"/>
    <w:rsid w:val="00B22C20"/>
    <w:rsid w:val="00B236E9"/>
    <w:rsid w:val="00B26289"/>
    <w:rsid w:val="00B2642C"/>
    <w:rsid w:val="00B26CDD"/>
    <w:rsid w:val="00B300BF"/>
    <w:rsid w:val="00B30108"/>
    <w:rsid w:val="00B315E1"/>
    <w:rsid w:val="00B32226"/>
    <w:rsid w:val="00B32A78"/>
    <w:rsid w:val="00B33143"/>
    <w:rsid w:val="00B331E1"/>
    <w:rsid w:val="00B35280"/>
    <w:rsid w:val="00B360F1"/>
    <w:rsid w:val="00B368C1"/>
    <w:rsid w:val="00B3774E"/>
    <w:rsid w:val="00B37B52"/>
    <w:rsid w:val="00B40420"/>
    <w:rsid w:val="00B4144B"/>
    <w:rsid w:val="00B42798"/>
    <w:rsid w:val="00B433F2"/>
    <w:rsid w:val="00B43B90"/>
    <w:rsid w:val="00B43C56"/>
    <w:rsid w:val="00B44B97"/>
    <w:rsid w:val="00B462C4"/>
    <w:rsid w:val="00B46629"/>
    <w:rsid w:val="00B47864"/>
    <w:rsid w:val="00B47D8A"/>
    <w:rsid w:val="00B538A6"/>
    <w:rsid w:val="00B54419"/>
    <w:rsid w:val="00B54598"/>
    <w:rsid w:val="00B55747"/>
    <w:rsid w:val="00B56B69"/>
    <w:rsid w:val="00B56FDE"/>
    <w:rsid w:val="00B57896"/>
    <w:rsid w:val="00B603CE"/>
    <w:rsid w:val="00B604A8"/>
    <w:rsid w:val="00B6168A"/>
    <w:rsid w:val="00B62A03"/>
    <w:rsid w:val="00B63A98"/>
    <w:rsid w:val="00B63C6F"/>
    <w:rsid w:val="00B63E35"/>
    <w:rsid w:val="00B643A7"/>
    <w:rsid w:val="00B656AF"/>
    <w:rsid w:val="00B661AF"/>
    <w:rsid w:val="00B66C26"/>
    <w:rsid w:val="00B739D4"/>
    <w:rsid w:val="00B75324"/>
    <w:rsid w:val="00B75490"/>
    <w:rsid w:val="00B76371"/>
    <w:rsid w:val="00B768E6"/>
    <w:rsid w:val="00B7747E"/>
    <w:rsid w:val="00B802BA"/>
    <w:rsid w:val="00B8266B"/>
    <w:rsid w:val="00B8387C"/>
    <w:rsid w:val="00B84359"/>
    <w:rsid w:val="00B84AB7"/>
    <w:rsid w:val="00B8503E"/>
    <w:rsid w:val="00B8535A"/>
    <w:rsid w:val="00B867AA"/>
    <w:rsid w:val="00B87152"/>
    <w:rsid w:val="00B871CC"/>
    <w:rsid w:val="00B90A49"/>
    <w:rsid w:val="00B91711"/>
    <w:rsid w:val="00B917E7"/>
    <w:rsid w:val="00B91979"/>
    <w:rsid w:val="00B91BC9"/>
    <w:rsid w:val="00B91D6E"/>
    <w:rsid w:val="00B91FA2"/>
    <w:rsid w:val="00B928C6"/>
    <w:rsid w:val="00B9423F"/>
    <w:rsid w:val="00B95758"/>
    <w:rsid w:val="00B95FC3"/>
    <w:rsid w:val="00B96C4B"/>
    <w:rsid w:val="00BA0A5A"/>
    <w:rsid w:val="00BA0FC7"/>
    <w:rsid w:val="00BA50E3"/>
    <w:rsid w:val="00BA6A7C"/>
    <w:rsid w:val="00BB1EB1"/>
    <w:rsid w:val="00BB3E41"/>
    <w:rsid w:val="00BB5249"/>
    <w:rsid w:val="00BB7926"/>
    <w:rsid w:val="00BC21CC"/>
    <w:rsid w:val="00BC329E"/>
    <w:rsid w:val="00BC3650"/>
    <w:rsid w:val="00BC374F"/>
    <w:rsid w:val="00BC3A77"/>
    <w:rsid w:val="00BC4BB2"/>
    <w:rsid w:val="00BC6021"/>
    <w:rsid w:val="00BC628C"/>
    <w:rsid w:val="00BC6EF1"/>
    <w:rsid w:val="00BC7D72"/>
    <w:rsid w:val="00BC7F82"/>
    <w:rsid w:val="00BD1B3B"/>
    <w:rsid w:val="00BD3A44"/>
    <w:rsid w:val="00BD4A3C"/>
    <w:rsid w:val="00BD56CC"/>
    <w:rsid w:val="00BD6F65"/>
    <w:rsid w:val="00BD7377"/>
    <w:rsid w:val="00BD7531"/>
    <w:rsid w:val="00BE1403"/>
    <w:rsid w:val="00BE1BFE"/>
    <w:rsid w:val="00BE2CB9"/>
    <w:rsid w:val="00BE3018"/>
    <w:rsid w:val="00BE468B"/>
    <w:rsid w:val="00BE46F9"/>
    <w:rsid w:val="00BE51FB"/>
    <w:rsid w:val="00BE5A06"/>
    <w:rsid w:val="00BE611C"/>
    <w:rsid w:val="00BE7E66"/>
    <w:rsid w:val="00BF1A92"/>
    <w:rsid w:val="00BF2514"/>
    <w:rsid w:val="00BF2E28"/>
    <w:rsid w:val="00BF4105"/>
    <w:rsid w:val="00BF4A89"/>
    <w:rsid w:val="00BF5A52"/>
    <w:rsid w:val="00BF5BB4"/>
    <w:rsid w:val="00BF76A0"/>
    <w:rsid w:val="00C00ED6"/>
    <w:rsid w:val="00C01901"/>
    <w:rsid w:val="00C02373"/>
    <w:rsid w:val="00C04647"/>
    <w:rsid w:val="00C04E80"/>
    <w:rsid w:val="00C0554F"/>
    <w:rsid w:val="00C058FC"/>
    <w:rsid w:val="00C10314"/>
    <w:rsid w:val="00C1137B"/>
    <w:rsid w:val="00C116F5"/>
    <w:rsid w:val="00C12B47"/>
    <w:rsid w:val="00C134BC"/>
    <w:rsid w:val="00C14440"/>
    <w:rsid w:val="00C16794"/>
    <w:rsid w:val="00C1689D"/>
    <w:rsid w:val="00C168B1"/>
    <w:rsid w:val="00C1758C"/>
    <w:rsid w:val="00C205F3"/>
    <w:rsid w:val="00C227E7"/>
    <w:rsid w:val="00C240E2"/>
    <w:rsid w:val="00C251B1"/>
    <w:rsid w:val="00C25BD7"/>
    <w:rsid w:val="00C30076"/>
    <w:rsid w:val="00C335A3"/>
    <w:rsid w:val="00C33D6F"/>
    <w:rsid w:val="00C367B5"/>
    <w:rsid w:val="00C36CA8"/>
    <w:rsid w:val="00C4002B"/>
    <w:rsid w:val="00C42EDF"/>
    <w:rsid w:val="00C430D9"/>
    <w:rsid w:val="00C44413"/>
    <w:rsid w:val="00C44B17"/>
    <w:rsid w:val="00C451EE"/>
    <w:rsid w:val="00C459DF"/>
    <w:rsid w:val="00C47E70"/>
    <w:rsid w:val="00C5017B"/>
    <w:rsid w:val="00C5025B"/>
    <w:rsid w:val="00C511F7"/>
    <w:rsid w:val="00C51931"/>
    <w:rsid w:val="00C51986"/>
    <w:rsid w:val="00C51A9E"/>
    <w:rsid w:val="00C51FFF"/>
    <w:rsid w:val="00C520D3"/>
    <w:rsid w:val="00C52529"/>
    <w:rsid w:val="00C5286C"/>
    <w:rsid w:val="00C532E8"/>
    <w:rsid w:val="00C53C5E"/>
    <w:rsid w:val="00C54379"/>
    <w:rsid w:val="00C55F55"/>
    <w:rsid w:val="00C563B5"/>
    <w:rsid w:val="00C56677"/>
    <w:rsid w:val="00C56AFF"/>
    <w:rsid w:val="00C60B8E"/>
    <w:rsid w:val="00C61B30"/>
    <w:rsid w:val="00C61E49"/>
    <w:rsid w:val="00C62011"/>
    <w:rsid w:val="00C65029"/>
    <w:rsid w:val="00C6508B"/>
    <w:rsid w:val="00C656B0"/>
    <w:rsid w:val="00C667C5"/>
    <w:rsid w:val="00C67460"/>
    <w:rsid w:val="00C708E0"/>
    <w:rsid w:val="00C719D7"/>
    <w:rsid w:val="00C72C83"/>
    <w:rsid w:val="00C73282"/>
    <w:rsid w:val="00C73D06"/>
    <w:rsid w:val="00C7721A"/>
    <w:rsid w:val="00C773E2"/>
    <w:rsid w:val="00C8174F"/>
    <w:rsid w:val="00C81C3F"/>
    <w:rsid w:val="00C82B21"/>
    <w:rsid w:val="00C83E68"/>
    <w:rsid w:val="00C85256"/>
    <w:rsid w:val="00C8681F"/>
    <w:rsid w:val="00C87B74"/>
    <w:rsid w:val="00C87F6D"/>
    <w:rsid w:val="00C9034F"/>
    <w:rsid w:val="00C90B1C"/>
    <w:rsid w:val="00C9454C"/>
    <w:rsid w:val="00C946EC"/>
    <w:rsid w:val="00C94EB0"/>
    <w:rsid w:val="00C9596C"/>
    <w:rsid w:val="00CA12EA"/>
    <w:rsid w:val="00CA5F7C"/>
    <w:rsid w:val="00CB14EB"/>
    <w:rsid w:val="00CB1552"/>
    <w:rsid w:val="00CB1A80"/>
    <w:rsid w:val="00CB1B53"/>
    <w:rsid w:val="00CB1CB6"/>
    <w:rsid w:val="00CB2C64"/>
    <w:rsid w:val="00CB6D84"/>
    <w:rsid w:val="00CC0091"/>
    <w:rsid w:val="00CC1456"/>
    <w:rsid w:val="00CC2484"/>
    <w:rsid w:val="00CC2B60"/>
    <w:rsid w:val="00CC73DB"/>
    <w:rsid w:val="00CC75CC"/>
    <w:rsid w:val="00CC7919"/>
    <w:rsid w:val="00CD18CE"/>
    <w:rsid w:val="00CD1B84"/>
    <w:rsid w:val="00CD1FD6"/>
    <w:rsid w:val="00CD2280"/>
    <w:rsid w:val="00CD2337"/>
    <w:rsid w:val="00CD2750"/>
    <w:rsid w:val="00CD3506"/>
    <w:rsid w:val="00CD3511"/>
    <w:rsid w:val="00CD38DD"/>
    <w:rsid w:val="00CD63F5"/>
    <w:rsid w:val="00CD685A"/>
    <w:rsid w:val="00CD7308"/>
    <w:rsid w:val="00CD77CB"/>
    <w:rsid w:val="00CD77FA"/>
    <w:rsid w:val="00CE0A23"/>
    <w:rsid w:val="00CE45E6"/>
    <w:rsid w:val="00CE4659"/>
    <w:rsid w:val="00CE4E89"/>
    <w:rsid w:val="00CE5AE0"/>
    <w:rsid w:val="00CE6864"/>
    <w:rsid w:val="00CE706B"/>
    <w:rsid w:val="00CE7341"/>
    <w:rsid w:val="00CE7A3A"/>
    <w:rsid w:val="00CE7C76"/>
    <w:rsid w:val="00CE7DB6"/>
    <w:rsid w:val="00CF1C99"/>
    <w:rsid w:val="00CF1EC9"/>
    <w:rsid w:val="00CF21FD"/>
    <w:rsid w:val="00CF235E"/>
    <w:rsid w:val="00CF2F6F"/>
    <w:rsid w:val="00CF3344"/>
    <w:rsid w:val="00CF36D8"/>
    <w:rsid w:val="00CF4610"/>
    <w:rsid w:val="00CF4F47"/>
    <w:rsid w:val="00CF68A1"/>
    <w:rsid w:val="00CF6B65"/>
    <w:rsid w:val="00CF6DF9"/>
    <w:rsid w:val="00CF793F"/>
    <w:rsid w:val="00D004EF"/>
    <w:rsid w:val="00D03AE2"/>
    <w:rsid w:val="00D043C1"/>
    <w:rsid w:val="00D0454F"/>
    <w:rsid w:val="00D0559E"/>
    <w:rsid w:val="00D06E3A"/>
    <w:rsid w:val="00D11177"/>
    <w:rsid w:val="00D130E0"/>
    <w:rsid w:val="00D1315F"/>
    <w:rsid w:val="00D135DC"/>
    <w:rsid w:val="00D14F01"/>
    <w:rsid w:val="00D22867"/>
    <w:rsid w:val="00D237EF"/>
    <w:rsid w:val="00D23FDD"/>
    <w:rsid w:val="00D24DF3"/>
    <w:rsid w:val="00D25DD7"/>
    <w:rsid w:val="00D26529"/>
    <w:rsid w:val="00D26F5C"/>
    <w:rsid w:val="00D303E2"/>
    <w:rsid w:val="00D303E6"/>
    <w:rsid w:val="00D32254"/>
    <w:rsid w:val="00D327A3"/>
    <w:rsid w:val="00D32D2D"/>
    <w:rsid w:val="00D33C1D"/>
    <w:rsid w:val="00D346FE"/>
    <w:rsid w:val="00D367EA"/>
    <w:rsid w:val="00D37F47"/>
    <w:rsid w:val="00D425A2"/>
    <w:rsid w:val="00D432E8"/>
    <w:rsid w:val="00D4649F"/>
    <w:rsid w:val="00D47659"/>
    <w:rsid w:val="00D47705"/>
    <w:rsid w:val="00D50624"/>
    <w:rsid w:val="00D54A28"/>
    <w:rsid w:val="00D54B01"/>
    <w:rsid w:val="00D54EBB"/>
    <w:rsid w:val="00D551B8"/>
    <w:rsid w:val="00D55A2F"/>
    <w:rsid w:val="00D55B08"/>
    <w:rsid w:val="00D565A6"/>
    <w:rsid w:val="00D57C6C"/>
    <w:rsid w:val="00D6040A"/>
    <w:rsid w:val="00D618C9"/>
    <w:rsid w:val="00D61C68"/>
    <w:rsid w:val="00D63B4C"/>
    <w:rsid w:val="00D6401C"/>
    <w:rsid w:val="00D641C2"/>
    <w:rsid w:val="00D64928"/>
    <w:rsid w:val="00D66EEF"/>
    <w:rsid w:val="00D67FCC"/>
    <w:rsid w:val="00D70F37"/>
    <w:rsid w:val="00D71D4C"/>
    <w:rsid w:val="00D7312D"/>
    <w:rsid w:val="00D73659"/>
    <w:rsid w:val="00D73A95"/>
    <w:rsid w:val="00D7488E"/>
    <w:rsid w:val="00D768B8"/>
    <w:rsid w:val="00D7696A"/>
    <w:rsid w:val="00D77F1B"/>
    <w:rsid w:val="00D8061D"/>
    <w:rsid w:val="00D82211"/>
    <w:rsid w:val="00D82F67"/>
    <w:rsid w:val="00D82FDE"/>
    <w:rsid w:val="00D85C3E"/>
    <w:rsid w:val="00D8788E"/>
    <w:rsid w:val="00D91607"/>
    <w:rsid w:val="00D92957"/>
    <w:rsid w:val="00D934E9"/>
    <w:rsid w:val="00D93DB5"/>
    <w:rsid w:val="00D96382"/>
    <w:rsid w:val="00D96D18"/>
    <w:rsid w:val="00DA37AA"/>
    <w:rsid w:val="00DA3A4F"/>
    <w:rsid w:val="00DA427A"/>
    <w:rsid w:val="00DA48D9"/>
    <w:rsid w:val="00DA4B46"/>
    <w:rsid w:val="00DA7653"/>
    <w:rsid w:val="00DA76EC"/>
    <w:rsid w:val="00DA786E"/>
    <w:rsid w:val="00DB1502"/>
    <w:rsid w:val="00DB2FFE"/>
    <w:rsid w:val="00DB31F4"/>
    <w:rsid w:val="00DB46DF"/>
    <w:rsid w:val="00DB50EE"/>
    <w:rsid w:val="00DB649D"/>
    <w:rsid w:val="00DB65CF"/>
    <w:rsid w:val="00DC0E4D"/>
    <w:rsid w:val="00DC0F99"/>
    <w:rsid w:val="00DC12DA"/>
    <w:rsid w:val="00DC162F"/>
    <w:rsid w:val="00DC278F"/>
    <w:rsid w:val="00DC2D9B"/>
    <w:rsid w:val="00DC2DFA"/>
    <w:rsid w:val="00DC2FC2"/>
    <w:rsid w:val="00DC48A9"/>
    <w:rsid w:val="00DC579B"/>
    <w:rsid w:val="00DC6760"/>
    <w:rsid w:val="00DC6834"/>
    <w:rsid w:val="00DC7ECF"/>
    <w:rsid w:val="00DD053D"/>
    <w:rsid w:val="00DD12D2"/>
    <w:rsid w:val="00DD12F4"/>
    <w:rsid w:val="00DD1CB8"/>
    <w:rsid w:val="00DD214B"/>
    <w:rsid w:val="00DD422E"/>
    <w:rsid w:val="00DD4A39"/>
    <w:rsid w:val="00DD4E54"/>
    <w:rsid w:val="00DD5D52"/>
    <w:rsid w:val="00DD5E62"/>
    <w:rsid w:val="00DD6A9D"/>
    <w:rsid w:val="00DE03BB"/>
    <w:rsid w:val="00DE053D"/>
    <w:rsid w:val="00DE0A18"/>
    <w:rsid w:val="00DE0A6A"/>
    <w:rsid w:val="00DE1BA9"/>
    <w:rsid w:val="00DE57F3"/>
    <w:rsid w:val="00DE5B56"/>
    <w:rsid w:val="00DE6E88"/>
    <w:rsid w:val="00DE7682"/>
    <w:rsid w:val="00DF2773"/>
    <w:rsid w:val="00DF2CDB"/>
    <w:rsid w:val="00DF367F"/>
    <w:rsid w:val="00DF3A55"/>
    <w:rsid w:val="00DF3DC3"/>
    <w:rsid w:val="00DF5E5D"/>
    <w:rsid w:val="00DF7565"/>
    <w:rsid w:val="00E01688"/>
    <w:rsid w:val="00E0224A"/>
    <w:rsid w:val="00E029AF"/>
    <w:rsid w:val="00E02DBE"/>
    <w:rsid w:val="00E03FA5"/>
    <w:rsid w:val="00E0405C"/>
    <w:rsid w:val="00E040C6"/>
    <w:rsid w:val="00E0412A"/>
    <w:rsid w:val="00E1016D"/>
    <w:rsid w:val="00E10395"/>
    <w:rsid w:val="00E11C07"/>
    <w:rsid w:val="00E11C88"/>
    <w:rsid w:val="00E14ABE"/>
    <w:rsid w:val="00E1539A"/>
    <w:rsid w:val="00E15679"/>
    <w:rsid w:val="00E15B9B"/>
    <w:rsid w:val="00E16241"/>
    <w:rsid w:val="00E20E27"/>
    <w:rsid w:val="00E21521"/>
    <w:rsid w:val="00E21CED"/>
    <w:rsid w:val="00E228ED"/>
    <w:rsid w:val="00E24FCD"/>
    <w:rsid w:val="00E25156"/>
    <w:rsid w:val="00E25EB4"/>
    <w:rsid w:val="00E25FF7"/>
    <w:rsid w:val="00E26A6D"/>
    <w:rsid w:val="00E26D9B"/>
    <w:rsid w:val="00E2700A"/>
    <w:rsid w:val="00E273D9"/>
    <w:rsid w:val="00E30725"/>
    <w:rsid w:val="00E30A9C"/>
    <w:rsid w:val="00E31762"/>
    <w:rsid w:val="00E32C48"/>
    <w:rsid w:val="00E3421E"/>
    <w:rsid w:val="00E347D3"/>
    <w:rsid w:val="00E36A43"/>
    <w:rsid w:val="00E377BC"/>
    <w:rsid w:val="00E40628"/>
    <w:rsid w:val="00E41922"/>
    <w:rsid w:val="00E44243"/>
    <w:rsid w:val="00E449EC"/>
    <w:rsid w:val="00E45A18"/>
    <w:rsid w:val="00E461AD"/>
    <w:rsid w:val="00E462AB"/>
    <w:rsid w:val="00E46F09"/>
    <w:rsid w:val="00E46FDF"/>
    <w:rsid w:val="00E4734B"/>
    <w:rsid w:val="00E503ED"/>
    <w:rsid w:val="00E5064C"/>
    <w:rsid w:val="00E54578"/>
    <w:rsid w:val="00E563C3"/>
    <w:rsid w:val="00E56466"/>
    <w:rsid w:val="00E5686B"/>
    <w:rsid w:val="00E570C7"/>
    <w:rsid w:val="00E61691"/>
    <w:rsid w:val="00E628A9"/>
    <w:rsid w:val="00E62B6B"/>
    <w:rsid w:val="00E62F32"/>
    <w:rsid w:val="00E66F65"/>
    <w:rsid w:val="00E671EE"/>
    <w:rsid w:val="00E678AC"/>
    <w:rsid w:val="00E7050B"/>
    <w:rsid w:val="00E7190E"/>
    <w:rsid w:val="00E71BF8"/>
    <w:rsid w:val="00E74B75"/>
    <w:rsid w:val="00E817FF"/>
    <w:rsid w:val="00E81BBA"/>
    <w:rsid w:val="00E83CE7"/>
    <w:rsid w:val="00E84313"/>
    <w:rsid w:val="00E84F72"/>
    <w:rsid w:val="00E85320"/>
    <w:rsid w:val="00E87568"/>
    <w:rsid w:val="00E90A76"/>
    <w:rsid w:val="00E948F0"/>
    <w:rsid w:val="00E96C9E"/>
    <w:rsid w:val="00E97404"/>
    <w:rsid w:val="00EA06E7"/>
    <w:rsid w:val="00EA1D66"/>
    <w:rsid w:val="00EA25E0"/>
    <w:rsid w:val="00EA26B9"/>
    <w:rsid w:val="00EA2878"/>
    <w:rsid w:val="00EA2F26"/>
    <w:rsid w:val="00EA4E03"/>
    <w:rsid w:val="00EA5BA4"/>
    <w:rsid w:val="00EA5E64"/>
    <w:rsid w:val="00EA697F"/>
    <w:rsid w:val="00EA69E1"/>
    <w:rsid w:val="00EA6D34"/>
    <w:rsid w:val="00EB2617"/>
    <w:rsid w:val="00EB3C87"/>
    <w:rsid w:val="00EB40A5"/>
    <w:rsid w:val="00EB444D"/>
    <w:rsid w:val="00EB4A55"/>
    <w:rsid w:val="00EB633F"/>
    <w:rsid w:val="00EC3FAA"/>
    <w:rsid w:val="00EC41B7"/>
    <w:rsid w:val="00ED12DE"/>
    <w:rsid w:val="00ED2FD2"/>
    <w:rsid w:val="00ED3225"/>
    <w:rsid w:val="00ED3835"/>
    <w:rsid w:val="00ED3CAD"/>
    <w:rsid w:val="00ED3F9E"/>
    <w:rsid w:val="00ED5467"/>
    <w:rsid w:val="00ED6411"/>
    <w:rsid w:val="00ED6E3E"/>
    <w:rsid w:val="00ED7FF6"/>
    <w:rsid w:val="00EE0BB9"/>
    <w:rsid w:val="00EE1149"/>
    <w:rsid w:val="00EE3CE6"/>
    <w:rsid w:val="00EE3F4F"/>
    <w:rsid w:val="00EE6DA8"/>
    <w:rsid w:val="00EE75FA"/>
    <w:rsid w:val="00EF079D"/>
    <w:rsid w:val="00EF1BC7"/>
    <w:rsid w:val="00EF214F"/>
    <w:rsid w:val="00EF2ABD"/>
    <w:rsid w:val="00EF4534"/>
    <w:rsid w:val="00EF4973"/>
    <w:rsid w:val="00EF61B4"/>
    <w:rsid w:val="00EF6366"/>
    <w:rsid w:val="00EF719D"/>
    <w:rsid w:val="00EF7669"/>
    <w:rsid w:val="00EF79A1"/>
    <w:rsid w:val="00EF7B03"/>
    <w:rsid w:val="00EF7D05"/>
    <w:rsid w:val="00F002F6"/>
    <w:rsid w:val="00F00522"/>
    <w:rsid w:val="00F00778"/>
    <w:rsid w:val="00F01D41"/>
    <w:rsid w:val="00F021F2"/>
    <w:rsid w:val="00F035D9"/>
    <w:rsid w:val="00F03D37"/>
    <w:rsid w:val="00F05758"/>
    <w:rsid w:val="00F05DA7"/>
    <w:rsid w:val="00F077FF"/>
    <w:rsid w:val="00F11080"/>
    <w:rsid w:val="00F131F8"/>
    <w:rsid w:val="00F144C3"/>
    <w:rsid w:val="00F1708B"/>
    <w:rsid w:val="00F20A6E"/>
    <w:rsid w:val="00F2224B"/>
    <w:rsid w:val="00F225F0"/>
    <w:rsid w:val="00F22764"/>
    <w:rsid w:val="00F22E18"/>
    <w:rsid w:val="00F257EF"/>
    <w:rsid w:val="00F260AE"/>
    <w:rsid w:val="00F26629"/>
    <w:rsid w:val="00F27FEE"/>
    <w:rsid w:val="00F31E71"/>
    <w:rsid w:val="00F32EA3"/>
    <w:rsid w:val="00F34EDE"/>
    <w:rsid w:val="00F3567E"/>
    <w:rsid w:val="00F36A0A"/>
    <w:rsid w:val="00F36A88"/>
    <w:rsid w:val="00F408EE"/>
    <w:rsid w:val="00F40B5D"/>
    <w:rsid w:val="00F41AEE"/>
    <w:rsid w:val="00F41BAD"/>
    <w:rsid w:val="00F42B19"/>
    <w:rsid w:val="00F43527"/>
    <w:rsid w:val="00F44940"/>
    <w:rsid w:val="00F44991"/>
    <w:rsid w:val="00F456A0"/>
    <w:rsid w:val="00F4656F"/>
    <w:rsid w:val="00F46A9A"/>
    <w:rsid w:val="00F47972"/>
    <w:rsid w:val="00F50DA1"/>
    <w:rsid w:val="00F51B28"/>
    <w:rsid w:val="00F52734"/>
    <w:rsid w:val="00F55C89"/>
    <w:rsid w:val="00F61025"/>
    <w:rsid w:val="00F616E2"/>
    <w:rsid w:val="00F617CA"/>
    <w:rsid w:val="00F61B0D"/>
    <w:rsid w:val="00F6243B"/>
    <w:rsid w:val="00F62DF2"/>
    <w:rsid w:val="00F647B5"/>
    <w:rsid w:val="00F7051B"/>
    <w:rsid w:val="00F7068D"/>
    <w:rsid w:val="00F71656"/>
    <w:rsid w:val="00F72E51"/>
    <w:rsid w:val="00F73086"/>
    <w:rsid w:val="00F74C70"/>
    <w:rsid w:val="00F76AAB"/>
    <w:rsid w:val="00F80CA6"/>
    <w:rsid w:val="00F826CF"/>
    <w:rsid w:val="00F8320E"/>
    <w:rsid w:val="00F838E3"/>
    <w:rsid w:val="00F83DC9"/>
    <w:rsid w:val="00F85C37"/>
    <w:rsid w:val="00F87EDE"/>
    <w:rsid w:val="00F90E06"/>
    <w:rsid w:val="00F90EFF"/>
    <w:rsid w:val="00F91CE7"/>
    <w:rsid w:val="00F921AD"/>
    <w:rsid w:val="00F92CB4"/>
    <w:rsid w:val="00F92E6D"/>
    <w:rsid w:val="00F93C85"/>
    <w:rsid w:val="00F9436B"/>
    <w:rsid w:val="00F9753F"/>
    <w:rsid w:val="00FA0697"/>
    <w:rsid w:val="00FA122D"/>
    <w:rsid w:val="00FA4B06"/>
    <w:rsid w:val="00FB1849"/>
    <w:rsid w:val="00FB1AA9"/>
    <w:rsid w:val="00FB235E"/>
    <w:rsid w:val="00FB517B"/>
    <w:rsid w:val="00FB6428"/>
    <w:rsid w:val="00FB6BE8"/>
    <w:rsid w:val="00FB772A"/>
    <w:rsid w:val="00FC2FF0"/>
    <w:rsid w:val="00FC3E1A"/>
    <w:rsid w:val="00FC515C"/>
    <w:rsid w:val="00FC5AE7"/>
    <w:rsid w:val="00FC5FE5"/>
    <w:rsid w:val="00FC6548"/>
    <w:rsid w:val="00FC69D4"/>
    <w:rsid w:val="00FD13C9"/>
    <w:rsid w:val="00FD1705"/>
    <w:rsid w:val="00FD2B83"/>
    <w:rsid w:val="00FD5171"/>
    <w:rsid w:val="00FD5954"/>
    <w:rsid w:val="00FD7D3C"/>
    <w:rsid w:val="00FE07CD"/>
    <w:rsid w:val="00FE0F66"/>
    <w:rsid w:val="00FE19D9"/>
    <w:rsid w:val="00FE38F3"/>
    <w:rsid w:val="00FE458D"/>
    <w:rsid w:val="00FE598A"/>
    <w:rsid w:val="00FE5CC8"/>
    <w:rsid w:val="00FE7D78"/>
    <w:rsid w:val="00FF07DB"/>
    <w:rsid w:val="00FF1387"/>
    <w:rsid w:val="00FF2340"/>
    <w:rsid w:val="00FF2890"/>
    <w:rsid w:val="00FF2A2B"/>
    <w:rsid w:val="00FF3BC6"/>
    <w:rsid w:val="00FF4C0A"/>
    <w:rsid w:val="00FF6CD7"/>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ECCA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aliases w:val="Heading 1 Cab"/>
    <w:basedOn w:val="Normal"/>
    <w:next w:val="Normal"/>
    <w:link w:val="Heading1Char"/>
    <w:uiPriority w:val="4"/>
    <w:qFormat/>
    <w:rsid w:val="005658F1"/>
    <w:pPr>
      <w:keepNext/>
      <w:spacing w:before="4080" w:after="108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A4B0F"/>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7A4B0F"/>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7A4B0F"/>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7A4B0F"/>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7A4B0F"/>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7A4B0F"/>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7A4B0F"/>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7A4B0F"/>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9"/>
    <w:rsid w:val="005658F1"/>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A4B0F"/>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7A4B0F"/>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7A4B0F"/>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7A4B0F"/>
    <w:pPr>
      <w:ind w:left="567"/>
    </w:pPr>
    <w:rPr>
      <w:rFonts w:eastAsiaTheme="minorHAnsi"/>
      <w:i/>
      <w:iCs/>
      <w:color w:val="155589"/>
      <w:lang w:eastAsia="en-US"/>
    </w:rPr>
  </w:style>
  <w:style w:type="character" w:customStyle="1" w:styleId="QuoteChar">
    <w:name w:val="Quote Char"/>
    <w:basedOn w:val="DefaultParagraphFont"/>
    <w:link w:val="Quote"/>
    <w:uiPriority w:val="29"/>
    <w:rsid w:val="007A4B0F"/>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A4B0F"/>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7A4B0F"/>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7A4B0F"/>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A4B0F"/>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7A4B0F"/>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7A4B0F"/>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7A4B0F"/>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F021F2"/>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8514F3"/>
    <w:pPr>
      <w:tabs>
        <w:tab w:val="right" w:leader="dot" w:pos="9072"/>
      </w:tabs>
      <w:spacing w:after="0"/>
    </w:pPr>
    <w:rPr>
      <w:b/>
      <w:noProof/>
    </w:rPr>
  </w:style>
  <w:style w:type="paragraph" w:styleId="TOC3">
    <w:name w:val="toc 3"/>
    <w:basedOn w:val="Normal"/>
    <w:next w:val="Normal"/>
    <w:autoRedefine/>
    <w:uiPriority w:val="39"/>
    <w:unhideWhenUsed/>
    <w:rsid w:val="00F021F2"/>
    <w:pPr>
      <w:tabs>
        <w:tab w:val="right" w:leader="dot" w:pos="9072"/>
      </w:tabs>
      <w:spacing w:after="0"/>
      <w:ind w:left="1134"/>
    </w:pPr>
  </w:style>
  <w:style w:type="paragraph" w:styleId="TOC4">
    <w:name w:val="toc 4"/>
    <w:basedOn w:val="Normal"/>
    <w:next w:val="Normal"/>
    <w:autoRedefine/>
    <w:uiPriority w:val="39"/>
    <w:unhideWhenUsed/>
    <w:rsid w:val="00135C80"/>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C16794"/>
    <w:pPr>
      <w:ind w:left="1440" w:hanging="360"/>
      <w:contextualSpacing/>
    </w:pPr>
  </w:style>
  <w:style w:type="paragraph" w:styleId="FootnoteText">
    <w:name w:val="footnote text"/>
    <w:aliases w:val="ACMA Footnote Text,footnote text,Footnote Text Char Char,Footnote Text Char1 Char Char,Footnote Text Char Char Char Char,Footnote Text Char1 Char Char Char Char,Footnote Text Char Char Char Char Char Char,f,ALTS FOOTNOTE,(NECG) Footnote Te"/>
    <w:basedOn w:val="Normal"/>
    <w:link w:val="FootnoteTextChar"/>
    <w:uiPriority w:val="99"/>
    <w:unhideWhenUsed/>
    <w:rsid w:val="003B5B1D"/>
    <w:pPr>
      <w:spacing w:after="0"/>
    </w:pPr>
    <w:rPr>
      <w:sz w:val="20"/>
      <w:szCs w:val="20"/>
    </w:rPr>
  </w:style>
  <w:style w:type="character" w:customStyle="1" w:styleId="FootnoteTextChar">
    <w:name w:val="Footnote Text Char"/>
    <w:aliases w:val="ACMA Footnote Text Char,footnote text Char,Footnote Text Char Char Char,Footnote Text Char1 Char Char Char,Footnote Text Char Char Char Char Char,Footnote Text Char1 Char Char Char Char Char,f Char,ALTS FOOTNOTE Char"/>
    <w:basedOn w:val="DefaultParagraphFont"/>
    <w:link w:val="FootnoteText"/>
    <w:uiPriority w:val="99"/>
    <w:rsid w:val="003B5B1D"/>
    <w:rPr>
      <w:sz w:val="20"/>
      <w:szCs w:val="20"/>
    </w:rPr>
  </w:style>
  <w:style w:type="character" w:styleId="FootnoteReference">
    <w:name w:val="footnote reference"/>
    <w:aliases w:val="BCR Footnote Reference,Appel note de bas de p,Appel note de bas de p + 11 pt,Italic,Footnote,Footnote symbol,Appel note de bas de p1,Appel note de bas de p2,Appel note de bas de p3,Footnote Reference/,Style 12,(NECG) Footnote Referenc"/>
    <w:basedOn w:val="DefaultParagraphFont"/>
    <w:uiPriority w:val="99"/>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B84AB7"/>
  </w:style>
  <w:style w:type="character" w:styleId="CommentReference">
    <w:name w:val="annotation reference"/>
    <w:basedOn w:val="DefaultParagraphFont"/>
    <w:uiPriority w:val="99"/>
    <w:semiHidden/>
    <w:unhideWhenUsed/>
    <w:rsid w:val="000A15E8"/>
    <w:rPr>
      <w:sz w:val="16"/>
      <w:szCs w:val="16"/>
    </w:rPr>
  </w:style>
  <w:style w:type="paragraph" w:styleId="CommentText">
    <w:name w:val="annotation text"/>
    <w:basedOn w:val="Normal"/>
    <w:link w:val="CommentTextChar"/>
    <w:uiPriority w:val="99"/>
    <w:unhideWhenUsed/>
    <w:rsid w:val="000A15E8"/>
    <w:rPr>
      <w:sz w:val="20"/>
      <w:szCs w:val="20"/>
    </w:rPr>
  </w:style>
  <w:style w:type="character" w:customStyle="1" w:styleId="CommentTextChar">
    <w:name w:val="Comment Text Char"/>
    <w:basedOn w:val="DefaultParagraphFont"/>
    <w:link w:val="CommentText"/>
    <w:uiPriority w:val="99"/>
    <w:rsid w:val="000A15E8"/>
    <w:rPr>
      <w:sz w:val="20"/>
      <w:szCs w:val="20"/>
    </w:rPr>
  </w:style>
  <w:style w:type="paragraph" w:styleId="BalloonText">
    <w:name w:val="Balloon Text"/>
    <w:basedOn w:val="Normal"/>
    <w:link w:val="BalloonTextChar"/>
    <w:uiPriority w:val="99"/>
    <w:semiHidden/>
    <w:unhideWhenUsed/>
    <w:rsid w:val="000A15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5E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62B5"/>
    <w:rPr>
      <w:b/>
      <w:bCs/>
    </w:rPr>
  </w:style>
  <w:style w:type="character" w:customStyle="1" w:styleId="CommentSubjectChar">
    <w:name w:val="Comment Subject Char"/>
    <w:basedOn w:val="CommentTextChar"/>
    <w:link w:val="CommentSubject"/>
    <w:uiPriority w:val="99"/>
    <w:semiHidden/>
    <w:rsid w:val="007A62B5"/>
    <w:rPr>
      <w:b/>
      <w:bCs/>
      <w:sz w:val="20"/>
      <w:szCs w:val="20"/>
    </w:rPr>
  </w:style>
  <w:style w:type="paragraph" w:customStyle="1" w:styleId="Default">
    <w:name w:val="Default"/>
    <w:rsid w:val="0097552E"/>
    <w:pPr>
      <w:autoSpaceDE w:val="0"/>
      <w:autoSpaceDN w:val="0"/>
      <w:adjustRightInd w:val="0"/>
      <w:spacing w:after="0" w:line="240" w:lineRule="auto"/>
    </w:pPr>
    <w:rPr>
      <w:rFonts w:ascii="Calibri Light" w:eastAsiaTheme="minorHAnsi" w:hAnsi="Calibri Light" w:cs="Calibri Light"/>
      <w:color w:val="000000"/>
      <w:sz w:val="24"/>
      <w:szCs w:val="24"/>
      <w:lang w:eastAsia="en-US"/>
    </w:rPr>
  </w:style>
  <w:style w:type="paragraph" w:styleId="ListBullet">
    <w:name w:val="List Bullet"/>
    <w:basedOn w:val="Normal"/>
    <w:qFormat/>
    <w:rsid w:val="0097552E"/>
    <w:pPr>
      <w:numPr>
        <w:numId w:val="3"/>
      </w:numPr>
      <w:spacing w:after="80" w:line="240" w:lineRule="atLeast"/>
    </w:pPr>
    <w:rPr>
      <w:rFonts w:ascii="Arial" w:eastAsia="Times New Roman" w:hAnsi="Arial" w:cs="Times New Roman"/>
      <w:sz w:val="20"/>
      <w:szCs w:val="24"/>
      <w:lang w:eastAsia="en-AU"/>
    </w:rPr>
  </w:style>
  <w:style w:type="table" w:styleId="PlainTable1">
    <w:name w:val="Plain Table 1"/>
    <w:basedOn w:val="TableNormal"/>
    <w:uiPriority w:val="41"/>
    <w:rsid w:val="004D5D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B155C2"/>
    <w:pPr>
      <w:spacing w:after="0" w:line="240" w:lineRule="auto"/>
    </w:pPr>
  </w:style>
  <w:style w:type="paragraph" w:styleId="NormalWeb">
    <w:name w:val="Normal (Web)"/>
    <w:basedOn w:val="Normal"/>
    <w:uiPriority w:val="99"/>
    <w:semiHidden/>
    <w:unhideWhenUsed/>
    <w:rsid w:val="00CE706B"/>
    <w:pPr>
      <w:spacing w:before="100" w:beforeAutospacing="1" w:after="100" w:afterAutospacing="1"/>
    </w:pPr>
    <w:rPr>
      <w:rFonts w:ascii="Times New Roman" w:hAnsi="Times New Roman" w:cs="Times New Roman"/>
      <w:sz w:val="24"/>
      <w:szCs w:val="24"/>
      <w:lang w:eastAsia="en-AU"/>
    </w:rPr>
  </w:style>
  <w:style w:type="paragraph" w:customStyle="1" w:styleId="CAB-NumberedParagraph">
    <w:name w:val="CAB - Numbered Paragraph"/>
    <w:basedOn w:val="Normal"/>
    <w:uiPriority w:val="98"/>
    <w:rsid w:val="006844EF"/>
    <w:pPr>
      <w:tabs>
        <w:tab w:val="num" w:pos="340"/>
      </w:tabs>
      <w:spacing w:line="276" w:lineRule="auto"/>
      <w:ind w:left="340"/>
    </w:pPr>
    <w:rPr>
      <w:rFonts w:ascii="Arial" w:eastAsiaTheme="minorHAnsi" w:hAnsi="Arial"/>
      <w:lang w:eastAsia="en-US"/>
    </w:rPr>
  </w:style>
  <w:style w:type="paragraph" w:styleId="ListNumber">
    <w:name w:val="List Number"/>
    <w:aliases w:val="List Number Cab"/>
    <w:basedOn w:val="BodyText"/>
    <w:uiPriority w:val="3"/>
    <w:qFormat/>
    <w:rsid w:val="008548D7"/>
    <w:pPr>
      <w:numPr>
        <w:numId w:val="5"/>
      </w:numPr>
      <w:tabs>
        <w:tab w:val="clear" w:pos="360"/>
      </w:tabs>
      <w:spacing w:before="120"/>
      <w:contextualSpacing/>
    </w:pPr>
    <w:rPr>
      <w:rFonts w:ascii="Arial" w:eastAsiaTheme="minorHAnsi" w:hAnsi="Arial"/>
      <w:lang w:eastAsia="en-US"/>
    </w:rPr>
  </w:style>
  <w:style w:type="paragraph" w:customStyle="1" w:styleId="RecommendationListCab">
    <w:name w:val="Recommendation List Cab"/>
    <w:basedOn w:val="ListNumber"/>
    <w:uiPriority w:val="1"/>
    <w:rsid w:val="008548D7"/>
    <w:pPr>
      <w:contextualSpacing w:val="0"/>
    </w:pPr>
  </w:style>
  <w:style w:type="paragraph" w:customStyle="1" w:styleId="Heading2NewTemplate">
    <w:name w:val="Heading 2 New Template"/>
    <w:basedOn w:val="Normal"/>
    <w:link w:val="Heading2NewTemplateChar"/>
    <w:uiPriority w:val="98"/>
    <w:qFormat/>
    <w:rsid w:val="008548D7"/>
    <w:pPr>
      <w:keepNext/>
      <w:keepLines/>
      <w:tabs>
        <w:tab w:val="left" w:pos="567"/>
      </w:tabs>
      <w:spacing w:before="240"/>
      <w:jc w:val="center"/>
      <w:outlineLvl w:val="0"/>
    </w:pPr>
    <w:rPr>
      <w:rFonts w:ascii="Arial" w:eastAsiaTheme="majorEastAsia" w:hAnsi="Arial" w:cstheme="majorBidi"/>
      <w:b/>
      <w:bCs/>
      <w:color w:val="003865"/>
      <w:sz w:val="24"/>
      <w:szCs w:val="28"/>
      <w:lang w:eastAsia="en-US"/>
    </w:rPr>
  </w:style>
  <w:style w:type="character" w:customStyle="1" w:styleId="Heading2NewTemplateChar">
    <w:name w:val="Heading 2 New Template Char"/>
    <w:basedOn w:val="DefaultParagraphFont"/>
    <w:link w:val="Heading2NewTemplate"/>
    <w:uiPriority w:val="98"/>
    <w:rsid w:val="008548D7"/>
    <w:rPr>
      <w:rFonts w:ascii="Arial" w:eastAsiaTheme="majorEastAsia" w:hAnsi="Arial" w:cstheme="majorBidi"/>
      <w:b/>
      <w:bCs/>
      <w:color w:val="003865"/>
      <w:sz w:val="24"/>
      <w:szCs w:val="28"/>
      <w:lang w:eastAsia="en-US"/>
    </w:rPr>
  </w:style>
  <w:style w:type="paragraph" w:styleId="BodyText">
    <w:name w:val="Body Text"/>
    <w:basedOn w:val="Normal"/>
    <w:link w:val="BodyTextChar"/>
    <w:uiPriority w:val="99"/>
    <w:unhideWhenUsed/>
    <w:rsid w:val="008548D7"/>
    <w:pPr>
      <w:spacing w:after="120"/>
    </w:pPr>
  </w:style>
  <w:style w:type="character" w:customStyle="1" w:styleId="BodyTextChar">
    <w:name w:val="Body Text Char"/>
    <w:basedOn w:val="DefaultParagraphFont"/>
    <w:link w:val="BodyText"/>
    <w:uiPriority w:val="99"/>
    <w:rsid w:val="008548D7"/>
  </w:style>
  <w:style w:type="paragraph" w:styleId="Caption">
    <w:name w:val="caption"/>
    <w:basedOn w:val="Normal"/>
    <w:next w:val="Normal"/>
    <w:uiPriority w:val="35"/>
    <w:unhideWhenUsed/>
    <w:qFormat/>
    <w:rsid w:val="00553021"/>
    <w:pPr>
      <w:spacing w:before="120" w:after="0"/>
    </w:pPr>
    <w:rPr>
      <w:i/>
      <w:iCs/>
      <w:color w:val="001C4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46004">
      <w:bodyDiv w:val="1"/>
      <w:marLeft w:val="0"/>
      <w:marRight w:val="0"/>
      <w:marTop w:val="0"/>
      <w:marBottom w:val="0"/>
      <w:divBdr>
        <w:top w:val="none" w:sz="0" w:space="0" w:color="auto"/>
        <w:left w:val="none" w:sz="0" w:space="0" w:color="auto"/>
        <w:bottom w:val="none" w:sz="0" w:space="0" w:color="auto"/>
        <w:right w:val="none" w:sz="0" w:space="0" w:color="auto"/>
      </w:divBdr>
    </w:div>
    <w:div w:id="376318641">
      <w:bodyDiv w:val="1"/>
      <w:marLeft w:val="0"/>
      <w:marRight w:val="0"/>
      <w:marTop w:val="0"/>
      <w:marBottom w:val="0"/>
      <w:divBdr>
        <w:top w:val="none" w:sz="0" w:space="0" w:color="auto"/>
        <w:left w:val="none" w:sz="0" w:space="0" w:color="auto"/>
        <w:bottom w:val="none" w:sz="0" w:space="0" w:color="auto"/>
        <w:right w:val="none" w:sz="0" w:space="0" w:color="auto"/>
      </w:divBdr>
    </w:div>
    <w:div w:id="403724534">
      <w:bodyDiv w:val="1"/>
      <w:marLeft w:val="0"/>
      <w:marRight w:val="0"/>
      <w:marTop w:val="0"/>
      <w:marBottom w:val="0"/>
      <w:divBdr>
        <w:top w:val="none" w:sz="0" w:space="0" w:color="auto"/>
        <w:left w:val="none" w:sz="0" w:space="0" w:color="auto"/>
        <w:bottom w:val="none" w:sz="0" w:space="0" w:color="auto"/>
        <w:right w:val="none" w:sz="0" w:space="0" w:color="auto"/>
      </w:divBdr>
    </w:div>
    <w:div w:id="466975881">
      <w:bodyDiv w:val="1"/>
      <w:marLeft w:val="0"/>
      <w:marRight w:val="0"/>
      <w:marTop w:val="0"/>
      <w:marBottom w:val="0"/>
      <w:divBdr>
        <w:top w:val="none" w:sz="0" w:space="0" w:color="auto"/>
        <w:left w:val="none" w:sz="0" w:space="0" w:color="auto"/>
        <w:bottom w:val="none" w:sz="0" w:space="0" w:color="auto"/>
        <w:right w:val="none" w:sz="0" w:space="0" w:color="auto"/>
      </w:divBdr>
      <w:divsChild>
        <w:div w:id="678435552">
          <w:marLeft w:val="346"/>
          <w:marRight w:val="0"/>
          <w:marTop w:val="110"/>
          <w:marBottom w:val="160"/>
          <w:divBdr>
            <w:top w:val="none" w:sz="0" w:space="0" w:color="auto"/>
            <w:left w:val="none" w:sz="0" w:space="0" w:color="auto"/>
            <w:bottom w:val="none" w:sz="0" w:space="0" w:color="auto"/>
            <w:right w:val="none" w:sz="0" w:space="0" w:color="auto"/>
          </w:divBdr>
        </w:div>
        <w:div w:id="1296064835">
          <w:marLeft w:val="734"/>
          <w:marRight w:val="0"/>
          <w:marTop w:val="62"/>
          <w:marBottom w:val="160"/>
          <w:divBdr>
            <w:top w:val="none" w:sz="0" w:space="0" w:color="auto"/>
            <w:left w:val="none" w:sz="0" w:space="0" w:color="auto"/>
            <w:bottom w:val="none" w:sz="0" w:space="0" w:color="auto"/>
            <w:right w:val="none" w:sz="0" w:space="0" w:color="auto"/>
          </w:divBdr>
        </w:div>
        <w:div w:id="304625616">
          <w:marLeft w:val="734"/>
          <w:marRight w:val="0"/>
          <w:marTop w:val="62"/>
          <w:marBottom w:val="160"/>
          <w:divBdr>
            <w:top w:val="none" w:sz="0" w:space="0" w:color="auto"/>
            <w:left w:val="none" w:sz="0" w:space="0" w:color="auto"/>
            <w:bottom w:val="none" w:sz="0" w:space="0" w:color="auto"/>
            <w:right w:val="none" w:sz="0" w:space="0" w:color="auto"/>
          </w:divBdr>
        </w:div>
        <w:div w:id="742067883">
          <w:marLeft w:val="734"/>
          <w:marRight w:val="0"/>
          <w:marTop w:val="62"/>
          <w:marBottom w:val="160"/>
          <w:divBdr>
            <w:top w:val="none" w:sz="0" w:space="0" w:color="auto"/>
            <w:left w:val="none" w:sz="0" w:space="0" w:color="auto"/>
            <w:bottom w:val="none" w:sz="0" w:space="0" w:color="auto"/>
            <w:right w:val="none" w:sz="0" w:space="0" w:color="auto"/>
          </w:divBdr>
        </w:div>
        <w:div w:id="933132260">
          <w:marLeft w:val="346"/>
          <w:marRight w:val="0"/>
          <w:marTop w:val="101"/>
          <w:marBottom w:val="160"/>
          <w:divBdr>
            <w:top w:val="none" w:sz="0" w:space="0" w:color="auto"/>
            <w:left w:val="none" w:sz="0" w:space="0" w:color="auto"/>
            <w:bottom w:val="none" w:sz="0" w:space="0" w:color="auto"/>
            <w:right w:val="none" w:sz="0" w:space="0" w:color="auto"/>
          </w:divBdr>
        </w:div>
        <w:div w:id="443619211">
          <w:marLeft w:val="734"/>
          <w:marRight w:val="0"/>
          <w:marTop w:val="62"/>
          <w:marBottom w:val="160"/>
          <w:divBdr>
            <w:top w:val="none" w:sz="0" w:space="0" w:color="auto"/>
            <w:left w:val="none" w:sz="0" w:space="0" w:color="auto"/>
            <w:bottom w:val="none" w:sz="0" w:space="0" w:color="auto"/>
            <w:right w:val="none" w:sz="0" w:space="0" w:color="auto"/>
          </w:divBdr>
        </w:div>
        <w:div w:id="2046635910">
          <w:marLeft w:val="734"/>
          <w:marRight w:val="0"/>
          <w:marTop w:val="62"/>
          <w:marBottom w:val="160"/>
          <w:divBdr>
            <w:top w:val="none" w:sz="0" w:space="0" w:color="auto"/>
            <w:left w:val="none" w:sz="0" w:space="0" w:color="auto"/>
            <w:bottom w:val="none" w:sz="0" w:space="0" w:color="auto"/>
            <w:right w:val="none" w:sz="0" w:space="0" w:color="auto"/>
          </w:divBdr>
        </w:div>
        <w:div w:id="1555502818">
          <w:marLeft w:val="734"/>
          <w:marRight w:val="0"/>
          <w:marTop w:val="62"/>
          <w:marBottom w:val="160"/>
          <w:divBdr>
            <w:top w:val="none" w:sz="0" w:space="0" w:color="auto"/>
            <w:left w:val="none" w:sz="0" w:space="0" w:color="auto"/>
            <w:bottom w:val="none" w:sz="0" w:space="0" w:color="auto"/>
            <w:right w:val="none" w:sz="0" w:space="0" w:color="auto"/>
          </w:divBdr>
        </w:div>
        <w:div w:id="467550681">
          <w:marLeft w:val="0"/>
          <w:marRight w:val="0"/>
          <w:marTop w:val="110"/>
          <w:marBottom w:val="160"/>
          <w:divBdr>
            <w:top w:val="none" w:sz="0" w:space="0" w:color="auto"/>
            <w:left w:val="none" w:sz="0" w:space="0" w:color="auto"/>
            <w:bottom w:val="none" w:sz="0" w:space="0" w:color="auto"/>
            <w:right w:val="none" w:sz="0" w:space="0" w:color="auto"/>
          </w:divBdr>
        </w:div>
        <w:div w:id="305009723">
          <w:marLeft w:val="0"/>
          <w:marRight w:val="0"/>
          <w:marTop w:val="110"/>
          <w:marBottom w:val="160"/>
          <w:divBdr>
            <w:top w:val="none" w:sz="0" w:space="0" w:color="auto"/>
            <w:left w:val="none" w:sz="0" w:space="0" w:color="auto"/>
            <w:bottom w:val="none" w:sz="0" w:space="0" w:color="auto"/>
            <w:right w:val="none" w:sz="0" w:space="0" w:color="auto"/>
          </w:divBdr>
        </w:div>
      </w:divsChild>
    </w:div>
    <w:div w:id="502820887">
      <w:bodyDiv w:val="1"/>
      <w:marLeft w:val="0"/>
      <w:marRight w:val="0"/>
      <w:marTop w:val="0"/>
      <w:marBottom w:val="0"/>
      <w:divBdr>
        <w:top w:val="none" w:sz="0" w:space="0" w:color="auto"/>
        <w:left w:val="none" w:sz="0" w:space="0" w:color="auto"/>
        <w:bottom w:val="none" w:sz="0" w:space="0" w:color="auto"/>
        <w:right w:val="none" w:sz="0" w:space="0" w:color="auto"/>
      </w:divBdr>
    </w:div>
    <w:div w:id="679818796">
      <w:bodyDiv w:val="1"/>
      <w:marLeft w:val="0"/>
      <w:marRight w:val="0"/>
      <w:marTop w:val="0"/>
      <w:marBottom w:val="0"/>
      <w:divBdr>
        <w:top w:val="none" w:sz="0" w:space="0" w:color="auto"/>
        <w:left w:val="none" w:sz="0" w:space="0" w:color="auto"/>
        <w:bottom w:val="none" w:sz="0" w:space="0" w:color="auto"/>
        <w:right w:val="none" w:sz="0" w:space="0" w:color="auto"/>
      </w:divBdr>
    </w:div>
    <w:div w:id="810442524">
      <w:bodyDiv w:val="1"/>
      <w:marLeft w:val="0"/>
      <w:marRight w:val="0"/>
      <w:marTop w:val="0"/>
      <w:marBottom w:val="0"/>
      <w:divBdr>
        <w:top w:val="none" w:sz="0" w:space="0" w:color="auto"/>
        <w:left w:val="none" w:sz="0" w:space="0" w:color="auto"/>
        <w:bottom w:val="none" w:sz="0" w:space="0" w:color="auto"/>
        <w:right w:val="none" w:sz="0" w:space="0" w:color="auto"/>
      </w:divBdr>
    </w:div>
    <w:div w:id="815923867">
      <w:bodyDiv w:val="1"/>
      <w:marLeft w:val="0"/>
      <w:marRight w:val="0"/>
      <w:marTop w:val="0"/>
      <w:marBottom w:val="0"/>
      <w:divBdr>
        <w:top w:val="none" w:sz="0" w:space="0" w:color="auto"/>
        <w:left w:val="none" w:sz="0" w:space="0" w:color="auto"/>
        <w:bottom w:val="none" w:sz="0" w:space="0" w:color="auto"/>
        <w:right w:val="none" w:sz="0" w:space="0" w:color="auto"/>
      </w:divBdr>
    </w:div>
    <w:div w:id="849950780">
      <w:bodyDiv w:val="1"/>
      <w:marLeft w:val="0"/>
      <w:marRight w:val="0"/>
      <w:marTop w:val="0"/>
      <w:marBottom w:val="0"/>
      <w:divBdr>
        <w:top w:val="none" w:sz="0" w:space="0" w:color="auto"/>
        <w:left w:val="none" w:sz="0" w:space="0" w:color="auto"/>
        <w:bottom w:val="none" w:sz="0" w:space="0" w:color="auto"/>
        <w:right w:val="none" w:sz="0" w:space="0" w:color="auto"/>
      </w:divBdr>
      <w:divsChild>
        <w:div w:id="855778086">
          <w:marLeft w:val="346"/>
          <w:marRight w:val="0"/>
          <w:marTop w:val="110"/>
          <w:marBottom w:val="160"/>
          <w:divBdr>
            <w:top w:val="none" w:sz="0" w:space="0" w:color="auto"/>
            <w:left w:val="none" w:sz="0" w:space="0" w:color="auto"/>
            <w:bottom w:val="none" w:sz="0" w:space="0" w:color="auto"/>
            <w:right w:val="none" w:sz="0" w:space="0" w:color="auto"/>
          </w:divBdr>
        </w:div>
        <w:div w:id="1102916101">
          <w:marLeft w:val="734"/>
          <w:marRight w:val="0"/>
          <w:marTop w:val="62"/>
          <w:marBottom w:val="160"/>
          <w:divBdr>
            <w:top w:val="none" w:sz="0" w:space="0" w:color="auto"/>
            <w:left w:val="none" w:sz="0" w:space="0" w:color="auto"/>
            <w:bottom w:val="none" w:sz="0" w:space="0" w:color="auto"/>
            <w:right w:val="none" w:sz="0" w:space="0" w:color="auto"/>
          </w:divBdr>
        </w:div>
        <w:div w:id="61875955">
          <w:marLeft w:val="734"/>
          <w:marRight w:val="0"/>
          <w:marTop w:val="62"/>
          <w:marBottom w:val="160"/>
          <w:divBdr>
            <w:top w:val="none" w:sz="0" w:space="0" w:color="auto"/>
            <w:left w:val="none" w:sz="0" w:space="0" w:color="auto"/>
            <w:bottom w:val="none" w:sz="0" w:space="0" w:color="auto"/>
            <w:right w:val="none" w:sz="0" w:space="0" w:color="auto"/>
          </w:divBdr>
        </w:div>
        <w:div w:id="756094822">
          <w:marLeft w:val="734"/>
          <w:marRight w:val="0"/>
          <w:marTop w:val="62"/>
          <w:marBottom w:val="160"/>
          <w:divBdr>
            <w:top w:val="none" w:sz="0" w:space="0" w:color="auto"/>
            <w:left w:val="none" w:sz="0" w:space="0" w:color="auto"/>
            <w:bottom w:val="none" w:sz="0" w:space="0" w:color="auto"/>
            <w:right w:val="none" w:sz="0" w:space="0" w:color="auto"/>
          </w:divBdr>
        </w:div>
        <w:div w:id="1649936047">
          <w:marLeft w:val="346"/>
          <w:marRight w:val="0"/>
          <w:marTop w:val="101"/>
          <w:marBottom w:val="160"/>
          <w:divBdr>
            <w:top w:val="none" w:sz="0" w:space="0" w:color="auto"/>
            <w:left w:val="none" w:sz="0" w:space="0" w:color="auto"/>
            <w:bottom w:val="none" w:sz="0" w:space="0" w:color="auto"/>
            <w:right w:val="none" w:sz="0" w:space="0" w:color="auto"/>
          </w:divBdr>
        </w:div>
        <w:div w:id="532041666">
          <w:marLeft w:val="734"/>
          <w:marRight w:val="0"/>
          <w:marTop w:val="62"/>
          <w:marBottom w:val="160"/>
          <w:divBdr>
            <w:top w:val="none" w:sz="0" w:space="0" w:color="auto"/>
            <w:left w:val="none" w:sz="0" w:space="0" w:color="auto"/>
            <w:bottom w:val="none" w:sz="0" w:space="0" w:color="auto"/>
            <w:right w:val="none" w:sz="0" w:space="0" w:color="auto"/>
          </w:divBdr>
        </w:div>
        <w:div w:id="1910729652">
          <w:marLeft w:val="734"/>
          <w:marRight w:val="0"/>
          <w:marTop w:val="62"/>
          <w:marBottom w:val="160"/>
          <w:divBdr>
            <w:top w:val="none" w:sz="0" w:space="0" w:color="auto"/>
            <w:left w:val="none" w:sz="0" w:space="0" w:color="auto"/>
            <w:bottom w:val="none" w:sz="0" w:space="0" w:color="auto"/>
            <w:right w:val="none" w:sz="0" w:space="0" w:color="auto"/>
          </w:divBdr>
        </w:div>
        <w:div w:id="1422948674">
          <w:marLeft w:val="734"/>
          <w:marRight w:val="0"/>
          <w:marTop w:val="62"/>
          <w:marBottom w:val="160"/>
          <w:divBdr>
            <w:top w:val="none" w:sz="0" w:space="0" w:color="auto"/>
            <w:left w:val="none" w:sz="0" w:space="0" w:color="auto"/>
            <w:bottom w:val="none" w:sz="0" w:space="0" w:color="auto"/>
            <w:right w:val="none" w:sz="0" w:space="0" w:color="auto"/>
          </w:divBdr>
        </w:div>
        <w:div w:id="565798872">
          <w:marLeft w:val="0"/>
          <w:marRight w:val="0"/>
          <w:marTop w:val="110"/>
          <w:marBottom w:val="160"/>
          <w:divBdr>
            <w:top w:val="none" w:sz="0" w:space="0" w:color="auto"/>
            <w:left w:val="none" w:sz="0" w:space="0" w:color="auto"/>
            <w:bottom w:val="none" w:sz="0" w:space="0" w:color="auto"/>
            <w:right w:val="none" w:sz="0" w:space="0" w:color="auto"/>
          </w:divBdr>
        </w:div>
        <w:div w:id="32581025">
          <w:marLeft w:val="0"/>
          <w:marRight w:val="0"/>
          <w:marTop w:val="110"/>
          <w:marBottom w:val="160"/>
          <w:divBdr>
            <w:top w:val="none" w:sz="0" w:space="0" w:color="auto"/>
            <w:left w:val="none" w:sz="0" w:space="0" w:color="auto"/>
            <w:bottom w:val="none" w:sz="0" w:space="0" w:color="auto"/>
            <w:right w:val="none" w:sz="0" w:space="0" w:color="auto"/>
          </w:divBdr>
        </w:div>
      </w:divsChild>
    </w:div>
    <w:div w:id="894779189">
      <w:bodyDiv w:val="1"/>
      <w:marLeft w:val="0"/>
      <w:marRight w:val="0"/>
      <w:marTop w:val="0"/>
      <w:marBottom w:val="0"/>
      <w:divBdr>
        <w:top w:val="none" w:sz="0" w:space="0" w:color="auto"/>
        <w:left w:val="none" w:sz="0" w:space="0" w:color="auto"/>
        <w:bottom w:val="none" w:sz="0" w:space="0" w:color="auto"/>
        <w:right w:val="none" w:sz="0" w:space="0" w:color="auto"/>
      </w:divBdr>
    </w:div>
    <w:div w:id="1371220841">
      <w:bodyDiv w:val="1"/>
      <w:marLeft w:val="0"/>
      <w:marRight w:val="0"/>
      <w:marTop w:val="0"/>
      <w:marBottom w:val="0"/>
      <w:divBdr>
        <w:top w:val="none" w:sz="0" w:space="0" w:color="auto"/>
        <w:left w:val="none" w:sz="0" w:space="0" w:color="auto"/>
        <w:bottom w:val="none" w:sz="0" w:space="0" w:color="auto"/>
        <w:right w:val="none" w:sz="0" w:space="0" w:color="auto"/>
      </w:divBdr>
      <w:divsChild>
        <w:div w:id="1512136881">
          <w:marLeft w:val="346"/>
          <w:marRight w:val="0"/>
          <w:marTop w:val="96"/>
          <w:marBottom w:val="0"/>
          <w:divBdr>
            <w:top w:val="none" w:sz="0" w:space="0" w:color="auto"/>
            <w:left w:val="none" w:sz="0" w:space="0" w:color="auto"/>
            <w:bottom w:val="none" w:sz="0" w:space="0" w:color="auto"/>
            <w:right w:val="none" w:sz="0" w:space="0" w:color="auto"/>
          </w:divBdr>
        </w:div>
        <w:div w:id="1954052997">
          <w:marLeft w:val="734"/>
          <w:marRight w:val="0"/>
          <w:marTop w:val="86"/>
          <w:marBottom w:val="0"/>
          <w:divBdr>
            <w:top w:val="none" w:sz="0" w:space="0" w:color="auto"/>
            <w:left w:val="none" w:sz="0" w:space="0" w:color="auto"/>
            <w:bottom w:val="none" w:sz="0" w:space="0" w:color="auto"/>
            <w:right w:val="none" w:sz="0" w:space="0" w:color="auto"/>
          </w:divBdr>
        </w:div>
      </w:divsChild>
    </w:div>
    <w:div w:id="1420515828">
      <w:bodyDiv w:val="1"/>
      <w:marLeft w:val="0"/>
      <w:marRight w:val="0"/>
      <w:marTop w:val="0"/>
      <w:marBottom w:val="0"/>
      <w:divBdr>
        <w:top w:val="none" w:sz="0" w:space="0" w:color="auto"/>
        <w:left w:val="none" w:sz="0" w:space="0" w:color="auto"/>
        <w:bottom w:val="none" w:sz="0" w:space="0" w:color="auto"/>
        <w:right w:val="none" w:sz="0" w:space="0" w:color="auto"/>
      </w:divBdr>
    </w:div>
    <w:div w:id="1512328553">
      <w:bodyDiv w:val="1"/>
      <w:marLeft w:val="0"/>
      <w:marRight w:val="0"/>
      <w:marTop w:val="0"/>
      <w:marBottom w:val="0"/>
      <w:divBdr>
        <w:top w:val="none" w:sz="0" w:space="0" w:color="auto"/>
        <w:left w:val="none" w:sz="0" w:space="0" w:color="auto"/>
        <w:bottom w:val="none" w:sz="0" w:space="0" w:color="auto"/>
        <w:right w:val="none" w:sz="0" w:space="0" w:color="auto"/>
      </w:divBdr>
    </w:div>
    <w:div w:id="1661881729">
      <w:bodyDiv w:val="1"/>
      <w:marLeft w:val="0"/>
      <w:marRight w:val="0"/>
      <w:marTop w:val="0"/>
      <w:marBottom w:val="0"/>
      <w:divBdr>
        <w:top w:val="none" w:sz="0" w:space="0" w:color="auto"/>
        <w:left w:val="none" w:sz="0" w:space="0" w:color="auto"/>
        <w:bottom w:val="none" w:sz="0" w:space="0" w:color="auto"/>
        <w:right w:val="none" w:sz="0" w:space="0" w:color="auto"/>
      </w:divBdr>
    </w:div>
    <w:div w:id="1951352986">
      <w:bodyDiv w:val="1"/>
      <w:marLeft w:val="0"/>
      <w:marRight w:val="0"/>
      <w:marTop w:val="0"/>
      <w:marBottom w:val="0"/>
      <w:divBdr>
        <w:top w:val="none" w:sz="0" w:space="0" w:color="auto"/>
        <w:left w:val="none" w:sz="0" w:space="0" w:color="auto"/>
        <w:bottom w:val="none" w:sz="0" w:space="0" w:color="auto"/>
        <w:right w:val="none" w:sz="0" w:space="0" w:color="auto"/>
      </w:divBdr>
    </w:div>
    <w:div w:id="1988436952">
      <w:bodyDiv w:val="1"/>
      <w:marLeft w:val="0"/>
      <w:marRight w:val="0"/>
      <w:marTop w:val="0"/>
      <w:marBottom w:val="0"/>
      <w:divBdr>
        <w:top w:val="none" w:sz="0" w:space="0" w:color="auto"/>
        <w:left w:val="none" w:sz="0" w:space="0" w:color="auto"/>
        <w:bottom w:val="none" w:sz="0" w:space="0" w:color="auto"/>
        <w:right w:val="none" w:sz="0" w:space="0" w:color="auto"/>
      </w:divBdr>
    </w:div>
    <w:div w:id="2022269410">
      <w:bodyDiv w:val="1"/>
      <w:marLeft w:val="0"/>
      <w:marRight w:val="0"/>
      <w:marTop w:val="0"/>
      <w:marBottom w:val="0"/>
      <w:divBdr>
        <w:top w:val="none" w:sz="0" w:space="0" w:color="auto"/>
        <w:left w:val="none" w:sz="0" w:space="0" w:color="auto"/>
        <w:bottom w:val="none" w:sz="0" w:space="0" w:color="auto"/>
        <w:right w:val="none" w:sz="0" w:space="0" w:color="auto"/>
      </w:divBdr>
    </w:div>
    <w:div w:id="2049602399">
      <w:bodyDiv w:val="1"/>
      <w:marLeft w:val="0"/>
      <w:marRight w:val="0"/>
      <w:marTop w:val="0"/>
      <w:marBottom w:val="0"/>
      <w:divBdr>
        <w:top w:val="none" w:sz="0" w:space="0" w:color="auto"/>
        <w:left w:val="none" w:sz="0" w:space="0" w:color="auto"/>
        <w:bottom w:val="none" w:sz="0" w:space="0" w:color="auto"/>
        <w:right w:val="none" w:sz="0" w:space="0" w:color="auto"/>
      </w:divBdr>
      <w:divsChild>
        <w:div w:id="214438104">
          <w:marLeft w:val="346"/>
          <w:marRight w:val="0"/>
          <w:marTop w:val="110"/>
          <w:marBottom w:val="160"/>
          <w:divBdr>
            <w:top w:val="none" w:sz="0" w:space="0" w:color="auto"/>
            <w:left w:val="none" w:sz="0" w:space="0" w:color="auto"/>
            <w:bottom w:val="none" w:sz="0" w:space="0" w:color="auto"/>
            <w:right w:val="none" w:sz="0" w:space="0" w:color="auto"/>
          </w:divBdr>
        </w:div>
        <w:div w:id="581373869">
          <w:marLeft w:val="734"/>
          <w:marRight w:val="0"/>
          <w:marTop w:val="62"/>
          <w:marBottom w:val="160"/>
          <w:divBdr>
            <w:top w:val="none" w:sz="0" w:space="0" w:color="auto"/>
            <w:left w:val="none" w:sz="0" w:space="0" w:color="auto"/>
            <w:bottom w:val="none" w:sz="0" w:space="0" w:color="auto"/>
            <w:right w:val="none" w:sz="0" w:space="0" w:color="auto"/>
          </w:divBdr>
        </w:div>
        <w:div w:id="1306818041">
          <w:marLeft w:val="734"/>
          <w:marRight w:val="0"/>
          <w:marTop w:val="62"/>
          <w:marBottom w:val="160"/>
          <w:divBdr>
            <w:top w:val="none" w:sz="0" w:space="0" w:color="auto"/>
            <w:left w:val="none" w:sz="0" w:space="0" w:color="auto"/>
            <w:bottom w:val="none" w:sz="0" w:space="0" w:color="auto"/>
            <w:right w:val="none" w:sz="0" w:space="0" w:color="auto"/>
          </w:divBdr>
        </w:div>
        <w:div w:id="426195928">
          <w:marLeft w:val="734"/>
          <w:marRight w:val="0"/>
          <w:marTop w:val="62"/>
          <w:marBottom w:val="160"/>
          <w:divBdr>
            <w:top w:val="none" w:sz="0" w:space="0" w:color="auto"/>
            <w:left w:val="none" w:sz="0" w:space="0" w:color="auto"/>
            <w:bottom w:val="none" w:sz="0" w:space="0" w:color="auto"/>
            <w:right w:val="none" w:sz="0" w:space="0" w:color="auto"/>
          </w:divBdr>
        </w:div>
        <w:div w:id="2026590211">
          <w:marLeft w:val="346"/>
          <w:marRight w:val="0"/>
          <w:marTop w:val="101"/>
          <w:marBottom w:val="160"/>
          <w:divBdr>
            <w:top w:val="none" w:sz="0" w:space="0" w:color="auto"/>
            <w:left w:val="none" w:sz="0" w:space="0" w:color="auto"/>
            <w:bottom w:val="none" w:sz="0" w:space="0" w:color="auto"/>
            <w:right w:val="none" w:sz="0" w:space="0" w:color="auto"/>
          </w:divBdr>
        </w:div>
        <w:div w:id="152256063">
          <w:marLeft w:val="734"/>
          <w:marRight w:val="0"/>
          <w:marTop w:val="62"/>
          <w:marBottom w:val="160"/>
          <w:divBdr>
            <w:top w:val="none" w:sz="0" w:space="0" w:color="auto"/>
            <w:left w:val="none" w:sz="0" w:space="0" w:color="auto"/>
            <w:bottom w:val="none" w:sz="0" w:space="0" w:color="auto"/>
            <w:right w:val="none" w:sz="0" w:space="0" w:color="auto"/>
          </w:divBdr>
        </w:div>
        <w:div w:id="660817112">
          <w:marLeft w:val="734"/>
          <w:marRight w:val="0"/>
          <w:marTop w:val="62"/>
          <w:marBottom w:val="160"/>
          <w:divBdr>
            <w:top w:val="none" w:sz="0" w:space="0" w:color="auto"/>
            <w:left w:val="none" w:sz="0" w:space="0" w:color="auto"/>
            <w:bottom w:val="none" w:sz="0" w:space="0" w:color="auto"/>
            <w:right w:val="none" w:sz="0" w:space="0" w:color="auto"/>
          </w:divBdr>
        </w:div>
        <w:div w:id="711224702">
          <w:marLeft w:val="734"/>
          <w:marRight w:val="0"/>
          <w:marTop w:val="62"/>
          <w:marBottom w:val="160"/>
          <w:divBdr>
            <w:top w:val="none" w:sz="0" w:space="0" w:color="auto"/>
            <w:left w:val="none" w:sz="0" w:space="0" w:color="auto"/>
            <w:bottom w:val="none" w:sz="0" w:space="0" w:color="auto"/>
            <w:right w:val="none" w:sz="0" w:space="0" w:color="auto"/>
          </w:divBdr>
        </w:div>
        <w:div w:id="819611283">
          <w:marLeft w:val="0"/>
          <w:marRight w:val="0"/>
          <w:marTop w:val="110"/>
          <w:marBottom w:val="160"/>
          <w:divBdr>
            <w:top w:val="none" w:sz="0" w:space="0" w:color="auto"/>
            <w:left w:val="none" w:sz="0" w:space="0" w:color="auto"/>
            <w:bottom w:val="none" w:sz="0" w:space="0" w:color="auto"/>
            <w:right w:val="none" w:sz="0" w:space="0" w:color="auto"/>
          </w:divBdr>
        </w:div>
        <w:div w:id="1552644655">
          <w:marLeft w:val="0"/>
          <w:marRight w:val="0"/>
          <w:marTop w:val="110"/>
          <w:marBottom w:val="160"/>
          <w:divBdr>
            <w:top w:val="none" w:sz="0" w:space="0" w:color="auto"/>
            <w:left w:val="none" w:sz="0" w:space="0" w:color="auto"/>
            <w:bottom w:val="none" w:sz="0" w:space="0" w:color="auto"/>
            <w:right w:val="none" w:sz="0" w:space="0" w:color="auto"/>
          </w:divBdr>
        </w:div>
      </w:divsChild>
    </w:div>
    <w:div w:id="20963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eativecommons.org/licenses/by/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mc.gov.au/government/its-honou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ativecommons.org"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mailto:copyright@communications.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2018 colours)">
      <a:dk1>
        <a:srgbClr val="000225"/>
      </a:dk1>
      <a:lt1>
        <a:srgbClr val="FFFFFF"/>
      </a:lt1>
      <a:dk2>
        <a:srgbClr val="001C40"/>
      </a:dk2>
      <a:lt2>
        <a:srgbClr val="E6E7E8"/>
      </a:lt2>
      <a:accent1>
        <a:srgbClr val="77D0F6"/>
      </a:accent1>
      <a:accent2>
        <a:srgbClr val="4DB2B5"/>
      </a:accent2>
      <a:accent3>
        <a:srgbClr val="415770"/>
      </a:accent3>
      <a:accent4>
        <a:srgbClr val="CBCACA"/>
      </a:accent4>
      <a:accent5>
        <a:srgbClr val="FDCB17"/>
      </a:accent5>
      <a:accent6>
        <a:srgbClr val="CBCACA"/>
      </a:accent6>
      <a:hlink>
        <a:srgbClr val="9DFFB2"/>
      </a:hlink>
      <a:folHlink>
        <a:srgbClr val="800080"/>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8570-62AA-4133-ADC3-546F5DFD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C6B1CD77.dotm</Template>
  <TotalTime>0</TotalTime>
  <Pages>27</Pages>
  <Words>10900</Words>
  <Characters>62130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2018-12-04T05:26:00Z</dcterms:created>
  <dcterms:modified xsi:type="dcterms:W3CDTF">2018-12-04T05:28:00Z</dcterms:modified>
</cp:coreProperties>
</file>