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EF" w:rsidRDefault="00A33EEF" w:rsidP="00A33EEF">
      <w:r>
        <w:t>To the Department of Communications and the Arts</w:t>
      </w:r>
      <w:r>
        <w:br/>
        <w:t>GPO Box 2154</w:t>
      </w:r>
      <w:r>
        <w:br/>
      </w:r>
      <w:proofErr w:type="gramStart"/>
      <w:r>
        <w:t>Canberra  ACT</w:t>
      </w:r>
      <w:proofErr w:type="gramEnd"/>
      <w:r>
        <w:t xml:space="preserve">  2601</w:t>
      </w:r>
    </w:p>
    <w:p w:rsidR="00876729" w:rsidRDefault="00A33EEF" w:rsidP="00DB240A">
      <w:pPr>
        <w:pStyle w:val="Heading1"/>
      </w:pPr>
      <w:r>
        <w:t>Submission—</w:t>
      </w:r>
      <w:r w:rsidR="001F27BC">
        <w:t>Review of the Part XIB telecommunications anti</w:t>
      </w:r>
      <w:r w:rsidR="001F27BC">
        <w:noBreakHyphen/>
        <w:t>competitive conduct provisions</w:t>
      </w:r>
      <w:bookmarkStart w:id="0" w:name="_GoBack"/>
      <w:bookmarkEnd w:id="0"/>
    </w:p>
    <w:p w:rsidR="00FA3649" w:rsidRDefault="00FA3649" w:rsidP="00A85255">
      <w:pPr>
        <w:pStyle w:val="Heading2"/>
      </w:pPr>
      <w:r>
        <w:t>This submission can be published on the W</w:t>
      </w:r>
      <w:r w:rsidR="004E32B5">
        <w:t>orld Wide Web</w:t>
      </w:r>
    </w:p>
    <w:p w:rsidR="00FA3649" w:rsidRPr="00FA3649" w:rsidRDefault="00FA3649" w:rsidP="00FA3649">
      <w:r>
        <w:t>Yes / No.</w:t>
      </w:r>
    </w:p>
    <w:p w:rsidR="0087509A" w:rsidRDefault="0087509A" w:rsidP="0087509A">
      <w:pPr>
        <w:pStyle w:val="Heading2"/>
      </w:pPr>
      <w:r>
        <w:t>Date of submission</w:t>
      </w:r>
    </w:p>
    <w:p w:rsidR="0087509A" w:rsidRDefault="003E21C5" w:rsidP="0087509A">
      <w:r>
        <w:t>&lt;</w:t>
      </w:r>
      <w:proofErr w:type="gramStart"/>
      <w:r>
        <w:t>response</w:t>
      </w:r>
      <w:proofErr w:type="gramEnd"/>
      <w:r>
        <w:t>&gt;</w:t>
      </w:r>
    </w:p>
    <w:p w:rsidR="00A85255" w:rsidRDefault="00A85255" w:rsidP="00A85255">
      <w:pPr>
        <w:pStyle w:val="Heading2"/>
      </w:pPr>
      <w:r>
        <w:t>Logo of organisation—if an organisation making this submission</w:t>
      </w:r>
    </w:p>
    <w:p w:rsidR="00A85255" w:rsidRPr="00A85255" w:rsidRDefault="003E21C5" w:rsidP="00A85255">
      <w:r>
        <w:t>&lt;</w:t>
      </w:r>
      <w:proofErr w:type="gramStart"/>
      <w:r>
        <w:t>response</w:t>
      </w:r>
      <w:proofErr w:type="gramEnd"/>
      <w:r>
        <w:t>&gt;</w:t>
      </w:r>
    </w:p>
    <w:p w:rsidR="00DB240A" w:rsidRDefault="00DB240A" w:rsidP="00DB240A">
      <w:pPr>
        <w:pStyle w:val="Heading2"/>
      </w:pPr>
      <w:r>
        <w:t>Name and contact details of person/organisation making submission</w:t>
      </w:r>
    </w:p>
    <w:p w:rsidR="00A85255" w:rsidRDefault="003E21C5" w:rsidP="00A85255">
      <w:r>
        <w:t>&lt;</w:t>
      </w:r>
      <w:proofErr w:type="gramStart"/>
      <w:r>
        <w:t>response</w:t>
      </w:r>
      <w:proofErr w:type="gramEnd"/>
      <w:r>
        <w:t>&gt;</w:t>
      </w:r>
    </w:p>
    <w:p w:rsidR="00A85255" w:rsidRDefault="00A85255" w:rsidP="00A85255">
      <w:pPr>
        <w:pStyle w:val="Heading2"/>
      </w:pPr>
      <w:r>
        <w:t>General comments</w:t>
      </w:r>
    </w:p>
    <w:p w:rsidR="001F27BC" w:rsidRDefault="003E21C5" w:rsidP="001F27BC">
      <w:r>
        <w:t>&lt;</w:t>
      </w:r>
      <w:proofErr w:type="gramStart"/>
      <w:r>
        <w:t>response</w:t>
      </w:r>
      <w:proofErr w:type="gramEnd"/>
      <w:r>
        <w:t>&gt;</w:t>
      </w:r>
    </w:p>
    <w:p w:rsidR="001F27BC" w:rsidRDefault="001F27BC" w:rsidP="001F27BC">
      <w:pPr>
        <w:pStyle w:val="Heading2"/>
      </w:pPr>
      <w:r>
        <w:t>Response</w:t>
      </w:r>
      <w:r>
        <w:t>s</w:t>
      </w:r>
    </w:p>
    <w:p w:rsidR="001F27BC" w:rsidRDefault="001F27BC" w:rsidP="001F27BC">
      <w:r>
        <w:t xml:space="preserve">The </w:t>
      </w:r>
      <w:r w:rsidR="00A33EEF">
        <w:t xml:space="preserve">Australian </w:t>
      </w:r>
      <w:r>
        <w:t>Government seeks views on the ongoing operation of the Part XIB anti-competitive conduct provisions given the proposed changes to section 46. In particular, the Government seeks views on:</w:t>
      </w:r>
    </w:p>
    <w:p w:rsidR="001F27BC" w:rsidRDefault="001F27BC" w:rsidP="001F27BC">
      <w:pPr>
        <w:pStyle w:val="Heading3"/>
      </w:pPr>
      <w:r>
        <w:t>Division 2 of Part XIB</w:t>
      </w:r>
    </w:p>
    <w:p w:rsidR="001F27BC" w:rsidRDefault="001F27BC" w:rsidP="001F27BC">
      <w:pPr>
        <w:pStyle w:val="Heading4"/>
      </w:pPr>
      <w:r>
        <w:t>In light of the proposed changes to section 46, should the telecommunications competition rule in Division 2 of Part X</w:t>
      </w:r>
      <w:r w:rsidR="003E21C5">
        <w:t>IB (section 151AJ) be retained?</w:t>
      </w:r>
    </w:p>
    <w:p w:rsidR="001F27BC" w:rsidRDefault="00A33EEF" w:rsidP="001F27BC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A33EEF" w:rsidRDefault="00A33EEF" w:rsidP="00A33EEF">
      <w:pPr>
        <w:pStyle w:val="Heading5"/>
      </w:pPr>
      <w:r>
        <w:t>If so, why?</w:t>
      </w:r>
    </w:p>
    <w:p w:rsidR="00A33EEF" w:rsidRDefault="00A33EEF" w:rsidP="001F27BC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3E21C5" w:rsidRDefault="003E21C5" w:rsidP="003E21C5">
      <w:pPr>
        <w:pStyle w:val="Heading5"/>
      </w:pPr>
      <w:r>
        <w:t>If not, why not?</w:t>
      </w:r>
    </w:p>
    <w:p w:rsidR="003E21C5" w:rsidRPr="00DB240A" w:rsidRDefault="003E21C5" w:rsidP="003E21C5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1F27BC" w:rsidRDefault="001F27BC" w:rsidP="001F27BC">
      <w:pPr>
        <w:pStyle w:val="Heading4"/>
      </w:pPr>
      <w:r>
        <w:t>If the competition rule in Part XIB is retained, would changes need to be made to the rule to provide certainty for businesses</w:t>
      </w:r>
      <w:r w:rsidR="00A33EEF">
        <w:t>?</w:t>
      </w:r>
    </w:p>
    <w:p w:rsidR="001F27BC" w:rsidRDefault="00A33EEF" w:rsidP="001F27BC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A33EEF" w:rsidRDefault="00A33EEF" w:rsidP="00A33EEF">
      <w:pPr>
        <w:pStyle w:val="Heading5"/>
      </w:pPr>
      <w:r>
        <w:t>If so, what changes would need to be made?</w:t>
      </w:r>
    </w:p>
    <w:p w:rsidR="00A33EEF" w:rsidRPr="00DB240A" w:rsidRDefault="00A33EEF" w:rsidP="001F27BC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1F27BC" w:rsidRDefault="001F27BC" w:rsidP="001F27BC">
      <w:pPr>
        <w:pStyle w:val="Heading3"/>
      </w:pPr>
      <w:r>
        <w:t>Division 3 of Part XIB</w:t>
      </w:r>
    </w:p>
    <w:p w:rsidR="001F27BC" w:rsidRDefault="001F27BC" w:rsidP="001F27BC">
      <w:pPr>
        <w:pStyle w:val="Heading4"/>
      </w:pPr>
      <w:r>
        <w:t>Do competition notices have ongoing utility in addressing anti-compe</w:t>
      </w:r>
      <w:r w:rsidR="00A33EEF">
        <w:t>titive behaviour in the sector?</w:t>
      </w:r>
    </w:p>
    <w:p w:rsidR="00A33EEF" w:rsidRDefault="00A33EEF" w:rsidP="00A33EE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A33EEF" w:rsidRDefault="00A33EEF" w:rsidP="00A33EEF">
      <w:pPr>
        <w:pStyle w:val="Heading5"/>
      </w:pPr>
      <w:r>
        <w:t>If so, why?</w:t>
      </w:r>
    </w:p>
    <w:p w:rsidR="00A33EEF" w:rsidRDefault="00A33EEF" w:rsidP="00A33EE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A33EEF" w:rsidRDefault="00A33EEF" w:rsidP="00A33EEF">
      <w:pPr>
        <w:pStyle w:val="Heading5"/>
      </w:pPr>
      <w:r>
        <w:t>If not, why not?</w:t>
      </w:r>
    </w:p>
    <w:p w:rsidR="00A33EEF" w:rsidRPr="00DB240A" w:rsidRDefault="00A33EEF" w:rsidP="00A33EE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1F27BC" w:rsidRDefault="001F27BC" w:rsidP="001F27BC">
      <w:pPr>
        <w:pStyle w:val="Heading4"/>
      </w:pPr>
      <w:r>
        <w:t>Do the proposed changes to section 46 and section 46’s interaction with Part XIB raise issues for the operation of competition notices?</w:t>
      </w:r>
    </w:p>
    <w:p w:rsidR="00A33EEF" w:rsidRDefault="00A33EEF" w:rsidP="00A33EE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1F27BC" w:rsidRDefault="001F27BC" w:rsidP="001F27BC">
      <w:pPr>
        <w:pStyle w:val="Heading4"/>
      </w:pPr>
      <w:r>
        <w:t>If section 46 is amended to include the proposed mandatory factors that the courts must take into account when determining whether there has been a substantial lessening of competition, should they be considered when the ACCC decides to issue a com</w:t>
      </w:r>
      <w:r w:rsidR="00A33EEF">
        <w:t>petition notice under Part XIB?</w:t>
      </w:r>
    </w:p>
    <w:p w:rsidR="00A33EEF" w:rsidRDefault="00A33EEF" w:rsidP="00A33EE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A33EEF" w:rsidRDefault="00A33EEF" w:rsidP="00A33EEF">
      <w:pPr>
        <w:pStyle w:val="Heading5"/>
      </w:pPr>
      <w:r>
        <w:t>If so, how?</w:t>
      </w:r>
    </w:p>
    <w:p w:rsidR="00A33EEF" w:rsidRPr="00DB240A" w:rsidRDefault="00A33EEF" w:rsidP="00A33EE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1F27BC" w:rsidRDefault="001F27BC" w:rsidP="001F27BC">
      <w:pPr>
        <w:pStyle w:val="Heading4"/>
      </w:pPr>
      <w:r>
        <w:t>Is the need for competition notices reduced by the ACCC powers under Part XIC to set terms and conditions for access to services and issue binding rules of conduct?</w:t>
      </w:r>
    </w:p>
    <w:p w:rsidR="00A33EEF" w:rsidRDefault="00A33EEF" w:rsidP="00A33EE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1F27BC" w:rsidRDefault="00A33EEF" w:rsidP="001F27BC">
      <w:pPr>
        <w:pStyle w:val="Heading4"/>
      </w:pPr>
      <w:r>
        <w:t>Would the exemption order provisions in Part XIB be rendered obsolete by the introduction of a</w:t>
      </w:r>
      <w:r>
        <w:t>uthorisations under section 46?</w:t>
      </w:r>
    </w:p>
    <w:p w:rsidR="00A33EEF" w:rsidRDefault="00A33EEF" w:rsidP="00A33EE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A33EEF" w:rsidRDefault="00A33EEF" w:rsidP="00A33EEF">
      <w:pPr>
        <w:pStyle w:val="Heading5"/>
      </w:pPr>
      <w:r>
        <w:t>If so, why?</w:t>
      </w:r>
    </w:p>
    <w:p w:rsidR="00A33EEF" w:rsidRPr="00DB240A" w:rsidRDefault="00A33EEF" w:rsidP="00A33EE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A33EEF" w:rsidRDefault="00A33EEF" w:rsidP="00A33EEF">
      <w:pPr>
        <w:pStyle w:val="Heading5"/>
      </w:pPr>
      <w:r>
        <w:t>If not, why not?</w:t>
      </w:r>
    </w:p>
    <w:p w:rsidR="00A33EEF" w:rsidRPr="00DB240A" w:rsidRDefault="00A33EEF" w:rsidP="00A33EEF">
      <w:pPr>
        <w:ind w:left="567"/>
      </w:pPr>
      <w:r>
        <w:t>&lt;</w:t>
      </w:r>
      <w:proofErr w:type="gramStart"/>
      <w:r>
        <w:t>response</w:t>
      </w:r>
      <w:proofErr w:type="gramEnd"/>
      <w:r>
        <w:t>&gt;</w:t>
      </w:r>
    </w:p>
    <w:p w:rsidR="00A33EEF" w:rsidRDefault="00A33EEF"/>
    <w:sectPr w:rsidR="00A33EEF" w:rsidSect="003E21C5">
      <w:footerReference w:type="default" r:id="rId8"/>
      <w:type w:val="continuous"/>
      <w:pgSz w:w="11906" w:h="16838"/>
      <w:pgMar w:top="1702" w:right="991" w:bottom="1276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EA" w:rsidRDefault="00730AEA" w:rsidP="003F0A2D">
      <w:pPr>
        <w:spacing w:after="0"/>
      </w:pPr>
      <w:r>
        <w:separator/>
      </w:r>
    </w:p>
  </w:endnote>
  <w:endnote w:type="continuationSeparator" w:id="0">
    <w:p w:rsidR="00730AEA" w:rsidRDefault="00730AEA" w:rsidP="003F0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60" w:rsidRPr="00A33EEF" w:rsidRDefault="00F17D9A" w:rsidP="00F17D9A">
    <w:pPr>
      <w:pStyle w:val="Footer"/>
      <w:tabs>
        <w:tab w:val="clear" w:pos="9026"/>
        <w:tab w:val="right" w:pos="9333"/>
      </w:tabs>
      <w:ind w:left="-567"/>
      <w:rPr>
        <w:sz w:val="18"/>
        <w:szCs w:val="18"/>
      </w:rPr>
    </w:pPr>
    <w:r w:rsidRPr="00A33EEF">
      <w:rPr>
        <w:sz w:val="18"/>
        <w:szCs w:val="18"/>
      </w:rPr>
      <w:t>Submission</w:t>
    </w:r>
    <w:r w:rsidR="003E21C5">
      <w:rPr>
        <w:sz w:val="18"/>
        <w:szCs w:val="18"/>
      </w:rPr>
      <w:t>—</w:t>
    </w:r>
    <w:r w:rsidR="00A33EEF" w:rsidRPr="00A33EEF">
      <w:rPr>
        <w:sz w:val="18"/>
        <w:szCs w:val="18"/>
      </w:rPr>
      <w:t>Review of the Part XIB telecommunications</w:t>
    </w:r>
    <w:r w:rsidR="00A33EEF">
      <w:rPr>
        <w:sz w:val="18"/>
        <w:szCs w:val="18"/>
      </w:rPr>
      <w:t xml:space="preserve"> </w:t>
    </w:r>
    <w:r w:rsidR="00A33EEF" w:rsidRPr="00A33EEF">
      <w:rPr>
        <w:sz w:val="18"/>
        <w:szCs w:val="18"/>
      </w:rPr>
      <w:t>anti</w:t>
    </w:r>
    <w:r w:rsidR="00A33EEF" w:rsidRPr="00A33EEF">
      <w:rPr>
        <w:sz w:val="18"/>
        <w:szCs w:val="18"/>
      </w:rPr>
      <w:noBreakHyphen/>
      <w:t>competitive conduct provisions</w:t>
    </w:r>
    <w:r w:rsidR="00A70B60" w:rsidRPr="00A33EEF">
      <w:rPr>
        <w:sz w:val="18"/>
        <w:szCs w:val="18"/>
      </w:rPr>
      <w:tab/>
    </w:r>
    <w:sdt>
      <w:sdtPr>
        <w:rPr>
          <w:sz w:val="18"/>
          <w:szCs w:val="18"/>
        </w:rPr>
        <w:id w:val="-2125760737"/>
        <w:docPartObj>
          <w:docPartGallery w:val="Page Numbers (Top of Page)"/>
          <w:docPartUnique/>
        </w:docPartObj>
      </w:sdtPr>
      <w:sdtEndPr/>
      <w:sdtContent>
        <w:r w:rsidR="00A70B60" w:rsidRPr="00A33EEF">
          <w:rPr>
            <w:sz w:val="18"/>
            <w:szCs w:val="18"/>
          </w:rPr>
          <w:t xml:space="preserve">Page </w:t>
        </w:r>
        <w:r w:rsidR="00A70B60" w:rsidRPr="00A33EEF">
          <w:rPr>
            <w:bCs/>
            <w:sz w:val="18"/>
            <w:szCs w:val="18"/>
          </w:rPr>
          <w:fldChar w:fldCharType="begin"/>
        </w:r>
        <w:r w:rsidR="00A70B60" w:rsidRPr="00A33EEF">
          <w:rPr>
            <w:bCs/>
            <w:sz w:val="18"/>
            <w:szCs w:val="18"/>
          </w:rPr>
          <w:instrText xml:space="preserve"> PAGE </w:instrText>
        </w:r>
        <w:r w:rsidR="00A70B60" w:rsidRPr="00A33EEF">
          <w:rPr>
            <w:bCs/>
            <w:sz w:val="18"/>
            <w:szCs w:val="18"/>
          </w:rPr>
          <w:fldChar w:fldCharType="separate"/>
        </w:r>
        <w:r w:rsidR="009D2111">
          <w:rPr>
            <w:bCs/>
            <w:noProof/>
            <w:sz w:val="18"/>
            <w:szCs w:val="18"/>
          </w:rPr>
          <w:t>2</w:t>
        </w:r>
        <w:r w:rsidR="00A70B60" w:rsidRPr="00A33EEF">
          <w:rPr>
            <w:bCs/>
            <w:sz w:val="18"/>
            <w:szCs w:val="18"/>
          </w:rPr>
          <w:fldChar w:fldCharType="end"/>
        </w:r>
        <w:r w:rsidR="00A70B60" w:rsidRPr="00A33EEF">
          <w:rPr>
            <w:sz w:val="18"/>
            <w:szCs w:val="18"/>
          </w:rPr>
          <w:t xml:space="preserve"> of </w:t>
        </w:r>
        <w:r w:rsidR="00A70B60" w:rsidRPr="00A33EEF">
          <w:rPr>
            <w:bCs/>
            <w:sz w:val="18"/>
            <w:szCs w:val="18"/>
          </w:rPr>
          <w:fldChar w:fldCharType="begin"/>
        </w:r>
        <w:r w:rsidR="00A70B60" w:rsidRPr="00A33EEF">
          <w:rPr>
            <w:bCs/>
            <w:sz w:val="18"/>
            <w:szCs w:val="18"/>
          </w:rPr>
          <w:instrText xml:space="preserve"> NUMPAGES  </w:instrText>
        </w:r>
        <w:r w:rsidR="00A70B60" w:rsidRPr="00A33EEF">
          <w:rPr>
            <w:bCs/>
            <w:sz w:val="18"/>
            <w:szCs w:val="18"/>
          </w:rPr>
          <w:fldChar w:fldCharType="separate"/>
        </w:r>
        <w:r w:rsidR="009D2111">
          <w:rPr>
            <w:bCs/>
            <w:noProof/>
            <w:sz w:val="18"/>
            <w:szCs w:val="18"/>
          </w:rPr>
          <w:t>2</w:t>
        </w:r>
        <w:r w:rsidR="00A70B60" w:rsidRPr="00A33EEF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EA" w:rsidRDefault="00730AEA" w:rsidP="003F0A2D">
      <w:pPr>
        <w:spacing w:after="0"/>
      </w:pPr>
      <w:r>
        <w:separator/>
      </w:r>
    </w:p>
  </w:footnote>
  <w:footnote w:type="continuationSeparator" w:id="0">
    <w:p w:rsidR="00730AEA" w:rsidRDefault="00730AEA" w:rsidP="003F0A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9C6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E22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C0C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A2D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DA4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84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26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42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F25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88E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F7EA0"/>
    <w:multiLevelType w:val="hybridMultilevel"/>
    <w:tmpl w:val="25EADCD0"/>
    <w:lvl w:ilvl="0" w:tplc="887C803C">
      <w:start w:val="1"/>
      <w:numFmt w:val="decimal"/>
      <w:pStyle w:val="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F2D20"/>
    <w:multiLevelType w:val="hybridMultilevel"/>
    <w:tmpl w:val="CA689DC2"/>
    <w:lvl w:ilvl="0" w:tplc="C286136A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5391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13D1C"/>
    <w:multiLevelType w:val="hybridMultilevel"/>
    <w:tmpl w:val="52283782"/>
    <w:lvl w:ilvl="0" w:tplc="DCBCB22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2429A"/>
    <w:multiLevelType w:val="hybridMultilevel"/>
    <w:tmpl w:val="62E09EA0"/>
    <w:lvl w:ilvl="0" w:tplc="49409D4C">
      <w:start w:val="1"/>
      <w:numFmt w:val="decimal"/>
      <w:lvlText w:val="%1."/>
      <w:lvlJc w:val="left"/>
      <w:pPr>
        <w:ind w:left="360" w:hanging="360"/>
      </w:pPr>
    </w:lvl>
    <w:lvl w:ilvl="1" w:tplc="176E2154">
      <w:start w:val="1"/>
      <w:numFmt w:val="lowerLetter"/>
      <w:lvlText w:val="%2."/>
      <w:lvlJc w:val="left"/>
      <w:pPr>
        <w:ind w:left="1080" w:hanging="360"/>
      </w:pPr>
    </w:lvl>
    <w:lvl w:ilvl="2" w:tplc="D608A1E0">
      <w:start w:val="1"/>
      <w:numFmt w:val="lowerRoman"/>
      <w:lvlText w:val="%3."/>
      <w:lvlJc w:val="right"/>
      <w:pPr>
        <w:ind w:left="1800" w:hanging="180"/>
      </w:pPr>
    </w:lvl>
    <w:lvl w:ilvl="3" w:tplc="AD5E60B8">
      <w:start w:val="1"/>
      <w:numFmt w:val="decimal"/>
      <w:lvlText w:val="%4."/>
      <w:lvlJc w:val="left"/>
      <w:pPr>
        <w:ind w:left="2520" w:hanging="360"/>
      </w:pPr>
    </w:lvl>
    <w:lvl w:ilvl="4" w:tplc="E73A36B4">
      <w:start w:val="1"/>
      <w:numFmt w:val="lowerLetter"/>
      <w:lvlText w:val="%5."/>
      <w:lvlJc w:val="left"/>
      <w:pPr>
        <w:ind w:left="3240" w:hanging="360"/>
      </w:pPr>
    </w:lvl>
    <w:lvl w:ilvl="5" w:tplc="DE1C6EB0">
      <w:start w:val="1"/>
      <w:numFmt w:val="lowerRoman"/>
      <w:lvlText w:val="%6."/>
      <w:lvlJc w:val="right"/>
      <w:pPr>
        <w:ind w:left="3960" w:hanging="180"/>
      </w:pPr>
    </w:lvl>
    <w:lvl w:ilvl="6" w:tplc="EC121D14">
      <w:start w:val="1"/>
      <w:numFmt w:val="decimal"/>
      <w:lvlText w:val="%7."/>
      <w:lvlJc w:val="left"/>
      <w:pPr>
        <w:ind w:left="4680" w:hanging="360"/>
      </w:pPr>
    </w:lvl>
    <w:lvl w:ilvl="7" w:tplc="E25A185E">
      <w:start w:val="1"/>
      <w:numFmt w:val="lowerLetter"/>
      <w:lvlText w:val="%8."/>
      <w:lvlJc w:val="left"/>
      <w:pPr>
        <w:ind w:left="5400" w:hanging="360"/>
      </w:pPr>
    </w:lvl>
    <w:lvl w:ilvl="8" w:tplc="4F4EE5F0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26CBD"/>
    <w:multiLevelType w:val="hybridMultilevel"/>
    <w:tmpl w:val="5F6875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A0A5B"/>
    <w:multiLevelType w:val="hybridMultilevel"/>
    <w:tmpl w:val="CD9EDD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41E3D"/>
    <w:multiLevelType w:val="hybridMultilevel"/>
    <w:tmpl w:val="E4960A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A468F"/>
    <w:multiLevelType w:val="hybridMultilevel"/>
    <w:tmpl w:val="43B299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4896"/>
    <w:multiLevelType w:val="hybridMultilevel"/>
    <w:tmpl w:val="DE446150"/>
    <w:lvl w:ilvl="0" w:tplc="FCEA5AF4">
      <w:start w:val="1"/>
      <w:numFmt w:val="bullet"/>
      <w:pStyle w:val="Tickedboxbulletpoint"/>
      <w:lvlText w:val="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054F7"/>
    <w:multiLevelType w:val="multilevel"/>
    <w:tmpl w:val="09F8E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5B504F0"/>
    <w:multiLevelType w:val="hybridMultilevel"/>
    <w:tmpl w:val="EFD0BD80"/>
    <w:lvl w:ilvl="0" w:tplc="9776F6D6">
      <w:start w:val="1"/>
      <w:numFmt w:val="bullet"/>
      <w:pStyle w:val="Checkboxemptybulletpoint"/>
      <w:lvlText w:val=""/>
      <w:lvlJc w:val="left"/>
      <w:pPr>
        <w:ind w:left="927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8"/>
  </w:num>
  <w:num w:numId="17">
    <w:abstractNumId w:val="2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2"/>
  </w:num>
  <w:num w:numId="2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EA"/>
    <w:rsid w:val="00010C8C"/>
    <w:rsid w:val="000249BC"/>
    <w:rsid w:val="000E1A93"/>
    <w:rsid w:val="0012570D"/>
    <w:rsid w:val="001F27BC"/>
    <w:rsid w:val="001F3924"/>
    <w:rsid w:val="002506AF"/>
    <w:rsid w:val="00285881"/>
    <w:rsid w:val="00297528"/>
    <w:rsid w:val="003509FE"/>
    <w:rsid w:val="003E21C5"/>
    <w:rsid w:val="003F0A2D"/>
    <w:rsid w:val="0040012A"/>
    <w:rsid w:val="004048E1"/>
    <w:rsid w:val="0040622C"/>
    <w:rsid w:val="0043221A"/>
    <w:rsid w:val="00442D65"/>
    <w:rsid w:val="0047530F"/>
    <w:rsid w:val="004E32B5"/>
    <w:rsid w:val="00507E41"/>
    <w:rsid w:val="00535ADA"/>
    <w:rsid w:val="00567FAF"/>
    <w:rsid w:val="005F08D5"/>
    <w:rsid w:val="0064771D"/>
    <w:rsid w:val="00660BB9"/>
    <w:rsid w:val="006A19A2"/>
    <w:rsid w:val="006D014F"/>
    <w:rsid w:val="006F5CF8"/>
    <w:rsid w:val="00704775"/>
    <w:rsid w:val="00730AEA"/>
    <w:rsid w:val="007D02EC"/>
    <w:rsid w:val="00832492"/>
    <w:rsid w:val="0084603E"/>
    <w:rsid w:val="00852E5C"/>
    <w:rsid w:val="00853419"/>
    <w:rsid w:val="0087509A"/>
    <w:rsid w:val="00876729"/>
    <w:rsid w:val="008A312B"/>
    <w:rsid w:val="008C6C53"/>
    <w:rsid w:val="00933ABA"/>
    <w:rsid w:val="009A56D0"/>
    <w:rsid w:val="009D2111"/>
    <w:rsid w:val="00A33EEF"/>
    <w:rsid w:val="00A625B3"/>
    <w:rsid w:val="00A669A1"/>
    <w:rsid w:val="00A70B60"/>
    <w:rsid w:val="00A7176A"/>
    <w:rsid w:val="00A85255"/>
    <w:rsid w:val="00AD66A7"/>
    <w:rsid w:val="00AF277C"/>
    <w:rsid w:val="00B370BC"/>
    <w:rsid w:val="00B82933"/>
    <w:rsid w:val="00BA2E1F"/>
    <w:rsid w:val="00C61D2E"/>
    <w:rsid w:val="00D24D05"/>
    <w:rsid w:val="00DB095A"/>
    <w:rsid w:val="00DB240A"/>
    <w:rsid w:val="00DD4718"/>
    <w:rsid w:val="00E240F8"/>
    <w:rsid w:val="00F17D9A"/>
    <w:rsid w:val="00F41896"/>
    <w:rsid w:val="00F977DF"/>
    <w:rsid w:val="00FA3649"/>
    <w:rsid w:val="00FA414F"/>
    <w:rsid w:val="00FB4064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7011A64-64E7-49A4-BC27-C62C5E92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D9A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21C5"/>
    <w:pPr>
      <w:keepNext/>
      <w:spacing w:after="360"/>
      <w:outlineLvl w:val="0"/>
    </w:pPr>
    <w:rPr>
      <w:rFonts w:asciiTheme="majorHAnsi" w:eastAsiaTheme="majorEastAsia" w:hAnsiTheme="majorHAnsi" w:cstheme="majorBidi"/>
      <w:b/>
      <w:color w:val="07478C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1C5"/>
    <w:pPr>
      <w:keepNext/>
      <w:spacing w:before="120"/>
      <w:outlineLvl w:val="1"/>
    </w:pPr>
    <w:rPr>
      <w:rFonts w:asciiTheme="majorHAnsi" w:eastAsiaTheme="majorEastAsia" w:hAnsiTheme="majorHAnsi" w:cstheme="majorBidi"/>
      <w:b/>
      <w:color w:val="07478C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21C5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7478C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21C5"/>
    <w:pPr>
      <w:keepNext/>
      <w:numPr>
        <w:numId w:val="23"/>
      </w:numPr>
      <w:spacing w:after="60"/>
      <w:ind w:left="567" w:hanging="567"/>
      <w:outlineLvl w:val="3"/>
    </w:pPr>
    <w:rPr>
      <w:rFonts w:eastAsiaTheme="majorEastAsia" w:cstheme="majorBidi"/>
      <w:iCs/>
      <w:color w:val="07478C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21C5"/>
    <w:pPr>
      <w:keepNext/>
      <w:spacing w:after="60"/>
      <w:ind w:left="567"/>
      <w:outlineLvl w:val="4"/>
    </w:pPr>
    <w:rPr>
      <w:rFonts w:eastAsiaTheme="majorEastAsia" w:cstheme="majorBidi"/>
      <w:color w:val="07478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1C5"/>
    <w:rPr>
      <w:rFonts w:asciiTheme="majorHAnsi" w:eastAsiaTheme="majorEastAsia" w:hAnsiTheme="majorHAnsi" w:cstheme="majorBidi"/>
      <w:b/>
      <w:color w:val="07478C"/>
      <w:sz w:val="4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21C5"/>
    <w:rPr>
      <w:rFonts w:asciiTheme="majorHAnsi" w:eastAsiaTheme="majorEastAsia" w:hAnsiTheme="majorHAnsi" w:cstheme="majorBidi"/>
      <w:b/>
      <w:color w:val="07478C"/>
      <w:sz w:val="30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71D"/>
    <w:pPr>
      <w:numPr>
        <w:ilvl w:val="1"/>
      </w:numPr>
      <w:spacing w:before="240"/>
    </w:pPr>
    <w:rPr>
      <w:rFonts w:asciiTheme="majorHAnsi" w:eastAsiaTheme="minorEastAsia" w:hAnsiTheme="majorHAnsi"/>
      <w:b/>
      <w:color w:val="07478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4771D"/>
    <w:rPr>
      <w:rFonts w:asciiTheme="majorHAnsi" w:eastAsiaTheme="minorEastAsia" w:hAnsiTheme="majorHAnsi"/>
      <w:b/>
      <w:color w:val="07478C"/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64771D"/>
    <w:rPr>
      <w:color w:val="095EB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E21C5"/>
    <w:rPr>
      <w:rFonts w:asciiTheme="majorHAnsi" w:eastAsiaTheme="majorEastAsia" w:hAnsiTheme="majorHAnsi" w:cstheme="majorBidi"/>
      <w:b/>
      <w:color w:val="07478C"/>
      <w:sz w:val="26"/>
      <w:szCs w:val="24"/>
    </w:rPr>
  </w:style>
  <w:style w:type="paragraph" w:customStyle="1" w:styleId="Bulletlevel1">
    <w:name w:val="Bullet level 1"/>
    <w:basedOn w:val="Normal"/>
    <w:uiPriority w:val="99"/>
    <w:qFormat/>
    <w:rsid w:val="003F0A2D"/>
    <w:pPr>
      <w:numPr>
        <w:numId w:val="1"/>
      </w:numPr>
      <w:ind w:left="567" w:hanging="56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0A2D"/>
  </w:style>
  <w:style w:type="paragraph" w:styleId="Footer">
    <w:name w:val="footer"/>
    <w:basedOn w:val="Normal"/>
    <w:link w:val="Foot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0A2D"/>
  </w:style>
  <w:style w:type="character" w:customStyle="1" w:styleId="Heading4Char">
    <w:name w:val="Heading 4 Char"/>
    <w:basedOn w:val="DefaultParagraphFont"/>
    <w:link w:val="Heading4"/>
    <w:uiPriority w:val="9"/>
    <w:rsid w:val="003E21C5"/>
    <w:rPr>
      <w:rFonts w:eastAsiaTheme="majorEastAsia" w:cstheme="majorBidi"/>
      <w:iCs/>
      <w:color w:val="07478C"/>
    </w:rPr>
  </w:style>
  <w:style w:type="table" w:styleId="TableGrid">
    <w:name w:val="Table Grid"/>
    <w:basedOn w:val="TableNormal"/>
    <w:uiPriority w:val="39"/>
    <w:rsid w:val="0002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9A56D0"/>
    <w:pPr>
      <w:spacing w:before="40" w:after="0"/>
    </w:pPr>
    <w:rPr>
      <w:rFonts w:asciiTheme="majorHAnsi" w:hAnsiTheme="majorHAnsi"/>
      <w:b/>
      <w:color w:val="07478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9B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9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9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64771D"/>
    <w:pPr>
      <w:ind w:left="1134" w:hanging="56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A414F"/>
    <w:pPr>
      <w:spacing w:before="120" w:after="0"/>
    </w:pPr>
    <w:rPr>
      <w:b/>
      <w:color w:val="07478C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A414F"/>
    <w:pPr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A414F"/>
    <w:pPr>
      <w:spacing w:after="0"/>
      <w:ind w:left="1134"/>
    </w:pPr>
  </w:style>
  <w:style w:type="paragraph" w:customStyle="1" w:styleId="Tableheading">
    <w:name w:val="Table heading"/>
    <w:basedOn w:val="Normal"/>
    <w:next w:val="Normal"/>
    <w:rsid w:val="00B370BC"/>
    <w:pPr>
      <w:spacing w:after="0"/>
    </w:pPr>
    <w:rPr>
      <w:rFonts w:eastAsia="Times New Roman" w:cs="Times New Roman"/>
      <w:b/>
      <w:bCs/>
      <w:szCs w:val="20"/>
    </w:rPr>
  </w:style>
  <w:style w:type="paragraph" w:customStyle="1" w:styleId="Tableheadingcentred">
    <w:name w:val="Table heading centred"/>
    <w:basedOn w:val="Normal"/>
    <w:next w:val="Normal"/>
    <w:rsid w:val="00B370BC"/>
    <w:pPr>
      <w:spacing w:after="0"/>
      <w:jc w:val="center"/>
    </w:pPr>
    <w:rPr>
      <w:rFonts w:eastAsia="Times New Roman" w:cs="Times New Roman"/>
      <w:b/>
      <w:bCs/>
      <w:szCs w:val="20"/>
    </w:rPr>
  </w:style>
  <w:style w:type="paragraph" w:customStyle="1" w:styleId="Tabletextcentred">
    <w:name w:val="Table text centred"/>
    <w:basedOn w:val="Normal"/>
    <w:next w:val="NoSpacing"/>
    <w:rsid w:val="00B370BC"/>
    <w:pPr>
      <w:spacing w:after="0"/>
      <w:jc w:val="center"/>
    </w:pPr>
    <w:rPr>
      <w:rFonts w:eastAsia="Times New Roman" w:cs="Times New Roman"/>
      <w:szCs w:val="20"/>
    </w:rPr>
  </w:style>
  <w:style w:type="paragraph" w:styleId="NoSpacing">
    <w:name w:val="No Spacing"/>
    <w:uiPriority w:val="1"/>
    <w:qFormat/>
    <w:rsid w:val="00B370B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3E21C5"/>
    <w:rPr>
      <w:rFonts w:eastAsiaTheme="majorEastAsia" w:cstheme="majorBidi"/>
      <w:color w:val="07478C"/>
    </w:rPr>
  </w:style>
  <w:style w:type="character" w:styleId="IntenseEmphasis">
    <w:name w:val="Intense Emphasis"/>
    <w:basedOn w:val="DefaultParagraphFont"/>
    <w:uiPriority w:val="21"/>
    <w:qFormat/>
    <w:rsid w:val="0064771D"/>
    <w:rPr>
      <w:rFonts w:asciiTheme="minorHAnsi" w:hAnsiTheme="minorHAnsi"/>
      <w:i/>
      <w:iCs/>
      <w:color w:val="07478C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71D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</w:pPr>
    <w:rPr>
      <w:i/>
      <w:iCs/>
      <w:color w:val="0747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71D"/>
    <w:rPr>
      <w:i/>
      <w:iCs/>
      <w:color w:val="07478C"/>
    </w:rPr>
  </w:style>
  <w:style w:type="character" w:styleId="IntenseReference">
    <w:name w:val="Intense Reference"/>
    <w:basedOn w:val="DefaultParagraphFont"/>
    <w:uiPriority w:val="32"/>
    <w:qFormat/>
    <w:rsid w:val="0064771D"/>
    <w:rPr>
      <w:rFonts w:asciiTheme="minorHAnsi" w:hAnsiTheme="minorHAnsi"/>
      <w:b/>
      <w:bCs/>
      <w:smallCaps/>
      <w:color w:val="07478C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64771D"/>
    <w:rPr>
      <w:rFonts w:asciiTheme="minorHAnsi" w:hAnsiTheme="minorHAnsi"/>
      <w:b/>
      <w:bCs/>
      <w:i/>
      <w:iCs/>
      <w:spacing w:val="5"/>
      <w:sz w:val="22"/>
    </w:rPr>
  </w:style>
  <w:style w:type="character" w:styleId="SubtleReference">
    <w:name w:val="Subtle Reference"/>
    <w:basedOn w:val="DefaultParagraphFont"/>
    <w:uiPriority w:val="31"/>
    <w:qFormat/>
    <w:rsid w:val="0064771D"/>
    <w:rPr>
      <w:rFonts w:asciiTheme="minorHAnsi" w:hAnsiTheme="minorHAnsi"/>
      <w:smallCaps/>
      <w:color w:val="5A5A5A" w:themeColor="text1" w:themeTint="A5"/>
      <w:sz w:val="22"/>
    </w:rPr>
  </w:style>
  <w:style w:type="paragraph" w:customStyle="1" w:styleId="Heading2-notshowingincontentsindocument">
    <w:name w:val="Heading 2 - not showing in contents in document"/>
    <w:basedOn w:val="Normal"/>
    <w:next w:val="Normal"/>
    <w:rsid w:val="00A7176A"/>
    <w:pPr>
      <w:outlineLvl w:val="1"/>
    </w:pPr>
    <w:rPr>
      <w:rFonts w:asciiTheme="majorHAnsi" w:hAnsiTheme="majorHAnsi"/>
      <w:b/>
      <w:color w:val="07478C"/>
      <w:sz w:val="36"/>
      <w:szCs w:val="36"/>
    </w:rPr>
  </w:style>
  <w:style w:type="paragraph" w:customStyle="1" w:styleId="Normal-monthyearforcoverpage">
    <w:name w:val="Normal - month/year for cover page"/>
    <w:basedOn w:val="Normal"/>
    <w:next w:val="Normal"/>
    <w:rsid w:val="00A7176A"/>
    <w:rPr>
      <w:color w:val="07478C"/>
      <w:sz w:val="24"/>
      <w:szCs w:val="24"/>
    </w:rPr>
  </w:style>
  <w:style w:type="paragraph" w:customStyle="1" w:styleId="Heading3-notshowingincontentsindocument">
    <w:name w:val="Heading 3 - not showing in contents in document"/>
    <w:basedOn w:val="Normal"/>
    <w:next w:val="Normal"/>
    <w:rsid w:val="00A7176A"/>
    <w:pPr>
      <w:outlineLvl w:val="2"/>
    </w:pPr>
    <w:rPr>
      <w:color w:val="07478C"/>
      <w:sz w:val="26"/>
      <w:szCs w:val="26"/>
    </w:rPr>
  </w:style>
  <w:style w:type="paragraph" w:customStyle="1" w:styleId="subtitleofdocument">
    <w:name w:val="subtitle of document"/>
    <w:basedOn w:val="Normal"/>
    <w:next w:val="Normal"/>
    <w:rsid w:val="00A7176A"/>
    <w:pPr>
      <w:spacing w:before="1000" w:after="1000"/>
      <w:outlineLvl w:val="1"/>
    </w:pPr>
    <w:rPr>
      <w:rFonts w:asciiTheme="majorHAnsi" w:eastAsia="Times New Roman" w:hAnsiTheme="majorHAnsi" w:cs="Times New Roman"/>
      <w:b/>
      <w:bCs/>
      <w:color w:val="07478C"/>
      <w:sz w:val="36"/>
      <w:szCs w:val="20"/>
    </w:rPr>
  </w:style>
  <w:style w:type="paragraph" w:customStyle="1" w:styleId="Tickedboxbulletpoint">
    <w:name w:val="Ticked box bullet point"/>
    <w:basedOn w:val="Bulletlevel1"/>
    <w:qFormat/>
    <w:rsid w:val="0047530F"/>
    <w:pPr>
      <w:numPr>
        <w:numId w:val="16"/>
      </w:numPr>
      <w:spacing w:before="240" w:after="0"/>
      <w:ind w:left="567" w:hanging="567"/>
    </w:pPr>
  </w:style>
  <w:style w:type="paragraph" w:customStyle="1" w:styleId="Checkboxemptybulletpoint">
    <w:name w:val="Check box empty bullet point"/>
    <w:basedOn w:val="Bulletlevel1"/>
    <w:qFormat/>
    <w:rsid w:val="0047530F"/>
    <w:pPr>
      <w:numPr>
        <w:numId w:val="17"/>
      </w:numPr>
      <w:spacing w:after="0"/>
      <w:ind w:left="397" w:hanging="397"/>
    </w:pPr>
  </w:style>
  <w:style w:type="character" w:styleId="FollowedHyperlink">
    <w:name w:val="FollowedHyperlink"/>
    <w:basedOn w:val="DefaultParagraphFont"/>
    <w:uiPriority w:val="99"/>
    <w:semiHidden/>
    <w:unhideWhenUsed/>
    <w:rsid w:val="0087672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B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60"/>
    <w:rPr>
      <w:rFonts w:ascii="Segoe UI" w:hAnsi="Segoe UI" w:cs="Segoe UI"/>
      <w:sz w:val="18"/>
      <w:szCs w:val="18"/>
    </w:rPr>
  </w:style>
  <w:style w:type="paragraph" w:customStyle="1" w:styleId="normalindented">
    <w:name w:val="normal indented"/>
    <w:basedOn w:val="Normal"/>
    <w:qFormat/>
    <w:rsid w:val="00F17D9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pt.gov.au\DFS\Home\ThHall\My%20Documents\Custom%20Office%20Templates\template-sustain-national-relay-service-improve-accessibi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403A-A04E-4A97-BC17-4F06840F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template-sustain-national-relay-service-improve-accessibility.dotx</Template>
  <TotalTime>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Submission—Review of the Part XIB telecommunications anti competitive conduct provisions</vt:lpstr>
    </vt:vector>
  </TitlesOfParts>
  <Company>Department of Communications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Submission—Review of the Part XIB telecommunications anti competitive conduct provisions</dc:title>
  <dc:subject/>
  <dc:creator>Theresa Hall</dc:creator>
  <cp:keywords/>
  <dc:description/>
  <cp:lastModifiedBy>Theresa Hall</cp:lastModifiedBy>
  <cp:revision>2</cp:revision>
  <dcterms:created xsi:type="dcterms:W3CDTF">2016-08-25T01:59:00Z</dcterms:created>
  <dcterms:modified xsi:type="dcterms:W3CDTF">2016-08-25T01:59:00Z</dcterms:modified>
</cp:coreProperties>
</file>