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line style="position:absolute;mso-position-horizontal-relative:page;mso-position-vertical-relative:page;z-index:1168" from="54.119999pt,381.889984pt" to="54.119999pt,409.489984pt" stroked="true" strokeweight=".72pt" strokecolor="#000000">
            <v:stroke dashstyle="solid"/>
            <w10:wrap type="none"/>
          </v:line>
        </w:pict>
      </w:r>
      <w:r>
        <w:rPr/>
        <w:pict>
          <v:line style="position:absolute;mso-position-horizontal-relative:page;mso-position-vertical-relative:page;z-index:1192" from="54.119999pt,570.669983pt" to="54.119999pt,640.149983pt" stroked="true" strokeweight=".72pt" strokecolor="#000000">
            <v:stroke dashstyle="solid"/>
            <w10:wrap type="none"/>
          </v:line>
        </w:pict>
      </w:r>
      <w:r>
        <w:rPr/>
        <w:pict>
          <v:line style="position:absolute;mso-position-horizontal-relative:page;mso-position-vertical-relative:page;z-index:1216" from="54.119999pt,729.935974pt" to="54.119999pt,750.815974pt" stroked="true" strokeweight=".72pt" strokecolor="#000000">
            <v:stroke dashstyle="solid"/>
            <w10:wrap type="none"/>
          </v:line>
        </w:pict>
      </w:r>
    </w:p>
    <w:p>
      <w:pPr>
        <w:pStyle w:val="Heading2"/>
        <w:spacing w:before="211"/>
        <w:ind w:left="2698" w:firstLine="0"/>
        <w:rPr>
          <w:rFonts w:ascii="Times New Roman"/>
        </w:rPr>
      </w:pPr>
      <w:r>
        <w:rPr>
          <w:rFonts w:ascii="Times New Roman"/>
        </w:rPr>
        <w:t>Commonwealth of Australia</w:t>
      </w:r>
    </w:p>
    <w:p>
      <w:pPr>
        <w:pStyle w:val="BodyText"/>
        <w:spacing w:before="3"/>
        <w:rPr>
          <w:b/>
          <w:sz w:val="34"/>
        </w:rPr>
      </w:pPr>
    </w:p>
    <w:p>
      <w:pPr>
        <w:spacing w:before="1"/>
        <w:ind w:left="2833" w:right="0" w:firstLine="0"/>
        <w:jc w:val="left"/>
        <w:rPr>
          <w:i/>
          <w:sz w:val="24"/>
        </w:rPr>
      </w:pPr>
      <w:r>
        <w:rPr>
          <w:i/>
          <w:sz w:val="24"/>
        </w:rPr>
        <w:t>Telecommunications Act 1997</w:t>
      </w:r>
    </w:p>
    <w:p>
      <w:pPr>
        <w:pStyle w:val="BodyText"/>
        <w:rPr>
          <w:i/>
          <w:sz w:val="26"/>
        </w:rPr>
      </w:pPr>
    </w:p>
    <w:p>
      <w:pPr>
        <w:pStyle w:val="BodyText"/>
        <w:rPr>
          <w:i/>
          <w:sz w:val="26"/>
        </w:rPr>
      </w:pPr>
    </w:p>
    <w:p>
      <w:pPr>
        <w:pStyle w:val="BodyText"/>
        <w:spacing w:before="10"/>
        <w:rPr>
          <w:i/>
          <w:sz w:val="28"/>
        </w:rPr>
      </w:pPr>
    </w:p>
    <w:p>
      <w:pPr>
        <w:pStyle w:val="Heading1"/>
        <w:spacing w:line="276" w:lineRule="auto"/>
      </w:pPr>
      <w:r>
        <w:rPr/>
        <w:t>Telecommunications (Network Exemption— Telstra South Brisbane Network)</w:t>
      </w:r>
    </w:p>
    <w:p>
      <w:pPr>
        <w:spacing w:line="276" w:lineRule="auto" w:before="1"/>
        <w:ind w:left="2893" w:right="3829" w:firstLine="0"/>
        <w:jc w:val="center"/>
        <w:rPr>
          <w:rFonts w:ascii="Arial"/>
          <w:b/>
          <w:sz w:val="36"/>
        </w:rPr>
      </w:pPr>
      <w:r>
        <w:rPr>
          <w:rFonts w:ascii="Arial"/>
          <w:b/>
          <w:sz w:val="36"/>
        </w:rPr>
        <w:t>Instrument 2012 as amended</w:t>
      </w:r>
    </w:p>
    <w:p>
      <w:pPr>
        <w:pStyle w:val="BodyText"/>
        <w:rPr>
          <w:rFonts w:ascii="Arial"/>
          <w:b/>
          <w:sz w:val="40"/>
        </w:rPr>
      </w:pPr>
    </w:p>
    <w:p>
      <w:pPr>
        <w:pStyle w:val="BodyText"/>
        <w:spacing w:before="11"/>
        <w:rPr>
          <w:rFonts w:ascii="Arial"/>
          <w:b/>
          <w:sz w:val="43"/>
        </w:rPr>
      </w:pPr>
    </w:p>
    <w:p>
      <w:pPr>
        <w:pStyle w:val="BodyText"/>
        <w:ind w:left="118"/>
        <w:rPr>
          <w:rFonts w:ascii="Arial"/>
        </w:rPr>
      </w:pPr>
      <w:r>
        <w:rPr>
          <w:rFonts w:ascii="Arial"/>
        </w:rPr>
        <w:t>Made under subsection 141A(1) and subsection 144(1) of the</w:t>
      </w:r>
    </w:p>
    <w:p>
      <w:pPr>
        <w:spacing w:before="0"/>
        <w:ind w:left="118" w:right="0" w:firstLine="0"/>
        <w:jc w:val="left"/>
        <w:rPr>
          <w:rFonts w:ascii="Arial"/>
          <w:sz w:val="24"/>
        </w:rPr>
      </w:pPr>
      <w:r>
        <w:rPr>
          <w:rFonts w:ascii="Arial"/>
          <w:i/>
          <w:sz w:val="24"/>
        </w:rPr>
        <w:t>Telecommunications Act 1997</w:t>
      </w:r>
      <w:r>
        <w:rPr>
          <w:rFonts w:ascii="Arial"/>
          <w:sz w:val="24"/>
        </w:rPr>
        <w:t>.</w:t>
      </w:r>
    </w:p>
    <w:p>
      <w:pPr>
        <w:pStyle w:val="BodyText"/>
        <w:rPr>
          <w:rFonts w:ascii="Arial"/>
        </w:rPr>
      </w:pPr>
    </w:p>
    <w:p>
      <w:pPr>
        <w:pStyle w:val="BodyText"/>
        <w:ind w:left="118" w:right="2174"/>
        <w:rPr>
          <w:rFonts w:ascii="Arial"/>
        </w:rPr>
      </w:pPr>
      <w:r>
        <w:rPr/>
        <w:pict>
          <v:rect style="position:absolute;margin-left:272.809998pt;margin-top:12.575859pt;width:3.36pt;height:.84pt;mso-position-horizontal-relative:page;mso-position-vertical-relative:paragraph;z-index:-5896" filled="true" fillcolor="#b5082d" stroked="false">
            <v:fill type="solid"/>
            <w10:wrap type="none"/>
          </v:rect>
        </w:pict>
      </w:r>
      <w:r>
        <w:rPr/>
        <w:pict>
          <v:rect style="position:absolute;margin-left:342.309998pt;margin-top:12.575859pt;width:3.36pt;height:.84pt;mso-position-horizontal-relative:page;mso-position-vertical-relative:paragraph;z-index:-5872" filled="true" fillcolor="#b5082d" stroked="false">
            <v:fill type="solid"/>
            <w10:wrap type="none"/>
          </v:rect>
        </w:pict>
      </w:r>
      <w:r>
        <w:rPr/>
        <w:pict>
          <v:rect style="position:absolute;margin-left:212.690002pt;margin-top:26.37586pt;width:3.36pt;height:.84pt;mso-position-horizontal-relative:page;mso-position-vertical-relative:paragraph;z-index:1096" filled="true" fillcolor="#b5082d" stroked="false">
            <v:fill type="solid"/>
            <w10:wrap type="none"/>
          </v:rect>
        </w:pict>
      </w:r>
      <w:r>
        <w:rPr/>
        <w:pict>
          <v:rect style="position:absolute;margin-left:285.529999pt;margin-top:26.37586pt;width:3.36pt;height:.84pt;mso-position-horizontal-relative:page;mso-position-vertical-relative:paragraph;z-index:1120" filled="true" fillcolor="#b5082d" stroked="false">
            <v:fill type="solid"/>
            <w10:wrap type="none"/>
          </v:rect>
        </w:pict>
      </w:r>
      <w:r>
        <w:rPr>
          <w:rFonts w:ascii="Arial"/>
        </w:rPr>
        <w:t>This compilation was prepared on </w:t>
      </w:r>
      <w:r>
        <w:rPr>
          <w:rFonts w:ascii="Arial"/>
          <w:color w:val="B5082D"/>
        </w:rPr>
        <w:t>[</w:t>
      </w:r>
      <w:r>
        <w:rPr>
          <w:rFonts w:ascii="Arial"/>
        </w:rPr>
        <w:t>7 June 2018</w:t>
      </w:r>
      <w:r>
        <w:rPr>
          <w:rFonts w:ascii="Arial"/>
          <w:color w:val="B5082D"/>
        </w:rPr>
        <w:t>] </w:t>
      </w:r>
      <w:r>
        <w:rPr>
          <w:rFonts w:ascii="Arial"/>
        </w:rPr>
        <w:t>taking into account amendments made on </w:t>
      </w:r>
      <w:r>
        <w:rPr>
          <w:rFonts w:ascii="Arial"/>
          <w:color w:val="B5082D"/>
        </w:rPr>
        <w:t>[</w:t>
      </w:r>
      <w:r>
        <w:rPr>
          <w:rFonts w:ascii="Arial"/>
        </w:rPr>
        <w:t>31 May 2018</w:t>
      </w:r>
      <w:r>
        <w:rPr>
          <w:rFonts w:ascii="Arial"/>
          <w:color w:val="B5082D"/>
        </w:rPr>
        <w:t>]</w:t>
      </w:r>
      <w:r>
        <w:rPr>
          <w:rFonts w:ascii="Arial"/>
        </w:rPr>
        <w:t>.</w:t>
      </w:r>
    </w:p>
    <w:p>
      <w:pPr>
        <w:pStyle w:val="BodyText"/>
        <w:rPr>
          <w:rFonts w:ascii="Arial"/>
          <w:sz w:val="16"/>
        </w:rPr>
      </w:pPr>
    </w:p>
    <w:p>
      <w:pPr>
        <w:pStyle w:val="BodyText"/>
        <w:spacing w:before="92"/>
        <w:ind w:left="118"/>
        <w:rPr>
          <w:rFonts w:ascii="Arial"/>
        </w:rPr>
      </w:pPr>
      <w:r>
        <w:rPr>
          <w:rFonts w:ascii="Arial"/>
        </w:rPr>
        <w:t>Prepared by the Department of Communications and the Arts</w:t>
      </w:r>
    </w:p>
    <w:p>
      <w:pPr>
        <w:pStyle w:val="BodyText"/>
        <w:spacing w:before="7"/>
        <w:rPr>
          <w:rFonts w:ascii="Arial"/>
          <w:sz w:val="19"/>
        </w:rPr>
      </w:pPr>
      <w:r>
        <w:rPr/>
        <w:pict>
          <v:line style="position:absolute;mso-position-horizontal-relative:page;mso-position-vertical-relative:paragraph;z-index:0;mso-wrap-distance-left:0;mso-wrap-distance-right:0" from="102.620003pt,13.515923pt" to="492.620021pt,13.515923pt" stroked="true" strokeweight=".48pt" strokecolor="#000000">
            <v:stroke dashstyle="solid"/>
            <w10:wrap type="topAndBottom"/>
          </v:line>
        </w:pict>
      </w:r>
    </w:p>
    <w:p>
      <w:pPr>
        <w:pStyle w:val="BodyText"/>
        <w:spacing w:before="7"/>
        <w:rPr>
          <w:rFonts w:ascii="Arial"/>
        </w:rPr>
      </w:pPr>
    </w:p>
    <w:p>
      <w:pPr>
        <w:pStyle w:val="Heading2"/>
        <w:numPr>
          <w:ilvl w:val="0"/>
          <w:numId w:val="1"/>
        </w:numPr>
        <w:tabs>
          <w:tab w:pos="619" w:val="left" w:leader="none"/>
          <w:tab w:pos="620" w:val="left" w:leader="none"/>
        </w:tabs>
        <w:spacing w:line="240" w:lineRule="auto" w:before="91" w:after="0"/>
        <w:ind w:left="619" w:right="0" w:hanging="360"/>
        <w:jc w:val="left"/>
      </w:pPr>
      <w:r>
        <w:rPr/>
        <w:t>Name of</w:t>
      </w:r>
      <w:r>
        <w:rPr>
          <w:spacing w:val="-1"/>
        </w:rPr>
        <w:t> </w:t>
      </w:r>
      <w:r>
        <w:rPr/>
        <w:t>Instrument</w:t>
      </w:r>
    </w:p>
    <w:p>
      <w:pPr>
        <w:spacing w:line="261" w:lineRule="auto" w:before="143"/>
        <w:ind w:left="684" w:right="1646" w:firstLine="0"/>
        <w:jc w:val="left"/>
        <w:rPr>
          <w:sz w:val="24"/>
        </w:rPr>
      </w:pPr>
      <w:r>
        <w:rPr>
          <w:sz w:val="24"/>
        </w:rPr>
        <w:t>This Instrument is the </w:t>
      </w:r>
      <w:r>
        <w:rPr>
          <w:i/>
          <w:sz w:val="24"/>
        </w:rPr>
        <w:t>Telecommunications (Network Exemption— Telstra </w:t>
      </w:r>
      <w:r>
        <w:rPr>
          <w:i/>
          <w:sz w:val="24"/>
        </w:rPr>
        <w:t>South Brisbane Network) Instrument 2012</w:t>
      </w:r>
      <w:r>
        <w:rPr>
          <w:sz w:val="24"/>
        </w:rPr>
        <w:t>.</w:t>
      </w:r>
    </w:p>
    <w:p>
      <w:pPr>
        <w:pStyle w:val="BodyText"/>
        <w:spacing w:before="6"/>
        <w:rPr>
          <w:sz w:val="32"/>
        </w:rPr>
      </w:pPr>
    </w:p>
    <w:p>
      <w:pPr>
        <w:pStyle w:val="Heading2"/>
        <w:numPr>
          <w:ilvl w:val="0"/>
          <w:numId w:val="1"/>
        </w:numPr>
        <w:tabs>
          <w:tab w:pos="619" w:val="left" w:leader="none"/>
          <w:tab w:pos="620" w:val="left" w:leader="none"/>
        </w:tabs>
        <w:spacing w:line="240" w:lineRule="auto" w:before="0" w:after="0"/>
        <w:ind w:left="619" w:right="0" w:hanging="360"/>
        <w:jc w:val="left"/>
      </w:pPr>
      <w:r>
        <w:rPr/>
        <w:t>Cessation</w:t>
      </w:r>
    </w:p>
    <w:p>
      <w:pPr>
        <w:pStyle w:val="BodyText"/>
        <w:spacing w:before="11"/>
        <w:rPr>
          <w:rFonts w:ascii="Arial"/>
          <w:b/>
          <w:sz w:val="23"/>
        </w:rPr>
      </w:pPr>
    </w:p>
    <w:p>
      <w:pPr>
        <w:pStyle w:val="BodyText"/>
        <w:ind w:left="619"/>
      </w:pPr>
      <w:r>
        <w:rPr/>
        <w:pict>
          <v:rect style="position:absolute;margin-left:325.850006pt;margin-top:12.523082pt;width:3.384pt;height:.60004pt;mso-position-horizontal-relative:page;mso-position-vertical-relative:paragraph;z-index:1144" filled="true" fillcolor="#b5082d" stroked="false">
            <v:fill type="solid"/>
            <w10:wrap type="none"/>
          </v:rect>
        </w:pict>
      </w:r>
      <w:r>
        <w:rPr/>
        <w:t>This Instrument ceases to have effect on the</w:t>
      </w:r>
      <w:r>
        <w:rPr>
          <w:color w:val="B5082D"/>
        </w:rPr>
        <w:t>:</w:t>
      </w:r>
    </w:p>
    <w:p>
      <w:pPr>
        <w:pStyle w:val="BodyText"/>
        <w:rPr>
          <w:sz w:val="27"/>
        </w:rPr>
      </w:pPr>
    </w:p>
    <w:p>
      <w:pPr>
        <w:pStyle w:val="Heading3"/>
        <w:numPr>
          <w:ilvl w:val="1"/>
          <w:numId w:val="1"/>
        </w:numPr>
        <w:tabs>
          <w:tab w:pos="2343" w:val="left" w:leader="none"/>
          <w:tab w:pos="2344" w:val="left" w:leader="none"/>
        </w:tabs>
        <w:spacing w:line="240" w:lineRule="auto" w:before="89" w:after="0"/>
        <w:ind w:left="2278" w:right="1256" w:hanging="468"/>
        <w:jc w:val="left"/>
      </w:pPr>
      <w:r>
        <w:rPr>
          <w:strike/>
          <w:color w:val="B5082D"/>
        </w:rPr>
        <w:t>designated day</w:t>
      </w:r>
      <w:r>
        <w:rPr>
          <w:strike w:val="0"/>
          <w:color w:val="B5082D"/>
          <w:u w:val="single" w:color="B5082D"/>
        </w:rPr>
        <w:t> subject to subclause (b),</w:t>
      </w:r>
      <w:r>
        <w:rPr>
          <w:strike w:val="0"/>
          <w:color w:val="B5082D"/>
        </w:rPr>
        <w:t> </w:t>
      </w:r>
      <w:r>
        <w:rPr>
          <w:strike w:val="0"/>
          <w:color w:val="B5082D"/>
          <w:u w:val="single" w:color="B5082D"/>
        </w:rPr>
        <w:t>the day which</w:t>
      </w:r>
      <w:r>
        <w:rPr>
          <w:strike w:val="0"/>
          <w:color w:val="B5082D"/>
          <w:spacing w:val="-22"/>
          <w:u w:val="single" w:color="B5082D"/>
        </w:rPr>
        <w:t> </w:t>
      </w:r>
      <w:r>
        <w:rPr>
          <w:strike w:val="0"/>
          <w:color w:val="B5082D"/>
          <w:u w:val="single" w:color="B5082D"/>
        </w:rPr>
        <w:t>is 90 days after the </w:t>
      </w:r>
      <w:r>
        <w:rPr>
          <w:strike w:val="0"/>
          <w:color w:val="C00000"/>
          <w:u w:val="single" w:color="B5082D"/>
        </w:rPr>
        <w:t>customer transition</w:t>
      </w:r>
      <w:r>
        <w:rPr>
          <w:strike w:val="0"/>
          <w:color w:val="B5082D"/>
          <w:u w:val="single" w:color="B5082D"/>
        </w:rPr>
        <w:t> completion date;</w:t>
      </w:r>
      <w:r>
        <w:rPr>
          <w:strike w:val="0"/>
          <w:color w:val="B5082D"/>
          <w:spacing w:val="-18"/>
          <w:u w:val="single" w:color="B5082D"/>
        </w:rPr>
        <w:t> </w:t>
      </w:r>
      <w:r>
        <w:rPr>
          <w:strike w:val="0"/>
          <w:color w:val="B5082D"/>
          <w:u w:val="single" w:color="B5082D"/>
        </w:rPr>
        <w:t>or</w:t>
      </w:r>
    </w:p>
    <w:p>
      <w:pPr>
        <w:spacing w:before="119"/>
        <w:ind w:left="2098" w:right="1291" w:firstLine="0"/>
        <w:jc w:val="left"/>
        <w:rPr>
          <w:i/>
          <w:sz w:val="26"/>
        </w:rPr>
      </w:pPr>
      <w:r>
        <w:rPr>
          <w:sz w:val="26"/>
        </w:rPr>
        <w:t>[</w:t>
      </w:r>
      <w:r>
        <w:rPr>
          <w:i/>
          <w:sz w:val="26"/>
        </w:rPr>
        <w:t>explanatory note of proposed Telstra change</w:t>
      </w:r>
      <w:r>
        <w:rPr>
          <w:sz w:val="26"/>
        </w:rPr>
        <w:t>: </w:t>
      </w:r>
      <w:r>
        <w:rPr>
          <w:i/>
          <w:sz w:val="26"/>
        </w:rPr>
        <w:t>if Telstra is </w:t>
      </w:r>
      <w:r>
        <w:rPr>
          <w:i/>
          <w:sz w:val="26"/>
        </w:rPr>
        <w:t>able to complete a sale of the networks, a short ‘run-on’ period after completion of transition from the Telstra systems to the new owner’s systems will enable a winding down of the Telstra involvement in the running of the network, including to resolve any ‘in-flight’ orders and other edge cases.]</w:t>
      </w:r>
    </w:p>
    <w:p>
      <w:pPr>
        <w:spacing w:after="0"/>
        <w:jc w:val="left"/>
        <w:rPr>
          <w:sz w:val="26"/>
        </w:rPr>
        <w:sectPr>
          <w:type w:val="continuous"/>
          <w:pgSz w:w="11910" w:h="16840"/>
          <w:pgMar w:top="1580" w:bottom="280" w:left="1680" w:right="740"/>
        </w:sectPr>
      </w:pPr>
    </w:p>
    <w:p>
      <w:pPr>
        <w:pStyle w:val="BodyText"/>
        <w:spacing w:before="1"/>
        <w:rPr>
          <w:i/>
          <w:sz w:val="12"/>
        </w:rPr>
      </w:pPr>
      <w:r>
        <w:rPr/>
        <w:pict>
          <v:line style="position:absolute;mso-position-horizontal-relative:page;mso-position-vertical-relative:page;z-index:1240" from="54.119999pt,91.219986pt" to="54.119999pt,127.099986pt" stroked="true" strokeweight=".72pt" strokecolor="#000000">
            <v:stroke dashstyle="solid"/>
            <w10:wrap type="none"/>
          </v:line>
        </w:pict>
      </w:r>
      <w:r>
        <w:rPr/>
        <w:pict>
          <v:line style="position:absolute;mso-position-horizontal-relative:page;mso-position-vertical-relative:page;z-index:1264" from="54.119999pt,155.899979pt" to="54.119999pt,190.339979pt" stroked="true" strokeweight=".72pt" strokecolor="#000000">
            <v:stroke dashstyle="solid"/>
            <w10:wrap type="none"/>
          </v:line>
        </w:pict>
      </w:r>
      <w:r>
        <w:rPr/>
        <w:pict>
          <v:line style="position:absolute;mso-position-horizontal-relative:page;mso-position-vertical-relative:page;z-index:1288" from="54.119999pt,713.255981pt" to="54.119999pt,760.655981pt" stroked="true" strokeweight=".72pt" strokecolor="#000000">
            <v:stroke dashstyle="solid"/>
            <w10:wrap type="none"/>
          </v:line>
        </w:pict>
      </w:r>
    </w:p>
    <w:p>
      <w:pPr>
        <w:pStyle w:val="Heading3"/>
        <w:numPr>
          <w:ilvl w:val="1"/>
          <w:numId w:val="1"/>
        </w:numPr>
        <w:tabs>
          <w:tab w:pos="2279" w:val="left" w:leader="none"/>
        </w:tabs>
        <w:spacing w:line="240" w:lineRule="auto" w:before="89" w:after="0"/>
        <w:ind w:left="2278" w:right="1475" w:hanging="483"/>
        <w:jc w:val="left"/>
      </w:pPr>
      <w:r>
        <w:rPr>
          <w:color w:val="B5082D"/>
          <w:u w:val="single" w:color="B5082D"/>
        </w:rPr>
        <w:t>1 July 2023</w:t>
      </w:r>
      <w:r>
        <w:rPr/>
        <w:t>,</w:t>
      </w:r>
      <w:r>
        <w:rPr>
          <w:color w:val="B5082D"/>
          <w:u w:val="single" w:color="B5082D"/>
        </w:rPr>
        <w:t> if Telstra owns the Telstra South Brisbane Network</w:t>
      </w:r>
      <w:r>
        <w:rPr>
          <w:color w:val="B5082D"/>
        </w:rPr>
        <w:t> </w:t>
      </w:r>
      <w:r>
        <w:rPr>
          <w:color w:val="B5082D"/>
          <w:u w:val="single" w:color="B5082D"/>
        </w:rPr>
        <w:t>at that</w:t>
      </w:r>
      <w:r>
        <w:rPr>
          <w:color w:val="B5082D"/>
          <w:spacing w:val="-8"/>
          <w:u w:val="single" w:color="B5082D"/>
        </w:rPr>
        <w:t> </w:t>
      </w:r>
      <w:r>
        <w:rPr>
          <w:color w:val="B5082D"/>
          <w:u w:val="single" w:color="B5082D"/>
        </w:rPr>
        <w:t>date.</w:t>
      </w:r>
    </w:p>
    <w:p>
      <w:pPr>
        <w:pStyle w:val="BodyText"/>
        <w:rPr>
          <w:sz w:val="20"/>
        </w:rPr>
      </w:pPr>
    </w:p>
    <w:p>
      <w:pPr>
        <w:pStyle w:val="BodyText"/>
        <w:rPr>
          <w:sz w:val="20"/>
        </w:rPr>
      </w:pPr>
    </w:p>
    <w:p>
      <w:pPr>
        <w:pStyle w:val="BodyText"/>
        <w:spacing w:before="1"/>
        <w:rPr>
          <w:sz w:val="20"/>
        </w:rPr>
      </w:pPr>
    </w:p>
    <w:p>
      <w:pPr>
        <w:tabs>
          <w:tab w:pos="1557" w:val="left" w:leader="none"/>
        </w:tabs>
        <w:spacing w:before="1"/>
        <w:ind w:left="619" w:right="0" w:firstLine="0"/>
        <w:jc w:val="left"/>
        <w:rPr>
          <w:sz w:val="20"/>
        </w:rPr>
      </w:pPr>
      <w:r>
        <w:rPr>
          <w:b/>
          <w:i/>
          <w:sz w:val="20"/>
        </w:rPr>
        <w:t>Note</w:t>
      </w:r>
      <w:r>
        <w:rPr>
          <w:b/>
          <w:i/>
          <w:spacing w:val="-1"/>
          <w:sz w:val="20"/>
        </w:rPr>
        <w:t> </w:t>
      </w:r>
      <w:r>
        <w:rPr>
          <w:b/>
          <w:i/>
          <w:strike/>
          <w:color w:val="B5082D"/>
          <w:sz w:val="20"/>
        </w:rPr>
        <w:t>1</w:t>
      </w:r>
      <w:r>
        <w:rPr>
          <w:b/>
          <w:i/>
          <w:strike w:val="0"/>
          <w:color w:val="B5082D"/>
          <w:sz w:val="20"/>
        </w:rPr>
        <w:tab/>
      </w:r>
      <w:r>
        <w:rPr>
          <w:strike w:val="0"/>
          <w:sz w:val="20"/>
        </w:rPr>
        <w:t>This instrument commenced on 12 April 2012</w:t>
      </w:r>
    </w:p>
    <w:p>
      <w:pPr>
        <w:tabs>
          <w:tab w:pos="1557" w:val="left" w:leader="none"/>
        </w:tabs>
        <w:spacing w:before="0"/>
        <w:ind w:left="1558" w:right="1374" w:hanging="939"/>
        <w:jc w:val="left"/>
        <w:rPr>
          <w:sz w:val="20"/>
        </w:rPr>
      </w:pPr>
      <w:r>
        <w:rPr>
          <w:b/>
          <w:i/>
          <w:strike/>
          <w:color w:val="B5082D"/>
          <w:sz w:val="20"/>
        </w:rPr>
        <w:t>Note</w:t>
      </w:r>
      <w:r>
        <w:rPr>
          <w:b/>
          <w:i/>
          <w:strike/>
          <w:color w:val="B5082D"/>
          <w:spacing w:val="-1"/>
          <w:sz w:val="20"/>
        </w:rPr>
        <w:t> </w:t>
      </w:r>
      <w:r>
        <w:rPr>
          <w:b/>
          <w:i/>
          <w:strike/>
          <w:color w:val="B5082D"/>
          <w:sz w:val="20"/>
        </w:rPr>
        <w:t>2</w:t>
      </w:r>
      <w:r>
        <w:rPr>
          <w:b/>
          <w:i/>
          <w:strike w:val="0"/>
          <w:color w:val="B5082D"/>
          <w:sz w:val="20"/>
        </w:rPr>
        <w:tab/>
      </w:r>
      <w:r>
        <w:rPr>
          <w:strike/>
          <w:color w:val="B5082D"/>
          <w:sz w:val="20"/>
        </w:rPr>
        <w:t>The 'designated day' is 1 January 2020, as specified by the Minister by instrument</w:t>
      </w:r>
      <w:r>
        <w:rPr>
          <w:strike w:val="0"/>
          <w:color w:val="B5082D"/>
          <w:sz w:val="20"/>
        </w:rPr>
        <w:t> </w:t>
      </w:r>
      <w:r>
        <w:rPr>
          <w:strike/>
          <w:color w:val="B5082D"/>
          <w:sz w:val="20"/>
        </w:rPr>
        <w:t>under paragraph 577A(10)(b) of the Telecommunications Act</w:t>
      </w:r>
      <w:r>
        <w:rPr>
          <w:strike/>
          <w:color w:val="B5082D"/>
          <w:spacing w:val="-4"/>
          <w:sz w:val="20"/>
        </w:rPr>
        <w:t> </w:t>
      </w:r>
      <w:r>
        <w:rPr>
          <w:strike/>
          <w:color w:val="B5082D"/>
          <w:sz w:val="20"/>
        </w:rPr>
        <w:t>1997.</w:t>
      </w:r>
    </w:p>
    <w:p>
      <w:pPr>
        <w:pStyle w:val="BodyText"/>
        <w:rPr>
          <w:sz w:val="20"/>
        </w:rPr>
      </w:pPr>
    </w:p>
    <w:p>
      <w:pPr>
        <w:pStyle w:val="BodyText"/>
        <w:spacing w:before="1"/>
        <w:rPr>
          <w:sz w:val="27"/>
        </w:rPr>
      </w:pPr>
    </w:p>
    <w:p>
      <w:pPr>
        <w:pStyle w:val="Heading2"/>
        <w:numPr>
          <w:ilvl w:val="0"/>
          <w:numId w:val="1"/>
        </w:numPr>
        <w:tabs>
          <w:tab w:pos="619" w:val="left" w:leader="none"/>
          <w:tab w:pos="620" w:val="left" w:leader="none"/>
        </w:tabs>
        <w:spacing w:line="240" w:lineRule="auto" w:before="91" w:after="0"/>
        <w:ind w:left="619" w:right="0" w:hanging="360"/>
        <w:jc w:val="left"/>
      </w:pPr>
      <w:r>
        <w:rPr/>
        <w:t>Definitions</w:t>
      </w:r>
    </w:p>
    <w:p>
      <w:pPr>
        <w:pStyle w:val="BodyText"/>
        <w:spacing w:before="11"/>
        <w:rPr>
          <w:rFonts w:ascii="Arial"/>
          <w:b/>
          <w:sz w:val="23"/>
        </w:rPr>
      </w:pPr>
    </w:p>
    <w:p>
      <w:pPr>
        <w:pStyle w:val="BodyText"/>
        <w:ind w:left="619"/>
      </w:pPr>
      <w:r>
        <w:rPr/>
        <w:t>In this Instrument:</w:t>
      </w:r>
    </w:p>
    <w:p>
      <w:pPr>
        <w:spacing w:before="120"/>
        <w:ind w:left="970" w:right="0" w:firstLine="0"/>
        <w:jc w:val="left"/>
        <w:rPr>
          <w:sz w:val="24"/>
        </w:rPr>
      </w:pPr>
      <w:r>
        <w:rPr>
          <w:b/>
          <w:i/>
          <w:sz w:val="24"/>
        </w:rPr>
        <w:t>Act </w:t>
      </w:r>
      <w:r>
        <w:rPr>
          <w:sz w:val="24"/>
        </w:rPr>
        <w:t>means the </w:t>
      </w:r>
      <w:r>
        <w:rPr>
          <w:i/>
          <w:sz w:val="24"/>
        </w:rPr>
        <w:t>Telecommunications Act 1997</w:t>
      </w:r>
      <w:r>
        <w:rPr>
          <w:sz w:val="24"/>
        </w:rPr>
        <w:t>.</w:t>
      </w:r>
    </w:p>
    <w:p>
      <w:pPr>
        <w:spacing w:before="120"/>
        <w:ind w:left="970" w:right="1308" w:firstLine="0"/>
        <w:jc w:val="left"/>
        <w:rPr>
          <w:sz w:val="24"/>
        </w:rPr>
      </w:pPr>
      <w:r>
        <w:rPr>
          <w:b/>
          <w:i/>
          <w:sz w:val="24"/>
        </w:rPr>
        <w:t>access seeker </w:t>
      </w:r>
      <w:r>
        <w:rPr>
          <w:sz w:val="24"/>
        </w:rPr>
        <w:t>has the same meaning as in Part XIC of the </w:t>
      </w:r>
      <w:r>
        <w:rPr>
          <w:i/>
          <w:sz w:val="24"/>
        </w:rPr>
        <w:t>Competition and </w:t>
      </w:r>
      <w:r>
        <w:rPr>
          <w:i/>
          <w:sz w:val="24"/>
        </w:rPr>
        <w:t>Consumer Act 2010</w:t>
      </w:r>
      <w:r>
        <w:rPr>
          <w:sz w:val="24"/>
        </w:rPr>
        <w:t>.</w:t>
      </w:r>
    </w:p>
    <w:p>
      <w:pPr>
        <w:spacing w:before="120"/>
        <w:ind w:left="970" w:right="1041" w:firstLine="0"/>
        <w:jc w:val="left"/>
        <w:rPr>
          <w:sz w:val="24"/>
        </w:rPr>
      </w:pPr>
      <w:r>
        <w:rPr>
          <w:b/>
          <w:i/>
          <w:sz w:val="24"/>
        </w:rPr>
        <w:t>declared service </w:t>
      </w:r>
      <w:r>
        <w:rPr>
          <w:sz w:val="24"/>
        </w:rPr>
        <w:t>has the same meaning as in Part XIC of the </w:t>
      </w:r>
      <w:r>
        <w:rPr>
          <w:i/>
          <w:sz w:val="24"/>
        </w:rPr>
        <w:t>Competition and </w:t>
      </w:r>
      <w:r>
        <w:rPr>
          <w:i/>
          <w:sz w:val="24"/>
        </w:rPr>
        <w:t>Consumer Act 2010</w:t>
      </w:r>
      <w:r>
        <w:rPr>
          <w:sz w:val="24"/>
        </w:rPr>
        <w:t>.</w:t>
      </w:r>
    </w:p>
    <w:p>
      <w:pPr>
        <w:spacing w:before="120"/>
        <w:ind w:left="970" w:right="0" w:firstLine="0"/>
        <w:jc w:val="left"/>
        <w:rPr>
          <w:sz w:val="24"/>
        </w:rPr>
      </w:pPr>
      <w:r>
        <w:rPr>
          <w:b/>
          <w:i/>
          <w:sz w:val="24"/>
        </w:rPr>
        <w:t>Fibre Access Broadband Service </w:t>
      </w:r>
      <w:r>
        <w:rPr>
          <w:sz w:val="24"/>
        </w:rPr>
        <w:t>means a carriage service that:</w:t>
      </w:r>
    </w:p>
    <w:p>
      <w:pPr>
        <w:pStyle w:val="ListParagraph"/>
        <w:numPr>
          <w:ilvl w:val="1"/>
          <w:numId w:val="1"/>
        </w:numPr>
        <w:tabs>
          <w:tab w:pos="2279" w:val="left" w:leader="none"/>
        </w:tabs>
        <w:spacing w:line="240" w:lineRule="auto" w:before="120" w:after="0"/>
        <w:ind w:left="2278" w:right="0" w:hanging="447"/>
        <w:jc w:val="left"/>
        <w:rPr>
          <w:sz w:val="24"/>
        </w:rPr>
      </w:pPr>
      <w:r>
        <w:rPr>
          <w:sz w:val="24"/>
        </w:rPr>
        <w:t>is offered to be supplied on a wholesale</w:t>
      </w:r>
      <w:r>
        <w:rPr>
          <w:spacing w:val="-6"/>
          <w:sz w:val="24"/>
        </w:rPr>
        <w:t> </w:t>
      </w:r>
      <w:r>
        <w:rPr>
          <w:sz w:val="24"/>
        </w:rPr>
        <w:t>basis;</w:t>
      </w:r>
    </w:p>
    <w:p>
      <w:pPr>
        <w:pStyle w:val="ListParagraph"/>
        <w:numPr>
          <w:ilvl w:val="1"/>
          <w:numId w:val="1"/>
        </w:numPr>
        <w:tabs>
          <w:tab w:pos="2279" w:val="left" w:leader="none"/>
        </w:tabs>
        <w:spacing w:line="240" w:lineRule="auto" w:before="120" w:after="0"/>
        <w:ind w:left="2278" w:right="0" w:hanging="461"/>
        <w:jc w:val="left"/>
        <w:rPr>
          <w:sz w:val="24"/>
        </w:rPr>
      </w:pPr>
      <w:r>
        <w:rPr>
          <w:sz w:val="24"/>
        </w:rPr>
        <w:t>is supplied by means of an optical fibre line;</w:t>
      </w:r>
      <w:r>
        <w:rPr>
          <w:spacing w:val="-5"/>
          <w:sz w:val="24"/>
        </w:rPr>
        <w:t> </w:t>
      </w:r>
      <w:r>
        <w:rPr>
          <w:sz w:val="24"/>
        </w:rPr>
        <w:t>and</w:t>
      </w:r>
    </w:p>
    <w:p>
      <w:pPr>
        <w:pStyle w:val="ListParagraph"/>
        <w:numPr>
          <w:ilvl w:val="1"/>
          <w:numId w:val="1"/>
        </w:numPr>
        <w:tabs>
          <w:tab w:pos="2279" w:val="left" w:leader="none"/>
        </w:tabs>
        <w:spacing w:line="240" w:lineRule="auto" w:before="121" w:after="0"/>
        <w:ind w:left="2278" w:right="1513" w:hanging="447"/>
        <w:jc w:val="left"/>
        <w:rPr>
          <w:sz w:val="24"/>
        </w:rPr>
      </w:pPr>
      <w:r>
        <w:rPr>
          <w:sz w:val="24"/>
        </w:rPr>
        <w:t>is offered to be supplied at each of the following maximum transmission</w:t>
      </w:r>
      <w:r>
        <w:rPr>
          <w:spacing w:val="-1"/>
          <w:sz w:val="24"/>
        </w:rPr>
        <w:t> </w:t>
      </w:r>
      <w:r>
        <w:rPr>
          <w:sz w:val="24"/>
        </w:rPr>
        <w:t>speeds:</w:t>
      </w:r>
    </w:p>
    <w:p>
      <w:pPr>
        <w:pStyle w:val="ListParagraph"/>
        <w:numPr>
          <w:ilvl w:val="2"/>
          <w:numId w:val="1"/>
        </w:numPr>
        <w:tabs>
          <w:tab w:pos="2999" w:val="left" w:leader="none"/>
        </w:tabs>
        <w:spacing w:line="240" w:lineRule="auto" w:before="120" w:after="0"/>
        <w:ind w:left="2998" w:right="1552" w:hanging="360"/>
        <w:jc w:val="left"/>
        <w:rPr>
          <w:sz w:val="24"/>
        </w:rPr>
      </w:pPr>
      <w:r>
        <w:rPr>
          <w:sz w:val="24"/>
        </w:rPr>
        <w:t>download transmission speed of 8Mbps and upload transmission speed of</w:t>
      </w:r>
      <w:r>
        <w:rPr>
          <w:spacing w:val="-1"/>
          <w:sz w:val="24"/>
        </w:rPr>
        <w:t> </w:t>
      </w:r>
      <w:r>
        <w:rPr>
          <w:sz w:val="24"/>
        </w:rPr>
        <w:t>384kbps;</w:t>
      </w:r>
    </w:p>
    <w:p>
      <w:pPr>
        <w:pStyle w:val="ListParagraph"/>
        <w:numPr>
          <w:ilvl w:val="2"/>
          <w:numId w:val="1"/>
        </w:numPr>
        <w:tabs>
          <w:tab w:pos="2999" w:val="left" w:leader="none"/>
        </w:tabs>
        <w:spacing w:line="240" w:lineRule="auto" w:before="118" w:after="0"/>
        <w:ind w:left="2998" w:right="1433" w:hanging="360"/>
        <w:jc w:val="left"/>
        <w:rPr>
          <w:sz w:val="24"/>
        </w:rPr>
      </w:pPr>
      <w:r>
        <w:rPr>
          <w:sz w:val="24"/>
        </w:rPr>
        <w:t>download transmission speed of 30Mbps and upload transmission speed of</w:t>
      </w:r>
      <w:r>
        <w:rPr>
          <w:spacing w:val="-1"/>
          <w:sz w:val="24"/>
        </w:rPr>
        <w:t> </w:t>
      </w:r>
      <w:r>
        <w:rPr>
          <w:sz w:val="24"/>
        </w:rPr>
        <w:t>1Mbps;</w:t>
      </w:r>
    </w:p>
    <w:p>
      <w:pPr>
        <w:pStyle w:val="ListParagraph"/>
        <w:numPr>
          <w:ilvl w:val="2"/>
          <w:numId w:val="1"/>
        </w:numPr>
        <w:tabs>
          <w:tab w:pos="3059" w:val="left" w:leader="none"/>
        </w:tabs>
        <w:spacing w:line="240" w:lineRule="auto" w:before="120" w:after="0"/>
        <w:ind w:left="2998" w:right="1253" w:hanging="360"/>
        <w:jc w:val="left"/>
        <w:rPr>
          <w:sz w:val="24"/>
        </w:rPr>
      </w:pPr>
      <w:r>
        <w:rPr>
          <w:sz w:val="24"/>
        </w:rPr>
        <w:t>download transmission speed of 100Mbps and upload transmission speed of 5Mbps;</w:t>
      </w:r>
      <w:r>
        <w:rPr>
          <w:spacing w:val="-2"/>
          <w:sz w:val="24"/>
        </w:rPr>
        <w:t> </w:t>
      </w:r>
      <w:r>
        <w:rPr>
          <w:sz w:val="24"/>
        </w:rPr>
        <w:t>and</w:t>
      </w:r>
    </w:p>
    <w:p>
      <w:pPr>
        <w:pStyle w:val="ListParagraph"/>
        <w:numPr>
          <w:ilvl w:val="1"/>
          <w:numId w:val="1"/>
        </w:numPr>
        <w:tabs>
          <w:tab w:pos="2279" w:val="left" w:leader="none"/>
        </w:tabs>
        <w:spacing w:line="240" w:lineRule="auto" w:before="120" w:after="0"/>
        <w:ind w:left="2278" w:right="0" w:hanging="461"/>
        <w:jc w:val="left"/>
        <w:rPr>
          <w:sz w:val="24"/>
        </w:rPr>
      </w:pPr>
      <w:r>
        <w:rPr>
          <w:sz w:val="24"/>
        </w:rPr>
        <w:t>has the following</w:t>
      </w:r>
      <w:r>
        <w:rPr>
          <w:spacing w:val="-2"/>
          <w:sz w:val="24"/>
        </w:rPr>
        <w:t> </w:t>
      </w:r>
      <w:r>
        <w:rPr>
          <w:sz w:val="24"/>
        </w:rPr>
        <w:t>configurations:</w:t>
      </w:r>
    </w:p>
    <w:p>
      <w:pPr>
        <w:pStyle w:val="ListParagraph"/>
        <w:numPr>
          <w:ilvl w:val="2"/>
          <w:numId w:val="1"/>
        </w:numPr>
        <w:tabs>
          <w:tab w:pos="2999" w:val="left" w:leader="none"/>
        </w:tabs>
        <w:spacing w:line="240" w:lineRule="auto" w:before="120" w:after="0"/>
        <w:ind w:left="2998" w:right="1154" w:hanging="360"/>
        <w:jc w:val="left"/>
        <w:rPr>
          <w:sz w:val="24"/>
        </w:rPr>
      </w:pPr>
      <w:r>
        <w:rPr>
          <w:sz w:val="24"/>
        </w:rPr>
        <w:t>a ‘best effort’ or non-prioritised service, as characterised by the Differentiated Services Code Point Default Forwarding per-hop behaviour;</w:t>
      </w:r>
      <w:r>
        <w:rPr>
          <w:spacing w:val="-2"/>
          <w:sz w:val="24"/>
        </w:rPr>
        <w:t> </w:t>
      </w:r>
      <w:r>
        <w:rPr>
          <w:sz w:val="24"/>
        </w:rPr>
        <w:t>and</w:t>
      </w:r>
    </w:p>
    <w:p>
      <w:pPr>
        <w:pStyle w:val="ListParagraph"/>
        <w:numPr>
          <w:ilvl w:val="2"/>
          <w:numId w:val="1"/>
        </w:numPr>
        <w:tabs>
          <w:tab w:pos="2999" w:val="left" w:leader="none"/>
        </w:tabs>
        <w:spacing w:line="240" w:lineRule="auto" w:before="120" w:after="0"/>
        <w:ind w:left="2998" w:right="1288" w:hanging="360"/>
        <w:jc w:val="left"/>
        <w:rPr>
          <w:sz w:val="24"/>
        </w:rPr>
      </w:pPr>
      <w:r>
        <w:rPr>
          <w:sz w:val="24"/>
        </w:rPr>
        <w:t>connectivity made with static Layer 2 Tunnelling Protocol (L2TP) tunnels and Broadband Virtual Local Area Networks giving direct access to end user sessions;</w:t>
      </w:r>
      <w:r>
        <w:rPr>
          <w:spacing w:val="-1"/>
          <w:sz w:val="24"/>
        </w:rPr>
        <w:t> </w:t>
      </w:r>
      <w:r>
        <w:rPr>
          <w:sz w:val="24"/>
        </w:rPr>
        <w:t>and</w:t>
      </w:r>
    </w:p>
    <w:p>
      <w:pPr>
        <w:pStyle w:val="ListParagraph"/>
        <w:numPr>
          <w:ilvl w:val="2"/>
          <w:numId w:val="1"/>
        </w:numPr>
        <w:tabs>
          <w:tab w:pos="3059" w:val="left" w:leader="none"/>
        </w:tabs>
        <w:spacing w:line="240" w:lineRule="auto" w:before="120" w:after="0"/>
        <w:ind w:left="2998" w:right="1113" w:hanging="360"/>
        <w:jc w:val="left"/>
        <w:rPr>
          <w:sz w:val="24"/>
        </w:rPr>
      </w:pPr>
      <w:r>
        <w:rPr>
          <w:sz w:val="24"/>
        </w:rPr>
        <w:t>end-user sessions are aggregated together in the Telstra network via static L2TP tunnels supplied over</w:t>
      </w:r>
      <w:r>
        <w:rPr>
          <w:spacing w:val="-11"/>
          <w:sz w:val="24"/>
        </w:rPr>
        <w:t> </w:t>
      </w:r>
      <w:r>
        <w:rPr>
          <w:sz w:val="24"/>
        </w:rPr>
        <w:t>Ethernet.</w:t>
      </w:r>
    </w:p>
    <w:p>
      <w:pPr>
        <w:pStyle w:val="BodyText"/>
        <w:tabs>
          <w:tab w:pos="5158" w:val="left" w:leader="none"/>
        </w:tabs>
        <w:spacing w:before="121"/>
        <w:ind w:left="970" w:right="1224"/>
      </w:pPr>
      <w:r>
        <w:rPr>
          <w:b/>
          <w:i/>
          <w:color w:val="C00000"/>
          <w:u w:val="thick" w:color="C00000"/>
        </w:rPr>
        <w:t>customer transition</w:t>
      </w:r>
      <w:r>
        <w:rPr>
          <w:b/>
          <w:i/>
          <w:color w:val="B5082D"/>
          <w:spacing w:val="-4"/>
          <w:u w:val="thick" w:color="C00000"/>
        </w:rPr>
        <w:t> </w:t>
      </w:r>
      <w:r>
        <w:rPr>
          <w:b/>
          <w:i/>
          <w:color w:val="B5082D"/>
          <w:u w:val="thick" w:color="C00000"/>
        </w:rPr>
        <w:t>completion</w:t>
      </w:r>
      <w:r>
        <w:rPr>
          <w:b/>
          <w:i/>
          <w:color w:val="B5082D"/>
          <w:spacing w:val="-1"/>
          <w:u w:val="thick" w:color="C00000"/>
        </w:rPr>
        <w:t> </w:t>
      </w:r>
      <w:r>
        <w:rPr>
          <w:b/>
          <w:i/>
          <w:color w:val="B5082D"/>
          <w:u w:val="thick" w:color="C00000"/>
        </w:rPr>
        <w:t>date</w:t>
      </w:r>
      <w:r>
        <w:rPr>
          <w:b/>
          <w:i/>
          <w:color w:val="B5082D"/>
        </w:rPr>
        <w:tab/>
      </w:r>
      <w:r>
        <w:rPr>
          <w:color w:val="B5082D"/>
          <w:u w:val="single" w:color="B5082D"/>
        </w:rPr>
        <w:t>means the date by which Telstra</w:t>
      </w:r>
      <w:r>
        <w:rPr>
          <w:color w:val="B5082D"/>
        </w:rPr>
        <w:t> </w:t>
      </w:r>
      <w:r>
        <w:rPr>
          <w:color w:val="B5082D"/>
          <w:u w:val="single" w:color="B5082D"/>
        </w:rPr>
        <w:t>complete</w:t>
      </w:r>
      <w:r>
        <w:rPr>
          <w:color w:val="C00000"/>
          <w:u w:val="single" w:color="B5082D"/>
        </w:rPr>
        <w:t>s</w:t>
      </w:r>
      <w:r>
        <w:rPr>
          <w:color w:val="B5082D"/>
          <w:u w:val="single" w:color="B5082D"/>
        </w:rPr>
        <w:t> disconnection of all Telstra-Equipped Services supplied to</w:t>
      </w:r>
      <w:r>
        <w:rPr>
          <w:color w:val="B5082D"/>
        </w:rPr>
        <w:t> </w:t>
      </w:r>
      <w:r>
        <w:rPr>
          <w:color w:val="B5082D"/>
          <w:u w:val="single" w:color="B5082D"/>
        </w:rPr>
        <w:t>premises connected to the Telstra South Brisbane</w:t>
      </w:r>
      <w:r>
        <w:rPr>
          <w:color w:val="B5082D"/>
          <w:spacing w:val="-5"/>
          <w:u w:val="single" w:color="B5082D"/>
        </w:rPr>
        <w:t> </w:t>
      </w:r>
      <w:r>
        <w:rPr>
          <w:color w:val="B5082D"/>
          <w:u w:val="single" w:color="B5082D"/>
        </w:rPr>
        <w:t>Network.</w:t>
      </w:r>
    </w:p>
    <w:p>
      <w:pPr>
        <w:spacing w:after="0"/>
        <w:sectPr>
          <w:headerReference w:type="default" r:id="rId5"/>
          <w:footerReference w:type="default" r:id="rId6"/>
          <w:pgSz w:w="11910" w:h="16840"/>
          <w:pgMar w:header="729" w:footer="1061" w:top="1580" w:bottom="1260" w:left="1680" w:right="740"/>
          <w:pgNumType w:start="2"/>
        </w:sectPr>
      </w:pPr>
    </w:p>
    <w:p>
      <w:pPr>
        <w:pStyle w:val="BodyText"/>
        <w:spacing w:before="8"/>
        <w:rPr>
          <w:sz w:val="11"/>
        </w:rPr>
      </w:pPr>
      <w:r>
        <w:rPr/>
        <w:pict>
          <v:line style="position:absolute;mso-position-horizontal-relative:page;mso-position-vertical-relative:page;z-index:1312" from="54.119999pt,91.219986pt" to="54.119999pt,152.419986pt" stroked="true" strokeweight=".72pt" strokecolor="#000000">
            <v:stroke dashstyle="solid"/>
            <w10:wrap type="none"/>
          </v:line>
        </w:pict>
      </w:r>
      <w:r>
        <w:rPr/>
        <w:pict>
          <v:line style="position:absolute;mso-position-horizontal-relative:page;mso-position-vertical-relative:page;z-index:1336" from="54.119999pt,345.649994pt" to="54.119999pt,365.449994pt" stroked="true" strokeweight=".72pt" strokecolor="#000000">
            <v:stroke dashstyle="solid"/>
            <w10:wrap type="none"/>
          </v:line>
        </w:pict>
      </w:r>
      <w:r>
        <w:rPr/>
        <w:pict>
          <v:line style="position:absolute;mso-position-horizontal-relative:page;mso-position-vertical-relative:page;z-index:1360" from="54.119999pt,418.849976pt" to="54.119999pt,452.449976pt" stroked="true" strokeweight=".72pt" strokecolor="#000000">
            <v:stroke dashstyle="solid"/>
            <w10:wrap type="none"/>
          </v:line>
        </w:pict>
      </w:r>
    </w:p>
    <w:p>
      <w:pPr>
        <w:pStyle w:val="BodyText"/>
        <w:spacing w:before="90"/>
        <w:ind w:left="970" w:right="1128"/>
      </w:pPr>
      <w:r>
        <w:rPr>
          <w:b/>
          <w:i/>
          <w:color w:val="B5082D"/>
          <w:u w:val="single" w:color="B5082D"/>
        </w:rPr>
        <w:t>Telstra-Equipped Services </w:t>
      </w:r>
      <w:r>
        <w:rPr>
          <w:color w:val="B5082D"/>
          <w:u w:val="single" w:color="B5082D"/>
        </w:rPr>
        <w:t>means carriage services which Telstra, while it is</w:t>
      </w:r>
      <w:r>
        <w:rPr>
          <w:color w:val="B5082D"/>
        </w:rPr>
        <w:t> </w:t>
      </w:r>
      <w:r>
        <w:rPr>
          <w:color w:val="B5082D"/>
          <w:u w:val="single" w:color="B5082D"/>
        </w:rPr>
        <w:t>in a position to exercise control of the Telstra South Brisbane Network,</w:t>
      </w:r>
      <w:r>
        <w:rPr>
          <w:color w:val="B5082D"/>
        </w:rPr>
        <w:t> </w:t>
      </w:r>
      <w:r>
        <w:rPr>
          <w:color w:val="B5082D"/>
          <w:u w:val="single" w:color="B5082D"/>
        </w:rPr>
        <w:t>supplies to itself or to access seekers at premises connected to the Telstra</w:t>
      </w:r>
      <w:r>
        <w:rPr>
          <w:color w:val="B5082D"/>
        </w:rPr>
        <w:t> </w:t>
      </w:r>
      <w:r>
        <w:rPr>
          <w:color w:val="B5082D"/>
          <w:u w:val="single" w:color="B5082D"/>
        </w:rPr>
        <w:t>South Brisbane Network, including the Fibre Access Broadband Service.</w:t>
      </w:r>
    </w:p>
    <w:p>
      <w:pPr>
        <w:spacing w:before="120"/>
        <w:ind w:left="970" w:right="1072" w:firstLine="0"/>
        <w:jc w:val="left"/>
        <w:rPr>
          <w:sz w:val="24"/>
        </w:rPr>
      </w:pPr>
      <w:r>
        <w:rPr>
          <w:sz w:val="24"/>
        </w:rPr>
        <w:t>[</w:t>
      </w:r>
      <w:r>
        <w:rPr>
          <w:i/>
          <w:sz w:val="24"/>
        </w:rPr>
        <w:t>note explaining the Telstra proposed change</w:t>
      </w:r>
      <w:r>
        <w:rPr>
          <w:sz w:val="24"/>
        </w:rPr>
        <w:t>: </w:t>
      </w:r>
      <w:r>
        <w:rPr>
          <w:i/>
          <w:sz w:val="24"/>
        </w:rPr>
        <w:t>If Telstra is able to complete a </w:t>
      </w:r>
      <w:r>
        <w:rPr>
          <w:i/>
          <w:sz w:val="24"/>
        </w:rPr>
        <w:t>sale of the networks, Telstra will be supplying carriage services before and after customer transition: before customer transition as the network operator and after customer transition as a wholesale customer of the new owner. It is therefore important to clearly identify the Telstra services which are to be disconnected by the customer transition completion date, and which will then trigger the exemption falling away. As Telstra will be using its systems and its equipment after customer transition, although at a different service layer of level (in the same way as would any RSP), defining the Telstra services to be disconnected by reference to Telstra-owned equipment or systems does not necessarily provide a clear definition. However, using the defined term ‘in a position to control a network’ will provide a bright line because, once a technology and system ‘swap out’ is completed, Telstra will no longer be in a position to control the network but will be in the same position as any other RSP</w:t>
      </w:r>
      <w:r>
        <w:rPr>
          <w:sz w:val="24"/>
        </w:rPr>
        <w:t>].</w:t>
      </w:r>
    </w:p>
    <w:p>
      <w:pPr>
        <w:spacing w:before="121"/>
        <w:ind w:left="970" w:right="2493" w:firstLine="0"/>
        <w:jc w:val="left"/>
        <w:rPr>
          <w:sz w:val="24"/>
        </w:rPr>
      </w:pPr>
      <w:r>
        <w:rPr>
          <w:b/>
          <w:i/>
          <w:sz w:val="24"/>
        </w:rPr>
        <w:t>Telstra South Brisbane Network </w:t>
      </w:r>
      <w:r>
        <w:rPr>
          <w:sz w:val="24"/>
        </w:rPr>
        <w:t>means an optical fibre-based telecommunications network:</w:t>
      </w:r>
    </w:p>
    <w:p>
      <w:pPr>
        <w:pStyle w:val="ListParagraph"/>
        <w:numPr>
          <w:ilvl w:val="0"/>
          <w:numId w:val="2"/>
        </w:numPr>
        <w:tabs>
          <w:tab w:pos="2279" w:val="left" w:leader="none"/>
        </w:tabs>
        <w:spacing w:line="240" w:lineRule="auto" w:before="120" w:after="0"/>
        <w:ind w:left="2278" w:right="0" w:hanging="447"/>
        <w:jc w:val="left"/>
        <w:rPr>
          <w:sz w:val="24"/>
        </w:rPr>
      </w:pPr>
      <w:r>
        <w:rPr>
          <w:sz w:val="24"/>
        </w:rPr>
        <w:t>that</w:t>
      </w:r>
      <w:r>
        <w:rPr>
          <w:spacing w:val="-1"/>
          <w:sz w:val="24"/>
        </w:rPr>
        <w:t> </w:t>
      </w:r>
      <w:r>
        <w:rPr>
          <w:sz w:val="24"/>
        </w:rPr>
        <w:t>is:</w:t>
      </w:r>
    </w:p>
    <w:p>
      <w:pPr>
        <w:pStyle w:val="ListParagraph"/>
        <w:numPr>
          <w:ilvl w:val="1"/>
          <w:numId w:val="2"/>
        </w:numPr>
        <w:tabs>
          <w:tab w:pos="2999" w:val="left" w:leader="none"/>
        </w:tabs>
        <w:spacing w:line="240" w:lineRule="auto" w:before="120" w:after="0"/>
        <w:ind w:left="2998" w:right="1232" w:hanging="360"/>
        <w:jc w:val="left"/>
        <w:rPr>
          <w:sz w:val="24"/>
        </w:rPr>
      </w:pPr>
      <w:r>
        <w:rPr>
          <w:sz w:val="24"/>
        </w:rPr>
        <w:t>owned by Telstra</w:t>
      </w:r>
      <w:r>
        <w:rPr>
          <w:color w:val="B5082D"/>
          <w:sz w:val="24"/>
          <w:u w:val="single" w:color="B5082D"/>
        </w:rPr>
        <w:t> or over which Telstra is in a position to exercise control</w:t>
      </w:r>
      <w:r>
        <w:rPr>
          <w:sz w:val="24"/>
        </w:rPr>
        <w:t>;</w:t>
      </w:r>
      <w:r>
        <w:rPr>
          <w:spacing w:val="0"/>
          <w:sz w:val="24"/>
        </w:rPr>
        <w:t> </w:t>
      </w:r>
      <w:r>
        <w:rPr>
          <w:sz w:val="24"/>
        </w:rPr>
        <w:t>and</w:t>
      </w:r>
    </w:p>
    <w:p>
      <w:pPr>
        <w:spacing w:before="121"/>
        <w:ind w:left="2278" w:right="1104" w:firstLine="0"/>
        <w:jc w:val="left"/>
        <w:rPr>
          <w:i/>
          <w:sz w:val="24"/>
        </w:rPr>
      </w:pPr>
      <w:r>
        <w:rPr>
          <w:sz w:val="24"/>
        </w:rPr>
        <w:t>[</w:t>
      </w:r>
      <w:r>
        <w:rPr>
          <w:i/>
          <w:sz w:val="24"/>
        </w:rPr>
        <w:t>explanatory note of proposed Telstra change</w:t>
      </w:r>
      <w:r>
        <w:rPr>
          <w:sz w:val="24"/>
        </w:rPr>
        <w:t>: </w:t>
      </w:r>
      <w:r>
        <w:rPr>
          <w:i/>
          <w:sz w:val="24"/>
        </w:rPr>
        <w:t>If Telstra is able </w:t>
      </w:r>
      <w:r>
        <w:rPr>
          <w:i/>
          <w:sz w:val="24"/>
        </w:rPr>
        <w:t>to complete a sale of the networks, there will need to be a transition period post sale during which Telstra will continue to operate the network while Telstra and the new owner ‘swap out’ the Telstra network equipment and connections to the Telstra OSS for the new owner’s network equipment and connections to its own OSS. This continuing level of involvement by Telstra during the transition period is likely to mean that, within the meaning of section 155, Telstra is in a ‘position to exercise control’ of the network. Accordingly, Part 8 would apply and, as Telstra is vertically integrated, Telstra would be in breach of Part 8 if post sale Telstra continues to operate the network and provide customers with services until the transition to the new owner’s network could be</w:t>
      </w:r>
      <w:r>
        <w:rPr>
          <w:i/>
          <w:spacing w:val="-10"/>
          <w:sz w:val="24"/>
        </w:rPr>
        <w:t> </w:t>
      </w:r>
      <w:r>
        <w:rPr>
          <w:i/>
          <w:sz w:val="24"/>
        </w:rPr>
        <w:t>completed.</w:t>
      </w:r>
    </w:p>
    <w:p>
      <w:pPr>
        <w:spacing w:before="121"/>
        <w:ind w:left="2278" w:right="1159" w:firstLine="0"/>
        <w:jc w:val="left"/>
        <w:rPr>
          <w:i/>
          <w:sz w:val="24"/>
        </w:rPr>
      </w:pPr>
      <w:r>
        <w:rPr>
          <w:i/>
          <w:sz w:val="24"/>
        </w:rPr>
        <w:t>Part 7 does not use a control test but would be triggered in the </w:t>
      </w:r>
      <w:r>
        <w:rPr>
          <w:i/>
          <w:sz w:val="24"/>
        </w:rPr>
        <w:t>transition period because the new owner permits the local access lines forming part of the transferred network to be used by Telstra to continue supplying the FAB service until the owner can commence supplying its own compliant layer 2 services.</w:t>
      </w:r>
    </w:p>
    <w:p>
      <w:pPr>
        <w:spacing w:before="120"/>
        <w:ind w:left="2278" w:right="1232" w:firstLine="0"/>
        <w:jc w:val="left"/>
        <w:rPr>
          <w:i/>
          <w:sz w:val="24"/>
        </w:rPr>
      </w:pPr>
      <w:r>
        <w:rPr>
          <w:i/>
          <w:sz w:val="24"/>
        </w:rPr>
        <w:t>However, using ‘the control test’ as a criterion for the </w:t>
      </w:r>
      <w:r>
        <w:rPr>
          <w:i/>
          <w:sz w:val="24"/>
        </w:rPr>
        <w:t>eligibility of the network for the exemption under both Parts 7</w:t>
      </w:r>
    </w:p>
    <w:p>
      <w:pPr>
        <w:spacing w:after="0"/>
        <w:jc w:val="left"/>
        <w:rPr>
          <w:sz w:val="24"/>
        </w:rPr>
        <w:sectPr>
          <w:pgSz w:w="11910" w:h="16840"/>
          <w:pgMar w:header="729" w:footer="1061" w:top="1580" w:bottom="1260" w:left="1680" w:right="740"/>
        </w:sectPr>
      </w:pPr>
    </w:p>
    <w:p>
      <w:pPr>
        <w:pStyle w:val="BodyText"/>
        <w:spacing w:before="8"/>
        <w:rPr>
          <w:i/>
          <w:sz w:val="11"/>
        </w:rPr>
      </w:pPr>
      <w:r>
        <w:rPr/>
        <w:pict>
          <v:line style="position:absolute;mso-position-horizontal-relative:page;mso-position-vertical-relative:page;z-index:1432" from="54.119999pt,367.849976pt" to="54.119999pt,380.089976pt" stroked="true" strokeweight=".72pt" strokecolor="#000000">
            <v:stroke dashstyle="solid"/>
            <w10:wrap type="none"/>
          </v:line>
        </w:pict>
      </w:r>
      <w:r>
        <w:rPr/>
        <w:pict>
          <v:line style="position:absolute;mso-position-horizontal-relative:page;mso-position-vertical-relative:page;z-index:1456" from="54.119999pt,416.689972pt" to="54.119999pt,441.169972pt" stroked="true" strokeweight=".72pt" strokecolor="#000000">
            <v:stroke dashstyle="solid"/>
            <w10:wrap type="none"/>
          </v:line>
        </w:pict>
      </w:r>
      <w:r>
        <w:rPr/>
        <w:pict>
          <v:line style="position:absolute;mso-position-horizontal-relative:page;mso-position-vertical-relative:page;z-index:1480" from="54.119999pt,476.22998pt" to="54.119999pt,492.06998pt" stroked="true" strokeweight=".72pt" strokecolor="#000000">
            <v:stroke dashstyle="solid"/>
            <w10:wrap type="none"/>
          </v:line>
        </w:pict>
      </w:r>
    </w:p>
    <w:p>
      <w:pPr>
        <w:spacing w:before="90"/>
        <w:ind w:left="2278" w:right="1179" w:firstLine="0"/>
        <w:jc w:val="left"/>
        <w:rPr>
          <w:sz w:val="24"/>
        </w:rPr>
      </w:pPr>
      <w:r>
        <w:rPr>
          <w:i/>
          <w:sz w:val="24"/>
        </w:rPr>
        <w:t>and 8 will more narrowly confine the exemption to the specific </w:t>
      </w:r>
      <w:r>
        <w:rPr>
          <w:i/>
          <w:sz w:val="24"/>
        </w:rPr>
        <w:t>circumstances of the transition period</w:t>
      </w:r>
      <w:r>
        <w:rPr>
          <w:sz w:val="24"/>
        </w:rPr>
        <w:t>.]</w:t>
      </w:r>
    </w:p>
    <w:p>
      <w:pPr>
        <w:pStyle w:val="BodyText"/>
        <w:rPr>
          <w:sz w:val="26"/>
        </w:rPr>
      </w:pPr>
    </w:p>
    <w:p>
      <w:pPr>
        <w:pStyle w:val="ListParagraph"/>
        <w:numPr>
          <w:ilvl w:val="0"/>
          <w:numId w:val="2"/>
        </w:numPr>
        <w:tabs>
          <w:tab w:pos="2279" w:val="left" w:leader="none"/>
        </w:tabs>
        <w:spacing w:line="240" w:lineRule="auto" w:before="217" w:after="0"/>
        <w:ind w:left="2278" w:right="0" w:hanging="461"/>
        <w:jc w:val="left"/>
        <w:rPr>
          <w:sz w:val="24"/>
        </w:rPr>
      </w:pPr>
      <w:r>
        <w:rPr>
          <w:sz w:val="24"/>
        </w:rPr>
        <w:t>which</w:t>
      </w:r>
      <w:r>
        <w:rPr>
          <w:spacing w:val="-1"/>
          <w:sz w:val="24"/>
        </w:rPr>
        <w:t> </w:t>
      </w:r>
      <w:r>
        <w:rPr>
          <w:sz w:val="24"/>
        </w:rPr>
        <w:t>comprises:</w:t>
      </w:r>
    </w:p>
    <w:p>
      <w:pPr>
        <w:pStyle w:val="ListParagraph"/>
        <w:numPr>
          <w:ilvl w:val="1"/>
          <w:numId w:val="2"/>
        </w:numPr>
        <w:tabs>
          <w:tab w:pos="2999" w:val="left" w:leader="none"/>
        </w:tabs>
        <w:spacing w:line="240" w:lineRule="auto" w:before="120" w:after="0"/>
        <w:ind w:left="2998" w:right="1194" w:hanging="360"/>
        <w:jc w:val="left"/>
        <w:rPr>
          <w:sz w:val="24"/>
        </w:rPr>
      </w:pPr>
      <w:r>
        <w:rPr>
          <w:sz w:val="24"/>
        </w:rPr>
        <w:t>a network located in the South Brisbane suburbs of Highgate Hill, West End, Dutton Park and Fairfield (as depicted in the map at Schedule 1 to this Instrument); and</w:t>
      </w:r>
    </w:p>
    <w:p>
      <w:pPr>
        <w:pStyle w:val="ListParagraph"/>
        <w:numPr>
          <w:ilvl w:val="1"/>
          <w:numId w:val="2"/>
        </w:numPr>
        <w:tabs>
          <w:tab w:pos="2999" w:val="left" w:leader="none"/>
        </w:tabs>
        <w:spacing w:line="240" w:lineRule="auto" w:before="121" w:after="0"/>
        <w:ind w:left="2998" w:right="1321" w:hanging="360"/>
        <w:jc w:val="left"/>
        <w:rPr>
          <w:sz w:val="24"/>
        </w:rPr>
      </w:pPr>
      <w:r>
        <w:rPr>
          <w:sz w:val="24"/>
        </w:rPr>
        <w:t>local access lines or parts of local access lines located outside the areas specified in subparagraph (b)(i) necessary for the provision of carriage services to premises located within the areas specified in subparagraph (b)(i);</w:t>
      </w:r>
      <w:r>
        <w:rPr>
          <w:spacing w:val="-1"/>
          <w:sz w:val="24"/>
        </w:rPr>
        <w:t> </w:t>
      </w:r>
      <w:r>
        <w:rPr>
          <w:sz w:val="24"/>
        </w:rPr>
        <w:t>and</w:t>
      </w:r>
    </w:p>
    <w:p>
      <w:pPr>
        <w:pStyle w:val="ListParagraph"/>
        <w:numPr>
          <w:ilvl w:val="0"/>
          <w:numId w:val="2"/>
        </w:numPr>
        <w:tabs>
          <w:tab w:pos="2279" w:val="left" w:leader="none"/>
        </w:tabs>
        <w:spacing w:line="240" w:lineRule="auto" w:before="120" w:after="0"/>
        <w:ind w:left="2278" w:right="0" w:hanging="447"/>
        <w:jc w:val="left"/>
        <w:rPr>
          <w:sz w:val="24"/>
        </w:rPr>
      </w:pPr>
      <w:r>
        <w:rPr>
          <w:sz w:val="24"/>
        </w:rPr>
        <w:t>which uses fibre-to-the-premises</w:t>
      </w:r>
      <w:r>
        <w:rPr>
          <w:spacing w:val="-3"/>
          <w:sz w:val="24"/>
        </w:rPr>
        <w:t> </w:t>
      </w:r>
      <w:r>
        <w:rPr>
          <w:sz w:val="24"/>
        </w:rPr>
        <w:t>architecture.</w:t>
      </w:r>
    </w:p>
    <w:p>
      <w:pPr>
        <w:tabs>
          <w:tab w:pos="1917" w:val="left" w:leader="none"/>
        </w:tabs>
        <w:spacing w:before="122"/>
        <w:ind w:left="970" w:right="1842" w:firstLine="0"/>
        <w:jc w:val="left"/>
        <w:rPr>
          <w:sz w:val="20"/>
        </w:rPr>
      </w:pPr>
      <w:r>
        <w:rPr>
          <w:b/>
          <w:i/>
          <w:sz w:val="20"/>
        </w:rPr>
        <w:t>Note</w:t>
        <w:tab/>
      </w:r>
      <w:r>
        <w:rPr>
          <w:sz w:val="20"/>
        </w:rPr>
        <w:t>By virtue of paragraph 46(1)(b) of the </w:t>
      </w:r>
      <w:r>
        <w:rPr>
          <w:i/>
          <w:sz w:val="20"/>
        </w:rPr>
        <w:t>Acts Interpretation Act 1901</w:t>
      </w:r>
      <w:r>
        <w:rPr>
          <w:sz w:val="20"/>
        </w:rPr>
        <w:t>, the following expressions have the same meaning as in the</w:t>
      </w:r>
      <w:r>
        <w:rPr>
          <w:spacing w:val="0"/>
          <w:sz w:val="20"/>
        </w:rPr>
        <w:t> </w:t>
      </w:r>
      <w:r>
        <w:rPr>
          <w:sz w:val="20"/>
        </w:rPr>
        <w:t>Act:</w:t>
      </w:r>
    </w:p>
    <w:p>
      <w:pPr>
        <w:pStyle w:val="ListParagraph"/>
        <w:numPr>
          <w:ilvl w:val="0"/>
          <w:numId w:val="3"/>
        </w:numPr>
        <w:tabs>
          <w:tab w:pos="1917" w:val="left" w:leader="none"/>
          <w:tab w:pos="1918" w:val="left" w:leader="none"/>
        </w:tabs>
        <w:spacing w:line="243" w:lineRule="exact" w:before="0" w:after="0"/>
        <w:ind w:left="1918" w:right="0" w:hanging="360"/>
        <w:jc w:val="left"/>
        <w:rPr>
          <w:rFonts w:ascii="Symbol"/>
          <w:i/>
          <w:sz w:val="20"/>
        </w:rPr>
      </w:pPr>
      <w:r>
        <w:rPr>
          <w:i/>
          <w:sz w:val="20"/>
        </w:rPr>
        <w:t>ACCC</w:t>
      </w:r>
    </w:p>
    <w:p>
      <w:pPr>
        <w:pStyle w:val="ListParagraph"/>
        <w:numPr>
          <w:ilvl w:val="0"/>
          <w:numId w:val="3"/>
        </w:numPr>
        <w:tabs>
          <w:tab w:pos="1917" w:val="left" w:leader="none"/>
          <w:tab w:pos="1918" w:val="left" w:leader="none"/>
        </w:tabs>
        <w:spacing w:line="245" w:lineRule="exact" w:before="0" w:after="0"/>
        <w:ind w:left="1918" w:right="0" w:hanging="360"/>
        <w:jc w:val="left"/>
        <w:rPr>
          <w:rFonts w:ascii="Symbol"/>
          <w:i/>
          <w:sz w:val="20"/>
        </w:rPr>
      </w:pPr>
      <w:r>
        <w:rPr>
          <w:i/>
          <w:sz w:val="20"/>
        </w:rPr>
        <w:t>carriage</w:t>
      </w:r>
      <w:r>
        <w:rPr>
          <w:i/>
          <w:spacing w:val="-1"/>
          <w:sz w:val="20"/>
        </w:rPr>
        <w:t> </w:t>
      </w:r>
      <w:r>
        <w:rPr>
          <w:i/>
          <w:sz w:val="20"/>
        </w:rPr>
        <w:t>service</w:t>
      </w:r>
    </w:p>
    <w:p>
      <w:pPr>
        <w:tabs>
          <w:tab w:pos="1917" w:val="left" w:leader="none"/>
        </w:tabs>
        <w:spacing w:line="245" w:lineRule="exact" w:before="0"/>
        <w:ind w:left="1558" w:right="0" w:firstLine="0"/>
        <w:jc w:val="left"/>
        <w:rPr>
          <w:i/>
          <w:sz w:val="20"/>
        </w:rPr>
      </w:pPr>
      <w:r>
        <w:rPr>
          <w:strike/>
          <w:color w:val="B5082D"/>
          <w:spacing w:val="-50"/>
          <w:w w:val="99"/>
          <w:sz w:val="20"/>
        </w:rPr>
        <w:t> </w:t>
      </w:r>
      <w:r>
        <w:rPr>
          <w:rFonts w:ascii="Symbol" w:hAnsi="Symbol"/>
          <w:strike/>
          <w:color w:val="B5082D"/>
          <w:sz w:val="20"/>
        </w:rPr>
        <w:t></w:t>
      </w:r>
      <w:r>
        <w:rPr>
          <w:strike/>
          <w:color w:val="B5082D"/>
          <w:sz w:val="20"/>
        </w:rPr>
        <w:tab/>
      </w:r>
      <w:r>
        <w:rPr>
          <w:i/>
          <w:strike/>
          <w:color w:val="B5082D"/>
          <w:sz w:val="20"/>
        </w:rPr>
        <w:t>designated day</w:t>
      </w:r>
    </w:p>
    <w:p>
      <w:pPr>
        <w:pStyle w:val="ListParagraph"/>
        <w:numPr>
          <w:ilvl w:val="0"/>
          <w:numId w:val="3"/>
        </w:numPr>
        <w:tabs>
          <w:tab w:pos="1917" w:val="left" w:leader="none"/>
          <w:tab w:pos="1918" w:val="left" w:leader="none"/>
        </w:tabs>
        <w:spacing w:line="245" w:lineRule="exact" w:before="0" w:after="0"/>
        <w:ind w:left="1918" w:right="0" w:hanging="360"/>
        <w:jc w:val="left"/>
        <w:rPr>
          <w:rFonts w:ascii="Symbol"/>
          <w:i/>
          <w:sz w:val="20"/>
        </w:rPr>
      </w:pPr>
      <w:r>
        <w:rPr>
          <w:i/>
          <w:sz w:val="20"/>
        </w:rPr>
        <w:t>local access</w:t>
      </w:r>
      <w:r>
        <w:rPr>
          <w:i/>
          <w:spacing w:val="-5"/>
          <w:sz w:val="20"/>
        </w:rPr>
        <w:t> </w:t>
      </w:r>
      <w:r>
        <w:rPr>
          <w:i/>
          <w:sz w:val="20"/>
        </w:rPr>
        <w:t>line</w:t>
      </w:r>
    </w:p>
    <w:p>
      <w:pPr>
        <w:pStyle w:val="ListParagraph"/>
        <w:numPr>
          <w:ilvl w:val="0"/>
          <w:numId w:val="3"/>
        </w:numPr>
        <w:tabs>
          <w:tab w:pos="1917" w:val="left" w:leader="none"/>
          <w:tab w:pos="1918" w:val="left" w:leader="none"/>
        </w:tabs>
        <w:spacing w:line="244" w:lineRule="exact" w:before="0" w:after="0"/>
        <w:ind w:left="1918" w:right="0" w:hanging="360"/>
        <w:jc w:val="left"/>
        <w:rPr>
          <w:rFonts w:ascii="Symbol"/>
          <w:i/>
          <w:sz w:val="20"/>
        </w:rPr>
      </w:pPr>
      <w:r>
        <w:rPr>
          <w:i/>
          <w:sz w:val="20"/>
        </w:rPr>
        <w:t>optical fibre</w:t>
      </w:r>
      <w:r>
        <w:rPr>
          <w:i/>
          <w:spacing w:val="-4"/>
          <w:sz w:val="20"/>
        </w:rPr>
        <w:t> </w:t>
      </w:r>
      <w:r>
        <w:rPr>
          <w:i/>
          <w:sz w:val="20"/>
        </w:rPr>
        <w:t>line</w:t>
      </w:r>
    </w:p>
    <w:p>
      <w:pPr>
        <w:pStyle w:val="ListParagraph"/>
        <w:numPr>
          <w:ilvl w:val="0"/>
          <w:numId w:val="3"/>
        </w:numPr>
        <w:tabs>
          <w:tab w:pos="1917" w:val="left" w:leader="none"/>
          <w:tab w:pos="1918" w:val="left" w:leader="none"/>
        </w:tabs>
        <w:spacing w:line="244" w:lineRule="exact" w:before="0" w:after="0"/>
        <w:ind w:left="1918" w:right="0" w:hanging="360"/>
        <w:jc w:val="left"/>
        <w:rPr>
          <w:rFonts w:ascii="Symbol"/>
          <w:i/>
          <w:sz w:val="20"/>
        </w:rPr>
      </w:pPr>
      <w:r>
        <w:rPr>
          <w:i/>
          <w:sz w:val="20"/>
        </w:rPr>
        <w:t>telecommunications</w:t>
      </w:r>
      <w:r>
        <w:rPr>
          <w:i/>
          <w:spacing w:val="-2"/>
          <w:sz w:val="20"/>
        </w:rPr>
        <w:t> </w:t>
      </w:r>
      <w:r>
        <w:rPr>
          <w:i/>
          <w:sz w:val="20"/>
        </w:rPr>
        <w:t>network</w:t>
      </w:r>
    </w:p>
    <w:p>
      <w:pPr>
        <w:pStyle w:val="ListParagraph"/>
        <w:numPr>
          <w:ilvl w:val="0"/>
          <w:numId w:val="3"/>
        </w:numPr>
        <w:tabs>
          <w:tab w:pos="1917" w:val="left" w:leader="none"/>
          <w:tab w:pos="1918" w:val="left" w:leader="none"/>
        </w:tabs>
        <w:spacing w:line="245" w:lineRule="exact" w:before="0" w:after="0"/>
        <w:ind w:left="1918" w:right="0" w:hanging="360"/>
        <w:jc w:val="left"/>
        <w:rPr>
          <w:rFonts w:ascii="Symbol"/>
          <w:i/>
          <w:color w:val="B5082D"/>
          <w:sz w:val="20"/>
        </w:rPr>
      </w:pPr>
      <w:r>
        <w:rPr/>
        <w:pict>
          <v:line style="position:absolute;mso-position-horizontal-relative:page;mso-position-vertical-relative:paragraph;z-index:1384" from="161.899994pt,11.428222pt" to="179.899994pt,11.428222pt" stroked="true" strokeweight=".600010pt" strokecolor="#b5082d">
            <v:stroke dashstyle="solid"/>
            <w10:wrap type="none"/>
          </v:line>
        </w:pict>
      </w:r>
      <w:r>
        <w:rPr>
          <w:i/>
          <w:sz w:val="20"/>
        </w:rPr>
        <w:t>Telstra</w:t>
      </w:r>
    </w:p>
    <w:p>
      <w:pPr>
        <w:pStyle w:val="ListParagraph"/>
        <w:numPr>
          <w:ilvl w:val="0"/>
          <w:numId w:val="3"/>
        </w:numPr>
        <w:tabs>
          <w:tab w:pos="1917" w:val="left" w:leader="none"/>
          <w:tab w:pos="1918" w:val="left" w:leader="none"/>
        </w:tabs>
        <w:spacing w:line="240" w:lineRule="auto" w:before="0" w:after="0"/>
        <w:ind w:left="1918" w:right="0" w:hanging="360"/>
        <w:jc w:val="left"/>
        <w:rPr>
          <w:rFonts w:ascii="Symbol"/>
          <w:i/>
          <w:sz w:val="20"/>
        </w:rPr>
      </w:pPr>
      <w:r>
        <w:rPr/>
        <w:pict>
          <v:line style="position:absolute;mso-position-horizontal-relative:page;mso-position-vertical-relative:paragraph;z-index:1408" from="179.899994pt,11.373725pt" to="432.429994pt,11.373725pt" stroked="true" strokeweight=".47998pt" strokecolor="#b5082d">
            <v:stroke dashstyle="solid"/>
            <w10:wrap type="none"/>
          </v:line>
        </w:pict>
      </w:r>
      <w:r>
        <w:rPr>
          <w:i/>
          <w:color w:val="B5082D"/>
          <w:sz w:val="20"/>
        </w:rPr>
        <w:t>A person being in a position to exercise control over a</w:t>
      </w:r>
      <w:r>
        <w:rPr>
          <w:i/>
          <w:color w:val="B5082D"/>
          <w:spacing w:val="-1"/>
          <w:sz w:val="20"/>
        </w:rPr>
        <w:t> </w:t>
      </w:r>
      <w:r>
        <w:rPr>
          <w:i/>
          <w:color w:val="B5082D"/>
          <w:sz w:val="20"/>
        </w:rPr>
        <w:t>network</w:t>
      </w:r>
    </w:p>
    <w:p>
      <w:pPr>
        <w:pStyle w:val="BodyText"/>
        <w:spacing w:before="11"/>
        <w:rPr>
          <w:i/>
          <w:sz w:val="26"/>
        </w:rPr>
      </w:pPr>
    </w:p>
    <w:p>
      <w:pPr>
        <w:pStyle w:val="Heading2"/>
        <w:numPr>
          <w:ilvl w:val="0"/>
          <w:numId w:val="1"/>
        </w:numPr>
        <w:tabs>
          <w:tab w:pos="619" w:val="left" w:leader="none"/>
          <w:tab w:pos="620" w:val="left" w:leader="none"/>
        </w:tabs>
        <w:spacing w:line="299" w:lineRule="exact" w:before="91" w:after="0"/>
        <w:ind w:left="619" w:right="0" w:hanging="360"/>
        <w:jc w:val="left"/>
      </w:pPr>
      <w:r>
        <w:rPr/>
        <w:t>Exemptions</w:t>
      </w:r>
    </w:p>
    <w:p>
      <w:pPr>
        <w:pStyle w:val="ListParagraph"/>
        <w:numPr>
          <w:ilvl w:val="0"/>
          <w:numId w:val="4"/>
        </w:numPr>
        <w:tabs>
          <w:tab w:pos="1112" w:val="left" w:leader="none"/>
        </w:tabs>
        <w:spacing w:line="276" w:lineRule="auto" w:before="0" w:after="0"/>
        <w:ind w:left="1111" w:right="1219" w:hanging="427"/>
        <w:jc w:val="left"/>
        <w:rPr>
          <w:sz w:val="24"/>
        </w:rPr>
      </w:pPr>
      <w:r>
        <w:rPr>
          <w:sz w:val="24"/>
        </w:rPr>
        <w:t>Subject to the conditions set out in subclause</w:t>
      </w:r>
      <w:r>
        <w:rPr>
          <w:color w:val="B5082D"/>
          <w:sz w:val="24"/>
          <w:u w:val="single" w:color="B5082D"/>
        </w:rPr>
        <w:t>s</w:t>
      </w:r>
      <w:r>
        <w:rPr>
          <w:color w:val="B5082D"/>
          <w:sz w:val="24"/>
        </w:rPr>
        <w:t> </w:t>
      </w:r>
      <w:r>
        <w:rPr>
          <w:sz w:val="24"/>
        </w:rPr>
        <w:t>(2)</w:t>
      </w:r>
      <w:r>
        <w:rPr>
          <w:color w:val="B5082D"/>
          <w:sz w:val="24"/>
          <w:u w:val="single" w:color="B5082D"/>
        </w:rPr>
        <w:t> and (3)</w:t>
      </w:r>
      <w:r>
        <w:rPr>
          <w:color w:val="B5082D"/>
          <w:sz w:val="24"/>
        </w:rPr>
        <w:t> </w:t>
      </w:r>
      <w:r>
        <w:rPr>
          <w:sz w:val="24"/>
        </w:rPr>
        <w:t>, and pursuant to subsection 141A(1) of the Act and 144(1) of the Act, the Telstra South Brisbane Network is exempt from sections 141 and 143 of the</w:t>
      </w:r>
      <w:r>
        <w:rPr>
          <w:spacing w:val="-7"/>
          <w:sz w:val="24"/>
        </w:rPr>
        <w:t> </w:t>
      </w:r>
      <w:r>
        <w:rPr>
          <w:sz w:val="24"/>
        </w:rPr>
        <w:t>Act.</w:t>
      </w:r>
    </w:p>
    <w:p>
      <w:pPr>
        <w:pStyle w:val="BodyText"/>
        <w:spacing w:before="9"/>
        <w:rPr>
          <w:sz w:val="23"/>
        </w:rPr>
      </w:pPr>
    </w:p>
    <w:p>
      <w:pPr>
        <w:pStyle w:val="ListParagraph"/>
        <w:numPr>
          <w:ilvl w:val="0"/>
          <w:numId w:val="4"/>
        </w:numPr>
        <w:tabs>
          <w:tab w:pos="1112" w:val="left" w:leader="none"/>
        </w:tabs>
        <w:spacing w:line="278" w:lineRule="auto" w:before="0" w:after="0"/>
        <w:ind w:left="1111" w:right="2017" w:hanging="427"/>
        <w:jc w:val="left"/>
        <w:rPr>
          <w:sz w:val="24"/>
        </w:rPr>
      </w:pPr>
      <w:r>
        <w:rPr>
          <w:sz w:val="24"/>
        </w:rPr>
        <w:t>The exemptions are subject to the condition that, if a Fibre Access Broadband Service is not a declared</w:t>
      </w:r>
      <w:r>
        <w:rPr>
          <w:spacing w:val="-3"/>
          <w:sz w:val="24"/>
        </w:rPr>
        <w:t> </w:t>
      </w:r>
      <w:r>
        <w:rPr>
          <w:sz w:val="24"/>
        </w:rPr>
        <w:t>service:</w:t>
      </w:r>
    </w:p>
    <w:p>
      <w:pPr>
        <w:pStyle w:val="ListParagraph"/>
        <w:numPr>
          <w:ilvl w:val="1"/>
          <w:numId w:val="4"/>
        </w:numPr>
        <w:tabs>
          <w:tab w:pos="1537" w:val="left" w:leader="none"/>
        </w:tabs>
        <w:spacing w:line="240" w:lineRule="auto" w:before="116" w:after="0"/>
        <w:ind w:left="1536" w:right="1645" w:hanging="408"/>
        <w:jc w:val="left"/>
        <w:rPr>
          <w:sz w:val="24"/>
        </w:rPr>
      </w:pPr>
      <w:r>
        <w:rPr>
          <w:sz w:val="24"/>
        </w:rPr>
        <w:t>Telstra must offer and supply to access seekers, upon reasonable request, a Fibre Access Broadband Service over the Telstra South Brisbane Network; and</w:t>
      </w:r>
    </w:p>
    <w:p>
      <w:pPr>
        <w:pStyle w:val="ListParagraph"/>
        <w:numPr>
          <w:ilvl w:val="0"/>
          <w:numId w:val="5"/>
        </w:numPr>
        <w:tabs>
          <w:tab w:pos="1437" w:val="left" w:leader="none"/>
        </w:tabs>
        <w:spacing w:line="240" w:lineRule="auto" w:before="120" w:after="0"/>
        <w:ind w:left="1436" w:right="0" w:hanging="325"/>
        <w:jc w:val="left"/>
        <w:rPr>
          <w:sz w:val="24"/>
        </w:rPr>
      </w:pPr>
      <w:r>
        <w:rPr>
          <w:sz w:val="24"/>
        </w:rPr>
        <w:t>Telstra</w:t>
      </w:r>
      <w:r>
        <w:rPr>
          <w:spacing w:val="-2"/>
          <w:sz w:val="24"/>
        </w:rPr>
        <w:t> </w:t>
      </w:r>
      <w:r>
        <w:rPr>
          <w:sz w:val="24"/>
        </w:rPr>
        <w:t>must:</w:t>
      </w:r>
    </w:p>
    <w:p>
      <w:pPr>
        <w:pStyle w:val="ListParagraph"/>
        <w:numPr>
          <w:ilvl w:val="1"/>
          <w:numId w:val="5"/>
        </w:numPr>
        <w:tabs>
          <w:tab w:pos="2278" w:val="left" w:leader="none"/>
          <w:tab w:pos="2279" w:val="left" w:leader="none"/>
        </w:tabs>
        <w:spacing w:line="276" w:lineRule="auto" w:before="41" w:after="0"/>
        <w:ind w:left="2278" w:right="1108" w:hanging="720"/>
        <w:jc w:val="left"/>
        <w:rPr>
          <w:sz w:val="24"/>
        </w:rPr>
      </w:pPr>
      <w:r>
        <w:rPr>
          <w:sz w:val="24"/>
        </w:rPr>
        <w:t>publish on the wholesale section of its website, the terms and conditions (price and non-price) on which it offers and supplies the Fibre Access Broadband Service on the Telstra South Brisbane Network (</w:t>
      </w:r>
      <w:r>
        <w:rPr>
          <w:b/>
          <w:i/>
          <w:sz w:val="24"/>
        </w:rPr>
        <w:t>reference offer</w:t>
      </w:r>
      <w:r>
        <w:rPr>
          <w:sz w:val="24"/>
        </w:rPr>
        <w:t>);</w:t>
      </w:r>
      <w:r>
        <w:rPr>
          <w:spacing w:val="-2"/>
          <w:sz w:val="24"/>
        </w:rPr>
        <w:t> </w:t>
      </w:r>
      <w:r>
        <w:rPr>
          <w:sz w:val="24"/>
        </w:rPr>
        <w:t>and</w:t>
      </w:r>
    </w:p>
    <w:p>
      <w:pPr>
        <w:pStyle w:val="ListParagraph"/>
        <w:numPr>
          <w:ilvl w:val="1"/>
          <w:numId w:val="5"/>
        </w:numPr>
        <w:tabs>
          <w:tab w:pos="2278" w:val="left" w:leader="none"/>
          <w:tab w:pos="2279" w:val="left" w:leader="none"/>
        </w:tabs>
        <w:spacing w:line="276" w:lineRule="auto" w:before="1" w:after="0"/>
        <w:ind w:left="2278" w:right="1215" w:hanging="720"/>
        <w:jc w:val="left"/>
        <w:rPr>
          <w:sz w:val="24"/>
        </w:rPr>
      </w:pPr>
      <w:r>
        <w:rPr>
          <w:sz w:val="24"/>
        </w:rPr>
        <w:t>each time it enters into an agreement with an access seeker for the supply of Fibre Access Broadband Services on the Telstra South Brisbane Network, where the terms and conditions are not the same as those set out in reference offer, Telstra</w:t>
      </w:r>
      <w:r>
        <w:rPr>
          <w:spacing w:val="-7"/>
          <w:sz w:val="24"/>
        </w:rPr>
        <w:t> </w:t>
      </w:r>
      <w:r>
        <w:rPr>
          <w:sz w:val="24"/>
        </w:rPr>
        <w:t>must</w:t>
      </w:r>
    </w:p>
    <w:p>
      <w:pPr>
        <w:spacing w:after="0" w:line="276" w:lineRule="auto"/>
        <w:jc w:val="left"/>
        <w:rPr>
          <w:sz w:val="24"/>
        </w:rPr>
        <w:sectPr>
          <w:pgSz w:w="11910" w:h="16840"/>
          <w:pgMar w:header="729" w:footer="1061" w:top="1580" w:bottom="1260" w:left="1680" w:right="740"/>
        </w:sectPr>
      </w:pPr>
    </w:p>
    <w:p>
      <w:pPr>
        <w:pStyle w:val="BodyText"/>
        <w:spacing w:before="8"/>
        <w:rPr>
          <w:sz w:val="11"/>
        </w:rPr>
      </w:pPr>
      <w:r>
        <w:rPr/>
        <w:pict>
          <v:line style="position:absolute;mso-position-horizontal-relative:page;mso-position-vertical-relative:page;z-index:1504" from="54.119999pt,367.72998pt" to="54.119999pt,385.24998pt" stroked="true" strokeweight=".72pt" strokecolor="#000000">
            <v:stroke dashstyle="solid"/>
            <w10:wrap type="none"/>
          </v:line>
        </w:pict>
      </w:r>
      <w:r>
        <w:rPr/>
        <w:pict>
          <v:line style="position:absolute;mso-position-horizontal-relative:page;mso-position-vertical-relative:page;z-index:1528" from="54.119999pt,402.765991pt" to="54.119999pt,482.109991pt" stroked="true" strokeweight=".72pt" strokecolor="#000000">
            <v:stroke dashstyle="solid"/>
            <w10:wrap type="none"/>
          </v:line>
        </w:pict>
      </w:r>
    </w:p>
    <w:p>
      <w:pPr>
        <w:pStyle w:val="BodyText"/>
        <w:spacing w:line="276" w:lineRule="auto" w:before="90"/>
        <w:ind w:left="2278" w:right="1779"/>
      </w:pPr>
      <w:r>
        <w:rPr/>
        <w:t>provide to the ACCC within 14 days of entering into the agreement:</w:t>
      </w:r>
    </w:p>
    <w:p>
      <w:pPr>
        <w:pStyle w:val="ListParagraph"/>
        <w:numPr>
          <w:ilvl w:val="2"/>
          <w:numId w:val="5"/>
        </w:numPr>
        <w:tabs>
          <w:tab w:pos="3359" w:val="left" w:leader="none"/>
        </w:tabs>
        <w:spacing w:line="275" w:lineRule="exact" w:before="0" w:after="0"/>
        <w:ind w:left="3358" w:right="0" w:hanging="360"/>
        <w:jc w:val="left"/>
        <w:rPr>
          <w:sz w:val="24"/>
        </w:rPr>
      </w:pPr>
      <w:r>
        <w:rPr>
          <w:sz w:val="24"/>
        </w:rPr>
        <w:t>the identity of the parties to the agreement;</w:t>
      </w:r>
      <w:r>
        <w:rPr>
          <w:spacing w:val="-1"/>
          <w:sz w:val="24"/>
        </w:rPr>
        <w:t> </w:t>
      </w:r>
      <w:r>
        <w:rPr>
          <w:sz w:val="24"/>
        </w:rPr>
        <w:t>and</w:t>
      </w:r>
    </w:p>
    <w:p>
      <w:pPr>
        <w:pStyle w:val="ListParagraph"/>
        <w:numPr>
          <w:ilvl w:val="2"/>
          <w:numId w:val="5"/>
        </w:numPr>
        <w:tabs>
          <w:tab w:pos="3359" w:val="left" w:leader="none"/>
        </w:tabs>
        <w:spacing w:line="276" w:lineRule="auto" w:before="44" w:after="0"/>
        <w:ind w:left="3358" w:right="1109" w:hanging="360"/>
        <w:jc w:val="left"/>
        <w:rPr>
          <w:sz w:val="24"/>
        </w:rPr>
      </w:pPr>
      <w:r>
        <w:rPr>
          <w:sz w:val="24"/>
        </w:rPr>
        <w:t>the differences between the terms and conditions set out in the agreement and the terms and conditions published on its</w:t>
      </w:r>
      <w:r>
        <w:rPr>
          <w:spacing w:val="-1"/>
          <w:sz w:val="24"/>
        </w:rPr>
        <w:t> </w:t>
      </w:r>
      <w:r>
        <w:rPr>
          <w:sz w:val="24"/>
        </w:rPr>
        <w:t>website;</w:t>
      </w:r>
    </w:p>
    <w:p>
      <w:pPr>
        <w:pStyle w:val="ListParagraph"/>
        <w:numPr>
          <w:ilvl w:val="1"/>
          <w:numId w:val="5"/>
        </w:numPr>
        <w:tabs>
          <w:tab w:pos="2278" w:val="left" w:leader="none"/>
          <w:tab w:pos="2279" w:val="left" w:leader="none"/>
        </w:tabs>
        <w:spacing w:line="276" w:lineRule="auto" w:before="0" w:after="0"/>
        <w:ind w:left="2278" w:right="1098" w:hanging="720"/>
        <w:jc w:val="left"/>
        <w:rPr>
          <w:sz w:val="24"/>
        </w:rPr>
      </w:pPr>
      <w:r>
        <w:rPr>
          <w:sz w:val="24"/>
        </w:rPr>
        <w:t>each time it implements a material change to either the reference offer or the product specification for the Fibre Access Broadband Service, provide the following information to the ACCC within 14 days of implementing the</w:t>
      </w:r>
      <w:r>
        <w:rPr>
          <w:spacing w:val="-1"/>
          <w:sz w:val="24"/>
        </w:rPr>
        <w:t> </w:t>
      </w:r>
      <w:r>
        <w:rPr>
          <w:sz w:val="24"/>
        </w:rPr>
        <w:t>change:</w:t>
      </w:r>
    </w:p>
    <w:p>
      <w:pPr>
        <w:pStyle w:val="ListParagraph"/>
        <w:numPr>
          <w:ilvl w:val="2"/>
          <w:numId w:val="5"/>
        </w:numPr>
        <w:tabs>
          <w:tab w:pos="3359" w:val="left" w:leader="none"/>
        </w:tabs>
        <w:spacing w:line="240" w:lineRule="auto" w:before="0" w:after="0"/>
        <w:ind w:left="3358" w:right="0" w:hanging="360"/>
        <w:jc w:val="left"/>
        <w:rPr>
          <w:sz w:val="24"/>
        </w:rPr>
      </w:pPr>
      <w:r>
        <w:rPr>
          <w:sz w:val="24"/>
        </w:rPr>
        <w:t>the nature of the change;</w:t>
      </w:r>
      <w:r>
        <w:rPr>
          <w:spacing w:val="-3"/>
          <w:sz w:val="24"/>
        </w:rPr>
        <w:t> </w:t>
      </w:r>
      <w:r>
        <w:rPr>
          <w:sz w:val="24"/>
        </w:rPr>
        <w:t>and</w:t>
      </w:r>
    </w:p>
    <w:p>
      <w:pPr>
        <w:pStyle w:val="ListParagraph"/>
        <w:numPr>
          <w:ilvl w:val="2"/>
          <w:numId w:val="5"/>
        </w:numPr>
        <w:tabs>
          <w:tab w:pos="3359" w:val="left" w:leader="none"/>
        </w:tabs>
        <w:spacing w:line="240" w:lineRule="auto" w:before="41" w:after="0"/>
        <w:ind w:left="3358" w:right="0" w:hanging="360"/>
        <w:jc w:val="left"/>
        <w:rPr>
          <w:sz w:val="24"/>
        </w:rPr>
      </w:pPr>
      <w:r>
        <w:rPr>
          <w:sz w:val="24"/>
        </w:rPr>
        <w:t>the date the change took</w:t>
      </w:r>
      <w:r>
        <w:rPr>
          <w:spacing w:val="-2"/>
          <w:sz w:val="24"/>
        </w:rPr>
        <w:t> </w:t>
      </w:r>
      <w:r>
        <w:rPr>
          <w:sz w:val="24"/>
        </w:rPr>
        <w:t>effect.</w:t>
      </w:r>
    </w:p>
    <w:p>
      <w:pPr>
        <w:pStyle w:val="BodyText"/>
        <w:rPr>
          <w:sz w:val="26"/>
        </w:rPr>
      </w:pPr>
    </w:p>
    <w:p>
      <w:pPr>
        <w:pStyle w:val="BodyText"/>
        <w:rPr>
          <w:sz w:val="26"/>
        </w:rPr>
      </w:pPr>
    </w:p>
    <w:p>
      <w:pPr>
        <w:pStyle w:val="BodyText"/>
        <w:rPr>
          <w:sz w:val="31"/>
        </w:rPr>
      </w:pPr>
    </w:p>
    <w:p>
      <w:pPr>
        <w:tabs>
          <w:tab w:pos="1917" w:val="left" w:leader="none"/>
        </w:tabs>
        <w:spacing w:before="1"/>
        <w:ind w:left="1918" w:right="1394" w:hanging="749"/>
        <w:jc w:val="left"/>
        <w:rPr>
          <w:sz w:val="20"/>
        </w:rPr>
      </w:pPr>
      <w:r>
        <w:rPr>
          <w:b/>
          <w:i/>
          <w:sz w:val="20"/>
        </w:rPr>
        <w:t>Note</w:t>
      </w:r>
      <w:r>
        <w:rPr>
          <w:b/>
          <w:i/>
          <w:spacing w:val="-1"/>
          <w:sz w:val="20"/>
        </w:rPr>
        <w:t> </w:t>
      </w:r>
      <w:r>
        <w:rPr>
          <w:b/>
          <w:i/>
          <w:sz w:val="20"/>
        </w:rPr>
        <w:t>1</w:t>
        <w:tab/>
      </w:r>
      <w:r>
        <w:rPr>
          <w:sz w:val="20"/>
        </w:rPr>
        <w:t>Paragraph 141A(4)(b) provides that an instrument made under subsection 141A(1) may be subject to such conditions as are specified in the</w:t>
      </w:r>
      <w:r>
        <w:rPr>
          <w:spacing w:val="-26"/>
          <w:sz w:val="20"/>
        </w:rPr>
        <w:t> </w:t>
      </w:r>
      <w:r>
        <w:rPr>
          <w:sz w:val="20"/>
        </w:rPr>
        <w:t>instrument.</w:t>
      </w:r>
    </w:p>
    <w:p>
      <w:pPr>
        <w:spacing w:before="118"/>
        <w:ind w:left="1918" w:right="1291" w:hanging="720"/>
        <w:jc w:val="left"/>
        <w:rPr>
          <w:sz w:val="20"/>
        </w:rPr>
      </w:pPr>
      <w:r>
        <w:rPr>
          <w:b/>
          <w:i/>
          <w:sz w:val="20"/>
        </w:rPr>
        <w:t>Note 2 </w:t>
      </w:r>
      <w:r>
        <w:rPr>
          <w:sz w:val="20"/>
        </w:rPr>
        <w:t>Paragraph 144(4)(b) provides that an instrument made under subsection 144(1) may be subject to such conditions as are specified in the instrument.</w:t>
      </w:r>
    </w:p>
    <w:p>
      <w:pPr>
        <w:pStyle w:val="BodyText"/>
        <w:rPr>
          <w:sz w:val="22"/>
        </w:rPr>
      </w:pPr>
    </w:p>
    <w:p>
      <w:pPr>
        <w:pStyle w:val="BodyText"/>
        <w:spacing w:before="10"/>
        <w:rPr>
          <w:sz w:val="18"/>
        </w:rPr>
      </w:pPr>
    </w:p>
    <w:p>
      <w:pPr>
        <w:pStyle w:val="ListParagraph"/>
        <w:numPr>
          <w:ilvl w:val="0"/>
          <w:numId w:val="4"/>
        </w:numPr>
        <w:tabs>
          <w:tab w:pos="1112" w:val="left" w:leader="none"/>
        </w:tabs>
        <w:spacing w:line="240" w:lineRule="auto" w:before="0" w:after="0"/>
        <w:ind w:left="1111" w:right="0" w:hanging="427"/>
        <w:jc w:val="left"/>
        <w:rPr>
          <w:color w:val="B5082D"/>
          <w:sz w:val="24"/>
        </w:rPr>
      </w:pPr>
      <w:r>
        <w:rPr>
          <w:color w:val="B5082D"/>
          <w:sz w:val="24"/>
          <w:u w:val="single" w:color="B5082D"/>
        </w:rPr>
        <w:t>The </w:t>
      </w:r>
      <w:r>
        <w:rPr>
          <w:color w:val="C00000"/>
          <w:sz w:val="24"/>
          <w:u w:val="single" w:color="B5082D"/>
        </w:rPr>
        <w:t>customer transition</w:t>
      </w:r>
      <w:r>
        <w:rPr>
          <w:color w:val="B5082D"/>
          <w:sz w:val="24"/>
          <w:u w:val="single" w:color="B5082D"/>
        </w:rPr>
        <w:t> completion date must be no more</w:t>
      </w:r>
      <w:r>
        <w:rPr>
          <w:color w:val="B5082D"/>
          <w:spacing w:val="-5"/>
          <w:sz w:val="24"/>
          <w:u w:val="single" w:color="B5082D"/>
        </w:rPr>
        <w:t> </w:t>
      </w:r>
      <w:r>
        <w:rPr>
          <w:color w:val="B5082D"/>
          <w:sz w:val="24"/>
          <w:u w:val="single" w:color="B5082D"/>
        </w:rPr>
        <w:t>than:</w:t>
      </w:r>
    </w:p>
    <w:p>
      <w:pPr>
        <w:pStyle w:val="ListParagraph"/>
        <w:numPr>
          <w:ilvl w:val="1"/>
          <w:numId w:val="4"/>
        </w:numPr>
        <w:tabs>
          <w:tab w:pos="2279" w:val="left" w:leader="none"/>
        </w:tabs>
        <w:spacing w:line="276" w:lineRule="auto" w:before="41" w:after="0"/>
        <w:ind w:left="2278" w:right="1877" w:hanging="447"/>
        <w:jc w:val="left"/>
        <w:rPr>
          <w:color w:val="B5082D"/>
          <w:sz w:val="24"/>
        </w:rPr>
      </w:pPr>
      <w:r>
        <w:rPr>
          <w:color w:val="B5082D"/>
          <w:sz w:val="24"/>
          <w:u w:val="single" w:color="B5082D"/>
        </w:rPr>
        <w:t>27 months after Telstra ceases to own the Telstra South Brisbane Network;</w:t>
      </w:r>
      <w:r>
        <w:rPr>
          <w:color w:val="B5082D"/>
          <w:spacing w:val="-2"/>
          <w:sz w:val="24"/>
          <w:u w:val="single" w:color="B5082D"/>
        </w:rPr>
        <w:t> </w:t>
      </w:r>
      <w:r>
        <w:rPr>
          <w:color w:val="B5082D"/>
          <w:sz w:val="24"/>
          <w:u w:val="single" w:color="B5082D"/>
        </w:rPr>
        <w:t>or</w:t>
      </w:r>
    </w:p>
    <w:p>
      <w:pPr>
        <w:pStyle w:val="ListParagraph"/>
        <w:numPr>
          <w:ilvl w:val="1"/>
          <w:numId w:val="4"/>
        </w:numPr>
        <w:tabs>
          <w:tab w:pos="2279" w:val="left" w:leader="none"/>
        </w:tabs>
        <w:spacing w:line="240" w:lineRule="auto" w:before="1" w:after="0"/>
        <w:ind w:left="2278" w:right="0" w:hanging="461"/>
        <w:jc w:val="left"/>
        <w:rPr>
          <w:color w:val="B5082D"/>
          <w:sz w:val="24"/>
        </w:rPr>
      </w:pPr>
      <w:r>
        <w:rPr>
          <w:color w:val="B5082D"/>
          <w:sz w:val="24"/>
          <w:u w:val="single" w:color="B5082D"/>
        </w:rPr>
        <w:t>the further period specified by the</w:t>
      </w:r>
      <w:r>
        <w:rPr>
          <w:color w:val="B5082D"/>
          <w:spacing w:val="-4"/>
          <w:sz w:val="24"/>
          <w:u w:val="single" w:color="B5082D"/>
        </w:rPr>
        <w:t> </w:t>
      </w:r>
      <w:r>
        <w:rPr>
          <w:color w:val="B5082D"/>
          <w:sz w:val="24"/>
          <w:u w:val="single" w:color="B5082D"/>
        </w:rPr>
        <w:t>Minister.</w:t>
      </w:r>
    </w:p>
    <w:p>
      <w:pPr>
        <w:pStyle w:val="BodyText"/>
        <w:spacing w:before="4"/>
        <w:rPr>
          <w:sz w:val="23"/>
        </w:rPr>
      </w:pPr>
    </w:p>
    <w:p>
      <w:pPr>
        <w:spacing w:line="276" w:lineRule="auto" w:before="90"/>
        <w:ind w:left="838" w:right="992" w:firstLine="0"/>
        <w:jc w:val="left"/>
        <w:rPr>
          <w:i/>
          <w:sz w:val="24"/>
        </w:rPr>
      </w:pPr>
      <w:r>
        <w:rPr>
          <w:sz w:val="24"/>
        </w:rPr>
        <w:t>[</w:t>
      </w:r>
      <w:r>
        <w:rPr>
          <w:i/>
          <w:sz w:val="24"/>
        </w:rPr>
        <w:t>explanatory note for Telstra proposed change</w:t>
      </w:r>
      <w:r>
        <w:rPr>
          <w:sz w:val="24"/>
        </w:rPr>
        <w:t>: </w:t>
      </w:r>
      <w:r>
        <w:rPr>
          <w:i/>
          <w:sz w:val="24"/>
        </w:rPr>
        <w:t>Telstra acknowledges that if it </w:t>
      </w:r>
      <w:r>
        <w:rPr>
          <w:i/>
          <w:sz w:val="24"/>
        </w:rPr>
        <w:t>is able to complete a sale of the networks, the end date for the exemption is not a fixed date and so there needs to be some certainty about the maximum timeframe within which customer transition is to be completed. Telstra anticipates that a customer transition period could take between 12 and 24 months. However, the customer transition period will very much depend on the</w:t>
      </w:r>
      <w:r>
        <w:rPr>
          <w:i/>
          <w:w w:val="99"/>
          <w:sz w:val="24"/>
        </w:rPr>
        <w:t> </w:t>
      </w:r>
      <w:r>
        <w:rPr>
          <w:i/>
          <w:sz w:val="24"/>
        </w:rPr>
        <w:t>resources, capability and development times required by a new owner.</w:t>
      </w:r>
    </w:p>
    <w:p>
      <w:pPr>
        <w:spacing w:line="276" w:lineRule="auto" w:before="0"/>
        <w:ind w:left="838" w:right="1145" w:firstLine="0"/>
        <w:jc w:val="left"/>
        <w:rPr>
          <w:sz w:val="24"/>
        </w:rPr>
      </w:pPr>
      <w:r>
        <w:rPr>
          <w:i/>
          <w:sz w:val="24"/>
        </w:rPr>
        <w:t>Telstra’s experience of customer transitions also suggests that unanticipated </w:t>
      </w:r>
      <w:r>
        <w:rPr>
          <w:i/>
          <w:sz w:val="24"/>
        </w:rPr>
        <w:t>issues and challenges will arise and that this may result in delays as solutions are developed. Telstra proposes some built-in flexibility by setting a basic period of two and a half years, but if major difficulties arise, the Minister has the power to give a further period.</w:t>
      </w:r>
      <w:r>
        <w:rPr>
          <w:sz w:val="24"/>
        </w:rPr>
        <w:t>]</w:t>
      </w:r>
    </w:p>
    <w:p>
      <w:pPr>
        <w:spacing w:after="0" w:line="276" w:lineRule="auto"/>
        <w:jc w:val="left"/>
        <w:rPr>
          <w:sz w:val="24"/>
        </w:rPr>
        <w:sectPr>
          <w:pgSz w:w="11910" w:h="16840"/>
          <w:pgMar w:header="729" w:footer="1061" w:top="1580" w:bottom="1260" w:left="1680" w:right="740"/>
        </w:sectPr>
      </w:pPr>
    </w:p>
    <w:p>
      <w:pPr>
        <w:pStyle w:val="BodyText"/>
        <w:spacing w:before="9"/>
        <w:rPr>
          <w:sz w:val="11"/>
        </w:rPr>
      </w:pPr>
    </w:p>
    <w:p>
      <w:pPr>
        <w:pStyle w:val="Heading2"/>
        <w:ind w:left="1111" w:firstLine="0"/>
      </w:pPr>
      <w:r>
        <w:rPr>
          <w:strike/>
          <w:color w:val="B5082D"/>
          <w:w w:val="99"/>
        </w:rPr>
        <w:t>5</w:t>
      </w:r>
    </w:p>
    <w:p>
      <w:pPr>
        <w:pStyle w:val="BodyText"/>
        <w:rPr>
          <w:rFonts w:ascii="Arial"/>
          <w:b/>
          <w:sz w:val="20"/>
        </w:rPr>
      </w:pPr>
    </w:p>
    <w:p>
      <w:pPr>
        <w:spacing w:before="211"/>
        <w:ind w:left="259" w:right="0" w:firstLine="0"/>
        <w:jc w:val="left"/>
        <w:rPr>
          <w:rFonts w:ascii="Arial" w:hAnsi="Arial"/>
          <w:b/>
          <w:sz w:val="26"/>
        </w:rPr>
      </w:pPr>
      <w:r>
        <w:rPr>
          <w:rFonts w:ascii="Arial" w:hAnsi="Arial"/>
          <w:b/>
          <w:strike/>
          <w:color w:val="1B9CAB"/>
          <w:sz w:val="26"/>
        </w:rPr>
        <w:t>6</w:t>
      </w:r>
      <w:r>
        <w:rPr>
          <w:rFonts w:ascii="Arial" w:hAnsi="Arial"/>
          <w:b/>
          <w:strike w:val="0"/>
          <w:color w:val="1B9CAB"/>
          <w:sz w:val="26"/>
          <w:u w:val="thick" w:color="1B9CAB"/>
        </w:rPr>
        <w:t>5</w:t>
      </w:r>
      <w:r>
        <w:rPr>
          <w:rFonts w:ascii="Arial" w:hAnsi="Arial"/>
          <w:b/>
          <w:strike w:val="0"/>
          <w:color w:val="1B9CAB"/>
          <w:sz w:val="26"/>
        </w:rPr>
        <w:t> </w:t>
      </w:r>
      <w:r>
        <w:rPr>
          <w:rFonts w:ascii="Arial" w:hAnsi="Arial"/>
          <w:b/>
          <w:strike w:val="0"/>
          <w:sz w:val="27"/>
        </w:rPr>
        <w:t>Schedule 1 – </w:t>
      </w:r>
      <w:r>
        <w:rPr>
          <w:rFonts w:ascii="Arial" w:hAnsi="Arial"/>
          <w:b/>
          <w:strike w:val="0"/>
          <w:sz w:val="26"/>
        </w:rPr>
        <w:t>Map</w:t>
      </w:r>
    </w:p>
    <w:p>
      <w:pPr>
        <w:pStyle w:val="BodyText"/>
        <w:rPr>
          <w:rFonts w:ascii="Arial"/>
          <w:b/>
          <w:sz w:val="20"/>
        </w:rPr>
      </w:pPr>
    </w:p>
    <w:p>
      <w:pPr>
        <w:pStyle w:val="BodyText"/>
        <w:spacing w:before="6"/>
        <w:rPr>
          <w:rFonts w:ascii="Arial"/>
          <w:b/>
          <w:sz w:val="29"/>
        </w:rPr>
      </w:pPr>
      <w:r>
        <w:rPr/>
        <w:drawing>
          <wp:anchor distT="0" distB="0" distL="0" distR="0" allowOverlap="1" layoutInCell="1" locked="0" behindDoc="0" simplePos="0" relativeHeight="1552">
            <wp:simplePos x="0" y="0"/>
            <wp:positionH relativeFrom="page">
              <wp:posOffset>1720110</wp:posOffset>
            </wp:positionH>
            <wp:positionV relativeFrom="paragraph">
              <wp:posOffset>240372</wp:posOffset>
            </wp:positionV>
            <wp:extent cx="5299658" cy="6510528"/>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99658" cy="6510528"/>
                    </a:xfrm>
                    <a:prstGeom prst="rect">
                      <a:avLst/>
                    </a:prstGeom>
                  </pic:spPr>
                </pic:pic>
              </a:graphicData>
            </a:graphic>
          </wp:anchor>
        </w:drawing>
      </w:r>
    </w:p>
    <w:sectPr>
      <w:pgSz w:w="11910" w:h="16840"/>
      <w:pgMar w:header="729" w:footer="1061" w:top="1580" w:bottom="1260" w:left="16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540009pt;margin-top:777.882629pt;width:10pt;height:15.3pt;mso-position-horizontal-relative:page;mso-position-vertical-relative:page;z-index:-5896" type="#_x0000_t202" filled="false" stroked="false">
          <v:textbox inset="0,0,0,0">
            <w:txbxContent>
              <w:p>
                <w:pPr>
                  <w:pStyle w:val="BodyText"/>
                  <w:spacing w:before="10"/>
                  <w:ind w:left="40"/>
                </w:pP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11.580002pt;margin-top:35.466625pt;width:372.2pt;height:42.9pt;mso-position-horizontal-relative:page;mso-position-vertical-relative:page;z-index:-5920" type="#_x0000_t202" filled="false" stroked="false">
          <v:textbox inset="0,0,0,0">
            <w:txbxContent>
              <w:p>
                <w:pPr>
                  <w:spacing w:before="10"/>
                  <w:ind w:left="20" w:right="18" w:firstLine="0"/>
                  <w:jc w:val="center"/>
                  <w:rPr>
                    <w:i/>
                    <w:sz w:val="24"/>
                  </w:rPr>
                </w:pPr>
                <w:r>
                  <w:rPr>
                    <w:i/>
                    <w:sz w:val="24"/>
                  </w:rPr>
                  <w:t>Telecommunications (Network Exemption—Telstra South Brisbane Network) </w:t>
                </w:r>
                <w:r>
                  <w:rPr>
                    <w:i/>
                    <w:sz w:val="24"/>
                  </w:rPr>
                  <w:t>Instrument 2012 (as amended)</w:t>
                </w:r>
              </w:p>
              <w:p>
                <w:pPr>
                  <w:spacing w:before="0"/>
                  <w:ind w:left="19" w:right="18" w:firstLine="0"/>
                  <w:jc w:val="center"/>
                  <w:rPr>
                    <w:i/>
                    <w:sz w:val="24"/>
                  </w:rPr>
                </w:pPr>
                <w:r>
                  <w:rPr>
                    <w:i/>
                    <w:sz w:val="24"/>
                  </w:rPr>
                  <w:t>- Consolidated version prepared 7 June 2018</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3"/>
      <w:numFmt w:val="lowerLetter"/>
      <w:lvlText w:val="(%1)"/>
      <w:lvlJc w:val="left"/>
      <w:pPr>
        <w:ind w:left="1436" w:hanging="325"/>
        <w:jc w:val="left"/>
      </w:pPr>
      <w:rPr>
        <w:rFonts w:hint="default" w:ascii="Times New Roman" w:hAnsi="Times New Roman" w:eastAsia="Times New Roman" w:cs="Times New Roman"/>
        <w:spacing w:val="-2"/>
        <w:w w:val="99"/>
        <w:sz w:val="24"/>
        <w:szCs w:val="24"/>
        <w:lang w:val="en-au" w:eastAsia="en-au" w:bidi="en-au"/>
      </w:rPr>
    </w:lvl>
    <w:lvl w:ilvl="1">
      <w:start w:val="1"/>
      <w:numFmt w:val="lowerRoman"/>
      <w:lvlText w:val="(%2)"/>
      <w:lvlJc w:val="left"/>
      <w:pPr>
        <w:ind w:left="2278" w:hanging="721"/>
        <w:jc w:val="left"/>
      </w:pPr>
      <w:rPr>
        <w:rFonts w:hint="default" w:ascii="Times New Roman" w:hAnsi="Times New Roman" w:eastAsia="Times New Roman" w:cs="Times New Roman"/>
        <w:spacing w:val="-2"/>
        <w:w w:val="99"/>
        <w:sz w:val="24"/>
        <w:szCs w:val="24"/>
        <w:lang w:val="en-au" w:eastAsia="en-au" w:bidi="en-au"/>
      </w:rPr>
    </w:lvl>
    <w:lvl w:ilvl="2">
      <w:start w:val="1"/>
      <w:numFmt w:val="upperLetter"/>
      <w:lvlText w:val="(%3)"/>
      <w:lvlJc w:val="left"/>
      <w:pPr>
        <w:ind w:left="3358" w:hanging="360"/>
        <w:jc w:val="left"/>
      </w:pPr>
      <w:rPr>
        <w:rFonts w:hint="default" w:ascii="Times New Roman" w:hAnsi="Times New Roman" w:eastAsia="Times New Roman" w:cs="Times New Roman"/>
        <w:spacing w:val="-2"/>
        <w:w w:val="99"/>
        <w:sz w:val="24"/>
        <w:szCs w:val="24"/>
        <w:lang w:val="en-au" w:eastAsia="en-au" w:bidi="en-au"/>
      </w:rPr>
    </w:lvl>
    <w:lvl w:ilvl="3">
      <w:start w:val="0"/>
      <w:numFmt w:val="bullet"/>
      <w:lvlText w:val="•"/>
      <w:lvlJc w:val="left"/>
      <w:pPr>
        <w:ind w:left="4125" w:hanging="360"/>
      </w:pPr>
      <w:rPr>
        <w:rFonts w:hint="default"/>
        <w:lang w:val="en-au" w:eastAsia="en-au" w:bidi="en-au"/>
      </w:rPr>
    </w:lvl>
    <w:lvl w:ilvl="4">
      <w:start w:val="0"/>
      <w:numFmt w:val="bullet"/>
      <w:lvlText w:val="•"/>
      <w:lvlJc w:val="left"/>
      <w:pPr>
        <w:ind w:left="4891" w:hanging="360"/>
      </w:pPr>
      <w:rPr>
        <w:rFonts w:hint="default"/>
        <w:lang w:val="en-au" w:eastAsia="en-au" w:bidi="en-au"/>
      </w:rPr>
    </w:lvl>
    <w:lvl w:ilvl="5">
      <w:start w:val="0"/>
      <w:numFmt w:val="bullet"/>
      <w:lvlText w:val="•"/>
      <w:lvlJc w:val="left"/>
      <w:pPr>
        <w:ind w:left="5657" w:hanging="360"/>
      </w:pPr>
      <w:rPr>
        <w:rFonts w:hint="default"/>
        <w:lang w:val="en-au" w:eastAsia="en-au" w:bidi="en-au"/>
      </w:rPr>
    </w:lvl>
    <w:lvl w:ilvl="6">
      <w:start w:val="0"/>
      <w:numFmt w:val="bullet"/>
      <w:lvlText w:val="•"/>
      <w:lvlJc w:val="left"/>
      <w:pPr>
        <w:ind w:left="6423" w:hanging="360"/>
      </w:pPr>
      <w:rPr>
        <w:rFonts w:hint="default"/>
        <w:lang w:val="en-au" w:eastAsia="en-au" w:bidi="en-au"/>
      </w:rPr>
    </w:lvl>
    <w:lvl w:ilvl="7">
      <w:start w:val="0"/>
      <w:numFmt w:val="bullet"/>
      <w:lvlText w:val="•"/>
      <w:lvlJc w:val="left"/>
      <w:pPr>
        <w:ind w:left="7189" w:hanging="360"/>
      </w:pPr>
      <w:rPr>
        <w:rFonts w:hint="default"/>
        <w:lang w:val="en-au" w:eastAsia="en-au" w:bidi="en-au"/>
      </w:rPr>
    </w:lvl>
    <w:lvl w:ilvl="8">
      <w:start w:val="0"/>
      <w:numFmt w:val="bullet"/>
      <w:lvlText w:val="•"/>
      <w:lvlJc w:val="left"/>
      <w:pPr>
        <w:ind w:left="7954" w:hanging="360"/>
      </w:pPr>
      <w:rPr>
        <w:rFonts w:hint="default"/>
        <w:lang w:val="en-au" w:eastAsia="en-au" w:bidi="en-au"/>
      </w:rPr>
    </w:lvl>
  </w:abstractNum>
  <w:abstractNum w:abstractNumId="3">
    <w:multiLevelType w:val="hybridMultilevel"/>
    <w:lvl w:ilvl="0">
      <w:start w:val="1"/>
      <w:numFmt w:val="decimal"/>
      <w:lvlText w:val="(%1)"/>
      <w:lvlJc w:val="left"/>
      <w:pPr>
        <w:ind w:left="1111" w:hanging="428"/>
        <w:jc w:val="left"/>
      </w:pPr>
      <w:rPr>
        <w:rFonts w:hint="default"/>
        <w:spacing w:val="-2"/>
        <w:w w:val="100"/>
        <w:lang w:val="en-au" w:eastAsia="en-au" w:bidi="en-au"/>
      </w:rPr>
    </w:lvl>
    <w:lvl w:ilvl="1">
      <w:start w:val="1"/>
      <w:numFmt w:val="lowerLetter"/>
      <w:lvlText w:val="(%2)"/>
      <w:lvlJc w:val="left"/>
      <w:pPr>
        <w:ind w:left="2278" w:hanging="447"/>
        <w:jc w:val="left"/>
      </w:pPr>
      <w:rPr>
        <w:rFonts w:hint="default"/>
        <w:spacing w:val="-2"/>
        <w:w w:val="99"/>
        <w:u w:val="single" w:color="B5082D"/>
        <w:lang w:val="en-au" w:eastAsia="en-au" w:bidi="en-au"/>
      </w:rPr>
    </w:lvl>
    <w:lvl w:ilvl="2">
      <w:start w:val="0"/>
      <w:numFmt w:val="bullet"/>
      <w:lvlText w:val="•"/>
      <w:lvlJc w:val="left"/>
      <w:pPr>
        <w:ind w:left="2280" w:hanging="447"/>
      </w:pPr>
      <w:rPr>
        <w:rFonts w:hint="default"/>
        <w:lang w:val="en-au" w:eastAsia="en-au" w:bidi="en-au"/>
      </w:rPr>
    </w:lvl>
    <w:lvl w:ilvl="3">
      <w:start w:val="0"/>
      <w:numFmt w:val="bullet"/>
      <w:lvlText w:val="•"/>
      <w:lvlJc w:val="left"/>
      <w:pPr>
        <w:ind w:left="3180" w:hanging="447"/>
      </w:pPr>
      <w:rPr>
        <w:rFonts w:hint="default"/>
        <w:lang w:val="en-au" w:eastAsia="en-au" w:bidi="en-au"/>
      </w:rPr>
    </w:lvl>
    <w:lvl w:ilvl="4">
      <w:start w:val="0"/>
      <w:numFmt w:val="bullet"/>
      <w:lvlText w:val="•"/>
      <w:lvlJc w:val="left"/>
      <w:pPr>
        <w:ind w:left="4081" w:hanging="447"/>
      </w:pPr>
      <w:rPr>
        <w:rFonts w:hint="default"/>
        <w:lang w:val="en-au" w:eastAsia="en-au" w:bidi="en-au"/>
      </w:rPr>
    </w:lvl>
    <w:lvl w:ilvl="5">
      <w:start w:val="0"/>
      <w:numFmt w:val="bullet"/>
      <w:lvlText w:val="•"/>
      <w:lvlJc w:val="left"/>
      <w:pPr>
        <w:ind w:left="4982" w:hanging="447"/>
      </w:pPr>
      <w:rPr>
        <w:rFonts w:hint="default"/>
        <w:lang w:val="en-au" w:eastAsia="en-au" w:bidi="en-au"/>
      </w:rPr>
    </w:lvl>
    <w:lvl w:ilvl="6">
      <w:start w:val="0"/>
      <w:numFmt w:val="bullet"/>
      <w:lvlText w:val="•"/>
      <w:lvlJc w:val="left"/>
      <w:pPr>
        <w:ind w:left="5883" w:hanging="447"/>
      </w:pPr>
      <w:rPr>
        <w:rFonts w:hint="default"/>
        <w:lang w:val="en-au" w:eastAsia="en-au" w:bidi="en-au"/>
      </w:rPr>
    </w:lvl>
    <w:lvl w:ilvl="7">
      <w:start w:val="0"/>
      <w:numFmt w:val="bullet"/>
      <w:lvlText w:val="•"/>
      <w:lvlJc w:val="left"/>
      <w:pPr>
        <w:ind w:left="6784" w:hanging="447"/>
      </w:pPr>
      <w:rPr>
        <w:rFonts w:hint="default"/>
        <w:lang w:val="en-au" w:eastAsia="en-au" w:bidi="en-au"/>
      </w:rPr>
    </w:lvl>
    <w:lvl w:ilvl="8">
      <w:start w:val="0"/>
      <w:numFmt w:val="bullet"/>
      <w:lvlText w:val="•"/>
      <w:lvlJc w:val="left"/>
      <w:pPr>
        <w:ind w:left="7684" w:hanging="447"/>
      </w:pPr>
      <w:rPr>
        <w:rFonts w:hint="default"/>
        <w:lang w:val="en-au" w:eastAsia="en-au" w:bidi="en-au"/>
      </w:rPr>
    </w:lvl>
  </w:abstractNum>
  <w:abstractNum w:abstractNumId="2">
    <w:multiLevelType w:val="hybridMultilevel"/>
    <w:lvl w:ilvl="0">
      <w:start w:val="0"/>
      <w:numFmt w:val="bullet"/>
      <w:lvlText w:val=""/>
      <w:lvlJc w:val="left"/>
      <w:pPr>
        <w:ind w:left="1918" w:hanging="360"/>
      </w:pPr>
      <w:rPr>
        <w:rFonts w:hint="default"/>
        <w:w w:val="99"/>
        <w:lang w:val="en-au" w:eastAsia="en-au" w:bidi="en-au"/>
      </w:rPr>
    </w:lvl>
    <w:lvl w:ilvl="1">
      <w:start w:val="0"/>
      <w:numFmt w:val="bullet"/>
      <w:lvlText w:val="•"/>
      <w:lvlJc w:val="left"/>
      <w:pPr>
        <w:ind w:left="2676" w:hanging="360"/>
      </w:pPr>
      <w:rPr>
        <w:rFonts w:hint="default"/>
        <w:lang w:val="en-au" w:eastAsia="en-au" w:bidi="en-au"/>
      </w:rPr>
    </w:lvl>
    <w:lvl w:ilvl="2">
      <w:start w:val="0"/>
      <w:numFmt w:val="bullet"/>
      <w:lvlText w:val="•"/>
      <w:lvlJc w:val="left"/>
      <w:pPr>
        <w:ind w:left="3433" w:hanging="360"/>
      </w:pPr>
      <w:rPr>
        <w:rFonts w:hint="default"/>
        <w:lang w:val="en-au" w:eastAsia="en-au" w:bidi="en-au"/>
      </w:rPr>
    </w:lvl>
    <w:lvl w:ilvl="3">
      <w:start w:val="0"/>
      <w:numFmt w:val="bullet"/>
      <w:lvlText w:val="•"/>
      <w:lvlJc w:val="left"/>
      <w:pPr>
        <w:ind w:left="4189" w:hanging="360"/>
      </w:pPr>
      <w:rPr>
        <w:rFonts w:hint="default"/>
        <w:lang w:val="en-au" w:eastAsia="en-au" w:bidi="en-au"/>
      </w:rPr>
    </w:lvl>
    <w:lvl w:ilvl="4">
      <w:start w:val="0"/>
      <w:numFmt w:val="bullet"/>
      <w:lvlText w:val="•"/>
      <w:lvlJc w:val="left"/>
      <w:pPr>
        <w:ind w:left="4946" w:hanging="360"/>
      </w:pPr>
      <w:rPr>
        <w:rFonts w:hint="default"/>
        <w:lang w:val="en-au" w:eastAsia="en-au" w:bidi="en-au"/>
      </w:rPr>
    </w:lvl>
    <w:lvl w:ilvl="5">
      <w:start w:val="0"/>
      <w:numFmt w:val="bullet"/>
      <w:lvlText w:val="•"/>
      <w:lvlJc w:val="left"/>
      <w:pPr>
        <w:ind w:left="5703" w:hanging="360"/>
      </w:pPr>
      <w:rPr>
        <w:rFonts w:hint="default"/>
        <w:lang w:val="en-au" w:eastAsia="en-au" w:bidi="en-au"/>
      </w:rPr>
    </w:lvl>
    <w:lvl w:ilvl="6">
      <w:start w:val="0"/>
      <w:numFmt w:val="bullet"/>
      <w:lvlText w:val="•"/>
      <w:lvlJc w:val="left"/>
      <w:pPr>
        <w:ind w:left="6459" w:hanging="360"/>
      </w:pPr>
      <w:rPr>
        <w:rFonts w:hint="default"/>
        <w:lang w:val="en-au" w:eastAsia="en-au" w:bidi="en-au"/>
      </w:rPr>
    </w:lvl>
    <w:lvl w:ilvl="7">
      <w:start w:val="0"/>
      <w:numFmt w:val="bullet"/>
      <w:lvlText w:val="•"/>
      <w:lvlJc w:val="left"/>
      <w:pPr>
        <w:ind w:left="7216" w:hanging="360"/>
      </w:pPr>
      <w:rPr>
        <w:rFonts w:hint="default"/>
        <w:lang w:val="en-au" w:eastAsia="en-au" w:bidi="en-au"/>
      </w:rPr>
    </w:lvl>
    <w:lvl w:ilvl="8">
      <w:start w:val="0"/>
      <w:numFmt w:val="bullet"/>
      <w:lvlText w:val="•"/>
      <w:lvlJc w:val="left"/>
      <w:pPr>
        <w:ind w:left="7973" w:hanging="360"/>
      </w:pPr>
      <w:rPr>
        <w:rFonts w:hint="default"/>
        <w:lang w:val="en-au" w:eastAsia="en-au" w:bidi="en-au"/>
      </w:rPr>
    </w:lvl>
  </w:abstractNum>
  <w:abstractNum w:abstractNumId="1">
    <w:multiLevelType w:val="hybridMultilevel"/>
    <w:lvl w:ilvl="0">
      <w:start w:val="1"/>
      <w:numFmt w:val="lowerLetter"/>
      <w:lvlText w:val="(%1)"/>
      <w:lvlJc w:val="left"/>
      <w:pPr>
        <w:ind w:left="2278" w:hanging="447"/>
        <w:jc w:val="left"/>
      </w:pPr>
      <w:rPr>
        <w:rFonts w:hint="default" w:ascii="Times New Roman" w:hAnsi="Times New Roman" w:eastAsia="Times New Roman" w:cs="Times New Roman"/>
        <w:spacing w:val="-2"/>
        <w:w w:val="100"/>
        <w:sz w:val="24"/>
        <w:szCs w:val="24"/>
        <w:lang w:val="en-au" w:eastAsia="en-au" w:bidi="en-au"/>
      </w:rPr>
    </w:lvl>
    <w:lvl w:ilvl="1">
      <w:start w:val="1"/>
      <w:numFmt w:val="lowerRoman"/>
      <w:lvlText w:val="(%2)"/>
      <w:lvlJc w:val="left"/>
      <w:pPr>
        <w:ind w:left="2998" w:hanging="360"/>
        <w:jc w:val="left"/>
      </w:pPr>
      <w:rPr>
        <w:rFonts w:hint="default" w:ascii="Times New Roman" w:hAnsi="Times New Roman" w:eastAsia="Times New Roman" w:cs="Times New Roman"/>
        <w:spacing w:val="-2"/>
        <w:w w:val="99"/>
        <w:sz w:val="24"/>
        <w:szCs w:val="24"/>
        <w:lang w:val="en-au" w:eastAsia="en-au" w:bidi="en-au"/>
      </w:rPr>
    </w:lvl>
    <w:lvl w:ilvl="2">
      <w:start w:val="0"/>
      <w:numFmt w:val="bullet"/>
      <w:lvlText w:val="•"/>
      <w:lvlJc w:val="left"/>
      <w:pPr>
        <w:ind w:left="3720" w:hanging="360"/>
      </w:pPr>
      <w:rPr>
        <w:rFonts w:hint="default"/>
        <w:lang w:val="en-au" w:eastAsia="en-au" w:bidi="en-au"/>
      </w:rPr>
    </w:lvl>
    <w:lvl w:ilvl="3">
      <w:start w:val="0"/>
      <w:numFmt w:val="bullet"/>
      <w:lvlText w:val="•"/>
      <w:lvlJc w:val="left"/>
      <w:pPr>
        <w:ind w:left="4441" w:hanging="360"/>
      </w:pPr>
      <w:rPr>
        <w:rFonts w:hint="default"/>
        <w:lang w:val="en-au" w:eastAsia="en-au" w:bidi="en-au"/>
      </w:rPr>
    </w:lvl>
    <w:lvl w:ilvl="4">
      <w:start w:val="0"/>
      <w:numFmt w:val="bullet"/>
      <w:lvlText w:val="•"/>
      <w:lvlJc w:val="left"/>
      <w:pPr>
        <w:ind w:left="5162" w:hanging="360"/>
      </w:pPr>
      <w:rPr>
        <w:rFonts w:hint="default"/>
        <w:lang w:val="en-au" w:eastAsia="en-au" w:bidi="en-au"/>
      </w:rPr>
    </w:lvl>
    <w:lvl w:ilvl="5">
      <w:start w:val="0"/>
      <w:numFmt w:val="bullet"/>
      <w:lvlText w:val="•"/>
      <w:lvlJc w:val="left"/>
      <w:pPr>
        <w:ind w:left="5882" w:hanging="360"/>
      </w:pPr>
      <w:rPr>
        <w:rFonts w:hint="default"/>
        <w:lang w:val="en-au" w:eastAsia="en-au" w:bidi="en-au"/>
      </w:rPr>
    </w:lvl>
    <w:lvl w:ilvl="6">
      <w:start w:val="0"/>
      <w:numFmt w:val="bullet"/>
      <w:lvlText w:val="•"/>
      <w:lvlJc w:val="left"/>
      <w:pPr>
        <w:ind w:left="6603" w:hanging="360"/>
      </w:pPr>
      <w:rPr>
        <w:rFonts w:hint="default"/>
        <w:lang w:val="en-au" w:eastAsia="en-au" w:bidi="en-au"/>
      </w:rPr>
    </w:lvl>
    <w:lvl w:ilvl="7">
      <w:start w:val="0"/>
      <w:numFmt w:val="bullet"/>
      <w:lvlText w:val="•"/>
      <w:lvlJc w:val="left"/>
      <w:pPr>
        <w:ind w:left="7324" w:hanging="360"/>
      </w:pPr>
      <w:rPr>
        <w:rFonts w:hint="default"/>
        <w:lang w:val="en-au" w:eastAsia="en-au" w:bidi="en-au"/>
      </w:rPr>
    </w:lvl>
    <w:lvl w:ilvl="8">
      <w:start w:val="0"/>
      <w:numFmt w:val="bullet"/>
      <w:lvlText w:val="•"/>
      <w:lvlJc w:val="left"/>
      <w:pPr>
        <w:ind w:left="8044" w:hanging="360"/>
      </w:pPr>
      <w:rPr>
        <w:rFonts w:hint="default"/>
        <w:lang w:val="en-au" w:eastAsia="en-au" w:bidi="en-au"/>
      </w:rPr>
    </w:lvl>
  </w:abstractNum>
  <w:abstractNum w:abstractNumId="0">
    <w:multiLevelType w:val="hybridMultilevel"/>
    <w:lvl w:ilvl="0">
      <w:start w:val="1"/>
      <w:numFmt w:val="decimal"/>
      <w:lvlText w:val="%1"/>
      <w:lvlJc w:val="left"/>
      <w:pPr>
        <w:ind w:left="619" w:hanging="360"/>
        <w:jc w:val="left"/>
      </w:pPr>
      <w:rPr>
        <w:rFonts w:hint="default" w:ascii="Arial" w:hAnsi="Arial" w:eastAsia="Arial" w:cs="Arial"/>
        <w:b/>
        <w:bCs/>
        <w:w w:val="99"/>
        <w:sz w:val="26"/>
        <w:szCs w:val="26"/>
        <w:lang w:val="en-au" w:eastAsia="en-au" w:bidi="en-au"/>
      </w:rPr>
    </w:lvl>
    <w:lvl w:ilvl="1">
      <w:start w:val="1"/>
      <w:numFmt w:val="lowerLetter"/>
      <w:lvlText w:val="(%2)"/>
      <w:lvlJc w:val="left"/>
      <w:pPr>
        <w:ind w:left="2278" w:hanging="447"/>
        <w:jc w:val="left"/>
      </w:pPr>
      <w:rPr>
        <w:rFonts w:hint="default"/>
        <w:spacing w:val="-2"/>
        <w:w w:val="100"/>
        <w:lang w:val="en-au" w:eastAsia="en-au" w:bidi="en-au"/>
      </w:rPr>
    </w:lvl>
    <w:lvl w:ilvl="2">
      <w:start w:val="1"/>
      <w:numFmt w:val="lowerRoman"/>
      <w:lvlText w:val="(%3)"/>
      <w:lvlJc w:val="left"/>
      <w:pPr>
        <w:ind w:left="2998" w:hanging="360"/>
        <w:jc w:val="left"/>
      </w:pPr>
      <w:rPr>
        <w:rFonts w:hint="default" w:ascii="Times New Roman" w:hAnsi="Times New Roman" w:eastAsia="Times New Roman" w:cs="Times New Roman"/>
        <w:spacing w:val="-2"/>
        <w:w w:val="99"/>
        <w:sz w:val="24"/>
        <w:szCs w:val="24"/>
        <w:lang w:val="en-au" w:eastAsia="en-au" w:bidi="en-au"/>
      </w:rPr>
    </w:lvl>
    <w:lvl w:ilvl="3">
      <w:start w:val="0"/>
      <w:numFmt w:val="bullet"/>
      <w:lvlText w:val="•"/>
      <w:lvlJc w:val="left"/>
      <w:pPr>
        <w:ind w:left="3810" w:hanging="360"/>
      </w:pPr>
      <w:rPr>
        <w:rFonts w:hint="default"/>
        <w:lang w:val="en-au" w:eastAsia="en-au" w:bidi="en-au"/>
      </w:rPr>
    </w:lvl>
    <w:lvl w:ilvl="4">
      <w:start w:val="0"/>
      <w:numFmt w:val="bullet"/>
      <w:lvlText w:val="•"/>
      <w:lvlJc w:val="left"/>
      <w:pPr>
        <w:ind w:left="4621" w:hanging="360"/>
      </w:pPr>
      <w:rPr>
        <w:rFonts w:hint="default"/>
        <w:lang w:val="en-au" w:eastAsia="en-au" w:bidi="en-au"/>
      </w:rPr>
    </w:lvl>
    <w:lvl w:ilvl="5">
      <w:start w:val="0"/>
      <w:numFmt w:val="bullet"/>
      <w:lvlText w:val="•"/>
      <w:lvlJc w:val="left"/>
      <w:pPr>
        <w:ind w:left="5432" w:hanging="360"/>
      </w:pPr>
      <w:rPr>
        <w:rFonts w:hint="default"/>
        <w:lang w:val="en-au" w:eastAsia="en-au" w:bidi="en-au"/>
      </w:rPr>
    </w:lvl>
    <w:lvl w:ilvl="6">
      <w:start w:val="0"/>
      <w:numFmt w:val="bullet"/>
      <w:lvlText w:val="•"/>
      <w:lvlJc w:val="left"/>
      <w:pPr>
        <w:ind w:left="6243" w:hanging="360"/>
      </w:pPr>
      <w:rPr>
        <w:rFonts w:hint="default"/>
        <w:lang w:val="en-au" w:eastAsia="en-au" w:bidi="en-au"/>
      </w:rPr>
    </w:lvl>
    <w:lvl w:ilvl="7">
      <w:start w:val="0"/>
      <w:numFmt w:val="bullet"/>
      <w:lvlText w:val="•"/>
      <w:lvlJc w:val="left"/>
      <w:pPr>
        <w:ind w:left="7054" w:hanging="360"/>
      </w:pPr>
      <w:rPr>
        <w:rFonts w:hint="default"/>
        <w:lang w:val="en-au" w:eastAsia="en-au" w:bidi="en-au"/>
      </w:rPr>
    </w:lvl>
    <w:lvl w:ilvl="8">
      <w:start w:val="0"/>
      <w:numFmt w:val="bullet"/>
      <w:lvlText w:val="•"/>
      <w:lvlJc w:val="left"/>
      <w:pPr>
        <w:ind w:left="7864" w:hanging="360"/>
      </w:pPr>
      <w:rPr>
        <w:rFonts w:hint="default"/>
        <w:lang w:val="en-au" w:eastAsia="en-au" w:bidi="en-au"/>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au" w:eastAsia="en-au" w:bidi="en-au"/>
    </w:rPr>
  </w:style>
  <w:style w:styleId="BodyText" w:type="paragraph">
    <w:name w:val="Body Text"/>
    <w:basedOn w:val="Normal"/>
    <w:uiPriority w:val="1"/>
    <w:qFormat/>
    <w:pPr/>
    <w:rPr>
      <w:rFonts w:ascii="Times New Roman" w:hAnsi="Times New Roman" w:eastAsia="Times New Roman" w:cs="Times New Roman"/>
      <w:sz w:val="24"/>
      <w:szCs w:val="24"/>
      <w:lang w:val="en-au" w:eastAsia="en-au" w:bidi="en-au"/>
    </w:rPr>
  </w:style>
  <w:style w:styleId="Heading1" w:type="paragraph">
    <w:name w:val="Heading 1"/>
    <w:basedOn w:val="Normal"/>
    <w:uiPriority w:val="1"/>
    <w:qFormat/>
    <w:pPr>
      <w:ind w:left="511" w:right="1449"/>
      <w:jc w:val="center"/>
      <w:outlineLvl w:val="1"/>
    </w:pPr>
    <w:rPr>
      <w:rFonts w:ascii="Arial" w:hAnsi="Arial" w:eastAsia="Arial" w:cs="Arial"/>
      <w:b/>
      <w:bCs/>
      <w:sz w:val="36"/>
      <w:szCs w:val="36"/>
      <w:lang w:val="en-au" w:eastAsia="en-au" w:bidi="en-au"/>
    </w:rPr>
  </w:style>
  <w:style w:styleId="Heading2" w:type="paragraph">
    <w:name w:val="Heading 2"/>
    <w:basedOn w:val="Normal"/>
    <w:uiPriority w:val="1"/>
    <w:qFormat/>
    <w:pPr>
      <w:spacing w:before="91"/>
      <w:ind w:left="619" w:hanging="360"/>
      <w:outlineLvl w:val="2"/>
    </w:pPr>
    <w:rPr>
      <w:rFonts w:ascii="Arial" w:hAnsi="Arial" w:eastAsia="Arial" w:cs="Arial"/>
      <w:b/>
      <w:bCs/>
      <w:sz w:val="26"/>
      <w:szCs w:val="26"/>
      <w:lang w:val="en-au" w:eastAsia="en-au" w:bidi="en-au"/>
    </w:rPr>
  </w:style>
  <w:style w:styleId="Heading3" w:type="paragraph">
    <w:name w:val="Heading 3"/>
    <w:basedOn w:val="Normal"/>
    <w:uiPriority w:val="1"/>
    <w:qFormat/>
    <w:pPr>
      <w:spacing w:before="89"/>
      <w:ind w:left="2278" w:right="1256" w:hanging="483"/>
      <w:outlineLvl w:val="3"/>
    </w:pPr>
    <w:rPr>
      <w:rFonts w:ascii="Times New Roman" w:hAnsi="Times New Roman" w:eastAsia="Times New Roman" w:cs="Times New Roman"/>
      <w:sz w:val="26"/>
      <w:szCs w:val="26"/>
      <w:lang w:val="en-au" w:eastAsia="en-au" w:bidi="en-au"/>
    </w:rPr>
  </w:style>
  <w:style w:styleId="ListParagraph" w:type="paragraph">
    <w:name w:val="List Paragraph"/>
    <w:basedOn w:val="Normal"/>
    <w:uiPriority w:val="1"/>
    <w:qFormat/>
    <w:pPr>
      <w:ind w:left="2278" w:hanging="360"/>
    </w:pPr>
    <w:rPr>
      <w:rFonts w:ascii="Times New Roman" w:hAnsi="Times New Roman" w:eastAsia="Times New Roman" w:cs="Times New Roman"/>
      <w:lang w:val="en-au" w:eastAsia="en-au" w:bidi="en-au"/>
    </w:rPr>
  </w:style>
  <w:style w:styleId="TableParagraph" w:type="paragraph">
    <w:name w:val="Table Paragraph"/>
    <w:basedOn w:val="Normal"/>
    <w:uiPriority w:val="1"/>
    <w:qFormat/>
    <w:pPr/>
    <w:rPr>
      <w:lang w:val="en-au" w:eastAsia="en-au" w:bidi="en-a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claria</dc:creator>
  <dc:title>Telecommunications (Network ExemptionTelstra South Brisbane Network) Instrument 2012 (Consolidation as at 31 January 2018)</dc:title>
  <dcterms:created xsi:type="dcterms:W3CDTF">2020-05-19T02:51:24Z</dcterms:created>
  <dcterms:modified xsi:type="dcterms:W3CDTF">2020-05-19T02:51:24Z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Office 365</vt:lpwstr>
  </property>
  <property fmtid="{D5CDD505-2E9C-101B-9397-08002B2CF9AE}" pid="4" name="LastSaved">
    <vt:filetime>2020-05-19T00:00:00Z</vt:filetime>
  </property>
</Properties>
</file>