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FCD1E"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77FAE018" wp14:editId="6E73FBB1">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B3CBC3C" w14:textId="50902F5A" w:rsidR="00A7176A" w:rsidRDefault="00B63300" w:rsidP="00C61D2E">
      <w:pPr>
        <w:pStyle w:val="Heading1"/>
      </w:pPr>
      <w:r>
        <w:t xml:space="preserve">Review of </w:t>
      </w:r>
      <w:r w:rsidR="000C4007">
        <w:t>Australia’s .au domain</w:t>
      </w:r>
      <w:r w:rsidR="006926FF">
        <w:t xml:space="preserve"> management</w:t>
      </w:r>
    </w:p>
    <w:p w14:paraId="240E1673" w14:textId="74441D69" w:rsidR="00A7176A" w:rsidRPr="005621D9" w:rsidRDefault="0027078E" w:rsidP="003F2407">
      <w:pPr>
        <w:pStyle w:val="subtitleofdocument"/>
        <w:tabs>
          <w:tab w:val="left" w:pos="5775"/>
        </w:tabs>
      </w:pPr>
      <w:r>
        <w:t>D</w:t>
      </w:r>
      <w:bookmarkStart w:id="0" w:name="_GoBack"/>
      <w:bookmarkEnd w:id="0"/>
      <w:r w:rsidR="000C4007">
        <w:t>iscussion paper</w:t>
      </w:r>
    </w:p>
    <w:p w14:paraId="4B800CA6" w14:textId="77777777" w:rsidR="00A7176A" w:rsidRDefault="00D4372F" w:rsidP="00A7176A">
      <w:pPr>
        <w:pStyle w:val="Normal-monthyearforcoverpage"/>
      </w:pPr>
      <w:r>
        <w:t>November</w:t>
      </w:r>
      <w:r w:rsidR="000C4007">
        <w:t xml:space="preserve"> 2017</w:t>
      </w:r>
    </w:p>
    <w:p w14:paraId="0A72121A" w14:textId="77777777" w:rsidR="00A7176A" w:rsidRDefault="00A7176A" w:rsidP="00A7176A">
      <w:r>
        <w:br w:type="page"/>
      </w:r>
    </w:p>
    <w:p w14:paraId="552D2219" w14:textId="77777777" w:rsidR="00C53C30" w:rsidRPr="0009516A" w:rsidRDefault="00C53C30" w:rsidP="00C53C30">
      <w:pPr>
        <w:pStyle w:val="Heading2-notshowingincontentsindocument"/>
      </w:pPr>
      <w:r>
        <w:lastRenderedPageBreak/>
        <w:t>Disclaimer</w:t>
      </w:r>
    </w:p>
    <w:p w14:paraId="3F81EAD4" w14:textId="77777777" w:rsidR="00C53C30" w:rsidRPr="006628F3" w:rsidRDefault="00C53C30" w:rsidP="00C53C30">
      <w:r w:rsidRPr="006628F3">
        <w:t xml:space="preserve">The material in this </w:t>
      </w:r>
      <w:r w:rsidR="000C4007">
        <w:t>discussion paper</w:t>
      </w:r>
      <w:r w:rsidRPr="006628F3">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761AA75F" w14:textId="77777777" w:rsidR="00C53C30" w:rsidRPr="006628F3" w:rsidRDefault="00C53C30" w:rsidP="00C53C30">
      <w:r w:rsidRPr="006628F3">
        <w:t xml:space="preserve">The Commonwealth accepts no responsibility or liability for any damage, loss or expense incurred as a result of the reliance on information contained in this </w:t>
      </w:r>
      <w:r w:rsidR="000C4007">
        <w:t>discussion paper</w:t>
      </w:r>
      <w:r w:rsidRPr="006628F3">
        <w:t>.</w:t>
      </w:r>
    </w:p>
    <w:p w14:paraId="7793D7FA" w14:textId="77777777" w:rsidR="00C53C30" w:rsidRPr="006628F3" w:rsidRDefault="00C53C30" w:rsidP="00C53C30">
      <w:r w:rsidRPr="006628F3">
        <w:t xml:space="preserve">This </w:t>
      </w:r>
      <w:r w:rsidR="000C4007">
        <w:t xml:space="preserve">discussion paper </w:t>
      </w:r>
      <w:r w:rsidRPr="006628F3">
        <w:t xml:space="preserve">has been prepared for consultation purposes only and does not indicate the Commonwealth’s commitment to a particular course of action. Additionally, any third party views or recommendations included in this </w:t>
      </w:r>
      <w:r w:rsidR="000C4007">
        <w:t>discussion paper</w:t>
      </w:r>
      <w:r w:rsidRPr="006628F3">
        <w:t xml:space="preserve"> do not reflect the views of the Commonwealth, or indicate its commitment to a particular course of action.</w:t>
      </w:r>
    </w:p>
    <w:p w14:paraId="7DD18462" w14:textId="77777777" w:rsidR="00C53C30" w:rsidRPr="0009516A" w:rsidRDefault="00C53C30" w:rsidP="00C53C30">
      <w:pPr>
        <w:pStyle w:val="Heading2-notshowingincontentsindocument"/>
      </w:pPr>
      <w:r w:rsidRPr="0009516A">
        <w:t>Co</w:t>
      </w:r>
      <w:r>
        <w:t>pyright</w:t>
      </w:r>
    </w:p>
    <w:p w14:paraId="69D09976" w14:textId="77777777" w:rsidR="00C53C30" w:rsidRPr="006628F3" w:rsidRDefault="00C53C30" w:rsidP="00C53C30">
      <w:r w:rsidRPr="006628F3">
        <w:t xml:space="preserve">© Commonwealth of Australia </w:t>
      </w:r>
      <w:r w:rsidR="000C4007">
        <w:t>2017</w:t>
      </w:r>
    </w:p>
    <w:p w14:paraId="029C396F" w14:textId="77777777" w:rsidR="00C53C30" w:rsidRPr="006628F3" w:rsidRDefault="00C53C30" w:rsidP="00C53C30">
      <w:r w:rsidRPr="006628F3">
        <w:rPr>
          <w:noProof/>
          <w:lang w:eastAsia="zh-TW" w:bidi="hi-IN"/>
        </w:rPr>
        <w:drawing>
          <wp:inline distT="0" distB="0" distL="0" distR="0" wp14:anchorId="728BA29E" wp14:editId="71EA8833">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6628F3">
        <w:t>  The material in this discussion paper is licensed under a Creative Commons Attribution—</w:t>
      </w:r>
      <w:r w:rsidR="000C4007">
        <w:t>4</w:t>
      </w:r>
      <w:r w:rsidRPr="006628F3">
        <w:t>.0 Australia license, with the exception of:</w:t>
      </w:r>
    </w:p>
    <w:p w14:paraId="3E540A93" w14:textId="77777777" w:rsidR="00C53C30" w:rsidRPr="006628F3" w:rsidRDefault="00C53C30" w:rsidP="00DB219D">
      <w:pPr>
        <w:pStyle w:val="Bulletlevel1"/>
        <w:numPr>
          <w:ilvl w:val="0"/>
          <w:numId w:val="28"/>
        </w:numPr>
        <w:ind w:left="567" w:hanging="567"/>
      </w:pPr>
      <w:r>
        <w:t>the Commonwealth Coat of Arms</w:t>
      </w:r>
    </w:p>
    <w:p w14:paraId="39268C89" w14:textId="77777777" w:rsidR="00C53C30" w:rsidRPr="006628F3" w:rsidRDefault="00C53C30" w:rsidP="00DB219D">
      <w:pPr>
        <w:pStyle w:val="Bulletlevel1"/>
        <w:numPr>
          <w:ilvl w:val="0"/>
          <w:numId w:val="28"/>
        </w:numPr>
        <w:ind w:left="567" w:hanging="567"/>
      </w:pPr>
      <w:r w:rsidRPr="006628F3">
        <w:t>this Department’s logo</w:t>
      </w:r>
    </w:p>
    <w:p w14:paraId="16EA3A2A" w14:textId="77777777" w:rsidR="00C53C30" w:rsidRPr="006628F3" w:rsidRDefault="00C53C30" w:rsidP="00DB219D">
      <w:pPr>
        <w:pStyle w:val="Bulletlevel1"/>
        <w:numPr>
          <w:ilvl w:val="0"/>
          <w:numId w:val="28"/>
        </w:numPr>
        <w:ind w:left="567" w:hanging="567"/>
      </w:pPr>
      <w:r w:rsidRPr="006628F3">
        <w:t>any third party material</w:t>
      </w:r>
    </w:p>
    <w:p w14:paraId="32C6214B" w14:textId="77777777" w:rsidR="00C53C30" w:rsidRPr="006628F3" w:rsidRDefault="00C53C30" w:rsidP="00DB219D">
      <w:pPr>
        <w:pStyle w:val="Bulletlevel1"/>
        <w:numPr>
          <w:ilvl w:val="0"/>
          <w:numId w:val="28"/>
        </w:numPr>
        <w:ind w:left="567" w:hanging="567"/>
      </w:pPr>
      <w:r w:rsidRPr="006628F3">
        <w:t>any material protected by a trademark</w:t>
      </w:r>
      <w:r>
        <w:t>,</w:t>
      </w:r>
      <w:r w:rsidRPr="006628F3">
        <w:t xml:space="preserve"> and</w:t>
      </w:r>
    </w:p>
    <w:p w14:paraId="75F81162" w14:textId="77777777" w:rsidR="00C53C30" w:rsidRPr="006628F3" w:rsidRDefault="00C53C30" w:rsidP="00DB219D">
      <w:pPr>
        <w:pStyle w:val="Bulletlevel1"/>
        <w:numPr>
          <w:ilvl w:val="0"/>
          <w:numId w:val="28"/>
        </w:numPr>
        <w:ind w:left="567" w:hanging="567"/>
      </w:pPr>
      <w:proofErr w:type="gramStart"/>
      <w:r w:rsidRPr="006628F3">
        <w:t>any</w:t>
      </w:r>
      <w:proofErr w:type="gramEnd"/>
      <w:r w:rsidRPr="006628F3">
        <w:t xml:space="preserve"> images and/or photographs.</w:t>
      </w:r>
    </w:p>
    <w:p w14:paraId="48BFE652" w14:textId="77777777" w:rsidR="00C53C30" w:rsidRPr="006628F3" w:rsidRDefault="00C53C30" w:rsidP="00C53C30">
      <w:r w:rsidRPr="006628F3">
        <w:t xml:space="preserve">More information on this CC BY license is set out at the creative commons website: </w:t>
      </w:r>
      <w:hyperlink r:id="rId15" w:history="1">
        <w:r w:rsidRPr="006628F3">
          <w:rPr>
            <w:rStyle w:val="Hyperlink"/>
          </w:rPr>
          <w:t>www.creativecommons.org/licenses/by/3.0/au/</w:t>
        </w:r>
      </w:hyperlink>
      <w:r w:rsidRPr="006628F3">
        <w:t xml:space="preserve">. Enquiries about this license and any use of this discussion paper can be sent to: </w:t>
      </w:r>
      <w:r w:rsidR="000C4007">
        <w:t>The Project Office,</w:t>
      </w:r>
      <w:r w:rsidRPr="006628F3">
        <w:t xml:space="preserve"> Department of Communications and the Arts, GPO Box 2154, Canberra, ACT, 2601.</w:t>
      </w:r>
    </w:p>
    <w:p w14:paraId="04F3AC3D" w14:textId="77777777" w:rsidR="00C53C30" w:rsidRPr="0009516A" w:rsidRDefault="00C53C30" w:rsidP="00C53C30">
      <w:pPr>
        <w:pStyle w:val="Heading3-notshowingincontentsindocument"/>
      </w:pPr>
      <w:r w:rsidRPr="0009516A">
        <w:t>Attribution</w:t>
      </w:r>
    </w:p>
    <w:p w14:paraId="1323487A" w14:textId="77777777" w:rsidR="00C53C30" w:rsidRPr="006628F3" w:rsidRDefault="00C53C30" w:rsidP="00C53C30">
      <w:r w:rsidRPr="006628F3">
        <w:t xml:space="preserve">Use of all or part of this </w:t>
      </w:r>
      <w:r w:rsidR="000C4007">
        <w:t>discussion paper</w:t>
      </w:r>
      <w:r w:rsidRPr="006628F3">
        <w:t xml:space="preserve"> must include the following attribution:</w:t>
      </w:r>
    </w:p>
    <w:p w14:paraId="4BA01928" w14:textId="77777777" w:rsidR="00C53C30" w:rsidRDefault="00C53C30" w:rsidP="00C53C30">
      <w:pPr>
        <w:ind w:left="567"/>
      </w:pPr>
      <w:r w:rsidRPr="006628F3">
        <w:t xml:space="preserve">© Commonwealth of Australia </w:t>
      </w:r>
      <w:r w:rsidR="000C4007">
        <w:t>2017</w:t>
      </w:r>
    </w:p>
    <w:p w14:paraId="57F1ED25" w14:textId="77777777" w:rsidR="00C53C30" w:rsidRPr="0009516A" w:rsidRDefault="00C53C30" w:rsidP="00C53C30">
      <w:pPr>
        <w:pStyle w:val="Heading3-notshowingincontentsindocument"/>
      </w:pPr>
      <w:bookmarkStart w:id="1" w:name="_Toc356292524"/>
      <w:r w:rsidRPr="0009516A">
        <w:t>Using the Commonwealth Coat of Arms</w:t>
      </w:r>
      <w:bookmarkEnd w:id="1"/>
    </w:p>
    <w:p w14:paraId="77238792" w14:textId="77777777" w:rsidR="00C53C30" w:rsidRPr="006628F3" w:rsidRDefault="00C53C30" w:rsidP="00C53C30">
      <w:bookmarkStart w:id="2" w:name="_Toc356292525"/>
      <w:r w:rsidRPr="006628F3">
        <w:t xml:space="preserve">The terms of use for the Coat of Arms are available from the It’s an Honour website (see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2914D1CB" w14:textId="77777777" w:rsidR="00A7176A" w:rsidRDefault="00A7176A" w:rsidP="00A7176A">
      <w:r>
        <w:br w:type="page"/>
      </w:r>
    </w:p>
    <w:p w14:paraId="1EC12600" w14:textId="77777777" w:rsidR="00A7176A" w:rsidRPr="0009516A" w:rsidRDefault="00A7176A" w:rsidP="00A7176A">
      <w:pPr>
        <w:pStyle w:val="Heading2-notshowingincontentsindocument"/>
      </w:pPr>
      <w:r w:rsidRPr="0009516A">
        <w:lastRenderedPageBreak/>
        <w:t>Contents</w:t>
      </w:r>
    </w:p>
    <w:p w14:paraId="72DB8BE3" w14:textId="77777777" w:rsidR="00BA3AD9" w:rsidRDefault="00540B2F">
      <w:pPr>
        <w:pStyle w:val="TOC1"/>
        <w:tabs>
          <w:tab w:val="right" w:leader="dot" w:pos="9323"/>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97833480" w:history="1">
        <w:r w:rsidR="00BA3AD9" w:rsidRPr="00A1788B">
          <w:rPr>
            <w:rStyle w:val="Hyperlink"/>
            <w:noProof/>
          </w:rPr>
          <w:t>Introduction</w:t>
        </w:r>
        <w:r w:rsidR="00BA3AD9">
          <w:rPr>
            <w:noProof/>
            <w:webHidden/>
          </w:rPr>
          <w:tab/>
        </w:r>
        <w:r w:rsidR="00BA3AD9">
          <w:rPr>
            <w:noProof/>
            <w:webHidden/>
          </w:rPr>
          <w:fldChar w:fldCharType="begin"/>
        </w:r>
        <w:r w:rsidR="00BA3AD9">
          <w:rPr>
            <w:noProof/>
            <w:webHidden/>
          </w:rPr>
          <w:instrText xml:space="preserve"> PAGEREF _Toc497833480 \h </w:instrText>
        </w:r>
        <w:r w:rsidR="00BA3AD9">
          <w:rPr>
            <w:noProof/>
            <w:webHidden/>
          </w:rPr>
        </w:r>
        <w:r w:rsidR="00BA3AD9">
          <w:rPr>
            <w:noProof/>
            <w:webHidden/>
          </w:rPr>
          <w:fldChar w:fldCharType="separate"/>
        </w:r>
        <w:r w:rsidR="003B5A93">
          <w:rPr>
            <w:noProof/>
            <w:webHidden/>
          </w:rPr>
          <w:t>4</w:t>
        </w:r>
        <w:r w:rsidR="00BA3AD9">
          <w:rPr>
            <w:noProof/>
            <w:webHidden/>
          </w:rPr>
          <w:fldChar w:fldCharType="end"/>
        </w:r>
      </w:hyperlink>
    </w:p>
    <w:p w14:paraId="6B928503" w14:textId="77777777" w:rsidR="00BA3AD9" w:rsidRDefault="0027078E">
      <w:pPr>
        <w:pStyle w:val="TOC2"/>
        <w:tabs>
          <w:tab w:val="right" w:leader="dot" w:pos="9323"/>
        </w:tabs>
        <w:rPr>
          <w:rFonts w:eastAsiaTheme="minorEastAsia"/>
          <w:noProof/>
          <w:lang w:eastAsia="en-AU"/>
        </w:rPr>
      </w:pPr>
      <w:hyperlink w:anchor="_Toc497833481" w:history="1">
        <w:r w:rsidR="00BA3AD9" w:rsidRPr="00A1788B">
          <w:rPr>
            <w:rStyle w:val="Hyperlink"/>
            <w:noProof/>
          </w:rPr>
          <w:t>Why a review?</w:t>
        </w:r>
        <w:r w:rsidR="00BA3AD9">
          <w:rPr>
            <w:noProof/>
            <w:webHidden/>
          </w:rPr>
          <w:tab/>
        </w:r>
        <w:r w:rsidR="00BA3AD9">
          <w:rPr>
            <w:noProof/>
            <w:webHidden/>
          </w:rPr>
          <w:fldChar w:fldCharType="begin"/>
        </w:r>
        <w:r w:rsidR="00BA3AD9">
          <w:rPr>
            <w:noProof/>
            <w:webHidden/>
          </w:rPr>
          <w:instrText xml:space="preserve"> PAGEREF _Toc497833481 \h </w:instrText>
        </w:r>
        <w:r w:rsidR="00BA3AD9">
          <w:rPr>
            <w:noProof/>
            <w:webHidden/>
          </w:rPr>
        </w:r>
        <w:r w:rsidR="00BA3AD9">
          <w:rPr>
            <w:noProof/>
            <w:webHidden/>
          </w:rPr>
          <w:fldChar w:fldCharType="separate"/>
        </w:r>
        <w:r w:rsidR="003B5A93">
          <w:rPr>
            <w:noProof/>
            <w:webHidden/>
          </w:rPr>
          <w:t>4</w:t>
        </w:r>
        <w:r w:rsidR="00BA3AD9">
          <w:rPr>
            <w:noProof/>
            <w:webHidden/>
          </w:rPr>
          <w:fldChar w:fldCharType="end"/>
        </w:r>
      </w:hyperlink>
    </w:p>
    <w:p w14:paraId="6F05C68A" w14:textId="77777777" w:rsidR="00BA3AD9" w:rsidRDefault="0027078E">
      <w:pPr>
        <w:pStyle w:val="TOC2"/>
        <w:tabs>
          <w:tab w:val="right" w:leader="dot" w:pos="9323"/>
        </w:tabs>
        <w:rPr>
          <w:rFonts w:eastAsiaTheme="minorEastAsia"/>
          <w:noProof/>
          <w:lang w:eastAsia="en-AU"/>
        </w:rPr>
      </w:pPr>
      <w:hyperlink w:anchor="_Toc497833482" w:history="1">
        <w:r w:rsidR="00BA3AD9" w:rsidRPr="00A1788B">
          <w:rPr>
            <w:rStyle w:val="Hyperlink"/>
            <w:noProof/>
          </w:rPr>
          <w:t>Terms of reference</w:t>
        </w:r>
        <w:r w:rsidR="00BA3AD9">
          <w:rPr>
            <w:noProof/>
            <w:webHidden/>
          </w:rPr>
          <w:tab/>
        </w:r>
        <w:r w:rsidR="00BA3AD9">
          <w:rPr>
            <w:noProof/>
            <w:webHidden/>
          </w:rPr>
          <w:fldChar w:fldCharType="begin"/>
        </w:r>
        <w:r w:rsidR="00BA3AD9">
          <w:rPr>
            <w:noProof/>
            <w:webHidden/>
          </w:rPr>
          <w:instrText xml:space="preserve"> PAGEREF _Toc497833482 \h </w:instrText>
        </w:r>
        <w:r w:rsidR="00BA3AD9">
          <w:rPr>
            <w:noProof/>
            <w:webHidden/>
          </w:rPr>
        </w:r>
        <w:r w:rsidR="00BA3AD9">
          <w:rPr>
            <w:noProof/>
            <w:webHidden/>
          </w:rPr>
          <w:fldChar w:fldCharType="separate"/>
        </w:r>
        <w:r w:rsidR="003B5A93">
          <w:rPr>
            <w:noProof/>
            <w:webHidden/>
          </w:rPr>
          <w:t>5</w:t>
        </w:r>
        <w:r w:rsidR="00BA3AD9">
          <w:rPr>
            <w:noProof/>
            <w:webHidden/>
          </w:rPr>
          <w:fldChar w:fldCharType="end"/>
        </w:r>
      </w:hyperlink>
    </w:p>
    <w:p w14:paraId="4B9E7F1D" w14:textId="77777777" w:rsidR="00BA3AD9" w:rsidRDefault="0027078E">
      <w:pPr>
        <w:pStyle w:val="TOC2"/>
        <w:tabs>
          <w:tab w:val="right" w:leader="dot" w:pos="9323"/>
        </w:tabs>
        <w:rPr>
          <w:rFonts w:eastAsiaTheme="minorEastAsia"/>
          <w:noProof/>
          <w:lang w:eastAsia="en-AU"/>
        </w:rPr>
      </w:pPr>
      <w:hyperlink w:anchor="_Toc497833483" w:history="1">
        <w:r w:rsidR="00BA3AD9" w:rsidRPr="00A1788B">
          <w:rPr>
            <w:rStyle w:val="Hyperlink"/>
            <w:noProof/>
          </w:rPr>
          <w:t>Structure of this paper</w:t>
        </w:r>
        <w:r w:rsidR="00BA3AD9">
          <w:rPr>
            <w:noProof/>
            <w:webHidden/>
          </w:rPr>
          <w:tab/>
        </w:r>
        <w:r w:rsidR="00BA3AD9">
          <w:rPr>
            <w:noProof/>
            <w:webHidden/>
          </w:rPr>
          <w:fldChar w:fldCharType="begin"/>
        </w:r>
        <w:r w:rsidR="00BA3AD9">
          <w:rPr>
            <w:noProof/>
            <w:webHidden/>
          </w:rPr>
          <w:instrText xml:space="preserve"> PAGEREF _Toc497833483 \h </w:instrText>
        </w:r>
        <w:r w:rsidR="00BA3AD9">
          <w:rPr>
            <w:noProof/>
            <w:webHidden/>
          </w:rPr>
        </w:r>
        <w:r w:rsidR="00BA3AD9">
          <w:rPr>
            <w:noProof/>
            <w:webHidden/>
          </w:rPr>
          <w:fldChar w:fldCharType="separate"/>
        </w:r>
        <w:r w:rsidR="003B5A93">
          <w:rPr>
            <w:noProof/>
            <w:webHidden/>
          </w:rPr>
          <w:t>5</w:t>
        </w:r>
        <w:r w:rsidR="00BA3AD9">
          <w:rPr>
            <w:noProof/>
            <w:webHidden/>
          </w:rPr>
          <w:fldChar w:fldCharType="end"/>
        </w:r>
      </w:hyperlink>
    </w:p>
    <w:p w14:paraId="1A7F536E" w14:textId="77777777" w:rsidR="00BA3AD9" w:rsidRDefault="0027078E">
      <w:pPr>
        <w:pStyle w:val="TOC1"/>
        <w:tabs>
          <w:tab w:val="right" w:leader="dot" w:pos="9323"/>
        </w:tabs>
        <w:rPr>
          <w:rFonts w:eastAsiaTheme="minorEastAsia"/>
          <w:b w:val="0"/>
          <w:noProof/>
          <w:color w:val="auto"/>
          <w:sz w:val="22"/>
          <w:lang w:eastAsia="en-AU"/>
        </w:rPr>
      </w:pPr>
      <w:hyperlink w:anchor="_Toc497833484" w:history="1">
        <w:r w:rsidR="00BA3AD9" w:rsidRPr="00A1788B">
          <w:rPr>
            <w:rStyle w:val="Hyperlink"/>
            <w:noProof/>
          </w:rPr>
          <w:t>Background</w:t>
        </w:r>
        <w:r w:rsidR="00BA3AD9">
          <w:rPr>
            <w:noProof/>
            <w:webHidden/>
          </w:rPr>
          <w:tab/>
        </w:r>
        <w:r w:rsidR="00BA3AD9">
          <w:rPr>
            <w:noProof/>
            <w:webHidden/>
          </w:rPr>
          <w:fldChar w:fldCharType="begin"/>
        </w:r>
        <w:r w:rsidR="00BA3AD9">
          <w:rPr>
            <w:noProof/>
            <w:webHidden/>
          </w:rPr>
          <w:instrText xml:space="preserve"> PAGEREF _Toc497833484 \h </w:instrText>
        </w:r>
        <w:r w:rsidR="00BA3AD9">
          <w:rPr>
            <w:noProof/>
            <w:webHidden/>
          </w:rPr>
        </w:r>
        <w:r w:rsidR="00BA3AD9">
          <w:rPr>
            <w:noProof/>
            <w:webHidden/>
          </w:rPr>
          <w:fldChar w:fldCharType="separate"/>
        </w:r>
        <w:r w:rsidR="003B5A93">
          <w:rPr>
            <w:noProof/>
            <w:webHidden/>
          </w:rPr>
          <w:t>6</w:t>
        </w:r>
        <w:r w:rsidR="00BA3AD9">
          <w:rPr>
            <w:noProof/>
            <w:webHidden/>
          </w:rPr>
          <w:fldChar w:fldCharType="end"/>
        </w:r>
      </w:hyperlink>
    </w:p>
    <w:p w14:paraId="21B058E9" w14:textId="77777777" w:rsidR="00BA3AD9" w:rsidRDefault="0027078E">
      <w:pPr>
        <w:pStyle w:val="TOC2"/>
        <w:tabs>
          <w:tab w:val="right" w:leader="dot" w:pos="9323"/>
        </w:tabs>
        <w:rPr>
          <w:rFonts w:eastAsiaTheme="minorEastAsia"/>
          <w:noProof/>
          <w:lang w:eastAsia="en-AU"/>
        </w:rPr>
      </w:pPr>
      <w:hyperlink w:anchor="_Toc497833485" w:history="1">
        <w:r w:rsidR="00BA3AD9" w:rsidRPr="00A1788B">
          <w:rPr>
            <w:rStyle w:val="Hyperlink"/>
            <w:noProof/>
          </w:rPr>
          <w:t>Internet Governance</w:t>
        </w:r>
        <w:r w:rsidR="00BA3AD9">
          <w:rPr>
            <w:noProof/>
            <w:webHidden/>
          </w:rPr>
          <w:tab/>
        </w:r>
        <w:r w:rsidR="00BA3AD9">
          <w:rPr>
            <w:noProof/>
            <w:webHidden/>
          </w:rPr>
          <w:fldChar w:fldCharType="begin"/>
        </w:r>
        <w:r w:rsidR="00BA3AD9">
          <w:rPr>
            <w:noProof/>
            <w:webHidden/>
          </w:rPr>
          <w:instrText xml:space="preserve"> PAGEREF _Toc497833485 \h </w:instrText>
        </w:r>
        <w:r w:rsidR="00BA3AD9">
          <w:rPr>
            <w:noProof/>
            <w:webHidden/>
          </w:rPr>
        </w:r>
        <w:r w:rsidR="00BA3AD9">
          <w:rPr>
            <w:noProof/>
            <w:webHidden/>
          </w:rPr>
          <w:fldChar w:fldCharType="separate"/>
        </w:r>
        <w:r w:rsidR="003B5A93">
          <w:rPr>
            <w:noProof/>
            <w:webHidden/>
          </w:rPr>
          <w:t>6</w:t>
        </w:r>
        <w:r w:rsidR="00BA3AD9">
          <w:rPr>
            <w:noProof/>
            <w:webHidden/>
          </w:rPr>
          <w:fldChar w:fldCharType="end"/>
        </w:r>
      </w:hyperlink>
    </w:p>
    <w:p w14:paraId="054FB418" w14:textId="77777777" w:rsidR="00BA3AD9" w:rsidRDefault="0027078E">
      <w:pPr>
        <w:pStyle w:val="TOC2"/>
        <w:tabs>
          <w:tab w:val="right" w:leader="dot" w:pos="9323"/>
        </w:tabs>
        <w:rPr>
          <w:rFonts w:eastAsiaTheme="minorEastAsia"/>
          <w:noProof/>
          <w:lang w:eastAsia="en-AU"/>
        </w:rPr>
      </w:pPr>
      <w:hyperlink w:anchor="_Toc497833486" w:history="1">
        <w:r w:rsidR="00BA3AD9" w:rsidRPr="00A1788B">
          <w:rPr>
            <w:rStyle w:val="Hyperlink"/>
            <w:noProof/>
          </w:rPr>
          <w:t>History of auDA</w:t>
        </w:r>
        <w:r w:rsidR="00BA3AD9">
          <w:rPr>
            <w:noProof/>
            <w:webHidden/>
          </w:rPr>
          <w:tab/>
        </w:r>
        <w:r w:rsidR="00BA3AD9">
          <w:rPr>
            <w:noProof/>
            <w:webHidden/>
          </w:rPr>
          <w:fldChar w:fldCharType="begin"/>
        </w:r>
        <w:r w:rsidR="00BA3AD9">
          <w:rPr>
            <w:noProof/>
            <w:webHidden/>
          </w:rPr>
          <w:instrText xml:space="preserve"> PAGEREF _Toc497833486 \h </w:instrText>
        </w:r>
        <w:r w:rsidR="00BA3AD9">
          <w:rPr>
            <w:noProof/>
            <w:webHidden/>
          </w:rPr>
        </w:r>
        <w:r w:rsidR="00BA3AD9">
          <w:rPr>
            <w:noProof/>
            <w:webHidden/>
          </w:rPr>
          <w:fldChar w:fldCharType="separate"/>
        </w:r>
        <w:r w:rsidR="003B5A93">
          <w:rPr>
            <w:noProof/>
            <w:webHidden/>
          </w:rPr>
          <w:t>6</w:t>
        </w:r>
        <w:r w:rsidR="00BA3AD9">
          <w:rPr>
            <w:noProof/>
            <w:webHidden/>
          </w:rPr>
          <w:fldChar w:fldCharType="end"/>
        </w:r>
      </w:hyperlink>
    </w:p>
    <w:p w14:paraId="5DBCC134" w14:textId="77777777" w:rsidR="00BA3AD9" w:rsidRDefault="0027078E">
      <w:pPr>
        <w:pStyle w:val="TOC2"/>
        <w:tabs>
          <w:tab w:val="right" w:leader="dot" w:pos="9323"/>
        </w:tabs>
        <w:rPr>
          <w:rFonts w:eastAsiaTheme="minorEastAsia"/>
          <w:noProof/>
          <w:lang w:eastAsia="en-AU"/>
        </w:rPr>
      </w:pPr>
      <w:hyperlink w:anchor="_Toc497833487" w:history="1">
        <w:r w:rsidR="00BA3AD9" w:rsidRPr="00A1788B">
          <w:rPr>
            <w:rStyle w:val="Hyperlink"/>
            <w:noProof/>
          </w:rPr>
          <w:t>auDA’s relationship with the Australian Government</w:t>
        </w:r>
        <w:r w:rsidR="00BA3AD9">
          <w:rPr>
            <w:noProof/>
            <w:webHidden/>
          </w:rPr>
          <w:tab/>
        </w:r>
        <w:r w:rsidR="00BA3AD9">
          <w:rPr>
            <w:noProof/>
            <w:webHidden/>
          </w:rPr>
          <w:fldChar w:fldCharType="begin"/>
        </w:r>
        <w:r w:rsidR="00BA3AD9">
          <w:rPr>
            <w:noProof/>
            <w:webHidden/>
          </w:rPr>
          <w:instrText xml:space="preserve"> PAGEREF _Toc497833487 \h </w:instrText>
        </w:r>
        <w:r w:rsidR="00BA3AD9">
          <w:rPr>
            <w:noProof/>
            <w:webHidden/>
          </w:rPr>
        </w:r>
        <w:r w:rsidR="00BA3AD9">
          <w:rPr>
            <w:noProof/>
            <w:webHidden/>
          </w:rPr>
          <w:fldChar w:fldCharType="separate"/>
        </w:r>
        <w:r w:rsidR="003B5A93">
          <w:rPr>
            <w:noProof/>
            <w:webHidden/>
          </w:rPr>
          <w:t>7</w:t>
        </w:r>
        <w:r w:rsidR="00BA3AD9">
          <w:rPr>
            <w:noProof/>
            <w:webHidden/>
          </w:rPr>
          <w:fldChar w:fldCharType="end"/>
        </w:r>
      </w:hyperlink>
    </w:p>
    <w:p w14:paraId="2D4CC27B" w14:textId="77777777" w:rsidR="00BA3AD9" w:rsidRDefault="0027078E">
      <w:pPr>
        <w:pStyle w:val="TOC1"/>
        <w:tabs>
          <w:tab w:val="right" w:leader="dot" w:pos="9323"/>
        </w:tabs>
        <w:rPr>
          <w:rFonts w:eastAsiaTheme="minorEastAsia"/>
          <w:b w:val="0"/>
          <w:noProof/>
          <w:color w:val="auto"/>
          <w:sz w:val="22"/>
          <w:lang w:eastAsia="en-AU"/>
        </w:rPr>
      </w:pPr>
      <w:hyperlink w:anchor="_Toc497833488" w:history="1">
        <w:r w:rsidR="00BA3AD9" w:rsidRPr="00A1788B">
          <w:rPr>
            <w:rStyle w:val="Hyperlink"/>
            <w:noProof/>
          </w:rPr>
          <w:t>Issues</w:t>
        </w:r>
        <w:r w:rsidR="00BA3AD9">
          <w:rPr>
            <w:noProof/>
            <w:webHidden/>
          </w:rPr>
          <w:tab/>
        </w:r>
        <w:r w:rsidR="00BA3AD9">
          <w:rPr>
            <w:noProof/>
            <w:webHidden/>
          </w:rPr>
          <w:fldChar w:fldCharType="begin"/>
        </w:r>
        <w:r w:rsidR="00BA3AD9">
          <w:rPr>
            <w:noProof/>
            <w:webHidden/>
          </w:rPr>
          <w:instrText xml:space="preserve"> PAGEREF _Toc497833488 \h </w:instrText>
        </w:r>
        <w:r w:rsidR="00BA3AD9">
          <w:rPr>
            <w:noProof/>
            <w:webHidden/>
          </w:rPr>
        </w:r>
        <w:r w:rsidR="00BA3AD9">
          <w:rPr>
            <w:noProof/>
            <w:webHidden/>
          </w:rPr>
          <w:fldChar w:fldCharType="separate"/>
        </w:r>
        <w:r w:rsidR="003B5A93">
          <w:rPr>
            <w:noProof/>
            <w:webHidden/>
          </w:rPr>
          <w:t>8</w:t>
        </w:r>
        <w:r w:rsidR="00BA3AD9">
          <w:rPr>
            <w:noProof/>
            <w:webHidden/>
          </w:rPr>
          <w:fldChar w:fldCharType="end"/>
        </w:r>
      </w:hyperlink>
    </w:p>
    <w:p w14:paraId="74CDB34F" w14:textId="77777777" w:rsidR="00BA3AD9" w:rsidRDefault="0027078E">
      <w:pPr>
        <w:pStyle w:val="TOC2"/>
        <w:tabs>
          <w:tab w:val="right" w:leader="dot" w:pos="9323"/>
        </w:tabs>
        <w:rPr>
          <w:rFonts w:eastAsiaTheme="minorEastAsia"/>
          <w:noProof/>
          <w:lang w:eastAsia="en-AU"/>
        </w:rPr>
      </w:pPr>
      <w:hyperlink w:anchor="_Toc497833489" w:history="1">
        <w:r w:rsidR="00BA3AD9" w:rsidRPr="00A1788B">
          <w:rPr>
            <w:rStyle w:val="Hyperlink"/>
            <w:noProof/>
          </w:rPr>
          <w:t>auDA roles and responsibilities</w:t>
        </w:r>
        <w:r w:rsidR="00BA3AD9">
          <w:rPr>
            <w:noProof/>
            <w:webHidden/>
          </w:rPr>
          <w:tab/>
        </w:r>
        <w:r w:rsidR="00BA3AD9">
          <w:rPr>
            <w:noProof/>
            <w:webHidden/>
          </w:rPr>
          <w:fldChar w:fldCharType="begin"/>
        </w:r>
        <w:r w:rsidR="00BA3AD9">
          <w:rPr>
            <w:noProof/>
            <w:webHidden/>
          </w:rPr>
          <w:instrText xml:space="preserve"> PAGEREF _Toc497833489 \h </w:instrText>
        </w:r>
        <w:r w:rsidR="00BA3AD9">
          <w:rPr>
            <w:noProof/>
            <w:webHidden/>
          </w:rPr>
        </w:r>
        <w:r w:rsidR="00BA3AD9">
          <w:rPr>
            <w:noProof/>
            <w:webHidden/>
          </w:rPr>
          <w:fldChar w:fldCharType="separate"/>
        </w:r>
        <w:r w:rsidR="003B5A93">
          <w:rPr>
            <w:noProof/>
            <w:webHidden/>
          </w:rPr>
          <w:t>8</w:t>
        </w:r>
        <w:r w:rsidR="00BA3AD9">
          <w:rPr>
            <w:noProof/>
            <w:webHidden/>
          </w:rPr>
          <w:fldChar w:fldCharType="end"/>
        </w:r>
      </w:hyperlink>
    </w:p>
    <w:p w14:paraId="1264DA9C" w14:textId="77777777" w:rsidR="00BA3AD9" w:rsidRDefault="0027078E">
      <w:pPr>
        <w:pStyle w:val="TOC2"/>
        <w:tabs>
          <w:tab w:val="right" w:leader="dot" w:pos="9323"/>
        </w:tabs>
        <w:rPr>
          <w:rFonts w:eastAsiaTheme="minorEastAsia"/>
          <w:noProof/>
          <w:lang w:eastAsia="en-AU"/>
        </w:rPr>
      </w:pPr>
      <w:hyperlink w:anchor="_Toc497833491" w:history="1">
        <w:r w:rsidR="00BA3AD9" w:rsidRPr="00A1788B">
          <w:rPr>
            <w:rStyle w:val="Hyperlink"/>
            <w:noProof/>
          </w:rPr>
          <w:t>Governance and management</w:t>
        </w:r>
        <w:r w:rsidR="00BA3AD9">
          <w:rPr>
            <w:noProof/>
            <w:webHidden/>
          </w:rPr>
          <w:tab/>
        </w:r>
        <w:r w:rsidR="00BA3AD9">
          <w:rPr>
            <w:noProof/>
            <w:webHidden/>
          </w:rPr>
          <w:fldChar w:fldCharType="begin"/>
        </w:r>
        <w:r w:rsidR="00BA3AD9">
          <w:rPr>
            <w:noProof/>
            <w:webHidden/>
          </w:rPr>
          <w:instrText xml:space="preserve"> PAGEREF _Toc497833491 \h </w:instrText>
        </w:r>
        <w:r w:rsidR="00BA3AD9">
          <w:rPr>
            <w:noProof/>
            <w:webHidden/>
          </w:rPr>
        </w:r>
        <w:r w:rsidR="00BA3AD9">
          <w:rPr>
            <w:noProof/>
            <w:webHidden/>
          </w:rPr>
          <w:fldChar w:fldCharType="separate"/>
        </w:r>
        <w:r w:rsidR="003B5A93">
          <w:rPr>
            <w:noProof/>
            <w:webHidden/>
          </w:rPr>
          <w:t>9</w:t>
        </w:r>
        <w:r w:rsidR="00BA3AD9">
          <w:rPr>
            <w:noProof/>
            <w:webHidden/>
          </w:rPr>
          <w:fldChar w:fldCharType="end"/>
        </w:r>
      </w:hyperlink>
    </w:p>
    <w:p w14:paraId="42233E5B" w14:textId="6B11AA7A" w:rsidR="00BA3AD9" w:rsidRDefault="0027078E">
      <w:pPr>
        <w:pStyle w:val="TOC2"/>
        <w:tabs>
          <w:tab w:val="right" w:leader="dot" w:pos="9323"/>
        </w:tabs>
        <w:rPr>
          <w:rFonts w:eastAsiaTheme="minorEastAsia"/>
          <w:noProof/>
          <w:lang w:eastAsia="en-AU"/>
        </w:rPr>
      </w:pPr>
      <w:hyperlink w:anchor="_Toc497833493" w:history="1">
        <w:r w:rsidR="00BA3AD9" w:rsidRPr="00A1788B">
          <w:rPr>
            <w:rStyle w:val="Hyperlink"/>
            <w:noProof/>
          </w:rPr>
          <w:t>Stakeholder engagement</w:t>
        </w:r>
        <w:r w:rsidR="00BA3AD9">
          <w:rPr>
            <w:noProof/>
            <w:webHidden/>
          </w:rPr>
          <w:tab/>
        </w:r>
        <w:r w:rsidR="00BA3AD9">
          <w:rPr>
            <w:noProof/>
            <w:webHidden/>
          </w:rPr>
          <w:fldChar w:fldCharType="begin"/>
        </w:r>
        <w:r w:rsidR="00BA3AD9">
          <w:rPr>
            <w:noProof/>
            <w:webHidden/>
          </w:rPr>
          <w:instrText xml:space="preserve"> PAGEREF _Toc497833493 \h </w:instrText>
        </w:r>
        <w:r w:rsidR="00BA3AD9">
          <w:rPr>
            <w:noProof/>
            <w:webHidden/>
          </w:rPr>
        </w:r>
        <w:r w:rsidR="00BA3AD9">
          <w:rPr>
            <w:noProof/>
            <w:webHidden/>
          </w:rPr>
          <w:fldChar w:fldCharType="separate"/>
        </w:r>
        <w:r w:rsidR="003B5A93">
          <w:rPr>
            <w:noProof/>
            <w:webHidden/>
          </w:rPr>
          <w:t>10</w:t>
        </w:r>
        <w:r w:rsidR="00BA3AD9">
          <w:rPr>
            <w:noProof/>
            <w:webHidden/>
          </w:rPr>
          <w:fldChar w:fldCharType="end"/>
        </w:r>
      </w:hyperlink>
    </w:p>
    <w:p w14:paraId="5D1BFEED" w14:textId="77777777" w:rsidR="00BA3AD9" w:rsidRDefault="0027078E">
      <w:pPr>
        <w:pStyle w:val="TOC2"/>
        <w:tabs>
          <w:tab w:val="right" w:leader="dot" w:pos="9323"/>
        </w:tabs>
        <w:rPr>
          <w:rFonts w:eastAsiaTheme="minorEastAsia"/>
          <w:noProof/>
          <w:lang w:eastAsia="en-AU"/>
        </w:rPr>
      </w:pPr>
      <w:hyperlink w:anchor="_Toc497833495" w:history="1">
        <w:r w:rsidR="00BA3AD9" w:rsidRPr="00A1788B">
          <w:rPr>
            <w:rStyle w:val="Hyperlink"/>
            <w:noProof/>
          </w:rPr>
          <w:t>Future risks to the security and stability of .au</w:t>
        </w:r>
        <w:r w:rsidR="00BA3AD9">
          <w:rPr>
            <w:noProof/>
            <w:webHidden/>
          </w:rPr>
          <w:tab/>
        </w:r>
        <w:r w:rsidR="00BA3AD9">
          <w:rPr>
            <w:noProof/>
            <w:webHidden/>
          </w:rPr>
          <w:fldChar w:fldCharType="begin"/>
        </w:r>
        <w:r w:rsidR="00BA3AD9">
          <w:rPr>
            <w:noProof/>
            <w:webHidden/>
          </w:rPr>
          <w:instrText xml:space="preserve"> PAGEREF _Toc497833495 \h </w:instrText>
        </w:r>
        <w:r w:rsidR="00BA3AD9">
          <w:rPr>
            <w:noProof/>
            <w:webHidden/>
          </w:rPr>
        </w:r>
        <w:r w:rsidR="00BA3AD9">
          <w:rPr>
            <w:noProof/>
            <w:webHidden/>
          </w:rPr>
          <w:fldChar w:fldCharType="separate"/>
        </w:r>
        <w:r w:rsidR="003B5A93">
          <w:rPr>
            <w:noProof/>
            <w:webHidden/>
          </w:rPr>
          <w:t>12</w:t>
        </w:r>
        <w:r w:rsidR="00BA3AD9">
          <w:rPr>
            <w:noProof/>
            <w:webHidden/>
          </w:rPr>
          <w:fldChar w:fldCharType="end"/>
        </w:r>
      </w:hyperlink>
    </w:p>
    <w:p w14:paraId="160FAA15" w14:textId="4B56F76C" w:rsidR="00BA3AD9" w:rsidRDefault="0027078E">
      <w:pPr>
        <w:pStyle w:val="TOC1"/>
        <w:tabs>
          <w:tab w:val="right" w:leader="dot" w:pos="9323"/>
        </w:tabs>
        <w:rPr>
          <w:rFonts w:eastAsiaTheme="minorEastAsia"/>
          <w:b w:val="0"/>
          <w:noProof/>
          <w:color w:val="auto"/>
          <w:sz w:val="22"/>
          <w:lang w:eastAsia="en-AU"/>
        </w:rPr>
      </w:pPr>
      <w:hyperlink w:anchor="_Toc497833497" w:history="1">
        <w:r w:rsidR="00BA3AD9" w:rsidRPr="00A1788B">
          <w:rPr>
            <w:rStyle w:val="Hyperlink"/>
            <w:noProof/>
          </w:rPr>
          <w:t>Consultation process</w:t>
        </w:r>
        <w:r w:rsidR="00BA3AD9">
          <w:rPr>
            <w:noProof/>
            <w:webHidden/>
          </w:rPr>
          <w:tab/>
        </w:r>
        <w:r w:rsidR="00BA3AD9">
          <w:rPr>
            <w:noProof/>
            <w:webHidden/>
          </w:rPr>
          <w:fldChar w:fldCharType="begin"/>
        </w:r>
        <w:r w:rsidR="00BA3AD9">
          <w:rPr>
            <w:noProof/>
            <w:webHidden/>
          </w:rPr>
          <w:instrText xml:space="preserve"> PAGEREF _Toc497833497 \h </w:instrText>
        </w:r>
        <w:r w:rsidR="00BA3AD9">
          <w:rPr>
            <w:noProof/>
            <w:webHidden/>
          </w:rPr>
        </w:r>
        <w:r w:rsidR="00BA3AD9">
          <w:rPr>
            <w:noProof/>
            <w:webHidden/>
          </w:rPr>
          <w:fldChar w:fldCharType="separate"/>
        </w:r>
        <w:r w:rsidR="003B5A93">
          <w:rPr>
            <w:noProof/>
            <w:webHidden/>
          </w:rPr>
          <w:t>13</w:t>
        </w:r>
        <w:r w:rsidR="00BA3AD9">
          <w:rPr>
            <w:noProof/>
            <w:webHidden/>
          </w:rPr>
          <w:fldChar w:fldCharType="end"/>
        </w:r>
      </w:hyperlink>
    </w:p>
    <w:p w14:paraId="71FCB540" w14:textId="77777777" w:rsidR="00A7176A" w:rsidRDefault="00540B2F" w:rsidP="00A7176A">
      <w:r>
        <w:rPr>
          <w:b/>
          <w:color w:val="07478C"/>
          <w:sz w:val="24"/>
        </w:rPr>
        <w:fldChar w:fldCharType="end"/>
      </w:r>
    </w:p>
    <w:p w14:paraId="06C25F59" w14:textId="77777777" w:rsidR="00A7176A" w:rsidRDefault="00A7176A" w:rsidP="00A7176A">
      <w:r>
        <w:br w:type="page"/>
      </w:r>
    </w:p>
    <w:p w14:paraId="69D09FFD" w14:textId="77777777" w:rsidR="00C53C30" w:rsidRDefault="000C4007" w:rsidP="000C4007">
      <w:pPr>
        <w:pStyle w:val="Heading2"/>
      </w:pPr>
      <w:bookmarkStart w:id="3" w:name="_Toc497833480"/>
      <w:r w:rsidRPr="000C4007">
        <w:lastRenderedPageBreak/>
        <w:t>Introduction</w:t>
      </w:r>
      <w:bookmarkEnd w:id="3"/>
    </w:p>
    <w:p w14:paraId="039691C5" w14:textId="77777777" w:rsidR="006C17A2" w:rsidRDefault="007B1889" w:rsidP="007B1889">
      <w:r>
        <w:t xml:space="preserve">On </w:t>
      </w:r>
      <w:r w:rsidR="007732F5">
        <w:t>19</w:t>
      </w:r>
      <w:r w:rsidRPr="007732F5">
        <w:t xml:space="preserve"> October 2017</w:t>
      </w:r>
      <w:r>
        <w:t xml:space="preserve"> the Minister for Communications, Senator the Hon Mitch Fifield, announced a review of Australia’s management of the .au domain. The .au Domain Administration (</w:t>
      </w:r>
      <w:proofErr w:type="spellStart"/>
      <w:r>
        <w:t>auDA</w:t>
      </w:r>
      <w:proofErr w:type="spellEnd"/>
      <w:r>
        <w:t xml:space="preserve">) oversees the operation and management framework of the .au domain. </w:t>
      </w:r>
      <w:proofErr w:type="spellStart"/>
      <w:proofErr w:type="gramStart"/>
      <w:r>
        <w:t>auDA</w:t>
      </w:r>
      <w:proofErr w:type="spellEnd"/>
      <w:proofErr w:type="gramEnd"/>
      <w:r>
        <w:t xml:space="preserve"> </w:t>
      </w:r>
      <w:r w:rsidR="00D4372F">
        <w:t>i</w:t>
      </w:r>
      <w:r>
        <w:t xml:space="preserve">s endorsed by the Australian Government as the appropriate entity to administer Australia’s </w:t>
      </w:r>
      <w:r w:rsidR="00D4372F">
        <w:t xml:space="preserve">country code </w:t>
      </w:r>
      <w:r>
        <w:t>top-level domain (</w:t>
      </w:r>
      <w:proofErr w:type="spellStart"/>
      <w:r w:rsidR="00D4372F">
        <w:t>ccTLD</w:t>
      </w:r>
      <w:proofErr w:type="spellEnd"/>
      <w:r>
        <w:t>)</w:t>
      </w:r>
      <w:r w:rsidR="00A72830">
        <w:t>—the .au domain—</w:t>
      </w:r>
      <w:r>
        <w:t xml:space="preserve">on behalf of Australian internet users. </w:t>
      </w:r>
      <w:r w:rsidR="00A201CB">
        <w:t>The t</w:t>
      </w:r>
      <w:r>
        <w:t xml:space="preserve">erms of </w:t>
      </w:r>
      <w:r w:rsidR="00A201CB">
        <w:t xml:space="preserve">this endorsement </w:t>
      </w:r>
      <w:r>
        <w:t>were established in 2000.</w:t>
      </w:r>
      <w:r w:rsidR="006926FF" w:rsidRPr="006926FF">
        <w:t xml:space="preserve"> </w:t>
      </w:r>
      <w:proofErr w:type="spellStart"/>
      <w:proofErr w:type="gramStart"/>
      <w:r w:rsidR="006926FF">
        <w:t>auDA</w:t>
      </w:r>
      <w:proofErr w:type="spellEnd"/>
      <w:proofErr w:type="gramEnd"/>
      <w:r w:rsidR="006926FF">
        <w:t xml:space="preserve"> is recognised by the Internet Corporation for Assigned Names and Numbers (ICANN) as the manager of the .au </w:t>
      </w:r>
      <w:proofErr w:type="spellStart"/>
      <w:r w:rsidR="006926FF">
        <w:t>ccTLD</w:t>
      </w:r>
      <w:proofErr w:type="spellEnd"/>
      <w:r w:rsidR="006926FF">
        <w:t>.</w:t>
      </w:r>
    </w:p>
    <w:p w14:paraId="4262D269" w14:textId="0E723933" w:rsidR="00565EEE" w:rsidRDefault="00A201CB" w:rsidP="007B1889">
      <w:r>
        <w:t xml:space="preserve">The purpose of </w:t>
      </w:r>
      <w:r w:rsidR="00565EEE">
        <w:t xml:space="preserve">this review is to ensure that the management framework of </w:t>
      </w:r>
      <w:proofErr w:type="spellStart"/>
      <w:r w:rsidR="00565EEE">
        <w:t>auDA</w:t>
      </w:r>
      <w:proofErr w:type="spellEnd"/>
      <w:r w:rsidR="00565EEE">
        <w:t xml:space="preserve"> remains fit</w:t>
      </w:r>
      <w:r w:rsidR="00BC4DB3">
        <w:t xml:space="preserve"> </w:t>
      </w:r>
      <w:r w:rsidR="00565EEE">
        <w:t>for</w:t>
      </w:r>
      <w:r w:rsidR="00BC4DB3">
        <w:t xml:space="preserve"> </w:t>
      </w:r>
      <w:r w:rsidR="00565EEE">
        <w:t xml:space="preserve">purpose and the .au domain is serving the needs of the online Australian community. </w:t>
      </w:r>
      <w:r w:rsidR="00D4372F">
        <w:t>Consideration</w:t>
      </w:r>
      <w:r w:rsidR="00565EEE" w:rsidRPr="00970F47">
        <w:t xml:space="preserve"> of </w:t>
      </w:r>
      <w:proofErr w:type="spellStart"/>
      <w:r w:rsidR="00565EEE" w:rsidRPr="00970F47">
        <w:t>auDA’s</w:t>
      </w:r>
      <w:proofErr w:type="spellEnd"/>
      <w:r w:rsidR="00565EEE" w:rsidRPr="00970F47">
        <w:t xml:space="preserve"> governance arrangements and an assessment of the terms of endorsement will </w:t>
      </w:r>
      <w:r w:rsidR="00D4372F">
        <w:t>help determine</w:t>
      </w:r>
      <w:r w:rsidR="00565EEE" w:rsidRPr="00970F47">
        <w:t xml:space="preserve"> whether Australia’s top-level domain, .au, is being managed consistent with Government and community expectations.</w:t>
      </w:r>
    </w:p>
    <w:p w14:paraId="642EE78D" w14:textId="3CC9C605" w:rsidR="00565EEE" w:rsidRDefault="00565EEE" w:rsidP="007B1889">
      <w:r>
        <w:t>The review will be undertaken by the Department of Communications</w:t>
      </w:r>
      <w:r w:rsidR="00BC4DB3">
        <w:t xml:space="preserve"> and the Arts</w:t>
      </w:r>
      <w:r>
        <w:t>. The review is expected to be finalised by early 2018.</w:t>
      </w:r>
    </w:p>
    <w:p w14:paraId="7675EB27" w14:textId="77777777" w:rsidR="007F6E83" w:rsidRDefault="007F6E83" w:rsidP="007F6E83">
      <w:pPr>
        <w:pStyle w:val="Heading3"/>
      </w:pPr>
      <w:bookmarkStart w:id="4" w:name="_Toc497833481"/>
      <w:r>
        <w:t>Why a review?</w:t>
      </w:r>
      <w:bookmarkEnd w:id="4"/>
    </w:p>
    <w:p w14:paraId="24CB3CB1" w14:textId="2A33464D" w:rsidR="006C17A2" w:rsidRDefault="007F6E83" w:rsidP="007F6E83">
      <w:r>
        <w:t xml:space="preserve">There have been significant changes to the digital landscape since </w:t>
      </w:r>
      <w:proofErr w:type="spellStart"/>
      <w:r>
        <w:t>auDA</w:t>
      </w:r>
      <w:proofErr w:type="spellEnd"/>
      <w:r>
        <w:t xml:space="preserve"> was first established. In this time, the internet has become integral to the economy and society as a whole. Australian individuals and businesses use the internet daily for a wide range of activities. </w:t>
      </w:r>
      <w:r w:rsidR="00BC4DB3">
        <w:t>A</w:t>
      </w:r>
      <w:r w:rsidR="00014173">
        <w:t xml:space="preserve">s indicated in </w:t>
      </w:r>
      <w:r w:rsidR="00425A65">
        <w:t xml:space="preserve">the </w:t>
      </w:r>
      <w:r w:rsidR="00014173">
        <w:t xml:space="preserve">figure </w:t>
      </w:r>
      <w:r w:rsidR="00425A65">
        <w:t>below</w:t>
      </w:r>
      <w:r w:rsidR="00014173">
        <w:t xml:space="preserve">, </w:t>
      </w:r>
      <w:r w:rsidR="00E62211">
        <w:t>in June 2017 there were 13.7 million internet subscribers in Australia</w:t>
      </w:r>
      <w:r w:rsidR="00972BFC">
        <w:t>, who in the previous quarter downloaded three million terabytes of data</w:t>
      </w:r>
      <w:r w:rsidR="00E62211">
        <w:t>.</w:t>
      </w:r>
    </w:p>
    <w:p w14:paraId="23E42027" w14:textId="77777777" w:rsidR="00972BFC" w:rsidRDefault="00972BFC" w:rsidP="008C48AE">
      <w:pPr>
        <w:pStyle w:val="Tablefigureheading"/>
      </w:pPr>
      <w:r w:rsidRPr="00C86077">
        <w:t>Figure 1: Number of subscribers and volume of downloads, 2010 to 2017</w:t>
      </w:r>
    </w:p>
    <w:p w14:paraId="01B24772" w14:textId="77777777" w:rsidR="009A192A" w:rsidRPr="009A192A" w:rsidRDefault="009A192A" w:rsidP="009A192A">
      <w:r>
        <w:rPr>
          <w:noProof/>
          <w:lang w:eastAsia="zh-TW" w:bidi="hi-IN"/>
        </w:rPr>
        <w:drawing>
          <wp:inline distT="0" distB="0" distL="0" distR="0" wp14:anchorId="4D77EFA8" wp14:editId="19B7429C">
            <wp:extent cx="5926455" cy="3130957"/>
            <wp:effectExtent l="0" t="0" r="0" b="0"/>
            <wp:docPr id="2" name="Picture 2" descr="This figure outlines the number of Australian internet subscribers and the volume of downloads from June 2010 to June 2017.&#10;&#10;Subscribers June 2010 - 9,502&#10;Downloads June 2010 - 155,502&#10;&#10;Subscribers December 2010 - 10,446&#10;Downloads December 2010 - 191,838&#10;&#10;Subscribers June 2011 - 10,907&#10;Downloads June 2011 - 274,202&#10;&#10;Subscribers December 2011 - 11,596&#10;Downloads December 2011 - 345,518&#10;&#10;Subscribers June 2012 - 12,036&#10;Downloads June 2012 - 414,537&#10;&#10;Subscribers December 2012 -12,161&#10;Downloads December 2012 - 554,771&#10;&#10;Subscribers June 2013 - 12,358&#10;Downloads June 2013 - 657,262&#10;&#10;Subscribers December 2013 -12,397&#10;Downloads December 2013 - 860,920&#10;&#10;Subscribers June 2014 - 12,482&#10;Downloads June 2014 - 996,225&#10;&#10;Subscribers December 2014 -12,691&#10;Downloads December 2014 - 1,146,743&#10;&#10;Subscribers June 2015 - 12,762&#10;Downloads June 2015 - 1,388,697&#10;&#10;Subscribers December 2015 -12,946&#10;Downloads December 2015 - 1,714,923&#10;&#10;Subscribers June 2016 - 13,297&#10;Downloads June 2016 - 2,097,682&#10;&#10;Subscribers December 2016 -13,461&#10;Downloads December 2016 - 2,587,056&#10;&#10;Subscribers June 2017 - 13,748&#10;Downloads June 2017 - 2,995,972" title="Figure 1: Number of subscribers and volume of downloads, 2010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award\AppData\Local\Microsoft\Windows\INetCache\Content.Word\Chart 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455" cy="3130957"/>
                    </a:xfrm>
                    <a:prstGeom prst="rect">
                      <a:avLst/>
                    </a:prstGeom>
                    <a:noFill/>
                    <a:ln>
                      <a:noFill/>
                    </a:ln>
                  </pic:spPr>
                </pic:pic>
              </a:graphicData>
            </a:graphic>
          </wp:inline>
        </w:drawing>
      </w:r>
    </w:p>
    <w:p w14:paraId="2F6B9AA2" w14:textId="77777777" w:rsidR="00014173" w:rsidRPr="00587A5E" w:rsidRDefault="00014173" w:rsidP="008C48AE">
      <w:pPr>
        <w:pStyle w:val="Source"/>
      </w:pPr>
      <w:r w:rsidRPr="00512EEE">
        <w:t>Source</w:t>
      </w:r>
      <w:r w:rsidRPr="00C86077">
        <w:rPr>
          <w:sz w:val="18"/>
        </w:rPr>
        <w:t>:</w:t>
      </w:r>
      <w:r w:rsidRPr="00C86077">
        <w:t xml:space="preserve"> Australian Bureau of Statistics, June 2017, </w:t>
      </w:r>
      <w:hyperlink r:id="rId17" w:history="1">
        <w:r w:rsidRPr="00C86077">
          <w:rPr>
            <w:rStyle w:val="Hyperlink"/>
          </w:rPr>
          <w:t>8153.0</w:t>
        </w:r>
        <w:r w:rsidR="00CA64BC">
          <w:rPr>
            <w:rStyle w:val="Hyperlink"/>
          </w:rPr>
          <w:t>—</w:t>
        </w:r>
        <w:r w:rsidRPr="00C86077">
          <w:rPr>
            <w:rStyle w:val="Hyperlink"/>
          </w:rPr>
          <w:t>Internet Activity, Australia</w:t>
        </w:r>
      </w:hyperlink>
      <w:r w:rsidRPr="00C86077">
        <w:t>.</w:t>
      </w:r>
    </w:p>
    <w:p w14:paraId="4E1817DD" w14:textId="77777777" w:rsidR="006C17A2" w:rsidRDefault="00E62211" w:rsidP="007F6E83">
      <w:r>
        <w:lastRenderedPageBreak/>
        <w:t xml:space="preserve">Additionally, in the year that ended 30 June 2016, </w:t>
      </w:r>
      <w:r w:rsidR="00BF73C7">
        <w:t>the proportion of Australian businesses that received orders by the internet was 37 per cent, with these transactions worth an estimated $321 billion.</w:t>
      </w:r>
      <w:r w:rsidR="00014173">
        <w:rPr>
          <w:rStyle w:val="FootnoteReference"/>
        </w:rPr>
        <w:footnoteReference w:id="2"/>
      </w:r>
      <w:r w:rsidR="00BF73C7">
        <w:t xml:space="preserve"> </w:t>
      </w:r>
      <w:r>
        <w:t>In this regard, t</w:t>
      </w:r>
      <w:r w:rsidR="007F6E83">
        <w:t xml:space="preserve">he .au </w:t>
      </w:r>
      <w:proofErr w:type="spellStart"/>
      <w:r w:rsidR="007F6E83">
        <w:t>ccTLD</w:t>
      </w:r>
      <w:proofErr w:type="spellEnd"/>
      <w:r w:rsidR="007F6E83">
        <w:t xml:space="preserve"> </w:t>
      </w:r>
      <w:r w:rsidR="00BF73C7">
        <w:t xml:space="preserve">is </w:t>
      </w:r>
      <w:r w:rsidR="005A46F1">
        <w:t>an increasingly important</w:t>
      </w:r>
      <w:r w:rsidR="000E59DE">
        <w:t xml:space="preserve"> </w:t>
      </w:r>
      <w:r w:rsidR="007F6E83">
        <w:t>piece of Australian infrastructure.</w:t>
      </w:r>
    </w:p>
    <w:p w14:paraId="0D58500E" w14:textId="77777777" w:rsidR="006C17A2" w:rsidRDefault="005A46F1" w:rsidP="005A46F1">
      <w:r>
        <w:t xml:space="preserve">The Domain Name System (DNS) environment is also very different from when ICANN delegated management of the .au </w:t>
      </w:r>
      <w:proofErr w:type="spellStart"/>
      <w:r>
        <w:t>ccTLD</w:t>
      </w:r>
      <w:proofErr w:type="spellEnd"/>
      <w:r>
        <w:t xml:space="preserve"> to </w:t>
      </w:r>
      <w:proofErr w:type="spellStart"/>
      <w:r>
        <w:t>auDA</w:t>
      </w:r>
      <w:proofErr w:type="spellEnd"/>
      <w:r>
        <w:t xml:space="preserve">. There is significantly more choice available to Australian individuals, organisations and businesses considering registering a website. In the past there were only a handful of publicly available generic </w:t>
      </w:r>
      <w:r w:rsidR="006926FF">
        <w:t>top level domains (</w:t>
      </w:r>
      <w:r>
        <w:t>TLDs</w:t>
      </w:r>
      <w:r w:rsidR="006926FF">
        <w:t>)</w:t>
      </w:r>
      <w:r>
        <w:t xml:space="preserve">—.com, .net and .org—however, this number has expanded and there are now some 1,200 generic TLDs. In practice, this shows that the way Australians interact with domain names has changed significantly since </w:t>
      </w:r>
      <w:proofErr w:type="spellStart"/>
      <w:r>
        <w:t>auDA</w:t>
      </w:r>
      <w:proofErr w:type="spellEnd"/>
      <w:r>
        <w:t xml:space="preserve"> was first established.</w:t>
      </w:r>
    </w:p>
    <w:p w14:paraId="1003E99A" w14:textId="77777777" w:rsidR="000E59DE" w:rsidRDefault="005A46F1" w:rsidP="007F6E83">
      <w:r>
        <w:t>As the level of reliance on the internet increases, the impact of malicious activity has also risen. Cyberattacks in Australia are increasing in terms of scale and complexity. Appropriate strategies and frameworks are</w:t>
      </w:r>
      <w:r w:rsidR="000E59DE">
        <w:t xml:space="preserve"> required to make sure that the .au </w:t>
      </w:r>
      <w:proofErr w:type="spellStart"/>
      <w:r w:rsidR="000E59DE">
        <w:t>ccTLD</w:t>
      </w:r>
      <w:proofErr w:type="spellEnd"/>
      <w:r w:rsidR="000E59DE">
        <w:t xml:space="preserve"> </w:t>
      </w:r>
      <w:r>
        <w:t>remains</w:t>
      </w:r>
      <w:r w:rsidR="000E59DE">
        <w:t xml:space="preserve"> secure and that risks are </w:t>
      </w:r>
      <w:r w:rsidR="003F6147">
        <w:t xml:space="preserve">well </w:t>
      </w:r>
      <w:r w:rsidR="000E59DE">
        <w:t>managed.</w:t>
      </w:r>
    </w:p>
    <w:p w14:paraId="01257B7C" w14:textId="77777777" w:rsidR="00C53C30" w:rsidRDefault="000C4007" w:rsidP="00C53C30">
      <w:pPr>
        <w:pStyle w:val="Heading3"/>
      </w:pPr>
      <w:bookmarkStart w:id="5" w:name="_Toc497833482"/>
      <w:r>
        <w:t>Terms of reference</w:t>
      </w:r>
      <w:bookmarkEnd w:id="5"/>
    </w:p>
    <w:p w14:paraId="15FF02EA" w14:textId="77777777" w:rsidR="007B1889" w:rsidRDefault="007B1889" w:rsidP="007B1889">
      <w:r>
        <w:t>The review will examine and make recommendations on:</w:t>
      </w:r>
    </w:p>
    <w:p w14:paraId="731F8DB1" w14:textId="77777777" w:rsidR="007B1889" w:rsidRDefault="007B1889" w:rsidP="00DB219D">
      <w:pPr>
        <w:pStyle w:val="Bulletlevel1"/>
        <w:keepNext/>
        <w:numPr>
          <w:ilvl w:val="0"/>
          <w:numId w:val="29"/>
        </w:numPr>
        <w:ind w:left="567" w:hanging="567"/>
      </w:pPr>
      <w:r>
        <w:t>the most appropriate framework for the management of the .au top level domain</w:t>
      </w:r>
    </w:p>
    <w:p w14:paraId="1C8BBDF8" w14:textId="77777777" w:rsidR="007B1889" w:rsidRDefault="007B1889" w:rsidP="00DB219D">
      <w:pPr>
        <w:pStyle w:val="Bulletlevel1"/>
        <w:keepNext/>
        <w:numPr>
          <w:ilvl w:val="0"/>
          <w:numId w:val="29"/>
        </w:numPr>
        <w:ind w:left="567" w:hanging="567"/>
      </w:pPr>
      <w:r>
        <w:t xml:space="preserve">how to ensure that Government and community expectations inform </w:t>
      </w:r>
      <w:proofErr w:type="spellStart"/>
      <w:r>
        <w:t>auDA’s</w:t>
      </w:r>
      <w:proofErr w:type="spellEnd"/>
      <w:r>
        <w:t xml:space="preserve"> operation and decision-making</w:t>
      </w:r>
    </w:p>
    <w:p w14:paraId="38039C4D" w14:textId="77777777" w:rsidR="006C17A2" w:rsidRDefault="007B1889" w:rsidP="00DB219D">
      <w:pPr>
        <w:pStyle w:val="Bulletlevel1"/>
        <w:keepNext/>
        <w:numPr>
          <w:ilvl w:val="0"/>
          <w:numId w:val="29"/>
        </w:numPr>
        <w:ind w:left="567" w:hanging="567"/>
      </w:pPr>
      <w:proofErr w:type="gramStart"/>
      <w:r>
        <w:t>mitigation</w:t>
      </w:r>
      <w:proofErr w:type="gramEnd"/>
      <w:r>
        <w:t xml:space="preserve"> strategies</w:t>
      </w:r>
      <w:r w:rsidRPr="00935BD0">
        <w:t xml:space="preserve"> </w:t>
      </w:r>
      <w:r>
        <w:t>to address future risks to the security and stability of .au</w:t>
      </w:r>
      <w:r w:rsidR="008C48AE">
        <w:t>.</w:t>
      </w:r>
    </w:p>
    <w:p w14:paraId="7D8FFB34" w14:textId="77777777" w:rsidR="006C17A2" w:rsidRDefault="00565EEE" w:rsidP="00565EEE">
      <w:r>
        <w:t>In keeping with the Australian Government’s commitment to the multi-stakeholder approach to internet governance, the review will involve public consultation to seek industry and community views on best practice approaches and processes for the management of .au to ensure that the governance structure is fit for purpose.</w:t>
      </w:r>
    </w:p>
    <w:p w14:paraId="17A4F3CD" w14:textId="77777777" w:rsidR="00BA6148" w:rsidRDefault="00BA6148" w:rsidP="00565EEE">
      <w:r>
        <w:t xml:space="preserve">Full Terms of Reference are available on the Department’s website at </w:t>
      </w:r>
      <w:hyperlink r:id="rId18" w:history="1">
        <w:r w:rsidR="00674B30" w:rsidRPr="0066469F">
          <w:rPr>
            <w:rStyle w:val="Hyperlink"/>
          </w:rPr>
          <w:t>www.communications.gov.au/documents/terms-reference-review-au-domain-administration</w:t>
        </w:r>
      </w:hyperlink>
      <w:r w:rsidR="00674B30">
        <w:t>.</w:t>
      </w:r>
    </w:p>
    <w:p w14:paraId="2E29C755" w14:textId="77777777" w:rsidR="006C17A2" w:rsidRDefault="00750036" w:rsidP="00750036">
      <w:r>
        <w:t>The review will examine and make recommendations consistent with the review’s terms of reference. Following the conclusion of the consultation phase, the review will consider options including timeframes for implementing its recommendations.</w:t>
      </w:r>
    </w:p>
    <w:p w14:paraId="13D0C2C7" w14:textId="77777777" w:rsidR="000C4007" w:rsidRDefault="000C4007" w:rsidP="000C4007">
      <w:pPr>
        <w:pStyle w:val="Heading3"/>
      </w:pPr>
      <w:bookmarkStart w:id="6" w:name="_Toc497833483"/>
      <w:r>
        <w:t>Structure of this paper</w:t>
      </w:r>
      <w:bookmarkEnd w:id="6"/>
    </w:p>
    <w:p w14:paraId="4ACCF6ED" w14:textId="77777777" w:rsidR="007C7E8B" w:rsidRDefault="00565EEE" w:rsidP="00F565CA">
      <w:pPr>
        <w:keepNext/>
      </w:pPr>
      <w:r>
        <w:t xml:space="preserve">This paper has </w:t>
      </w:r>
      <w:r w:rsidR="00750036">
        <w:t xml:space="preserve">four </w:t>
      </w:r>
      <w:r>
        <w:t>areas of discussion:</w:t>
      </w:r>
    </w:p>
    <w:p w14:paraId="3429C980" w14:textId="77777777" w:rsidR="007C7E8B" w:rsidRPr="00D57A03" w:rsidRDefault="007C7E8B" w:rsidP="00DB219D">
      <w:pPr>
        <w:pStyle w:val="Bulletlevel1"/>
        <w:keepNext/>
        <w:numPr>
          <w:ilvl w:val="0"/>
          <w:numId w:val="29"/>
        </w:numPr>
        <w:ind w:left="567" w:hanging="567"/>
      </w:pPr>
      <w:proofErr w:type="spellStart"/>
      <w:r>
        <w:t>auDA</w:t>
      </w:r>
      <w:proofErr w:type="spellEnd"/>
      <w:r>
        <w:t xml:space="preserve"> roles and </w:t>
      </w:r>
      <w:r w:rsidRPr="00D57A03">
        <w:t>responsibilities</w:t>
      </w:r>
    </w:p>
    <w:p w14:paraId="42240074" w14:textId="77777777" w:rsidR="007732F5" w:rsidRPr="00D57A03" w:rsidRDefault="007732F5" w:rsidP="00DB219D">
      <w:pPr>
        <w:pStyle w:val="Bulletlevel1"/>
        <w:keepNext/>
        <w:numPr>
          <w:ilvl w:val="0"/>
          <w:numId w:val="29"/>
        </w:numPr>
        <w:ind w:left="567" w:hanging="567"/>
      </w:pPr>
      <w:r w:rsidRPr="00D57A03">
        <w:t>Governance and management</w:t>
      </w:r>
    </w:p>
    <w:p w14:paraId="7A322A85" w14:textId="77777777" w:rsidR="007732F5" w:rsidRPr="003245CA" w:rsidRDefault="007732F5" w:rsidP="00DB219D">
      <w:pPr>
        <w:pStyle w:val="Bulletlevel1"/>
        <w:keepNext/>
        <w:numPr>
          <w:ilvl w:val="0"/>
          <w:numId w:val="29"/>
        </w:numPr>
        <w:ind w:left="567" w:hanging="567"/>
      </w:pPr>
      <w:r w:rsidRPr="001050E7">
        <w:t xml:space="preserve">Stakeholder </w:t>
      </w:r>
      <w:r w:rsidR="00164BC9" w:rsidRPr="00164BC9">
        <w:t>engagement</w:t>
      </w:r>
    </w:p>
    <w:p w14:paraId="71961BFC" w14:textId="77777777" w:rsidR="00164BC9" w:rsidRPr="003245CA" w:rsidRDefault="003245CA" w:rsidP="00DB219D">
      <w:pPr>
        <w:pStyle w:val="Bulletlevel1"/>
        <w:keepNext/>
        <w:numPr>
          <w:ilvl w:val="0"/>
          <w:numId w:val="29"/>
        </w:numPr>
        <w:ind w:left="567" w:hanging="567"/>
      </w:pPr>
      <w:r w:rsidRPr="00D57A03">
        <w:t xml:space="preserve">Future </w:t>
      </w:r>
      <w:r w:rsidR="007C7E8B" w:rsidRPr="00D57A03">
        <w:t xml:space="preserve">risks </w:t>
      </w:r>
      <w:r w:rsidRPr="00D57A03">
        <w:t>to the security and stability of .au</w:t>
      </w:r>
      <w:r w:rsidR="008C48AE">
        <w:t>.</w:t>
      </w:r>
    </w:p>
    <w:p w14:paraId="26BC9380" w14:textId="77777777" w:rsidR="006C17A2" w:rsidRDefault="00164BC9" w:rsidP="008C48AE">
      <w:r>
        <w:t xml:space="preserve">In developing this paper, consideration has been given to publically-available documents on the </w:t>
      </w:r>
      <w:proofErr w:type="spellStart"/>
      <w:r>
        <w:t>auDA</w:t>
      </w:r>
      <w:proofErr w:type="spellEnd"/>
      <w:r>
        <w:t xml:space="preserve"> website, international trends and developments, a</w:t>
      </w:r>
      <w:r w:rsidR="003F6147">
        <w:t>nd</w:t>
      </w:r>
      <w:r>
        <w:t xml:space="preserve"> best practice guidelines.</w:t>
      </w:r>
    </w:p>
    <w:p w14:paraId="2B736035" w14:textId="48B2F656" w:rsidR="00164BC9" w:rsidRDefault="00164BC9" w:rsidP="008C48AE">
      <w:r>
        <w:t xml:space="preserve">A summary of all questions is provided at </w:t>
      </w:r>
      <w:r w:rsidR="00BD086B" w:rsidRPr="00BC4DB3">
        <w:rPr>
          <w:b/>
        </w:rPr>
        <w:t>Attachment A</w:t>
      </w:r>
      <w:r>
        <w:t>.</w:t>
      </w:r>
    </w:p>
    <w:p w14:paraId="043E8868" w14:textId="77777777" w:rsidR="006B709D" w:rsidRDefault="006B709D" w:rsidP="00C86077">
      <w:pPr>
        <w:pStyle w:val="Heading2"/>
      </w:pPr>
      <w:bookmarkStart w:id="7" w:name="_Toc497833484"/>
      <w:r>
        <w:lastRenderedPageBreak/>
        <w:t>Background</w:t>
      </w:r>
      <w:bookmarkEnd w:id="7"/>
    </w:p>
    <w:p w14:paraId="6E03A544" w14:textId="77777777" w:rsidR="00D10123" w:rsidRDefault="00D10123" w:rsidP="00B76010">
      <w:pPr>
        <w:pStyle w:val="Heading3"/>
      </w:pPr>
      <w:bookmarkStart w:id="8" w:name="_Toc497833485"/>
      <w:r>
        <w:t>Internet Governance</w:t>
      </w:r>
      <w:bookmarkEnd w:id="8"/>
    </w:p>
    <w:p w14:paraId="1CE81758" w14:textId="49144573" w:rsidR="00D10123" w:rsidRDefault="00D10123" w:rsidP="00D10123">
      <w:r>
        <w:t>The DNS is integral to informatio</w:t>
      </w:r>
      <w:r w:rsidR="000F1B14">
        <w:t xml:space="preserve">n being found on the </w:t>
      </w:r>
      <w:r w:rsidR="00BC4DB3">
        <w:t>i</w:t>
      </w:r>
      <w:r w:rsidR="000F1B14">
        <w:t xml:space="preserve">nternet. </w:t>
      </w:r>
      <w:r>
        <w:t>Without DNS people would have to remember an Internet Protocol address—a string of numbers and dots—in order to access a website.</w:t>
      </w:r>
      <w:r w:rsidR="00F147B2">
        <w:t xml:space="preserve"> DNS is a hierarchical system with each ‘dot’ in a domain name representing a new level in the hierarchy.</w:t>
      </w:r>
      <w:r w:rsidR="000F1B14">
        <w:t xml:space="preserve"> ICANN, a United States-based non-profit organisation</w:t>
      </w:r>
      <w:r w:rsidR="006926FF">
        <w:t xml:space="preserve"> established in 1998</w:t>
      </w:r>
      <w:r w:rsidR="000F1B14">
        <w:t xml:space="preserve">, </w:t>
      </w:r>
      <w:r w:rsidR="00415C68">
        <w:t xml:space="preserve">provides technical coordination of the </w:t>
      </w:r>
      <w:r w:rsidR="00BC4DB3">
        <w:t>i</w:t>
      </w:r>
      <w:r w:rsidR="00415C68">
        <w:t xml:space="preserve">nternet and </w:t>
      </w:r>
      <w:r w:rsidR="000F1B14">
        <w:t>is responsible for</w:t>
      </w:r>
      <w:r w:rsidR="000754D3">
        <w:t xml:space="preserve"> DNS</w:t>
      </w:r>
      <w:r w:rsidR="000F1B14">
        <w:t xml:space="preserve"> coordinati</w:t>
      </w:r>
      <w:r w:rsidR="000754D3">
        <w:t>o</w:t>
      </w:r>
      <w:r w:rsidR="000F1B14">
        <w:t xml:space="preserve">n </w:t>
      </w:r>
      <w:r w:rsidR="000754D3">
        <w:t>at a global level</w:t>
      </w:r>
      <w:r w:rsidR="000F1B14">
        <w:t>.</w:t>
      </w:r>
      <w:r w:rsidR="00415C68">
        <w:t xml:space="preserve"> ICANN delegates </w:t>
      </w:r>
      <w:r w:rsidR="0083757E">
        <w:t>DNS administration within countries to separate entities.</w:t>
      </w:r>
    </w:p>
    <w:p w14:paraId="0ED44557" w14:textId="33856A2A" w:rsidR="00D10123" w:rsidRPr="00D10123" w:rsidRDefault="0083757E" w:rsidP="00D10123">
      <w:r>
        <w:t xml:space="preserve">While the private sector owns and operates much of the global </w:t>
      </w:r>
      <w:r w:rsidR="00BC4DB3">
        <w:t>i</w:t>
      </w:r>
      <w:r>
        <w:t>nternet’s infrastructure, ICANN’s governance is based on a multi-stakeholder model. The private sector, the internet technical community, members of the public and governments contribute to discussions on the management of key internet resources.</w:t>
      </w:r>
    </w:p>
    <w:p w14:paraId="0074E131" w14:textId="77777777" w:rsidR="00B76010" w:rsidRDefault="00B76010" w:rsidP="00B76010">
      <w:pPr>
        <w:pStyle w:val="Heading3"/>
      </w:pPr>
      <w:bookmarkStart w:id="9" w:name="_Toc497833486"/>
      <w:r>
        <w:t xml:space="preserve">History of </w:t>
      </w:r>
      <w:proofErr w:type="spellStart"/>
      <w:r>
        <w:t>auDA</w:t>
      </w:r>
      <w:bookmarkEnd w:id="9"/>
      <w:proofErr w:type="spellEnd"/>
    </w:p>
    <w:p w14:paraId="1EEFCC53" w14:textId="410B2FEA" w:rsidR="00FA6082" w:rsidRDefault="006926FF" w:rsidP="00F147B2">
      <w:r>
        <w:t xml:space="preserve">Dr Jon </w:t>
      </w:r>
      <w:proofErr w:type="spellStart"/>
      <w:r>
        <w:t>Postel</w:t>
      </w:r>
      <w:proofErr w:type="spellEnd"/>
      <w:r>
        <w:t xml:space="preserve">, University of Southern California, </w:t>
      </w:r>
      <w:r w:rsidR="00F147B2">
        <w:t>registered the .au country-code top level domain (</w:t>
      </w:r>
      <w:proofErr w:type="spellStart"/>
      <w:r w:rsidR="00F147B2">
        <w:t>ccTLD</w:t>
      </w:r>
      <w:proofErr w:type="spellEnd"/>
      <w:r w:rsidR="00F147B2">
        <w:t xml:space="preserve">) for Australia in March 1986, and delegated </w:t>
      </w:r>
      <w:r w:rsidR="00F442C4">
        <w:t>its administration to</w:t>
      </w:r>
      <w:r w:rsidR="00F26913">
        <w:t xml:space="preserve"> Mr Robert </w:t>
      </w:r>
      <w:proofErr w:type="spellStart"/>
      <w:r w:rsidR="00F26913">
        <w:t>Elz</w:t>
      </w:r>
      <w:proofErr w:type="spellEnd"/>
      <w:r w:rsidR="00F26913">
        <w:t>,</w:t>
      </w:r>
      <w:r w:rsidR="00F442C4">
        <w:t xml:space="preserve"> a network programmer at Melbourne University. </w:t>
      </w:r>
      <w:r>
        <w:t xml:space="preserve">Mr </w:t>
      </w:r>
      <w:proofErr w:type="spellStart"/>
      <w:r>
        <w:t>Elz</w:t>
      </w:r>
      <w:proofErr w:type="spellEnd"/>
      <w:r>
        <w:t xml:space="preserve"> </w:t>
      </w:r>
      <w:r w:rsidR="00F442C4">
        <w:t>created the second level DNS structure for .au—including .com.au, .net.au, .org.au, .edu.au and .gov.au—and created policies for their use</w:t>
      </w:r>
      <w:r w:rsidR="00FA6082">
        <w:t>.</w:t>
      </w:r>
    </w:p>
    <w:p w14:paraId="707E567B" w14:textId="0DC0719E" w:rsidR="004942D5" w:rsidRDefault="007C0455" w:rsidP="00F147B2">
      <w:r>
        <w:t xml:space="preserve">As the number of Australian websites grew, .au domain administration became too great a task for an individual. </w:t>
      </w:r>
      <w:r w:rsidR="004942D5">
        <w:t>In</w:t>
      </w:r>
      <w:r w:rsidR="00FA6082">
        <w:t xml:space="preserve"> </w:t>
      </w:r>
      <w:r>
        <w:t xml:space="preserve">1997 </w:t>
      </w:r>
      <w:r w:rsidR="004942D5">
        <w:t xml:space="preserve">local internet stakeholders established the Australian Domain Name Administration (ADNA) </w:t>
      </w:r>
      <w:r w:rsidR="006926FF">
        <w:t>to develop policies for the administration of internet domain names within the .au name space, and provide a competitive market in domain names for the Australian business sector</w:t>
      </w:r>
      <w:r w:rsidR="004942D5">
        <w:t xml:space="preserve">. The Australian Government became involved in 1999 following ADNA’s request for assistance. The Australian Government agreed to help establish a </w:t>
      </w:r>
      <w:r w:rsidR="00646F0D">
        <w:t xml:space="preserve">member-based, </w:t>
      </w:r>
      <w:r w:rsidR="004942D5">
        <w:t xml:space="preserve">self-regulatory regime to take over the management of the .au domain, and ADNA was reconstituted as </w:t>
      </w:r>
      <w:proofErr w:type="spellStart"/>
      <w:r w:rsidR="004942D5">
        <w:t>auDA</w:t>
      </w:r>
      <w:proofErr w:type="spellEnd"/>
      <w:r w:rsidR="004942D5">
        <w:t>.</w:t>
      </w:r>
      <w:r w:rsidR="0037477C">
        <w:t xml:space="preserve"> </w:t>
      </w:r>
      <w:r w:rsidR="004942D5">
        <w:t>On 25 October 2001, ICANN</w:t>
      </w:r>
      <w:r w:rsidR="00F26913">
        <w:t xml:space="preserve"> and </w:t>
      </w:r>
      <w:proofErr w:type="spellStart"/>
      <w:r w:rsidR="00F26913">
        <w:t>auDA</w:t>
      </w:r>
      <w:proofErr w:type="spellEnd"/>
      <w:r w:rsidR="00F26913">
        <w:t xml:space="preserve"> entered into a </w:t>
      </w:r>
      <w:proofErr w:type="spellStart"/>
      <w:r w:rsidR="00F26913" w:rsidRPr="00C217D9">
        <w:t>ccTLD</w:t>
      </w:r>
      <w:proofErr w:type="spellEnd"/>
      <w:r w:rsidR="00F26913" w:rsidRPr="00C217D9">
        <w:t xml:space="preserve"> Sponsorship A</w:t>
      </w:r>
      <w:r w:rsidR="004942D5" w:rsidRPr="00C217D9">
        <w:t>greement</w:t>
      </w:r>
      <w:r w:rsidR="00C217D9">
        <w:rPr>
          <w:rStyle w:val="FootnoteReference"/>
        </w:rPr>
        <w:footnoteReference w:id="3"/>
      </w:r>
      <w:r w:rsidR="004942D5">
        <w:t xml:space="preserve"> under which </w:t>
      </w:r>
      <w:r w:rsidR="00F26913">
        <w:t xml:space="preserve">management of the .au </w:t>
      </w:r>
      <w:proofErr w:type="spellStart"/>
      <w:r w:rsidR="00F26913">
        <w:t>ccTLD</w:t>
      </w:r>
      <w:proofErr w:type="spellEnd"/>
      <w:r w:rsidR="00F26913">
        <w:t xml:space="preserve"> was delegated to </w:t>
      </w:r>
      <w:proofErr w:type="spellStart"/>
      <w:r w:rsidR="00F26913">
        <w:t>auDA</w:t>
      </w:r>
      <w:proofErr w:type="spellEnd"/>
      <w:r w:rsidR="00F26913">
        <w:t>.</w:t>
      </w:r>
    </w:p>
    <w:p w14:paraId="39C89938" w14:textId="502C4B46" w:rsidR="006C17A2" w:rsidRDefault="005E0B69" w:rsidP="00F147B2">
      <w:proofErr w:type="spellStart"/>
      <w:proofErr w:type="gramStart"/>
      <w:r>
        <w:t>auDA</w:t>
      </w:r>
      <w:proofErr w:type="spellEnd"/>
      <w:proofErr w:type="gramEnd"/>
      <w:r>
        <w:t xml:space="preserve"> is a not</w:t>
      </w:r>
      <w:r w:rsidR="00BC4DB3">
        <w:t>-</w:t>
      </w:r>
      <w:r>
        <w:t>for</w:t>
      </w:r>
      <w:r w:rsidR="00BC4DB3">
        <w:t>-</w:t>
      </w:r>
      <w:r>
        <w:t xml:space="preserve">profit company limited by guarantee under the </w:t>
      </w:r>
      <w:r w:rsidRPr="000B15B3">
        <w:rPr>
          <w:i/>
        </w:rPr>
        <w:t>Corporations Act 2001</w:t>
      </w:r>
      <w:r>
        <w:t xml:space="preserve">, and hence </w:t>
      </w:r>
      <w:r w:rsidR="00A72830">
        <w:t xml:space="preserve">is </w:t>
      </w:r>
      <w:r>
        <w:t>subject to Australian Securities and Investment Commission supervision.</w:t>
      </w:r>
      <w:r w:rsidR="008B0F1C">
        <w:t xml:space="preserve"> </w:t>
      </w:r>
      <w:proofErr w:type="spellStart"/>
      <w:proofErr w:type="gramStart"/>
      <w:r w:rsidR="008B0F1C">
        <w:t>auDA</w:t>
      </w:r>
      <w:proofErr w:type="spellEnd"/>
      <w:proofErr w:type="gramEnd"/>
      <w:r w:rsidR="008B0F1C">
        <w:t xml:space="preserve"> is responsible for setting policies for the operation of the .au </w:t>
      </w:r>
      <w:proofErr w:type="spellStart"/>
      <w:r w:rsidR="008B0F1C">
        <w:t>ccTLD</w:t>
      </w:r>
      <w:proofErr w:type="spellEnd"/>
      <w:r w:rsidR="006E297C">
        <w:t>, and ensuring that it remains stable and secure</w:t>
      </w:r>
      <w:r w:rsidR="008B0F1C">
        <w:t>.</w:t>
      </w:r>
    </w:p>
    <w:p w14:paraId="5FAAC432" w14:textId="70DEF514" w:rsidR="00257497" w:rsidRDefault="006926FF" w:rsidP="004405B6">
      <w:pPr>
        <w:keepNext/>
        <w:keepLines/>
      </w:pPr>
      <w:r>
        <w:lastRenderedPageBreak/>
        <w:t xml:space="preserve">As the manager of the .au </w:t>
      </w:r>
      <w:proofErr w:type="spellStart"/>
      <w:r>
        <w:t>ccTLD</w:t>
      </w:r>
      <w:proofErr w:type="spellEnd"/>
      <w:r>
        <w:t xml:space="preserve">, </w:t>
      </w:r>
      <w:proofErr w:type="spellStart"/>
      <w:r>
        <w:t>auDA</w:t>
      </w:r>
      <w:proofErr w:type="spellEnd"/>
      <w:r>
        <w:t xml:space="preserve"> maintains the database of second level domains within .au, and manages the .au top level domain name service. Registry services for second level domains are provided by a third party under contract with </w:t>
      </w:r>
      <w:proofErr w:type="spellStart"/>
      <w:r>
        <w:t>auDA</w:t>
      </w:r>
      <w:proofErr w:type="spellEnd"/>
      <w:r>
        <w:t xml:space="preserve">. </w:t>
      </w:r>
      <w:r w:rsidR="00787C6B">
        <w:t>The diagram below illustrates the main functions of the parties involved in the domain registry process:</w:t>
      </w:r>
    </w:p>
    <w:p w14:paraId="35359D9D" w14:textId="77777777" w:rsidR="006C17A2" w:rsidRDefault="00787C6B" w:rsidP="00F565CA">
      <w:pPr>
        <w:pStyle w:val="Tablefigureheading"/>
      </w:pPr>
      <w:r w:rsidRPr="000B15B3">
        <w:t xml:space="preserve">Figure </w:t>
      </w:r>
      <w:r w:rsidR="00972BFC">
        <w:t>2</w:t>
      </w:r>
      <w:r w:rsidRPr="000B15B3">
        <w:t>: Domain registry participants’ functions</w:t>
      </w:r>
    </w:p>
    <w:p w14:paraId="38E38B0C" w14:textId="3A7EE004" w:rsidR="00CF3179" w:rsidRPr="00CF3179" w:rsidRDefault="00CF3179" w:rsidP="004405B6">
      <w:pPr>
        <w:spacing w:after="0"/>
      </w:pPr>
      <w:r>
        <w:rPr>
          <w:noProof/>
          <w:lang w:eastAsia="zh-TW" w:bidi="hi-IN"/>
        </w:rPr>
        <w:drawing>
          <wp:inline distT="0" distB="0" distL="0" distR="0" wp14:anchorId="146A62B7" wp14:editId="557DDE49">
            <wp:extent cx="5543550" cy="3504542"/>
            <wp:effectExtent l="0" t="0" r="0" b="0"/>
            <wp:docPr id="4" name="Picture 4" descr="This figure outlines the relationship between domain registry participants in the domain name registry process. &#10;&#10;The participant include the following:&#10;* ICANN - non-profit corporation for domain name system management&#10;* auDA - manager of the .au country code top level domain&#10;* registry operators - that manage the registry of all names registered within the second level domains in .au&#10;* registrars - auDA accredited organisations that process domain names&#10;* resellers - which through registrars register domains on behalf of registrants&#10;* registrants - the end customers who register the domains&#10;" title="Figure 2: Domain registry participants'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award\AppData\Local\Microsoft\Windows\INetCache\Content.Word\Chart 02-v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1544" cy="3509596"/>
                    </a:xfrm>
                    <a:prstGeom prst="rect">
                      <a:avLst/>
                    </a:prstGeom>
                    <a:noFill/>
                    <a:ln>
                      <a:noFill/>
                    </a:ln>
                  </pic:spPr>
                </pic:pic>
              </a:graphicData>
            </a:graphic>
          </wp:inline>
        </w:drawing>
      </w:r>
    </w:p>
    <w:p w14:paraId="599E6AF7" w14:textId="346CE32C" w:rsidR="006C17A2" w:rsidRPr="00A71813" w:rsidRDefault="001433E4" w:rsidP="00A71813">
      <w:pPr>
        <w:spacing w:after="0"/>
        <w:rPr>
          <w:i/>
          <w:sz w:val="20"/>
        </w:rPr>
      </w:pPr>
      <w:r w:rsidRPr="00387476">
        <w:rPr>
          <w:noProof/>
          <w:lang w:eastAsia="en-AU"/>
        </w:rPr>
        <w:t xml:space="preserve"> </w:t>
      </w:r>
      <w:r w:rsidR="00587A5E" w:rsidRPr="00A71813">
        <w:rPr>
          <w:i/>
          <w:sz w:val="20"/>
        </w:rPr>
        <w:t xml:space="preserve">Source: ICANN, 2017, </w:t>
      </w:r>
      <w:hyperlink r:id="rId20" w:history="1">
        <w:r w:rsidR="00587A5E" w:rsidRPr="00A71813">
          <w:rPr>
            <w:rStyle w:val="Hyperlink"/>
            <w:i/>
            <w:sz w:val="20"/>
          </w:rPr>
          <w:t>Domain name registry process</w:t>
        </w:r>
      </w:hyperlink>
      <w:r w:rsidR="00587A5E" w:rsidRPr="00A71813">
        <w:rPr>
          <w:i/>
          <w:sz w:val="20"/>
        </w:rPr>
        <w:t>.</w:t>
      </w:r>
    </w:p>
    <w:p w14:paraId="2D7A5F45" w14:textId="77777777" w:rsidR="00995AF5" w:rsidRDefault="00995AF5" w:rsidP="00995AF5">
      <w:pPr>
        <w:pStyle w:val="Heading3"/>
      </w:pPr>
      <w:bookmarkStart w:id="10" w:name="_Toc497833487"/>
      <w:proofErr w:type="spellStart"/>
      <w:proofErr w:type="gramStart"/>
      <w:r>
        <w:t>auDA’s</w:t>
      </w:r>
      <w:proofErr w:type="spellEnd"/>
      <w:proofErr w:type="gramEnd"/>
      <w:r>
        <w:t xml:space="preserve"> relationship with the Australian Government</w:t>
      </w:r>
      <w:bookmarkEnd w:id="10"/>
    </w:p>
    <w:p w14:paraId="4AA5B63A" w14:textId="77777777" w:rsidR="00F33103" w:rsidRDefault="00D40370" w:rsidP="00F33103">
      <w:r>
        <w:t xml:space="preserve">The Australian Government endorsed </w:t>
      </w:r>
      <w:proofErr w:type="spellStart"/>
      <w:r>
        <w:t>auDA</w:t>
      </w:r>
      <w:proofErr w:type="spellEnd"/>
      <w:r>
        <w:t xml:space="preserve"> in 2000 and 2001 as the appropriate entity to administer the .au domain on behalf of Australian internet users as part of a self-regulatory regime. As part of this endorsement, and given that the DNS is a public resource in the sense that its functions must be administered in the public or common interest, </w:t>
      </w:r>
      <w:proofErr w:type="spellStart"/>
      <w:r w:rsidR="00C22F41">
        <w:t>auDA</w:t>
      </w:r>
      <w:r w:rsidR="00B04145">
        <w:t>’s</w:t>
      </w:r>
      <w:proofErr w:type="spellEnd"/>
      <w:r w:rsidR="00B04145">
        <w:t xml:space="preserve"> </w:t>
      </w:r>
      <w:r w:rsidR="00C22F41">
        <w:t xml:space="preserve">management and administration of the .au </w:t>
      </w:r>
      <w:proofErr w:type="spellStart"/>
      <w:r w:rsidR="00C22F41">
        <w:t>ccTLD</w:t>
      </w:r>
      <w:proofErr w:type="spellEnd"/>
      <w:r w:rsidR="00C22F41">
        <w:t xml:space="preserve"> </w:t>
      </w:r>
      <w:r w:rsidR="00E22204">
        <w:t>is</w:t>
      </w:r>
      <w:r w:rsidR="00C22F41">
        <w:t xml:space="preserve"> subject to the ultimate authority of the Commonwealth.</w:t>
      </w:r>
    </w:p>
    <w:p w14:paraId="524CB8F1" w14:textId="77777777" w:rsidR="0019304D" w:rsidRDefault="0019304D" w:rsidP="00DB219D">
      <w:pPr>
        <w:keepNext/>
      </w:pPr>
      <w:r>
        <w:t xml:space="preserve">The Government’s expectations of </w:t>
      </w:r>
      <w:proofErr w:type="spellStart"/>
      <w:r>
        <w:t>auDA</w:t>
      </w:r>
      <w:proofErr w:type="spellEnd"/>
      <w:r>
        <w:t xml:space="preserve"> for the management of .au were set out by the then Minster for Communications in a number of letters. They include </w:t>
      </w:r>
      <w:r w:rsidR="000E59DE">
        <w:t xml:space="preserve">that </w:t>
      </w:r>
      <w:proofErr w:type="spellStart"/>
      <w:r>
        <w:t>auDA</w:t>
      </w:r>
      <w:proofErr w:type="spellEnd"/>
      <w:r w:rsidR="000E59DE">
        <w:t xml:space="preserve"> should</w:t>
      </w:r>
      <w:r>
        <w:t>:</w:t>
      </w:r>
    </w:p>
    <w:p w14:paraId="645FE8A4" w14:textId="77777777" w:rsidR="0019304D" w:rsidRPr="008C48AE" w:rsidRDefault="0019304D" w:rsidP="00DB219D">
      <w:pPr>
        <w:pStyle w:val="Bulletlevel1"/>
        <w:keepNext/>
        <w:numPr>
          <w:ilvl w:val="0"/>
          <w:numId w:val="29"/>
        </w:numPr>
        <w:ind w:left="567" w:hanging="567"/>
      </w:pPr>
      <w:r w:rsidRPr="008C48AE">
        <w:t>operat</w:t>
      </w:r>
      <w:r w:rsidR="000E59DE" w:rsidRPr="008C48AE">
        <w:t>e</w:t>
      </w:r>
      <w:r w:rsidRPr="008C48AE">
        <w:t xml:space="preserve"> within the provisions of its </w:t>
      </w:r>
      <w:r w:rsidR="00481E70" w:rsidRPr="008C48AE">
        <w:t>company constitution</w:t>
      </w:r>
    </w:p>
    <w:p w14:paraId="4E6CB56B" w14:textId="4E50919F" w:rsidR="006C17A2" w:rsidRPr="008C48AE" w:rsidRDefault="0019304D" w:rsidP="00DB219D">
      <w:pPr>
        <w:pStyle w:val="Bulletlevel1"/>
        <w:keepNext/>
        <w:numPr>
          <w:ilvl w:val="0"/>
          <w:numId w:val="29"/>
        </w:numPr>
        <w:ind w:left="567" w:hanging="567"/>
      </w:pPr>
      <w:r w:rsidRPr="008C48AE">
        <w:t>recogn</w:t>
      </w:r>
      <w:r w:rsidR="000E59DE" w:rsidRPr="008C48AE">
        <w:t>ise</w:t>
      </w:r>
      <w:r w:rsidRPr="008C48AE">
        <w:t xml:space="preserve"> that the </w:t>
      </w:r>
      <w:r w:rsidR="00BC4DB3">
        <w:t>i</w:t>
      </w:r>
      <w:r w:rsidRPr="008C48AE">
        <w:t>nternet naming system is a public resource</w:t>
      </w:r>
    </w:p>
    <w:p w14:paraId="3B789B8B" w14:textId="77777777" w:rsidR="006C17A2" w:rsidRPr="008C48AE" w:rsidRDefault="0019304D" w:rsidP="00DB219D">
      <w:pPr>
        <w:pStyle w:val="Bulletlevel1"/>
        <w:keepNext/>
        <w:numPr>
          <w:ilvl w:val="0"/>
          <w:numId w:val="29"/>
        </w:numPr>
        <w:ind w:left="567" w:hanging="567"/>
      </w:pPr>
      <w:r w:rsidRPr="008C48AE">
        <w:t>operat</w:t>
      </w:r>
      <w:r w:rsidR="000E59DE" w:rsidRPr="008C48AE">
        <w:t>e</w:t>
      </w:r>
      <w:r w:rsidRPr="008C48AE">
        <w:t xml:space="preserve"> as a fully self-funding and not-for-profit organisation</w:t>
      </w:r>
    </w:p>
    <w:p w14:paraId="1CF3FCE3" w14:textId="77777777" w:rsidR="006C17A2" w:rsidRPr="008C48AE" w:rsidRDefault="0019304D" w:rsidP="00DB219D">
      <w:pPr>
        <w:pStyle w:val="Bulletlevel1"/>
        <w:keepNext/>
        <w:numPr>
          <w:ilvl w:val="0"/>
          <w:numId w:val="29"/>
        </w:numPr>
        <w:ind w:left="567" w:hanging="567"/>
      </w:pPr>
      <w:r w:rsidRPr="008C48AE">
        <w:t>be</w:t>
      </w:r>
      <w:r w:rsidR="000E59DE" w:rsidRPr="008C48AE">
        <w:t xml:space="preserve"> </w:t>
      </w:r>
      <w:r w:rsidRPr="008C48AE">
        <w:t>inclusive of and accountable to all members of the Australian internet community</w:t>
      </w:r>
    </w:p>
    <w:p w14:paraId="57395EB0" w14:textId="77777777" w:rsidR="006C17A2" w:rsidRPr="008C48AE" w:rsidRDefault="0019304D" w:rsidP="00DB219D">
      <w:pPr>
        <w:pStyle w:val="Bulletlevel1"/>
        <w:keepNext/>
        <w:numPr>
          <w:ilvl w:val="0"/>
          <w:numId w:val="29"/>
        </w:numPr>
        <w:ind w:left="567" w:hanging="567"/>
      </w:pPr>
      <w:r w:rsidRPr="008C48AE">
        <w:t>adopt</w:t>
      </w:r>
      <w:r w:rsidRPr="008C48AE" w:rsidDel="000E59DE">
        <w:t xml:space="preserve"> </w:t>
      </w:r>
      <w:r w:rsidRPr="008C48AE">
        <w:t>open, transparent and consultative processes</w:t>
      </w:r>
    </w:p>
    <w:p w14:paraId="4EF2780D" w14:textId="77777777" w:rsidR="006C17A2" w:rsidRPr="008C48AE" w:rsidRDefault="0019304D" w:rsidP="00DB219D">
      <w:pPr>
        <w:pStyle w:val="Bulletlevel1"/>
        <w:keepNext/>
        <w:numPr>
          <w:ilvl w:val="0"/>
          <w:numId w:val="29"/>
        </w:numPr>
        <w:ind w:left="567" w:hanging="567"/>
      </w:pPr>
      <w:r w:rsidRPr="008C48AE">
        <w:t>promot</w:t>
      </w:r>
      <w:r w:rsidR="000E59DE" w:rsidRPr="008C48AE">
        <w:t>e</w:t>
      </w:r>
      <w:r w:rsidRPr="008C48AE">
        <w:t xml:space="preserve"> competition, fair trading and provisions for consumer protection and support</w:t>
      </w:r>
    </w:p>
    <w:p w14:paraId="46F47D10" w14:textId="77777777" w:rsidR="006C17A2" w:rsidRPr="008C48AE" w:rsidRDefault="0019304D" w:rsidP="00DB219D">
      <w:pPr>
        <w:pStyle w:val="Bulletlevel1"/>
        <w:keepNext/>
        <w:numPr>
          <w:ilvl w:val="0"/>
          <w:numId w:val="29"/>
        </w:numPr>
        <w:ind w:left="567" w:hanging="567"/>
      </w:pPr>
      <w:r w:rsidRPr="008C48AE">
        <w:t>establish appropriate dispute resolution mechanisms, and</w:t>
      </w:r>
    </w:p>
    <w:p w14:paraId="2C6EAFB2" w14:textId="77777777" w:rsidR="006C17A2" w:rsidRDefault="0019304D" w:rsidP="00DB219D">
      <w:pPr>
        <w:pStyle w:val="Bulletlevel1"/>
        <w:keepNext/>
        <w:numPr>
          <w:ilvl w:val="0"/>
          <w:numId w:val="29"/>
        </w:numPr>
        <w:ind w:left="567" w:hanging="567"/>
      </w:pPr>
      <w:proofErr w:type="gramStart"/>
      <w:r w:rsidRPr="008C48AE">
        <w:t>represent</w:t>
      </w:r>
      <w:proofErr w:type="gramEnd"/>
      <w:r w:rsidRPr="008C48AE">
        <w:t xml:space="preserve"> Australian internet industry interests in the internet domain name system at national and</w:t>
      </w:r>
      <w:r w:rsidRPr="0019304D">
        <w:t xml:space="preserve"> international fora.</w:t>
      </w:r>
    </w:p>
    <w:p w14:paraId="2D57142F" w14:textId="77777777" w:rsidR="00750036" w:rsidRDefault="002654F5" w:rsidP="00F33103">
      <w:r>
        <w:t>These conditions are often referred to as the Government’</w:t>
      </w:r>
      <w:r w:rsidR="00646F0D">
        <w:t xml:space="preserve">s terms of endorsement of </w:t>
      </w:r>
      <w:proofErr w:type="spellStart"/>
      <w:r w:rsidR="00646F0D">
        <w:t>auDA</w:t>
      </w:r>
      <w:proofErr w:type="spellEnd"/>
      <w:r w:rsidR="00646F0D">
        <w:t>.</w:t>
      </w:r>
      <w:r w:rsidR="00750036">
        <w:t xml:space="preserve"> The terms of endorsement are available</w:t>
      </w:r>
      <w:r w:rsidR="00390901">
        <w:t xml:space="preserve"> from </w:t>
      </w:r>
      <w:r w:rsidR="001A13A9">
        <w:t>the</w:t>
      </w:r>
      <w:r w:rsidR="00996F79">
        <w:t xml:space="preserve"> ICANN-affiliated</w:t>
      </w:r>
      <w:r w:rsidR="001A13A9">
        <w:t xml:space="preserve"> </w:t>
      </w:r>
      <w:hyperlink r:id="rId21" w:history="1">
        <w:r w:rsidR="001A13A9" w:rsidRPr="001A13A9">
          <w:rPr>
            <w:rStyle w:val="Hyperlink"/>
          </w:rPr>
          <w:t>Internet Assigned Numbers Authority</w:t>
        </w:r>
      </w:hyperlink>
      <w:r w:rsidR="001A13A9">
        <w:t xml:space="preserve"> website.</w:t>
      </w:r>
    </w:p>
    <w:p w14:paraId="00AE24B9" w14:textId="77777777" w:rsidR="006C17A2" w:rsidRDefault="00362C4E" w:rsidP="000B15B3">
      <w:pPr>
        <w:spacing w:after="0" w:line="259" w:lineRule="auto"/>
        <w:contextualSpacing/>
      </w:pPr>
      <w:r>
        <w:lastRenderedPageBreak/>
        <w:t xml:space="preserve">At the same time as endorsing </w:t>
      </w:r>
      <w:proofErr w:type="spellStart"/>
      <w:r>
        <w:t>auDA</w:t>
      </w:r>
      <w:proofErr w:type="spellEnd"/>
      <w:r>
        <w:t xml:space="preserve">, the Government legislated to create reserve powers under the </w:t>
      </w:r>
      <w:r w:rsidRPr="000E59DE">
        <w:rPr>
          <w:i/>
        </w:rPr>
        <w:t>Telecommunications Act 1997</w:t>
      </w:r>
      <w:r>
        <w:t xml:space="preserve"> (Telco Act) and the </w:t>
      </w:r>
      <w:r w:rsidRPr="000E59DE">
        <w:rPr>
          <w:i/>
        </w:rPr>
        <w:t>Australian Communications and Media Authority Act 2005</w:t>
      </w:r>
      <w:r>
        <w:t xml:space="preserve"> (ACMA Act) to provide for intervention in the event that a self</w:t>
      </w:r>
      <w:r w:rsidR="006D5E14">
        <w:t>-regulatory body was unable to</w:t>
      </w:r>
      <w:r w:rsidR="000E59DE">
        <w:t xml:space="preserve"> </w:t>
      </w:r>
      <w:r w:rsidR="006D5E14">
        <w:t>manage electronic addressing in an effective manner.</w:t>
      </w:r>
    </w:p>
    <w:p w14:paraId="33C371EC" w14:textId="77777777" w:rsidR="000C4007" w:rsidRDefault="000C4007" w:rsidP="00A80C50">
      <w:pPr>
        <w:pStyle w:val="Heading2"/>
      </w:pPr>
      <w:bookmarkStart w:id="11" w:name="_Toc497833488"/>
      <w:r w:rsidRPr="00A80C50">
        <w:t>Issues</w:t>
      </w:r>
      <w:bookmarkEnd w:id="11"/>
    </w:p>
    <w:p w14:paraId="6BF644B9" w14:textId="77777777" w:rsidR="007C7E8B" w:rsidRDefault="007C7E8B" w:rsidP="001050E7">
      <w:pPr>
        <w:pStyle w:val="Heading3"/>
      </w:pPr>
      <w:bookmarkStart w:id="12" w:name="_Toc497833489"/>
      <w:proofErr w:type="spellStart"/>
      <w:proofErr w:type="gramStart"/>
      <w:r w:rsidRPr="001050E7">
        <w:t>auDA</w:t>
      </w:r>
      <w:proofErr w:type="spellEnd"/>
      <w:proofErr w:type="gramEnd"/>
      <w:r>
        <w:t xml:space="preserve"> roles and responsibilities</w:t>
      </w:r>
      <w:bookmarkEnd w:id="12"/>
    </w:p>
    <w:p w14:paraId="61B75851" w14:textId="77777777" w:rsidR="007F6E83" w:rsidRPr="007F6E83" w:rsidRDefault="000E59DE" w:rsidP="007F6E83">
      <w:pPr>
        <w:rPr>
          <w:i/>
        </w:rPr>
      </w:pPr>
      <w:r>
        <w:rPr>
          <w:i/>
        </w:rPr>
        <w:t xml:space="preserve">A starting point for the review is to understand and assess the primary roles and responsibilities of </w:t>
      </w:r>
      <w:proofErr w:type="spellStart"/>
      <w:r>
        <w:rPr>
          <w:i/>
        </w:rPr>
        <w:t>auDA</w:t>
      </w:r>
      <w:proofErr w:type="spellEnd"/>
      <w:r w:rsidR="00B04145">
        <w:rPr>
          <w:i/>
        </w:rPr>
        <w:t xml:space="preserve"> in the context of contemporary expectations</w:t>
      </w:r>
      <w:r>
        <w:rPr>
          <w:i/>
        </w:rPr>
        <w:t xml:space="preserve">. This will help inform </w:t>
      </w:r>
      <w:r w:rsidR="006E7585">
        <w:rPr>
          <w:i/>
        </w:rPr>
        <w:t>an</w:t>
      </w:r>
      <w:r>
        <w:rPr>
          <w:i/>
        </w:rPr>
        <w:t xml:space="preserve"> appropriate framework for management of the .au top level domain.</w:t>
      </w:r>
    </w:p>
    <w:p w14:paraId="51C3FB42" w14:textId="77777777" w:rsidR="006C17A2" w:rsidRDefault="00C217D9">
      <w:r>
        <w:t xml:space="preserve">The Government’s expectations of </w:t>
      </w:r>
      <w:proofErr w:type="spellStart"/>
      <w:r>
        <w:t>auDA</w:t>
      </w:r>
      <w:proofErr w:type="spellEnd"/>
      <w:r>
        <w:t xml:space="preserve"> for the management of .au are set out in the terms of endorsement</w:t>
      </w:r>
      <w:r w:rsidR="000E59DE">
        <w:t xml:space="preserve"> (described above)</w:t>
      </w:r>
      <w:r>
        <w:t xml:space="preserve">. </w:t>
      </w:r>
      <w:r w:rsidRPr="000E59DE">
        <w:t xml:space="preserve">These terms of endorsement are guiding and general in nature and do not go to the particulars of </w:t>
      </w:r>
      <w:proofErr w:type="spellStart"/>
      <w:r w:rsidRPr="000E59DE">
        <w:t>auDA</w:t>
      </w:r>
      <w:r w:rsidR="00F25673">
        <w:t>’s</w:t>
      </w:r>
      <w:proofErr w:type="spellEnd"/>
      <w:r w:rsidRPr="000E59DE">
        <w:t xml:space="preserve"> roles and responsibilities in relation to domain management within the .au </w:t>
      </w:r>
      <w:proofErr w:type="spellStart"/>
      <w:r w:rsidRPr="000E59DE">
        <w:t>ccTLD</w:t>
      </w:r>
      <w:proofErr w:type="spellEnd"/>
      <w:r w:rsidRPr="000E59DE">
        <w:t>.</w:t>
      </w:r>
    </w:p>
    <w:p w14:paraId="668AF907" w14:textId="77777777" w:rsidR="00FC377D" w:rsidRPr="000E59DE" w:rsidRDefault="000E59DE" w:rsidP="008C48AE">
      <w:pPr>
        <w:keepNext/>
      </w:pPr>
      <w:proofErr w:type="spellStart"/>
      <w:proofErr w:type="gramStart"/>
      <w:r>
        <w:t>auDA’s</w:t>
      </w:r>
      <w:proofErr w:type="spellEnd"/>
      <w:proofErr w:type="gramEnd"/>
      <w:r>
        <w:t xml:space="preserve"> </w:t>
      </w:r>
      <w:r w:rsidR="00662830" w:rsidRPr="000E59DE">
        <w:t xml:space="preserve">2015-16 Annual Report </w:t>
      </w:r>
      <w:r w:rsidR="00FF767E">
        <w:t xml:space="preserve">describes </w:t>
      </w:r>
      <w:r w:rsidR="00662830" w:rsidRPr="000E59DE">
        <w:t xml:space="preserve">the core elements of </w:t>
      </w:r>
      <w:proofErr w:type="spellStart"/>
      <w:r w:rsidR="00662830" w:rsidRPr="000E59DE">
        <w:t>auDA’s</w:t>
      </w:r>
      <w:proofErr w:type="spellEnd"/>
      <w:r w:rsidR="00662830" w:rsidRPr="000E59DE">
        <w:t xml:space="preserve"> role a</w:t>
      </w:r>
      <w:r w:rsidR="00FF767E">
        <w:t>s</w:t>
      </w:r>
      <w:r w:rsidR="00662830" w:rsidRPr="000E59DE">
        <w:t>:</w:t>
      </w:r>
    </w:p>
    <w:p w14:paraId="7C806A84" w14:textId="77777777" w:rsidR="00662830" w:rsidRDefault="00662830" w:rsidP="00DB219D">
      <w:pPr>
        <w:pStyle w:val="Bulletlevel1"/>
        <w:keepNext/>
        <w:numPr>
          <w:ilvl w:val="0"/>
          <w:numId w:val="29"/>
        </w:numPr>
        <w:ind w:left="567" w:hanging="567"/>
      </w:pPr>
      <w:r>
        <w:t>developing and reviewing .au policies</w:t>
      </w:r>
    </w:p>
    <w:p w14:paraId="65833626" w14:textId="77777777" w:rsidR="00662830" w:rsidRDefault="00662830" w:rsidP="00DB219D">
      <w:pPr>
        <w:pStyle w:val="Bulletlevel1"/>
        <w:keepNext/>
        <w:numPr>
          <w:ilvl w:val="0"/>
          <w:numId w:val="29"/>
        </w:numPr>
        <w:ind w:left="567" w:hanging="567"/>
      </w:pPr>
      <w:r>
        <w:t>enabling and enforcing regulatory compliance</w:t>
      </w:r>
    </w:p>
    <w:p w14:paraId="75C134BB" w14:textId="77777777" w:rsidR="00662830" w:rsidRDefault="00662830" w:rsidP="00DB219D">
      <w:pPr>
        <w:pStyle w:val="Bulletlevel1"/>
        <w:keepNext/>
        <w:numPr>
          <w:ilvl w:val="0"/>
          <w:numId w:val="29"/>
        </w:numPr>
        <w:ind w:left="567" w:hanging="567"/>
      </w:pPr>
      <w:r>
        <w:t>maximising the security and technical stability of the .au space</w:t>
      </w:r>
    </w:p>
    <w:p w14:paraId="1010DD7A" w14:textId="77777777" w:rsidR="00662830" w:rsidRDefault="00662830" w:rsidP="00DB219D">
      <w:pPr>
        <w:pStyle w:val="Bulletlevel1"/>
        <w:keepNext/>
        <w:numPr>
          <w:ilvl w:val="0"/>
          <w:numId w:val="29"/>
        </w:numPr>
        <w:ind w:left="567" w:hanging="567"/>
      </w:pPr>
      <w:r>
        <w:t>facilitating competition and consumer choice through the accreditation of .au registrars</w:t>
      </w:r>
    </w:p>
    <w:p w14:paraId="720D4864" w14:textId="77777777" w:rsidR="00662830" w:rsidRDefault="00662830" w:rsidP="00DB219D">
      <w:pPr>
        <w:pStyle w:val="Bulletlevel1"/>
        <w:keepNext/>
        <w:numPr>
          <w:ilvl w:val="0"/>
          <w:numId w:val="29"/>
        </w:numPr>
        <w:ind w:left="567" w:hanging="567"/>
      </w:pPr>
      <w:r>
        <w:t>engaging and educating .au stakeholders and the broader community</w:t>
      </w:r>
    </w:p>
    <w:p w14:paraId="029F1194" w14:textId="77777777" w:rsidR="00662830" w:rsidRDefault="00662830" w:rsidP="00DB219D">
      <w:pPr>
        <w:pStyle w:val="Bulletlevel1"/>
        <w:keepNext/>
        <w:numPr>
          <w:ilvl w:val="0"/>
          <w:numId w:val="29"/>
        </w:numPr>
        <w:ind w:left="567" w:hanging="567"/>
      </w:pPr>
      <w:proofErr w:type="gramStart"/>
      <w:r>
        <w:t>protecting</w:t>
      </w:r>
      <w:proofErr w:type="gramEnd"/>
      <w:r>
        <w:t xml:space="preserve"> consumer safeguards and providing effective dispute resolution mechanisms.</w:t>
      </w:r>
    </w:p>
    <w:p w14:paraId="2B7207F3" w14:textId="77777777" w:rsidR="00FF767E" w:rsidRDefault="00FF767E" w:rsidP="000B15B3">
      <w:r>
        <w:t xml:space="preserve">Further articulation of </w:t>
      </w:r>
      <w:proofErr w:type="spellStart"/>
      <w:r>
        <w:t>auDA’s</w:t>
      </w:r>
      <w:proofErr w:type="spellEnd"/>
      <w:r>
        <w:t xml:space="preserve"> purpose, activities and strategic priorities are describe</w:t>
      </w:r>
      <w:r w:rsidR="00775582">
        <w:t>d</w:t>
      </w:r>
      <w:r>
        <w:t xml:space="preserve"> in</w:t>
      </w:r>
      <w:r w:rsidR="005A46F1">
        <w:t xml:space="preserve"> the </w:t>
      </w:r>
      <w:proofErr w:type="spellStart"/>
      <w:r>
        <w:t>auDA</w:t>
      </w:r>
      <w:proofErr w:type="spellEnd"/>
      <w:r>
        <w:t xml:space="preserve"> </w:t>
      </w:r>
      <w:r w:rsidR="00501E02">
        <w:t>C</w:t>
      </w:r>
      <w:r>
        <w:t>onstitution</w:t>
      </w:r>
      <w:r w:rsidR="005A46F1">
        <w:t xml:space="preserve">, </w:t>
      </w:r>
      <w:r w:rsidR="00775582">
        <w:t xml:space="preserve">its </w:t>
      </w:r>
      <w:r>
        <w:t>Strategic Plan 2015-18</w:t>
      </w:r>
      <w:r w:rsidR="005A46F1">
        <w:t xml:space="preserve"> and </w:t>
      </w:r>
      <w:r>
        <w:t>Director’s reports</w:t>
      </w:r>
      <w:r w:rsidR="005A46F1">
        <w:t xml:space="preserve">, all of which are available on the </w:t>
      </w:r>
      <w:proofErr w:type="spellStart"/>
      <w:r w:rsidR="005A46F1">
        <w:t>auDA</w:t>
      </w:r>
      <w:proofErr w:type="spellEnd"/>
      <w:r w:rsidR="005A46F1">
        <w:t xml:space="preserve"> website</w:t>
      </w:r>
      <w:r>
        <w:t>.</w:t>
      </w:r>
    </w:p>
    <w:p w14:paraId="50A7BD0F" w14:textId="2504517C" w:rsidR="004970B4" w:rsidRDefault="004970B4" w:rsidP="000B15B3">
      <w:r>
        <w:t xml:space="preserve">Since the formation of </w:t>
      </w:r>
      <w:proofErr w:type="spellStart"/>
      <w:r>
        <w:t>auDA</w:t>
      </w:r>
      <w:proofErr w:type="spellEnd"/>
      <w:r>
        <w:t xml:space="preserve">, there have been significant changes </w:t>
      </w:r>
      <w:r w:rsidR="009A192A">
        <w:t>in the digital landscape</w:t>
      </w:r>
      <w:r w:rsidR="00BD0C85">
        <w:t xml:space="preserve"> with developments in digital technologies producing significant economy-wide </w:t>
      </w:r>
      <w:r w:rsidR="00426670">
        <w:t>change</w:t>
      </w:r>
      <w:r w:rsidR="00BD0C85">
        <w:t>, particularly over the past decade</w:t>
      </w:r>
      <w:r w:rsidR="00426670">
        <w:t xml:space="preserve">. </w:t>
      </w:r>
      <w:r w:rsidR="00BD0C85">
        <w:t xml:space="preserve">These technological developments and other global trends may </w:t>
      </w:r>
      <w:r w:rsidR="00D20C87">
        <w:t xml:space="preserve">affect </w:t>
      </w:r>
      <w:r w:rsidR="00BD0C85">
        <w:t>how internet resources</w:t>
      </w:r>
      <w:r w:rsidR="00D20C87">
        <w:t xml:space="preserve"> are used in the future (</w:t>
      </w:r>
      <w:r w:rsidR="003F06CE">
        <w:t xml:space="preserve">including </w:t>
      </w:r>
      <w:r w:rsidR="00D20C87">
        <w:t xml:space="preserve">potentially </w:t>
      </w:r>
      <w:r w:rsidR="00BD0C85">
        <w:t>the DNS</w:t>
      </w:r>
      <w:r w:rsidR="00D20C87">
        <w:t xml:space="preserve"> and </w:t>
      </w:r>
      <w:r w:rsidR="006860C6">
        <w:t xml:space="preserve">domain </w:t>
      </w:r>
      <w:r w:rsidR="003F06CE">
        <w:t>registr</w:t>
      </w:r>
      <w:r w:rsidR="006860C6">
        <w:t>ation</w:t>
      </w:r>
      <w:r w:rsidR="00D20C87">
        <w:t>)</w:t>
      </w:r>
      <w:r w:rsidR="00BD0C85">
        <w:t>.</w:t>
      </w:r>
    </w:p>
    <w:p w14:paraId="4E0CD9BE" w14:textId="77777777" w:rsidR="00490111" w:rsidRDefault="00490111" w:rsidP="00CA64BC">
      <w:pPr>
        <w:pStyle w:val="Heading4"/>
        <w:pBdr>
          <w:top w:val="single" w:sz="4" w:space="1" w:color="auto"/>
          <w:left w:val="single" w:sz="4" w:space="1" w:color="auto"/>
          <w:bottom w:val="single" w:sz="4" w:space="1" w:color="auto"/>
          <w:right w:val="single" w:sz="4" w:space="1" w:color="auto"/>
        </w:pBdr>
      </w:pPr>
      <w:bookmarkStart w:id="13" w:name="_Toc497484182"/>
      <w:bookmarkStart w:id="14" w:name="_Toc497833490"/>
      <w:r w:rsidRPr="00CA64BC">
        <w:t>Questions</w:t>
      </w:r>
      <w:bookmarkEnd w:id="13"/>
      <w:bookmarkEnd w:id="14"/>
    </w:p>
    <w:p w14:paraId="5E0A1A13" w14:textId="77777777" w:rsidR="00490111" w:rsidRDefault="00490111" w:rsidP="00CA64BC">
      <w:pPr>
        <w:pStyle w:val="Heading5"/>
        <w:pBdr>
          <w:top w:val="single" w:sz="4" w:space="1" w:color="auto"/>
          <w:left w:val="single" w:sz="4" w:space="1" w:color="auto"/>
          <w:bottom w:val="single" w:sz="4" w:space="1" w:color="auto"/>
          <w:right w:val="single" w:sz="4" w:space="1" w:color="auto"/>
        </w:pBdr>
      </w:pPr>
      <w:proofErr w:type="spellStart"/>
      <w:proofErr w:type="gramStart"/>
      <w:r>
        <w:t>auDA’s</w:t>
      </w:r>
      <w:proofErr w:type="spellEnd"/>
      <w:proofErr w:type="gramEnd"/>
      <w:r>
        <w:t xml:space="preserve"> roles and responsibilities</w:t>
      </w:r>
    </w:p>
    <w:p w14:paraId="449732C1" w14:textId="77777777" w:rsidR="006C17A2" w:rsidRDefault="005A4E86"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What </w:t>
      </w:r>
      <w:r w:rsidR="00750036">
        <w:t xml:space="preserve">are </w:t>
      </w:r>
      <w:proofErr w:type="spellStart"/>
      <w:r>
        <w:t>auDA’s</w:t>
      </w:r>
      <w:proofErr w:type="spellEnd"/>
      <w:r>
        <w:t xml:space="preserve"> primary roles and responsibilities?</w:t>
      </w:r>
    </w:p>
    <w:p w14:paraId="7782E682" w14:textId="77777777" w:rsidR="006C17A2" w:rsidRDefault="00490111"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Do the </w:t>
      </w:r>
      <w:r w:rsidR="005A4E86">
        <w:t xml:space="preserve">current </w:t>
      </w:r>
      <w:r>
        <w:t xml:space="preserve">terms of endorsement set out appropriate guiding principles for </w:t>
      </w:r>
      <w:r w:rsidR="008E66BA">
        <w:t xml:space="preserve">a fit for purpose .au </w:t>
      </w:r>
      <w:proofErr w:type="spellStart"/>
      <w:r w:rsidR="008E66BA">
        <w:t>ccTLD</w:t>
      </w:r>
      <w:proofErr w:type="spellEnd"/>
      <w:r w:rsidR="008E66BA">
        <w:t xml:space="preserve"> manager</w:t>
      </w:r>
      <w:r>
        <w:t>?</w:t>
      </w:r>
    </w:p>
    <w:p w14:paraId="73D2059B" w14:textId="77777777" w:rsidR="008E66BA" w:rsidRDefault="008E66BA"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Do the terms of endorsement reflect community expectations for the management of the .au </w:t>
      </w:r>
      <w:proofErr w:type="spellStart"/>
      <w:r>
        <w:t>ccTLD</w:t>
      </w:r>
      <w:proofErr w:type="spellEnd"/>
      <w:r>
        <w:t>?</w:t>
      </w:r>
    </w:p>
    <w:p w14:paraId="5B2DF93A" w14:textId="5D30D8CB" w:rsidR="008E66BA" w:rsidRPr="00E64B2D" w:rsidRDefault="00426670"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What external trends and developments may </w:t>
      </w:r>
      <w:r w:rsidR="00D20C87">
        <w:t xml:space="preserve">affect </w:t>
      </w:r>
      <w:proofErr w:type="spellStart"/>
      <w:r w:rsidR="00FF767E">
        <w:t>auD</w:t>
      </w:r>
      <w:r w:rsidR="004405B6">
        <w:t>A’s</w:t>
      </w:r>
      <w:proofErr w:type="spellEnd"/>
      <w:r w:rsidR="004405B6">
        <w:t xml:space="preserve"> roles and responsibilities?</w:t>
      </w:r>
    </w:p>
    <w:p w14:paraId="0DBF11E5" w14:textId="77777777" w:rsidR="007318E2" w:rsidRDefault="007318E2" w:rsidP="007318E2">
      <w:pPr>
        <w:pStyle w:val="Heading3"/>
      </w:pPr>
      <w:bookmarkStart w:id="15" w:name="_Toc497833491"/>
      <w:r>
        <w:lastRenderedPageBreak/>
        <w:t>Governance and management</w:t>
      </w:r>
      <w:bookmarkEnd w:id="15"/>
    </w:p>
    <w:p w14:paraId="761E4046" w14:textId="77777777" w:rsidR="004C717E" w:rsidRPr="004C717E" w:rsidRDefault="00750036" w:rsidP="00DB219D">
      <w:pPr>
        <w:keepNext/>
        <w:rPr>
          <w:i/>
        </w:rPr>
      </w:pPr>
      <w:r>
        <w:rPr>
          <w:i/>
        </w:rPr>
        <w:t xml:space="preserve">The </w:t>
      </w:r>
      <w:r w:rsidR="004C717E">
        <w:rPr>
          <w:i/>
        </w:rPr>
        <w:t xml:space="preserve">review </w:t>
      </w:r>
      <w:r>
        <w:rPr>
          <w:i/>
        </w:rPr>
        <w:t xml:space="preserve">will </w:t>
      </w:r>
      <w:r w:rsidR="004C717E">
        <w:rPr>
          <w:i/>
        </w:rPr>
        <w:t xml:space="preserve">consider </w:t>
      </w:r>
      <w:r w:rsidR="00FF767E">
        <w:rPr>
          <w:i/>
        </w:rPr>
        <w:t>best practice approaches and processes for the management of</w:t>
      </w:r>
      <w:r w:rsidR="0074511E">
        <w:rPr>
          <w:i/>
        </w:rPr>
        <w:t xml:space="preserve"> </w:t>
      </w:r>
      <w:r w:rsidR="00FF767E">
        <w:rPr>
          <w:i/>
        </w:rPr>
        <w:t>.au to ensure that the governance structure is fit for purpose.</w:t>
      </w:r>
    </w:p>
    <w:p w14:paraId="0194C594" w14:textId="1583FCA3" w:rsidR="007318E2" w:rsidRDefault="00C6126B" w:rsidP="00DB219D">
      <w:pPr>
        <w:keepNext/>
      </w:pPr>
      <w:proofErr w:type="spellStart"/>
      <w:proofErr w:type="gramStart"/>
      <w:r>
        <w:t>auDA’s</w:t>
      </w:r>
      <w:proofErr w:type="spellEnd"/>
      <w:proofErr w:type="gramEnd"/>
      <w:r>
        <w:t xml:space="preserve"> Board has been established to reflect the structure of its membership, with supply and demand</w:t>
      </w:r>
      <w:r w:rsidR="00775582">
        <w:t xml:space="preserve"> </w:t>
      </w:r>
      <w:r w:rsidR="006926FF">
        <w:t>class members</w:t>
      </w:r>
      <w:r w:rsidR="00232544">
        <w:t xml:space="preserve">, </w:t>
      </w:r>
      <w:r w:rsidR="006926FF">
        <w:t xml:space="preserve">and </w:t>
      </w:r>
      <w:r w:rsidR="003C53B3">
        <w:t xml:space="preserve">the addition of </w:t>
      </w:r>
      <w:r w:rsidR="00232544">
        <w:t>i</w:t>
      </w:r>
      <w:r>
        <w:t xml:space="preserve">ndependent directors </w:t>
      </w:r>
      <w:r w:rsidR="00232544">
        <w:t>wh</w:t>
      </w:r>
      <w:r w:rsidR="00A9650B">
        <w:t>o</w:t>
      </w:r>
      <w:r w:rsidR="00232544">
        <w:t xml:space="preserve"> are not associated with </w:t>
      </w:r>
      <w:proofErr w:type="spellStart"/>
      <w:r w:rsidR="00232544">
        <w:t>auDA</w:t>
      </w:r>
      <w:proofErr w:type="spellEnd"/>
      <w:r w:rsidR="00232544">
        <w:t xml:space="preserve">. </w:t>
      </w:r>
      <w:r w:rsidR="007318E2">
        <w:t xml:space="preserve">As stated in its Constitution, </w:t>
      </w:r>
      <w:proofErr w:type="spellStart"/>
      <w:r w:rsidR="007318E2">
        <w:t>auDA’s</w:t>
      </w:r>
      <w:proofErr w:type="spellEnd"/>
      <w:r w:rsidR="007318E2">
        <w:t xml:space="preserve"> Board is comprised of:</w:t>
      </w:r>
    </w:p>
    <w:p w14:paraId="436C73E4" w14:textId="77777777" w:rsidR="007318E2" w:rsidRDefault="007318E2" w:rsidP="00DB219D">
      <w:pPr>
        <w:pStyle w:val="Bulletlevel1"/>
        <w:keepNext/>
        <w:numPr>
          <w:ilvl w:val="0"/>
          <w:numId w:val="29"/>
        </w:numPr>
        <w:ind w:left="567" w:hanging="567"/>
      </w:pPr>
      <w:r>
        <w:t xml:space="preserve">the CEO of </w:t>
      </w:r>
      <w:proofErr w:type="spellStart"/>
      <w:r>
        <w:t>auDA</w:t>
      </w:r>
      <w:proofErr w:type="spellEnd"/>
      <w:r>
        <w:t xml:space="preserve"> as a non-voting member of the board</w:t>
      </w:r>
    </w:p>
    <w:p w14:paraId="32A6C35A" w14:textId="77777777" w:rsidR="007318E2" w:rsidRDefault="007318E2" w:rsidP="00DB219D">
      <w:pPr>
        <w:pStyle w:val="Bulletlevel1"/>
        <w:keepNext/>
        <w:numPr>
          <w:ilvl w:val="0"/>
          <w:numId w:val="29"/>
        </w:numPr>
        <w:ind w:left="567" w:hanging="567"/>
      </w:pPr>
      <w:r>
        <w:t xml:space="preserve">four </w:t>
      </w:r>
      <w:r w:rsidR="0074511E">
        <w:t>D</w:t>
      </w:r>
      <w:r>
        <w:t>irectors elected by the Supply Class Members</w:t>
      </w:r>
    </w:p>
    <w:p w14:paraId="42A12A9D" w14:textId="77777777" w:rsidR="007318E2" w:rsidRDefault="007318E2" w:rsidP="00DB219D">
      <w:pPr>
        <w:pStyle w:val="Bulletlevel1"/>
        <w:keepNext/>
        <w:numPr>
          <w:ilvl w:val="0"/>
          <w:numId w:val="29"/>
        </w:numPr>
        <w:ind w:left="567" w:hanging="567"/>
      </w:pPr>
      <w:r>
        <w:t xml:space="preserve">four </w:t>
      </w:r>
      <w:r w:rsidR="0074511E">
        <w:t>D</w:t>
      </w:r>
      <w:r>
        <w:t>irectors elected by the Demand Class Members</w:t>
      </w:r>
    </w:p>
    <w:p w14:paraId="3BEC977C" w14:textId="77777777" w:rsidR="007318E2" w:rsidRDefault="007318E2" w:rsidP="00DB219D">
      <w:pPr>
        <w:pStyle w:val="Bulletlevel1"/>
        <w:keepNext/>
        <w:numPr>
          <w:ilvl w:val="0"/>
          <w:numId w:val="29"/>
        </w:numPr>
        <w:ind w:left="567" w:hanging="567"/>
      </w:pPr>
      <w:proofErr w:type="gramStart"/>
      <w:r>
        <w:t>up</w:t>
      </w:r>
      <w:proofErr w:type="gramEnd"/>
      <w:r>
        <w:t xml:space="preserve"> to three Independent Directors appointed by the elected Directors, for terms not exceeding two years.</w:t>
      </w:r>
    </w:p>
    <w:p w14:paraId="7E7C50B3" w14:textId="77777777" w:rsidR="006C17A2" w:rsidRDefault="0014364B" w:rsidP="000B15B3">
      <w:proofErr w:type="spellStart"/>
      <w:proofErr w:type="gramStart"/>
      <w:r>
        <w:t>auDA’s</w:t>
      </w:r>
      <w:proofErr w:type="spellEnd"/>
      <w:proofErr w:type="gramEnd"/>
      <w:r>
        <w:t xml:space="preserve"> Constitution sets outs the rules governing the relationship between, and activities of, the company, its directors and members. As a company limited by guarantee, </w:t>
      </w:r>
      <w:proofErr w:type="spellStart"/>
      <w:r>
        <w:t>auDA</w:t>
      </w:r>
      <w:proofErr w:type="spellEnd"/>
      <w:r>
        <w:t xml:space="preserve"> is also subject to the requirements of the </w:t>
      </w:r>
      <w:r w:rsidRPr="003B4707">
        <w:rPr>
          <w:i/>
        </w:rPr>
        <w:t>Corporations Act 2001</w:t>
      </w:r>
      <w:r>
        <w:t>.</w:t>
      </w:r>
    </w:p>
    <w:p w14:paraId="0230EF5F" w14:textId="77777777" w:rsidR="006C17A2" w:rsidRDefault="007B2087" w:rsidP="000B15B3">
      <w:r>
        <w:t xml:space="preserve">While </w:t>
      </w:r>
      <w:proofErr w:type="spellStart"/>
      <w:r>
        <w:t>auDA</w:t>
      </w:r>
      <w:proofErr w:type="spellEnd"/>
      <w:r>
        <w:t xml:space="preserve"> receives its endorsement from the Government, it differs from public sector organisations such as Government Business Enterprises. These entities must comply with the </w:t>
      </w:r>
      <w:r>
        <w:rPr>
          <w:i/>
        </w:rPr>
        <w:t xml:space="preserve">Public Governance, Performance and Accountability Act 2013 </w:t>
      </w:r>
      <w:r w:rsidR="002803E2" w:rsidRPr="00B71FD0">
        <w:t>(PGPA Act)</w:t>
      </w:r>
      <w:r w:rsidR="002803E2">
        <w:t xml:space="preserve"> which provides a template for corporate governance. The PGPA Act outlines</w:t>
      </w:r>
      <w:r w:rsidR="002803E2">
        <w:rPr>
          <w:i/>
        </w:rPr>
        <w:t xml:space="preserve"> </w:t>
      </w:r>
      <w:r>
        <w:t>appropriate board and corporate governance, financial governance and planning and reporting.</w:t>
      </w:r>
      <w:r w:rsidR="002803E2">
        <w:rPr>
          <w:rStyle w:val="FootnoteReference"/>
        </w:rPr>
        <w:footnoteReference w:id="4"/>
      </w:r>
    </w:p>
    <w:p w14:paraId="2A5BCB3B" w14:textId="03EF6EC3" w:rsidR="00815553" w:rsidRDefault="00815553" w:rsidP="00815553">
      <w:r>
        <w:t xml:space="preserve">The 2016 Cameron Ralph </w:t>
      </w:r>
      <w:proofErr w:type="spellStart"/>
      <w:r>
        <w:t>Khoury</w:t>
      </w:r>
      <w:proofErr w:type="spellEnd"/>
      <w:r>
        <w:t xml:space="preserve"> review of </w:t>
      </w:r>
      <w:proofErr w:type="spellStart"/>
      <w:r>
        <w:t>auDA’s</w:t>
      </w:r>
      <w:proofErr w:type="spellEnd"/>
      <w:r>
        <w:t xml:space="preserve"> governance stated that a key imperative for </w:t>
      </w:r>
      <w:proofErr w:type="spellStart"/>
      <w:r>
        <w:t>auDA</w:t>
      </w:r>
      <w:proofErr w:type="spellEnd"/>
      <w:r>
        <w:t xml:space="preserve"> was to modernise governance rules and processes to ensure that </w:t>
      </w:r>
      <w:r w:rsidR="006F434E">
        <w:t>the</w:t>
      </w:r>
      <w:r>
        <w:t xml:space="preserve"> framework of its </w:t>
      </w:r>
      <w:r w:rsidR="00501E02">
        <w:t>C</w:t>
      </w:r>
      <w:r>
        <w:t xml:space="preserve">onstitution and rules can meet modern governance arrangements. The review also recommended </w:t>
      </w:r>
      <w:r w:rsidR="00BC4DB3">
        <w:t xml:space="preserve">the </w:t>
      </w:r>
      <w:r>
        <w:t xml:space="preserve">process of transformation could commence with the Board working </w:t>
      </w:r>
      <w:r w:rsidR="00A93C39">
        <w:t>‘</w:t>
      </w:r>
      <w:r>
        <w:t>…to adopt the ASX good governance principles to the extent practicable within the current Constitution and Rules.</w:t>
      </w:r>
      <w:r w:rsidR="00A93C39">
        <w:t>’</w:t>
      </w:r>
    </w:p>
    <w:p w14:paraId="1E90675C" w14:textId="3D067DF7" w:rsidR="00754C4F" w:rsidRDefault="00754C4F" w:rsidP="00754C4F">
      <w:r>
        <w:t xml:space="preserve">There are a number of organisations providing recommendations on best practice corporate governance. These provide a general foundation </w:t>
      </w:r>
      <w:r w:rsidR="00925491">
        <w:t xml:space="preserve">across common themes </w:t>
      </w:r>
      <w:r>
        <w:t>that can support an organisation</w:t>
      </w:r>
      <w:r w:rsidR="00925491">
        <w:t>’s</w:t>
      </w:r>
      <w:r>
        <w:t xml:space="preserve"> strategic objectives or in </w:t>
      </w:r>
      <w:proofErr w:type="spellStart"/>
      <w:r>
        <w:t>auDA’s</w:t>
      </w:r>
      <w:proofErr w:type="spellEnd"/>
      <w:r>
        <w:t xml:space="preserve"> case, its terms of endorsement</w:t>
      </w:r>
      <w:r w:rsidR="00D20C87">
        <w:t xml:space="preserve">.  </w:t>
      </w:r>
    </w:p>
    <w:p w14:paraId="0B2F912A" w14:textId="48F374F3" w:rsidR="00DB219D" w:rsidRDefault="00DB219D" w:rsidP="00DB219D">
      <w:pPr>
        <w:pStyle w:val="Tablefigureheading"/>
      </w:pPr>
      <w:r>
        <w:t>Ta</w:t>
      </w:r>
      <w:r w:rsidRPr="00A71813">
        <w:t>ble 1: Best practice corporate governance themes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Best practice corporate governance themes."/>
      </w:tblPr>
      <w:tblGrid>
        <w:gridCol w:w="2835"/>
        <w:gridCol w:w="6498"/>
      </w:tblGrid>
      <w:tr w:rsidR="00DB219D" w14:paraId="16D00219" w14:textId="77777777" w:rsidTr="00DB219D">
        <w:trPr>
          <w:cantSplit/>
          <w:tblHeader/>
        </w:trPr>
        <w:tc>
          <w:tcPr>
            <w:tcW w:w="2835" w:type="dxa"/>
            <w:tcBorders>
              <w:top w:val="nil"/>
              <w:left w:val="nil"/>
              <w:bottom w:val="thickThinLargeGap" w:sz="24" w:space="0" w:color="auto"/>
              <w:right w:val="nil"/>
            </w:tcBorders>
            <w:shd w:val="clear" w:color="auto" w:fill="E4E4E4"/>
            <w:vAlign w:val="center"/>
          </w:tcPr>
          <w:p w14:paraId="3AE0AE0F" w14:textId="605DFBBA" w:rsidR="00DB219D" w:rsidRDefault="00DB219D" w:rsidP="00AC0077">
            <w:pPr>
              <w:pStyle w:val="Tableheading"/>
            </w:pPr>
            <w:r>
              <w:t>Theme</w:t>
            </w:r>
          </w:p>
        </w:tc>
        <w:tc>
          <w:tcPr>
            <w:tcW w:w="6498" w:type="dxa"/>
            <w:tcBorders>
              <w:top w:val="nil"/>
              <w:left w:val="nil"/>
              <w:bottom w:val="thickThinLargeGap" w:sz="24" w:space="0" w:color="auto"/>
              <w:right w:val="nil"/>
            </w:tcBorders>
            <w:shd w:val="clear" w:color="auto" w:fill="E4E4E4"/>
            <w:vAlign w:val="center"/>
          </w:tcPr>
          <w:p w14:paraId="588238F5" w14:textId="1BD2694E" w:rsidR="00DB219D" w:rsidRDefault="00DB219D" w:rsidP="00AC0077">
            <w:pPr>
              <w:pStyle w:val="Tableheading"/>
            </w:pPr>
            <w:r>
              <w:t>Analysis</w:t>
            </w:r>
          </w:p>
        </w:tc>
      </w:tr>
      <w:tr w:rsidR="00DB219D" w14:paraId="17A31C27" w14:textId="77777777" w:rsidTr="00DB219D">
        <w:trPr>
          <w:cantSplit/>
        </w:trPr>
        <w:tc>
          <w:tcPr>
            <w:tcW w:w="2835" w:type="dxa"/>
            <w:tcBorders>
              <w:top w:val="thickThinLargeGap" w:sz="24" w:space="0" w:color="auto"/>
              <w:left w:val="nil"/>
              <w:bottom w:val="single" w:sz="4" w:space="0" w:color="auto"/>
              <w:right w:val="nil"/>
            </w:tcBorders>
          </w:tcPr>
          <w:p w14:paraId="44ED2C8F" w14:textId="0BA15E9C" w:rsidR="00DB219D" w:rsidRDefault="00DB219D" w:rsidP="00DB219D">
            <w:pPr>
              <w:pStyle w:val="Tabletext"/>
            </w:pPr>
            <w:r w:rsidRPr="00754C4F">
              <w:t>Strategic objectives</w:t>
            </w:r>
          </w:p>
        </w:tc>
        <w:tc>
          <w:tcPr>
            <w:tcW w:w="6498" w:type="dxa"/>
            <w:tcBorders>
              <w:top w:val="thickThinLargeGap" w:sz="24" w:space="0" w:color="auto"/>
              <w:left w:val="nil"/>
              <w:bottom w:val="single" w:sz="4" w:space="0" w:color="auto"/>
              <w:right w:val="nil"/>
            </w:tcBorders>
          </w:tcPr>
          <w:p w14:paraId="59D33B9F" w14:textId="48B7447D" w:rsidR="00DB219D" w:rsidRDefault="00DB219D" w:rsidP="00DB219D">
            <w:pPr>
              <w:pStyle w:val="Tabletext"/>
            </w:pPr>
            <w:r w:rsidRPr="00754C4F">
              <w:t xml:space="preserve">An organisation’s strategic objectives should be clearly articulated. The board should communicate its purpose and vision, its authority and its remit, so the organisation and shareholders understand it is working in the best interests of the whole. </w:t>
            </w:r>
          </w:p>
        </w:tc>
      </w:tr>
      <w:tr w:rsidR="00DB219D" w14:paraId="71D93963" w14:textId="77777777" w:rsidTr="00DB219D">
        <w:trPr>
          <w:cantSplit/>
        </w:trPr>
        <w:tc>
          <w:tcPr>
            <w:tcW w:w="2835" w:type="dxa"/>
            <w:tcBorders>
              <w:top w:val="single" w:sz="4" w:space="0" w:color="auto"/>
              <w:left w:val="nil"/>
              <w:bottom w:val="single" w:sz="4" w:space="0" w:color="auto"/>
              <w:right w:val="nil"/>
            </w:tcBorders>
          </w:tcPr>
          <w:p w14:paraId="677BD264" w14:textId="39CB43A1" w:rsidR="00DB219D" w:rsidRDefault="00DB219D" w:rsidP="00DB219D">
            <w:pPr>
              <w:pStyle w:val="Tabletext"/>
            </w:pPr>
            <w:r w:rsidRPr="00754C4F">
              <w:t>Board qualifications/structure</w:t>
            </w:r>
          </w:p>
        </w:tc>
        <w:tc>
          <w:tcPr>
            <w:tcW w:w="6498" w:type="dxa"/>
            <w:tcBorders>
              <w:top w:val="single" w:sz="4" w:space="0" w:color="auto"/>
              <w:left w:val="nil"/>
              <w:bottom w:val="single" w:sz="4" w:space="0" w:color="auto"/>
              <w:right w:val="nil"/>
            </w:tcBorders>
          </w:tcPr>
          <w:p w14:paraId="14433872" w14:textId="45EE579F" w:rsidR="00DB219D" w:rsidRDefault="00DB219D" w:rsidP="00DB219D">
            <w:pPr>
              <w:pStyle w:val="Tabletext"/>
            </w:pPr>
            <w:r w:rsidRPr="00754C4F">
              <w:t>An effective board provides direction and adds value to an organisation. A board’s composition should contain a mix of skills, background and industry experience in order to contribute to the organisation’s strategic objectives.</w:t>
            </w:r>
          </w:p>
        </w:tc>
      </w:tr>
      <w:tr w:rsidR="00DB219D" w14:paraId="7B5CE3FC" w14:textId="77777777" w:rsidTr="00DB219D">
        <w:trPr>
          <w:cantSplit/>
        </w:trPr>
        <w:tc>
          <w:tcPr>
            <w:tcW w:w="2835" w:type="dxa"/>
            <w:tcBorders>
              <w:top w:val="single" w:sz="4" w:space="0" w:color="auto"/>
              <w:left w:val="nil"/>
              <w:bottom w:val="single" w:sz="4" w:space="0" w:color="auto"/>
              <w:right w:val="nil"/>
            </w:tcBorders>
          </w:tcPr>
          <w:p w14:paraId="70A4C345" w14:textId="35A3265F" w:rsidR="00DB219D" w:rsidRPr="00754C4F" w:rsidRDefault="00DB219D" w:rsidP="00DB219D">
            <w:pPr>
              <w:pStyle w:val="Tabletext"/>
            </w:pPr>
            <w:r w:rsidRPr="00754C4F">
              <w:t>Strategic risk</w:t>
            </w:r>
          </w:p>
        </w:tc>
        <w:tc>
          <w:tcPr>
            <w:tcW w:w="6498" w:type="dxa"/>
            <w:tcBorders>
              <w:top w:val="single" w:sz="4" w:space="0" w:color="auto"/>
              <w:left w:val="nil"/>
              <w:bottom w:val="single" w:sz="4" w:space="0" w:color="auto"/>
              <w:right w:val="nil"/>
            </w:tcBorders>
          </w:tcPr>
          <w:p w14:paraId="7BE42B45" w14:textId="4F03CCAC" w:rsidR="00DB219D" w:rsidRPr="00754C4F" w:rsidRDefault="00DB219D" w:rsidP="00DB219D">
            <w:pPr>
              <w:pStyle w:val="Tabletext"/>
            </w:pPr>
            <w:r w:rsidRPr="00754C4F">
              <w:t xml:space="preserve">Identifying and managing risks to an organisation, including from innovation and market disruption, is a key responsibility of board directors. A board should be proactive in establishing a risk management framework and reviewing its effectiveness. </w:t>
            </w:r>
          </w:p>
        </w:tc>
      </w:tr>
      <w:tr w:rsidR="00DB219D" w14:paraId="1099DDE5" w14:textId="77777777" w:rsidTr="00DB219D">
        <w:trPr>
          <w:cantSplit/>
        </w:trPr>
        <w:tc>
          <w:tcPr>
            <w:tcW w:w="2835" w:type="dxa"/>
            <w:tcBorders>
              <w:top w:val="single" w:sz="4" w:space="0" w:color="auto"/>
              <w:left w:val="nil"/>
              <w:bottom w:val="single" w:sz="4" w:space="0" w:color="auto"/>
              <w:right w:val="nil"/>
            </w:tcBorders>
          </w:tcPr>
          <w:p w14:paraId="47A20149" w14:textId="79E24439" w:rsidR="00DB219D" w:rsidRPr="00754C4F" w:rsidRDefault="00DB219D" w:rsidP="00DB219D">
            <w:pPr>
              <w:pStyle w:val="Tabletext"/>
            </w:pPr>
            <w:r w:rsidRPr="00754C4F">
              <w:lastRenderedPageBreak/>
              <w:t>Ethics and culture</w:t>
            </w:r>
          </w:p>
        </w:tc>
        <w:tc>
          <w:tcPr>
            <w:tcW w:w="6498" w:type="dxa"/>
            <w:tcBorders>
              <w:top w:val="single" w:sz="4" w:space="0" w:color="auto"/>
              <w:left w:val="nil"/>
              <w:bottom w:val="single" w:sz="4" w:space="0" w:color="auto"/>
              <w:right w:val="nil"/>
            </w:tcBorders>
          </w:tcPr>
          <w:p w14:paraId="2D181993" w14:textId="78603B16" w:rsidR="00DB219D" w:rsidRPr="00754C4F" w:rsidRDefault="00DB219D" w:rsidP="00DB219D">
            <w:pPr>
              <w:pStyle w:val="Tabletext"/>
            </w:pPr>
            <w:r w:rsidRPr="00754C4F">
              <w:t>An organisation should have an ingrained ethical behaviour and a good corporate culture. The board plays an important role in shaping organisational culture and should demonstrate ethical behaviour, acting responsibly and reflecting high standards of behaviour. It should adopt a directors’ code of ethical conduct with strategies for managing conflict of interest.</w:t>
            </w:r>
          </w:p>
        </w:tc>
      </w:tr>
      <w:tr w:rsidR="00DB219D" w14:paraId="7EFA0A80" w14:textId="77777777" w:rsidTr="00DB219D">
        <w:trPr>
          <w:cantSplit/>
        </w:trPr>
        <w:tc>
          <w:tcPr>
            <w:tcW w:w="2835" w:type="dxa"/>
            <w:tcBorders>
              <w:top w:val="single" w:sz="4" w:space="0" w:color="auto"/>
              <w:left w:val="nil"/>
              <w:bottom w:val="single" w:sz="4" w:space="0" w:color="auto"/>
              <w:right w:val="nil"/>
            </w:tcBorders>
          </w:tcPr>
          <w:p w14:paraId="7F0E63AD" w14:textId="40BD9225" w:rsidR="00DB219D" w:rsidRPr="00754C4F" w:rsidRDefault="00DB219D" w:rsidP="00DB219D">
            <w:pPr>
              <w:pStyle w:val="Tabletext"/>
            </w:pPr>
            <w:r w:rsidRPr="00754C4F">
              <w:t>Governance processes</w:t>
            </w:r>
          </w:p>
        </w:tc>
        <w:tc>
          <w:tcPr>
            <w:tcW w:w="6498" w:type="dxa"/>
            <w:tcBorders>
              <w:top w:val="single" w:sz="4" w:space="0" w:color="auto"/>
              <w:left w:val="nil"/>
              <w:bottom w:val="single" w:sz="4" w:space="0" w:color="auto"/>
              <w:right w:val="nil"/>
            </w:tcBorders>
          </w:tcPr>
          <w:p w14:paraId="6612EC24" w14:textId="439C62EB" w:rsidR="00DB219D" w:rsidRPr="00754C4F" w:rsidRDefault="00DB219D" w:rsidP="00DB219D">
            <w:pPr>
              <w:pStyle w:val="Tabletext"/>
            </w:pPr>
            <w:r w:rsidRPr="00754C4F">
              <w:t>An organisation should have an effective governance framework for management and oversight. A board should articulate organisational roles, delegations and responsibilities, and report against performance indicators. The governance framework should include transparency and accountability to stakeholders in its reporting mechanisms.</w:t>
            </w:r>
          </w:p>
        </w:tc>
      </w:tr>
      <w:tr w:rsidR="00DB219D" w14:paraId="17EEBB1A" w14:textId="77777777" w:rsidTr="00DB219D">
        <w:trPr>
          <w:cantSplit/>
        </w:trPr>
        <w:tc>
          <w:tcPr>
            <w:tcW w:w="2835" w:type="dxa"/>
            <w:tcBorders>
              <w:top w:val="single" w:sz="4" w:space="0" w:color="auto"/>
              <w:left w:val="nil"/>
              <w:bottom w:val="single" w:sz="12" w:space="0" w:color="auto"/>
              <w:right w:val="nil"/>
            </w:tcBorders>
          </w:tcPr>
          <w:p w14:paraId="5753F68D" w14:textId="2A8A3E85" w:rsidR="00DB219D" w:rsidRPr="00754C4F" w:rsidRDefault="00DB219D" w:rsidP="00DB219D">
            <w:pPr>
              <w:pStyle w:val="Tabletext"/>
            </w:pPr>
            <w:r w:rsidRPr="00754C4F">
              <w:t>Stakeholder accountability</w:t>
            </w:r>
          </w:p>
        </w:tc>
        <w:tc>
          <w:tcPr>
            <w:tcW w:w="6498" w:type="dxa"/>
            <w:tcBorders>
              <w:top w:val="single" w:sz="4" w:space="0" w:color="auto"/>
              <w:left w:val="nil"/>
              <w:bottom w:val="single" w:sz="12" w:space="0" w:color="auto"/>
              <w:right w:val="nil"/>
            </w:tcBorders>
          </w:tcPr>
          <w:p w14:paraId="4B265098" w14:textId="148D3E20" w:rsidR="00DB219D" w:rsidRPr="00754C4F" w:rsidRDefault="00DB219D" w:rsidP="00DB219D">
            <w:pPr>
              <w:pStyle w:val="Tabletext"/>
            </w:pPr>
            <w:r w:rsidRPr="00754C4F">
              <w:t>A board should act with integrity to the benefit of its stakeholders and the long-term interests of the organisation. Stakeholders should be treated equally with their rights and obligations clearly defined, as should board responsibilities in terms of its accountability and transparency. Robust reporting, development and audit procedures will assist in ensuring a board is accountable and provide stakeholders with an opportunity to comment on governance.</w:t>
            </w:r>
          </w:p>
        </w:tc>
      </w:tr>
    </w:tbl>
    <w:p w14:paraId="21BD26C9" w14:textId="509EFB16" w:rsidR="00A71813" w:rsidRPr="00BC4DB3" w:rsidRDefault="00A71813" w:rsidP="00DB219D">
      <w:pPr>
        <w:pStyle w:val="Source"/>
        <w:rPr>
          <w:b/>
        </w:rPr>
      </w:pPr>
      <w:r w:rsidRPr="00BC4DB3">
        <w:t xml:space="preserve">Sources: </w:t>
      </w:r>
      <w:hyperlink r:id="rId22" w:history="1">
        <w:r w:rsidRPr="00BC4DB3">
          <w:rPr>
            <w:color w:val="0563C1" w:themeColor="hyperlink"/>
            <w:u w:val="single"/>
          </w:rPr>
          <w:t>Australian Charities and Not-for-Profit Commission</w:t>
        </w:r>
      </w:hyperlink>
      <w:r w:rsidRPr="00BC4DB3">
        <w:t xml:space="preserve">; </w:t>
      </w:r>
      <w:hyperlink r:id="rId23" w:anchor="p=11" w:history="1">
        <w:r w:rsidRPr="00BC4DB3">
          <w:rPr>
            <w:color w:val="0563C1" w:themeColor="hyperlink"/>
            <w:u w:val="single"/>
          </w:rPr>
          <w:t>International Corporate Governance Network</w:t>
        </w:r>
      </w:hyperlink>
      <w:r w:rsidRPr="00BC4DB3">
        <w:t>;</w:t>
      </w:r>
      <w:r w:rsidRPr="00BC4DB3">
        <w:rPr>
          <w:u w:val="single"/>
        </w:rPr>
        <w:t xml:space="preserve"> </w:t>
      </w:r>
      <w:hyperlink r:id="rId24" w:history="1">
        <w:r w:rsidRPr="00BC4DB3">
          <w:rPr>
            <w:color w:val="0563C1" w:themeColor="hyperlink"/>
            <w:u w:val="single"/>
          </w:rPr>
          <w:t>Australian Institute of Company Directors</w:t>
        </w:r>
      </w:hyperlink>
      <w:r w:rsidRPr="00BC4DB3">
        <w:t xml:space="preserve">; </w:t>
      </w:r>
      <w:hyperlink r:id="rId25" w:history="1">
        <w:r w:rsidRPr="00BC4DB3">
          <w:rPr>
            <w:color w:val="0563C1" w:themeColor="hyperlink"/>
            <w:u w:val="single"/>
          </w:rPr>
          <w:t>ASX Corporate Governance Council</w:t>
        </w:r>
      </w:hyperlink>
      <w:r w:rsidRPr="00BC4DB3">
        <w:t xml:space="preserve">; </w:t>
      </w:r>
      <w:hyperlink r:id="rId26" w:history="1">
        <w:r w:rsidRPr="00BC4DB3">
          <w:rPr>
            <w:color w:val="0563C1" w:themeColor="hyperlink"/>
            <w:u w:val="single"/>
          </w:rPr>
          <w:t>Governance Institute of Australia</w:t>
        </w:r>
      </w:hyperlink>
      <w:r w:rsidRPr="00BC4DB3">
        <w:t>;</w:t>
      </w:r>
      <w:r w:rsidRPr="00BC4DB3">
        <w:rPr>
          <w:u w:val="single"/>
        </w:rPr>
        <w:t xml:space="preserve"> </w:t>
      </w:r>
      <w:r w:rsidRPr="00BC4DB3">
        <w:rPr>
          <w:color w:val="0563C1" w:themeColor="hyperlink"/>
          <w:u w:val="single"/>
        </w:rPr>
        <w:t>Department of Finance Resource Management Guide No.126</w:t>
      </w:r>
      <w:r w:rsidRPr="00BC4DB3">
        <w:t xml:space="preserve">; </w:t>
      </w:r>
      <w:r w:rsidRPr="00BC4DB3">
        <w:rPr>
          <w:color w:val="0563C1" w:themeColor="hyperlink"/>
          <w:u w:val="single"/>
        </w:rPr>
        <w:t>ASIC's internal governance</w:t>
      </w:r>
    </w:p>
    <w:p w14:paraId="1462FBE6" w14:textId="77777777" w:rsidR="00EB7637" w:rsidRDefault="00EB7637" w:rsidP="00CA64BC">
      <w:pPr>
        <w:pStyle w:val="Heading4"/>
        <w:pBdr>
          <w:top w:val="single" w:sz="4" w:space="1" w:color="auto"/>
          <w:left w:val="single" w:sz="4" w:space="1" w:color="auto"/>
          <w:bottom w:val="single" w:sz="4" w:space="1" w:color="auto"/>
          <w:right w:val="single" w:sz="4" w:space="1" w:color="auto"/>
        </w:pBdr>
      </w:pPr>
      <w:bookmarkStart w:id="16" w:name="_Toc497484184"/>
      <w:bookmarkStart w:id="17" w:name="_Toc497833492"/>
      <w:r w:rsidRPr="00CA64BC">
        <w:t>Questions</w:t>
      </w:r>
      <w:bookmarkEnd w:id="16"/>
      <w:bookmarkEnd w:id="17"/>
    </w:p>
    <w:p w14:paraId="34666E90" w14:textId="77777777" w:rsidR="00EB7637" w:rsidRPr="0073047C" w:rsidRDefault="00EB7637" w:rsidP="00CA64BC">
      <w:pPr>
        <w:pStyle w:val="Heading5"/>
        <w:pBdr>
          <w:top w:val="single" w:sz="4" w:space="1" w:color="auto"/>
          <w:left w:val="single" w:sz="4" w:space="1" w:color="auto"/>
          <w:bottom w:val="single" w:sz="4" w:space="1" w:color="auto"/>
          <w:right w:val="single" w:sz="4" w:space="1" w:color="auto"/>
        </w:pBdr>
        <w:rPr>
          <w:b w:val="0"/>
        </w:rPr>
      </w:pPr>
      <w:r w:rsidRPr="00CA64BC">
        <w:t>Corporate</w:t>
      </w:r>
      <w:r>
        <w:t xml:space="preserve"> governance</w:t>
      </w:r>
    </w:p>
    <w:p w14:paraId="58AC5324" w14:textId="77777777" w:rsidR="00FF767E" w:rsidRPr="00EB7637" w:rsidRDefault="00FF767E"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What best practice approaches and processes should be considered with regard to </w:t>
      </w:r>
      <w:proofErr w:type="spellStart"/>
      <w:r>
        <w:t>auDA</w:t>
      </w:r>
      <w:proofErr w:type="spellEnd"/>
      <w:r>
        <w:t xml:space="preserve"> corporate governance?</w:t>
      </w:r>
    </w:p>
    <w:p w14:paraId="65FE7B32" w14:textId="77777777" w:rsidR="00EB7637" w:rsidRDefault="00EB7637"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What does good corporate governance </w:t>
      </w:r>
      <w:r w:rsidR="00996F79">
        <w:t xml:space="preserve">for </w:t>
      </w:r>
      <w:proofErr w:type="spellStart"/>
      <w:r w:rsidR="00996F79">
        <w:t>auDA</w:t>
      </w:r>
      <w:proofErr w:type="spellEnd"/>
      <w:r w:rsidR="00996F79">
        <w:t xml:space="preserve"> </w:t>
      </w:r>
      <w:r>
        <w:t>look like? Are the ASX corporate governance principles sufficient?</w:t>
      </w:r>
      <w:r w:rsidR="00FF767E">
        <w:t xml:space="preserve"> Should </w:t>
      </w:r>
      <w:r w:rsidR="005A46F1">
        <w:t>other</w:t>
      </w:r>
      <w:r w:rsidR="00FF767E">
        <w:t xml:space="preserve"> principles also be considered?</w:t>
      </w:r>
    </w:p>
    <w:p w14:paraId="6EC91550" w14:textId="77777777" w:rsidR="00FF767E" w:rsidRDefault="00FF767E"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Should reform of existing </w:t>
      </w:r>
      <w:proofErr w:type="spellStart"/>
      <w:r>
        <w:t>auDA</w:t>
      </w:r>
      <w:proofErr w:type="spellEnd"/>
      <w:r>
        <w:t xml:space="preserve"> corporate governance arrangements be considered? If so, what are the reform priorities?</w:t>
      </w:r>
    </w:p>
    <w:p w14:paraId="33438A56" w14:textId="77777777" w:rsidR="006C17A2" w:rsidRDefault="00750036"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Do the current board arrangements support </w:t>
      </w:r>
      <w:proofErr w:type="spellStart"/>
      <w:r>
        <w:t>auDA</w:t>
      </w:r>
      <w:proofErr w:type="spellEnd"/>
      <w:r>
        <w:t xml:space="preserve"> in effectively delivering its roles and responsibilities?</w:t>
      </w:r>
    </w:p>
    <w:p w14:paraId="411ECADA" w14:textId="77777777" w:rsidR="006C17A2" w:rsidRDefault="00750036"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Should reform of existing board arrangements be considered? If so, what are the reform priorities?</w:t>
      </w:r>
    </w:p>
    <w:p w14:paraId="5558DD38" w14:textId="77777777" w:rsidR="007318E2" w:rsidRDefault="007318E2" w:rsidP="007318E2">
      <w:pPr>
        <w:pStyle w:val="Heading3"/>
      </w:pPr>
      <w:bookmarkStart w:id="18" w:name="_Toc497833493"/>
      <w:r>
        <w:t xml:space="preserve">Stakeholder </w:t>
      </w:r>
      <w:r w:rsidR="00164BC9">
        <w:t>engagement</w:t>
      </w:r>
      <w:bookmarkEnd w:id="18"/>
    </w:p>
    <w:p w14:paraId="4D2B86E2" w14:textId="77777777" w:rsidR="006C17A2" w:rsidRDefault="00FF767E" w:rsidP="007318E2">
      <w:pPr>
        <w:rPr>
          <w:i/>
        </w:rPr>
      </w:pPr>
      <w:r>
        <w:rPr>
          <w:i/>
        </w:rPr>
        <w:t xml:space="preserve">The Australian Government is committed to the multi-stakeholder </w:t>
      </w:r>
      <w:r w:rsidR="007559B2">
        <w:rPr>
          <w:i/>
        </w:rPr>
        <w:t xml:space="preserve">model of internet governance. The review is interested in understanding who </w:t>
      </w:r>
      <w:proofErr w:type="spellStart"/>
      <w:r w:rsidR="007559B2">
        <w:rPr>
          <w:i/>
        </w:rPr>
        <w:t>auDA’s</w:t>
      </w:r>
      <w:proofErr w:type="spellEnd"/>
      <w:r w:rsidR="007559B2">
        <w:rPr>
          <w:i/>
        </w:rPr>
        <w:t xml:space="preserve"> stakeholders </w:t>
      </w:r>
      <w:r w:rsidR="005A46F1">
        <w:rPr>
          <w:i/>
        </w:rPr>
        <w:t>are,</w:t>
      </w:r>
      <w:r w:rsidR="007559B2">
        <w:rPr>
          <w:i/>
        </w:rPr>
        <w:t xml:space="preserve"> and what is the best process for stakeholder engagement.</w:t>
      </w:r>
      <w:r w:rsidR="005A46F1">
        <w:rPr>
          <w:i/>
        </w:rPr>
        <w:t xml:space="preserve"> The review recognises that members are important </w:t>
      </w:r>
      <w:proofErr w:type="spellStart"/>
      <w:r w:rsidR="005A46F1">
        <w:rPr>
          <w:i/>
        </w:rPr>
        <w:t>auDA</w:t>
      </w:r>
      <w:proofErr w:type="spellEnd"/>
      <w:r w:rsidR="005A46F1">
        <w:rPr>
          <w:i/>
        </w:rPr>
        <w:t xml:space="preserve"> stakeholders.</w:t>
      </w:r>
    </w:p>
    <w:p w14:paraId="19E26844" w14:textId="1378D4D5" w:rsidR="00750036" w:rsidRDefault="00750036" w:rsidP="00750036">
      <w:proofErr w:type="spellStart"/>
      <w:proofErr w:type="gramStart"/>
      <w:r>
        <w:t>auDA’s</w:t>
      </w:r>
      <w:proofErr w:type="spellEnd"/>
      <w:proofErr w:type="gramEnd"/>
      <w:r>
        <w:t xml:space="preserve"> terms of endorsement note that as the DNS is a public resource, its functions should be administered in the public or common interest. In terms of its stakeholders, it could be said that given the internet has become essential to Australians’ daily lives, </w:t>
      </w:r>
      <w:proofErr w:type="spellStart"/>
      <w:r>
        <w:t>auDA’s</w:t>
      </w:r>
      <w:proofErr w:type="spellEnd"/>
      <w:r>
        <w:t xml:space="preserve"> stakeholders include all Australians using .au domains to do their banking, using social media and online retail, and other online activities. </w:t>
      </w:r>
      <w:proofErr w:type="spellStart"/>
      <w:proofErr w:type="gramStart"/>
      <w:r>
        <w:t>auDA’s</w:t>
      </w:r>
      <w:proofErr w:type="spellEnd"/>
      <w:proofErr w:type="gramEnd"/>
      <w:r>
        <w:t xml:space="preserve"> Constitution reflects the terms of endorsement, noting the ‘Australian internet community’ is defined as ‘users and suppliers of services via the </w:t>
      </w:r>
      <w:r w:rsidR="00BC4DB3">
        <w:t>i</w:t>
      </w:r>
      <w:r>
        <w:t>nternet in Australia’.</w:t>
      </w:r>
    </w:p>
    <w:p w14:paraId="1DC6BC37" w14:textId="77777777" w:rsidR="006C17A2" w:rsidRDefault="007318E2" w:rsidP="00750036">
      <w:proofErr w:type="spellStart"/>
      <w:proofErr w:type="gramStart"/>
      <w:r>
        <w:lastRenderedPageBreak/>
        <w:t>auDA’s</w:t>
      </w:r>
      <w:proofErr w:type="spellEnd"/>
      <w:proofErr w:type="gramEnd"/>
      <w:r>
        <w:t xml:space="preserve"> members are integral to the company being a successful entity. There are two classes of </w:t>
      </w:r>
      <w:proofErr w:type="spellStart"/>
      <w:r>
        <w:t>auDA</w:t>
      </w:r>
      <w:proofErr w:type="spellEnd"/>
      <w:r>
        <w:t xml:space="preserve"> membership</w:t>
      </w:r>
      <w:r w:rsidR="00FF767E">
        <w:t>:</w:t>
      </w:r>
    </w:p>
    <w:p w14:paraId="6C2F56B4" w14:textId="77777777" w:rsidR="007318E2" w:rsidRDefault="007318E2" w:rsidP="00DB219D">
      <w:pPr>
        <w:pStyle w:val="Bulletlevel1"/>
        <w:numPr>
          <w:ilvl w:val="0"/>
          <w:numId w:val="30"/>
        </w:numPr>
        <w:ind w:left="567" w:hanging="567"/>
      </w:pPr>
      <w:r w:rsidRPr="000B15B3">
        <w:rPr>
          <w:b/>
        </w:rPr>
        <w:t>Supply Class</w:t>
      </w:r>
      <w:r w:rsidR="005A46F1" w:rsidRPr="000B15B3">
        <w:t>:</w:t>
      </w:r>
      <w:r w:rsidR="005A46F1">
        <w:t xml:space="preserve"> </w:t>
      </w:r>
      <w:r>
        <w:t>for domain name industry participants (registry operators, registrars and resellers)</w:t>
      </w:r>
    </w:p>
    <w:p w14:paraId="6F1E3797" w14:textId="1B998F2A" w:rsidR="007318E2" w:rsidRDefault="007318E2" w:rsidP="00DB219D">
      <w:pPr>
        <w:pStyle w:val="Bulletlevel1"/>
        <w:numPr>
          <w:ilvl w:val="0"/>
          <w:numId w:val="30"/>
        </w:numPr>
        <w:ind w:left="567" w:hanging="567"/>
      </w:pPr>
      <w:r w:rsidRPr="000B15B3">
        <w:rPr>
          <w:b/>
        </w:rPr>
        <w:t>Demand Class</w:t>
      </w:r>
      <w:r w:rsidR="005A46F1" w:rsidRPr="000B15B3">
        <w:t>:</w:t>
      </w:r>
      <w:r w:rsidR="005A46F1">
        <w:t xml:space="preserve"> </w:t>
      </w:r>
      <w:r w:rsidR="006926FF">
        <w:t xml:space="preserve">any legal person that does not qualify for supply class, including </w:t>
      </w:r>
      <w:r>
        <w:t>domain name holders (registrants), internet users and the general public</w:t>
      </w:r>
    </w:p>
    <w:p w14:paraId="754793F6" w14:textId="77777777" w:rsidR="006C17A2" w:rsidRDefault="007318E2" w:rsidP="007318E2">
      <w:r>
        <w:t xml:space="preserve">Other </w:t>
      </w:r>
      <w:proofErr w:type="spellStart"/>
      <w:r>
        <w:t>auDA</w:t>
      </w:r>
      <w:proofErr w:type="spellEnd"/>
      <w:r>
        <w:t xml:space="preserve"> stakeholders include: accredited and potential registrars</w:t>
      </w:r>
      <w:r w:rsidR="00996F79">
        <w:t xml:space="preserve"> that are not members</w:t>
      </w:r>
      <w:r>
        <w:t xml:space="preserve">; non-member domain name registrants; </w:t>
      </w:r>
      <w:r w:rsidR="00996F79">
        <w:t xml:space="preserve">internet service providers; web hosting companies; email providers and corporations that operate DNS infrastructure; </w:t>
      </w:r>
      <w:r>
        <w:t>the Australian Government; the Australian and global internet communities; and those engaging with its community programs.</w:t>
      </w:r>
    </w:p>
    <w:p w14:paraId="56044B2A" w14:textId="77777777" w:rsidR="00257497" w:rsidRDefault="00787C6B" w:rsidP="007318E2">
      <w:r>
        <w:t xml:space="preserve">In 2011, </w:t>
      </w:r>
      <w:proofErr w:type="spellStart"/>
      <w:r>
        <w:t>auDA</w:t>
      </w:r>
      <w:proofErr w:type="spellEnd"/>
      <w:r>
        <w:t xml:space="preserve"> commissioned Westlake Consulting Ltd to conduct an independent review into the governance of .au. One of the recommendations was for </w:t>
      </w:r>
      <w:proofErr w:type="spellStart"/>
      <w:r>
        <w:t>auDA</w:t>
      </w:r>
      <w:proofErr w:type="spellEnd"/>
      <w:r>
        <w:t xml:space="preserve"> to produce an Accountability and Transparency Framework broadly similar to ICANN. A draft Framework was produced in 2012</w:t>
      </w:r>
      <w:r w:rsidR="002F449D">
        <w:t>.</w:t>
      </w:r>
      <w:r w:rsidR="002F449D">
        <w:rPr>
          <w:rStyle w:val="FootnoteReference"/>
        </w:rPr>
        <w:footnoteReference w:id="5"/>
      </w:r>
    </w:p>
    <w:p w14:paraId="7DC45B67" w14:textId="77777777" w:rsidR="006C17A2" w:rsidRDefault="007318E2" w:rsidP="007318E2">
      <w:r>
        <w:t xml:space="preserve">The Framework notes in terms of its accountability </w:t>
      </w:r>
      <w:proofErr w:type="spellStart"/>
      <w:r>
        <w:t>auDA</w:t>
      </w:r>
      <w:proofErr w:type="spellEnd"/>
      <w:r>
        <w:t xml:space="preserve"> has</w:t>
      </w:r>
      <w:r w:rsidR="00390901">
        <w:t>:</w:t>
      </w:r>
    </w:p>
    <w:p w14:paraId="70F373C1" w14:textId="77777777" w:rsidR="006C17A2" w:rsidRDefault="007318E2" w:rsidP="00DB219D">
      <w:pPr>
        <w:pStyle w:val="Bulletlevel1"/>
        <w:numPr>
          <w:ilvl w:val="0"/>
          <w:numId w:val="30"/>
        </w:numPr>
        <w:ind w:left="567" w:hanging="567"/>
      </w:pPr>
      <w:r>
        <w:t>a legal and constitutional accountability as an Australian company</w:t>
      </w:r>
    </w:p>
    <w:p w14:paraId="46AC9E56" w14:textId="77777777" w:rsidR="00390901" w:rsidRDefault="007318E2" w:rsidP="00DB219D">
      <w:pPr>
        <w:pStyle w:val="Bulletlevel1"/>
        <w:numPr>
          <w:ilvl w:val="0"/>
          <w:numId w:val="30"/>
        </w:numPr>
        <w:ind w:left="567" w:hanging="567"/>
      </w:pPr>
      <w:r>
        <w:t>public sphere accountability as a manager of a vital national resource</w:t>
      </w:r>
    </w:p>
    <w:p w14:paraId="67432062" w14:textId="77777777" w:rsidR="006C17A2" w:rsidRDefault="007318E2" w:rsidP="00DB219D">
      <w:pPr>
        <w:pStyle w:val="Bulletlevel1"/>
        <w:numPr>
          <w:ilvl w:val="0"/>
          <w:numId w:val="30"/>
        </w:numPr>
        <w:ind w:left="567" w:hanging="567"/>
      </w:pPr>
      <w:proofErr w:type="gramStart"/>
      <w:r>
        <w:t>accountability</w:t>
      </w:r>
      <w:proofErr w:type="gramEnd"/>
      <w:r>
        <w:t xml:space="preserve"> to its members, following on from its structure as a membership-based entity.</w:t>
      </w:r>
    </w:p>
    <w:p w14:paraId="153E32F6" w14:textId="77777777" w:rsidR="006C17A2" w:rsidRDefault="005A46F1" w:rsidP="00C86077">
      <w:r>
        <w:t>T</w:t>
      </w:r>
      <w:r w:rsidR="007318E2">
        <w:t>he Constitution notes members can</w:t>
      </w:r>
      <w:r w:rsidR="00390901">
        <w:t>:</w:t>
      </w:r>
    </w:p>
    <w:p w14:paraId="0E35B54D" w14:textId="77777777" w:rsidR="00390901" w:rsidRDefault="007318E2" w:rsidP="00DB219D">
      <w:pPr>
        <w:pStyle w:val="Bulletlevel1"/>
        <w:numPr>
          <w:ilvl w:val="0"/>
          <w:numId w:val="30"/>
        </w:numPr>
        <w:ind w:left="567" w:hanging="567"/>
      </w:pPr>
      <w:r>
        <w:t>take part in the Annual General Meeting (AGM)</w:t>
      </w:r>
    </w:p>
    <w:p w14:paraId="3D790BB6" w14:textId="77777777" w:rsidR="00390901" w:rsidRDefault="007318E2" w:rsidP="00DB219D">
      <w:pPr>
        <w:pStyle w:val="Bulletlevel1"/>
        <w:numPr>
          <w:ilvl w:val="0"/>
          <w:numId w:val="30"/>
        </w:numPr>
        <w:ind w:left="567" w:hanging="567"/>
      </w:pPr>
      <w:r>
        <w:t>vote for or stand as a Director</w:t>
      </w:r>
    </w:p>
    <w:p w14:paraId="67C31C8E" w14:textId="77777777" w:rsidR="00390901" w:rsidRDefault="007318E2" w:rsidP="00DB219D">
      <w:pPr>
        <w:pStyle w:val="Bulletlevel1"/>
        <w:numPr>
          <w:ilvl w:val="0"/>
          <w:numId w:val="30"/>
        </w:numPr>
        <w:ind w:left="567" w:hanging="567"/>
      </w:pPr>
      <w:r>
        <w:t>have financial statements available</w:t>
      </w:r>
    </w:p>
    <w:p w14:paraId="432B72D0" w14:textId="77777777" w:rsidR="00390901" w:rsidRDefault="007318E2" w:rsidP="00DB219D">
      <w:pPr>
        <w:pStyle w:val="Bulletlevel1"/>
        <w:numPr>
          <w:ilvl w:val="0"/>
          <w:numId w:val="30"/>
        </w:numPr>
        <w:ind w:left="567" w:hanging="567"/>
      </w:pPr>
      <w:proofErr w:type="gramStart"/>
      <w:r>
        <w:t>vote</w:t>
      </w:r>
      <w:proofErr w:type="gramEnd"/>
      <w:r>
        <w:t xml:space="preserve"> on resolutions put to members</w:t>
      </w:r>
      <w:r w:rsidR="00390901">
        <w:t>.</w:t>
      </w:r>
    </w:p>
    <w:p w14:paraId="74E07FBC" w14:textId="77777777" w:rsidR="006C17A2" w:rsidRDefault="007318E2" w:rsidP="007318E2">
      <w:r>
        <w:t>The Framework’s section on transparency notes accountability only works i</w:t>
      </w:r>
      <w:r w:rsidR="00A93C39">
        <w:t>f</w:t>
      </w:r>
      <w:r>
        <w:t xml:space="preserve"> there is ‘sufficient information to make informed judgements’. It commits </w:t>
      </w:r>
      <w:proofErr w:type="spellStart"/>
      <w:r>
        <w:t>auDA</w:t>
      </w:r>
      <w:proofErr w:type="spellEnd"/>
      <w:r>
        <w:t xml:space="preserve"> to publishing information to provide ‘sufficient levels of transparency to allow members and other stakeholders to understand the work that </w:t>
      </w:r>
      <w:proofErr w:type="spellStart"/>
      <w:r>
        <w:t>auDA</w:t>
      </w:r>
      <w:proofErr w:type="spellEnd"/>
      <w:r>
        <w:t xml:space="preserve"> is undertaking in the light of its accountabilities’. This information includes Board agendas, Board minutes, and Board committee minutes.</w:t>
      </w:r>
    </w:p>
    <w:p w14:paraId="639137E5" w14:textId="77777777" w:rsidR="006C17A2" w:rsidRDefault="00BD2D52" w:rsidP="00BD2D52">
      <w:r>
        <w:t xml:space="preserve">The Board made the decision in May 2017 to remove minutes from the </w:t>
      </w:r>
      <w:proofErr w:type="spellStart"/>
      <w:r>
        <w:t>auDA</w:t>
      </w:r>
      <w:proofErr w:type="spellEnd"/>
      <w:r>
        <w:t xml:space="preserve"> website, stating publishing was ‘not best practice governance’.</w:t>
      </w:r>
      <w:r>
        <w:rPr>
          <w:rStyle w:val="FootnoteReference"/>
        </w:rPr>
        <w:footnoteReference w:id="6"/>
      </w:r>
      <w:r>
        <w:t xml:space="preserve"> These were subsequently restored following the Special General Meeting in July.</w:t>
      </w:r>
      <w:r>
        <w:rPr>
          <w:rStyle w:val="FootnoteReference"/>
        </w:rPr>
        <w:footnoteReference w:id="7"/>
      </w:r>
    </w:p>
    <w:p w14:paraId="551A3BE9" w14:textId="77777777" w:rsidR="006C17A2" w:rsidRDefault="00AB59B0" w:rsidP="007318E2">
      <w:r>
        <w:t>T</w:t>
      </w:r>
      <w:r w:rsidR="007318E2">
        <w:t>he Framework commits to involving members and other stakeholders in policy development processes, with advisory board minutes to be published on the website and draft proposals and recommendations released for public comment before submission for approval. An external transparency audit of compliance every three years is also contained in the Framework.</w:t>
      </w:r>
    </w:p>
    <w:p w14:paraId="6A792CD0" w14:textId="6D15F52E" w:rsidR="006C17A2" w:rsidRDefault="007318E2" w:rsidP="007318E2">
      <w:proofErr w:type="spellStart"/>
      <w:proofErr w:type="gramStart"/>
      <w:r>
        <w:t>auD</w:t>
      </w:r>
      <w:r w:rsidR="00996F79">
        <w:t>A</w:t>
      </w:r>
      <w:r>
        <w:t>’s</w:t>
      </w:r>
      <w:proofErr w:type="spellEnd"/>
      <w:proofErr w:type="gramEnd"/>
      <w:r>
        <w:t xml:space="preserve"> 2015–16 Strategic Plan</w:t>
      </w:r>
      <w:r>
        <w:rPr>
          <w:rStyle w:val="FootnoteReference"/>
        </w:rPr>
        <w:footnoteReference w:id="8"/>
      </w:r>
      <w:r>
        <w:t xml:space="preserve"> and 2015–16 Annual Report</w:t>
      </w:r>
      <w:r w:rsidR="00A93C39">
        <w:rPr>
          <w:rStyle w:val="FootnoteReference"/>
        </w:rPr>
        <w:footnoteReference w:id="9"/>
      </w:r>
      <w:r>
        <w:t xml:space="preserve"> highlight that the company is seeking to enhance stakeholder relationships and broaden the membership base (which has grown </w:t>
      </w:r>
      <w:r w:rsidR="00A24629">
        <w:t xml:space="preserve">significantly </w:t>
      </w:r>
      <w:r>
        <w:t>between 30 June 2016 and 17 July 2017).</w:t>
      </w:r>
    </w:p>
    <w:p w14:paraId="45B9193B" w14:textId="77777777" w:rsidR="007318E2" w:rsidRDefault="007318E2" w:rsidP="00CA64BC">
      <w:pPr>
        <w:pStyle w:val="Heading4"/>
        <w:pBdr>
          <w:top w:val="single" w:sz="4" w:space="1" w:color="auto"/>
          <w:left w:val="single" w:sz="4" w:space="1" w:color="auto"/>
          <w:bottom w:val="single" w:sz="4" w:space="1" w:color="auto"/>
          <w:right w:val="single" w:sz="4" w:space="1" w:color="auto"/>
        </w:pBdr>
      </w:pPr>
      <w:bookmarkStart w:id="19" w:name="_Toc497484186"/>
      <w:bookmarkStart w:id="20" w:name="_Toc497833494"/>
      <w:r w:rsidRPr="00CA64BC">
        <w:lastRenderedPageBreak/>
        <w:t>Questions</w:t>
      </w:r>
      <w:bookmarkEnd w:id="19"/>
      <w:bookmarkEnd w:id="20"/>
    </w:p>
    <w:p w14:paraId="6909B4F6" w14:textId="77777777" w:rsidR="00390901" w:rsidRPr="000B15B3" w:rsidRDefault="00390901" w:rsidP="00CA64BC">
      <w:pPr>
        <w:pStyle w:val="Heading5"/>
        <w:pBdr>
          <w:top w:val="single" w:sz="4" w:space="1" w:color="auto"/>
          <w:left w:val="single" w:sz="4" w:space="1" w:color="auto"/>
          <w:bottom w:val="single" w:sz="4" w:space="1" w:color="auto"/>
          <w:right w:val="single" w:sz="4" w:space="1" w:color="auto"/>
        </w:pBdr>
        <w:rPr>
          <w:b w:val="0"/>
        </w:rPr>
      </w:pPr>
      <w:r w:rsidRPr="00CA64BC">
        <w:t>Stakeholder</w:t>
      </w:r>
      <w:r w:rsidRPr="000B15B3">
        <w:t xml:space="preserve"> engagement</w:t>
      </w:r>
    </w:p>
    <w:p w14:paraId="34703AFA" w14:textId="77777777" w:rsidR="00390901" w:rsidRDefault="00390901"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Who are </w:t>
      </w:r>
      <w:proofErr w:type="spellStart"/>
      <w:r>
        <w:t>auDA’s</w:t>
      </w:r>
      <w:proofErr w:type="spellEnd"/>
      <w:r>
        <w:t xml:space="preserve"> stakeholders?</w:t>
      </w:r>
    </w:p>
    <w:p w14:paraId="50935B17" w14:textId="77777777" w:rsidR="00390901" w:rsidRDefault="00390901"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How should </w:t>
      </w:r>
      <w:proofErr w:type="spellStart"/>
      <w:r>
        <w:t>auDA</w:t>
      </w:r>
      <w:proofErr w:type="spellEnd"/>
      <w:r>
        <w:t xml:space="preserve"> engage with its stakeholders? Are there guiding principles which should be considered?</w:t>
      </w:r>
    </w:p>
    <w:p w14:paraId="401A6C21" w14:textId="77777777" w:rsidR="00390901" w:rsidRDefault="00390901"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Are </w:t>
      </w:r>
      <w:proofErr w:type="spellStart"/>
      <w:r>
        <w:t>auDA’s</w:t>
      </w:r>
      <w:proofErr w:type="spellEnd"/>
      <w:r>
        <w:t xml:space="preserve"> stakeholder engagement processes effective?</w:t>
      </w:r>
    </w:p>
    <w:p w14:paraId="50B3019C" w14:textId="77777777" w:rsidR="00390901" w:rsidRDefault="00390901"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Is a transparency and accountability framework effective?</w:t>
      </w:r>
    </w:p>
    <w:p w14:paraId="7E518C6B" w14:textId="77777777" w:rsidR="006C17A2" w:rsidRDefault="00EB36C2" w:rsidP="00CA64BC">
      <w:pPr>
        <w:pStyle w:val="Heading5"/>
        <w:pBdr>
          <w:top w:val="single" w:sz="4" w:space="1" w:color="auto"/>
          <w:left w:val="single" w:sz="4" w:space="1" w:color="auto"/>
          <w:bottom w:val="single" w:sz="4" w:space="1" w:color="auto"/>
          <w:right w:val="single" w:sz="4" w:space="1" w:color="auto"/>
        </w:pBdr>
      </w:pPr>
      <w:r w:rsidRPr="00CA64BC">
        <w:t>Membership</w:t>
      </w:r>
    </w:p>
    <w:p w14:paraId="1984E168" w14:textId="77777777" w:rsidR="00EB36C2" w:rsidRDefault="00EB36C2"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Is </w:t>
      </w:r>
      <w:proofErr w:type="spellStart"/>
      <w:r>
        <w:t>auDA</w:t>
      </w:r>
      <w:r w:rsidR="00D53CD8">
        <w:t>’</w:t>
      </w:r>
      <w:r>
        <w:t>s</w:t>
      </w:r>
      <w:proofErr w:type="spellEnd"/>
      <w:r>
        <w:t xml:space="preserve"> membership structure reflective of the range of stakeholders that rely on, or interact with, the .au domain?</w:t>
      </w:r>
    </w:p>
    <w:p w14:paraId="19C80210" w14:textId="77777777" w:rsidR="00EB36C2" w:rsidRDefault="00EB36C2"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Does </w:t>
      </w:r>
      <w:proofErr w:type="spellStart"/>
      <w:r>
        <w:t>auDA’s</w:t>
      </w:r>
      <w:proofErr w:type="spellEnd"/>
      <w:r>
        <w:t xml:space="preserve"> membership structure support it in delivering its roles and responsibilities?</w:t>
      </w:r>
    </w:p>
    <w:p w14:paraId="2903EAE4" w14:textId="77777777" w:rsidR="006C17A2" w:rsidRDefault="0026098A" w:rsidP="00FC377D">
      <w:pPr>
        <w:pStyle w:val="Heading3"/>
      </w:pPr>
      <w:bookmarkStart w:id="21" w:name="_Toc497833495"/>
      <w:r>
        <w:t xml:space="preserve">Future </w:t>
      </w:r>
      <w:r w:rsidR="007C7E8B">
        <w:t xml:space="preserve">risks </w:t>
      </w:r>
      <w:r w:rsidR="003245CA">
        <w:t>to</w:t>
      </w:r>
      <w:r>
        <w:t xml:space="preserve"> the security and stability of .au</w:t>
      </w:r>
      <w:bookmarkEnd w:id="21"/>
    </w:p>
    <w:p w14:paraId="165706D2" w14:textId="77777777" w:rsidR="00A80C50" w:rsidRPr="00C77A60" w:rsidRDefault="00390901" w:rsidP="00A80C50">
      <w:pPr>
        <w:rPr>
          <w:i/>
        </w:rPr>
      </w:pPr>
      <w:r>
        <w:rPr>
          <w:i/>
        </w:rPr>
        <w:t xml:space="preserve">The </w:t>
      </w:r>
      <w:r w:rsidR="00A80C50" w:rsidRPr="00C77A60">
        <w:rPr>
          <w:i/>
        </w:rPr>
        <w:t xml:space="preserve">review </w:t>
      </w:r>
      <w:r>
        <w:rPr>
          <w:i/>
        </w:rPr>
        <w:t xml:space="preserve">will consider </w:t>
      </w:r>
      <w:r w:rsidR="00A80C50" w:rsidRPr="00C77A60">
        <w:rPr>
          <w:i/>
        </w:rPr>
        <w:t>mitigation strategies to address future risks to the security and stability of the .au domain.</w:t>
      </w:r>
    </w:p>
    <w:p w14:paraId="23AD5F89" w14:textId="77777777" w:rsidR="006C17A2" w:rsidRDefault="00A80C50" w:rsidP="00A80C50">
      <w:r>
        <w:t>Since commercial internet services became widely available to Australians in the 1990s, the internet has quickly evolved into a utility that has driven economy-wide change. Millions of Australians are now reliant on the internet to do business, access content, engage with their community and communicate with others.</w:t>
      </w:r>
    </w:p>
    <w:p w14:paraId="4D36DBEB" w14:textId="77777777" w:rsidR="00A80C50" w:rsidRDefault="00A80C50" w:rsidP="00A80C50">
      <w:r>
        <w:t>Th</w:t>
      </w:r>
      <w:r w:rsidR="00CF6EFB">
        <w:t>is</w:t>
      </w:r>
      <w:r>
        <w:t xml:space="preserve"> has unlocked benefits for governments, businesses and individuals which ha</w:t>
      </w:r>
      <w:r w:rsidR="00713AB1">
        <w:t>ve</w:t>
      </w:r>
      <w:r>
        <w:t xml:space="preserve"> seen the internet become an integral part of many supply chains by providing the underlying infrastructure for communication, data exchange and other services. This has led to strong growth in Australia’s digital economy, which is estimated to grow to $139 billion annually by 2020 as more services are connected.</w:t>
      </w:r>
      <w:r>
        <w:rPr>
          <w:rStyle w:val="FootnoteReference"/>
        </w:rPr>
        <w:footnoteReference w:id="10"/>
      </w:r>
    </w:p>
    <w:p w14:paraId="4C9F9558" w14:textId="77777777" w:rsidR="006C17A2" w:rsidRDefault="00A80C50" w:rsidP="00A80C50">
      <w:r>
        <w:t>However, as interconnection increases, the impact from malicious online activity also rises. The integrity of networks now underpins the operation of important services, from small online businesses, to connected critical infrastructure. The Australian Government’s cyber security strategy highlights that cyberattacks in Australia are increasing in terms of scale and complexity.</w:t>
      </w:r>
      <w:r>
        <w:rPr>
          <w:rStyle w:val="FootnoteReference"/>
        </w:rPr>
        <w:footnoteReference w:id="11"/>
      </w:r>
    </w:p>
    <w:p w14:paraId="21313C0B" w14:textId="7E6BC504" w:rsidR="006C17A2" w:rsidRDefault="00A80C50" w:rsidP="000B15B3">
      <w:r>
        <w:t xml:space="preserve">As the administrator of the </w:t>
      </w:r>
      <w:r w:rsidR="00996F79">
        <w:t xml:space="preserve">.au </w:t>
      </w:r>
      <w:proofErr w:type="spellStart"/>
      <w:r w:rsidR="00996F79">
        <w:t>ccTLD</w:t>
      </w:r>
      <w:proofErr w:type="spellEnd"/>
      <w:r w:rsidR="00996F79">
        <w:t xml:space="preserve"> </w:t>
      </w:r>
      <w:r>
        <w:t xml:space="preserve">in Australia, </w:t>
      </w:r>
      <w:proofErr w:type="spellStart"/>
      <w:r>
        <w:t>auDA</w:t>
      </w:r>
      <w:proofErr w:type="spellEnd"/>
      <w:r>
        <w:t xml:space="preserve"> has an important role in ensuring the stability and integrity of </w:t>
      </w:r>
      <w:r w:rsidR="00EB36C2">
        <w:t>the DNS and the top-level .au domain</w:t>
      </w:r>
      <w:r w:rsidR="00CA64BC">
        <w:t>.</w:t>
      </w:r>
    </w:p>
    <w:p w14:paraId="78D93B1F" w14:textId="07722C75" w:rsidR="00A80C50" w:rsidRDefault="00A80C50" w:rsidP="00A80C50">
      <w:proofErr w:type="spellStart"/>
      <w:r>
        <w:t>auDA</w:t>
      </w:r>
      <w:proofErr w:type="spellEnd"/>
      <w:r>
        <w:t xml:space="preserve"> has established mitigation strategies for responding to attacks against the .au domain including implementing the Domain Name System Security Extensions</w:t>
      </w:r>
      <w:r w:rsidR="00996F79">
        <w:t xml:space="preserve"> (DNSSEC)</w:t>
      </w:r>
      <w:r>
        <w:t xml:space="preserve">—which protects against attacks by digitally signing data to provide an assurance of its </w:t>
      </w:r>
      <w:r w:rsidR="00996F79">
        <w:t>integrity</w:t>
      </w:r>
      <w:r>
        <w:t xml:space="preserve">—and introducing its Information Security Standard—to assist registrars to manage and improve the security and resiliency of their business, .au registrants and the .au DNS more broadly. </w:t>
      </w:r>
      <w:proofErr w:type="spellStart"/>
      <w:proofErr w:type="gramStart"/>
      <w:r w:rsidR="00A97F0C">
        <w:t>auDA</w:t>
      </w:r>
      <w:proofErr w:type="spellEnd"/>
      <w:proofErr w:type="gramEnd"/>
      <w:r w:rsidR="00A97F0C">
        <w:t xml:space="preserve"> has also established a security and stability advisory committee.</w:t>
      </w:r>
    </w:p>
    <w:p w14:paraId="40BE1F41" w14:textId="77777777" w:rsidR="006C17A2" w:rsidRDefault="00EB36C2" w:rsidP="00A80C50">
      <w:r>
        <w:t>The Government plays an important role in assessing and managing security risks associated with infrastructure that supports the nation</w:t>
      </w:r>
      <w:r w:rsidR="00B04145">
        <w:t>al</w:t>
      </w:r>
      <w:r>
        <w:t xml:space="preserve"> interest. For example, the Australian Signals Directorate </w:t>
      </w:r>
      <w:r w:rsidR="00D353BC">
        <w:t xml:space="preserve">publishes strategies </w:t>
      </w:r>
      <w:r w:rsidR="00390901">
        <w:t>that provide guidance for how organisations can mitigate cyber security risks</w:t>
      </w:r>
      <w:r w:rsidR="00D353BC">
        <w:t>.</w:t>
      </w:r>
      <w:r w:rsidR="00D353BC">
        <w:rPr>
          <w:rStyle w:val="FootnoteReference"/>
        </w:rPr>
        <w:footnoteReference w:id="12"/>
      </w:r>
      <w:r w:rsidR="00D353BC">
        <w:t xml:space="preserve"> </w:t>
      </w:r>
    </w:p>
    <w:p w14:paraId="58C1D85A" w14:textId="77777777" w:rsidR="00033136" w:rsidRDefault="00033136" w:rsidP="00CA64BC">
      <w:pPr>
        <w:pStyle w:val="Heading4"/>
        <w:pBdr>
          <w:top w:val="single" w:sz="4" w:space="1" w:color="auto"/>
          <w:left w:val="single" w:sz="4" w:space="1" w:color="auto"/>
          <w:bottom w:val="single" w:sz="4" w:space="1" w:color="auto"/>
          <w:right w:val="single" w:sz="4" w:space="1" w:color="auto"/>
        </w:pBdr>
      </w:pPr>
      <w:bookmarkStart w:id="22" w:name="_Toc497484188"/>
      <w:bookmarkStart w:id="23" w:name="_Toc497833496"/>
      <w:r w:rsidRPr="00CA64BC">
        <w:lastRenderedPageBreak/>
        <w:t>Questions</w:t>
      </w:r>
      <w:bookmarkEnd w:id="22"/>
      <w:bookmarkEnd w:id="23"/>
    </w:p>
    <w:p w14:paraId="1F95E970" w14:textId="77777777" w:rsidR="00033136" w:rsidRPr="0073047C" w:rsidRDefault="00033136" w:rsidP="00CA64BC">
      <w:pPr>
        <w:pStyle w:val="Heading5"/>
        <w:pBdr>
          <w:top w:val="single" w:sz="4" w:space="1" w:color="auto"/>
          <w:left w:val="single" w:sz="4" w:space="1" w:color="auto"/>
          <w:bottom w:val="single" w:sz="4" w:space="1" w:color="auto"/>
          <w:right w:val="single" w:sz="4" w:space="1" w:color="auto"/>
        </w:pBdr>
      </w:pPr>
      <w:r>
        <w:t>Security of the .au domain</w:t>
      </w:r>
    </w:p>
    <w:p w14:paraId="55292103" w14:textId="77777777" w:rsidR="00A80C50" w:rsidRDefault="00A80C50"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What emerging risks does </w:t>
      </w:r>
      <w:proofErr w:type="spellStart"/>
      <w:r>
        <w:t>auDA</w:t>
      </w:r>
      <w:proofErr w:type="spellEnd"/>
      <w:r>
        <w:t xml:space="preserve"> face in relation to </w:t>
      </w:r>
      <w:r w:rsidR="00784048">
        <w:t xml:space="preserve">the </w:t>
      </w:r>
      <w:r>
        <w:t>security and stability of the .au domain?</w:t>
      </w:r>
    </w:p>
    <w:p w14:paraId="25E45A31" w14:textId="77777777" w:rsidR="00A80C50" w:rsidRDefault="00A80C50"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What is best practice for DNS administration?</w:t>
      </w:r>
    </w:p>
    <w:p w14:paraId="4464C512" w14:textId="77777777" w:rsidR="00A80C50" w:rsidRDefault="00A80C50"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Does </w:t>
      </w:r>
      <w:proofErr w:type="spellStart"/>
      <w:r>
        <w:t>auDA</w:t>
      </w:r>
      <w:proofErr w:type="spellEnd"/>
      <w:r>
        <w:t xml:space="preserve"> maintain appropriate mitigation strategies?</w:t>
      </w:r>
      <w:r w:rsidRPr="009D1825">
        <w:t xml:space="preserve"> </w:t>
      </w:r>
      <w:r>
        <w:t>What additional mitigation strategies should be considered? How should these strategies be assessed?</w:t>
      </w:r>
    </w:p>
    <w:p w14:paraId="68E91103" w14:textId="77777777" w:rsidR="006C17A2" w:rsidRDefault="00A80C50" w:rsidP="00CA64BC">
      <w:pPr>
        <w:pStyle w:val="Bulletlevel1"/>
        <w:numPr>
          <w:ilvl w:val="0"/>
          <w:numId w:val="6"/>
        </w:numPr>
        <w:pBdr>
          <w:top w:val="single" w:sz="4" w:space="1" w:color="auto"/>
          <w:left w:val="single" w:sz="4" w:space="1" w:color="auto"/>
          <w:bottom w:val="single" w:sz="4" w:space="1" w:color="auto"/>
          <w:right w:val="single" w:sz="4" w:space="1" w:color="auto"/>
        </w:pBdr>
        <w:ind w:left="567" w:hanging="567"/>
      </w:pPr>
      <w:r>
        <w:t xml:space="preserve">What is the optimal mix of capabilities to expand </w:t>
      </w:r>
      <w:proofErr w:type="spellStart"/>
      <w:r>
        <w:t>auDA’s</w:t>
      </w:r>
      <w:proofErr w:type="spellEnd"/>
      <w:r>
        <w:t xml:space="preserve"> cybersecurity preparedness?</w:t>
      </w:r>
    </w:p>
    <w:p w14:paraId="503E9940" w14:textId="4C0A1136" w:rsidR="006C17A2" w:rsidRDefault="00A80C50" w:rsidP="00CA64BC">
      <w:pPr>
        <w:pStyle w:val="Bulletlevel1"/>
        <w:numPr>
          <w:ilvl w:val="0"/>
          <w:numId w:val="6"/>
        </w:numPr>
        <w:pBdr>
          <w:top w:val="single" w:sz="4" w:space="1" w:color="auto"/>
          <w:left w:val="single" w:sz="4" w:space="1" w:color="auto"/>
          <w:bottom w:val="single" w:sz="4" w:space="1" w:color="auto"/>
          <w:right w:val="single" w:sz="4" w:space="1" w:color="auto"/>
        </w:pBdr>
        <w:spacing w:after="0"/>
        <w:ind w:left="567" w:hanging="567"/>
      </w:pPr>
      <w:r>
        <w:t xml:space="preserve">How should </w:t>
      </w:r>
      <w:proofErr w:type="spellStart"/>
      <w:r>
        <w:t>auDA</w:t>
      </w:r>
      <w:proofErr w:type="spellEnd"/>
      <w:r>
        <w:t xml:space="preserve"> engage with the Governm</w:t>
      </w:r>
      <w:r w:rsidR="004405B6">
        <w:t>ent in its management of risks?</w:t>
      </w:r>
    </w:p>
    <w:p w14:paraId="0C89FB14" w14:textId="77777777" w:rsidR="000C4007" w:rsidRDefault="000C4007" w:rsidP="00C86077">
      <w:pPr>
        <w:pStyle w:val="Heading2"/>
      </w:pPr>
      <w:bookmarkStart w:id="24" w:name="_Toc497833497"/>
      <w:r>
        <w:t>Consultation process</w:t>
      </w:r>
      <w:bookmarkEnd w:id="24"/>
    </w:p>
    <w:p w14:paraId="2471E50A" w14:textId="77777777" w:rsidR="006C17A2" w:rsidRDefault="000C4007" w:rsidP="000C4007">
      <w:r w:rsidRPr="000C4007">
        <w:t xml:space="preserve">The Department is seeking submissions from stakeholders on the specific questions raised in this paper and other issues relevant to the terms of reference. Further consultation will be held as the review </w:t>
      </w:r>
      <w:r>
        <w:t>progresses</w:t>
      </w:r>
      <w:r w:rsidRPr="000C4007">
        <w:t xml:space="preserve">, including with members of </w:t>
      </w:r>
      <w:proofErr w:type="spellStart"/>
      <w:r>
        <w:t>auDA</w:t>
      </w:r>
      <w:proofErr w:type="spellEnd"/>
      <w:r>
        <w:t xml:space="preserve"> and other entities that engage </w:t>
      </w:r>
      <w:r w:rsidRPr="000C4007">
        <w:t xml:space="preserve">directly with the </w:t>
      </w:r>
      <w:r>
        <w:t>organisation</w:t>
      </w:r>
      <w:r w:rsidRPr="000C4007">
        <w:t>.</w:t>
      </w:r>
    </w:p>
    <w:p w14:paraId="406C8201" w14:textId="55D6D1AF" w:rsidR="006C17A2" w:rsidRDefault="000C4007" w:rsidP="000C4007">
      <w:r w:rsidRPr="005D7965">
        <w:t xml:space="preserve">Submissions should be received by </w:t>
      </w:r>
      <w:r w:rsidR="005D7965" w:rsidRPr="005D7965">
        <w:t>Monday</w:t>
      </w:r>
      <w:r w:rsidRPr="005D7965">
        <w:t xml:space="preserve">, </w:t>
      </w:r>
      <w:r w:rsidR="005D7965" w:rsidRPr="005D7965">
        <w:t>18</w:t>
      </w:r>
      <w:r w:rsidRPr="005D7965">
        <w:t xml:space="preserve"> </w:t>
      </w:r>
      <w:r w:rsidR="007B1889" w:rsidRPr="005D7965">
        <w:t xml:space="preserve">December </w:t>
      </w:r>
      <w:r w:rsidRPr="005D7965">
        <w:t>201</w:t>
      </w:r>
      <w:r w:rsidR="007B1889" w:rsidRPr="005D7965">
        <w:t>7</w:t>
      </w:r>
      <w:r w:rsidRPr="005D7965">
        <w:t xml:space="preserve"> and can be lodged in the following ways:</w:t>
      </w:r>
    </w:p>
    <w:p w14:paraId="1DC4443F" w14:textId="5FAC37E6" w:rsidR="006C17A2" w:rsidRDefault="00093D95" w:rsidP="004405B6">
      <w:pPr>
        <w:ind w:left="567"/>
      </w:pPr>
      <w:r>
        <w:t>W</w:t>
      </w:r>
      <w:r w:rsidR="004405B6">
        <w:t>ebsite</w:t>
      </w:r>
      <w:r w:rsidR="000C4007" w:rsidRPr="000C4007">
        <w:t xml:space="preserve">: </w:t>
      </w:r>
      <w:hyperlink r:id="rId27" w:history="1">
        <w:r w:rsidR="008C48AE" w:rsidRPr="00331897">
          <w:rPr>
            <w:rStyle w:val="Hyperlink"/>
          </w:rPr>
          <w:t>www.communications.gov.au/have-your-say</w:t>
        </w:r>
      </w:hyperlink>
    </w:p>
    <w:p w14:paraId="0D7ADD3C" w14:textId="4DCB48DD" w:rsidR="008C48AE" w:rsidRDefault="00093D95" w:rsidP="004405B6">
      <w:pPr>
        <w:pStyle w:val="Bulletlevel1"/>
        <w:ind w:firstLine="0"/>
      </w:pPr>
      <w:r>
        <w:t>E</w:t>
      </w:r>
      <w:r w:rsidR="004405B6">
        <w:t>mail</w:t>
      </w:r>
      <w:r w:rsidR="000C4007" w:rsidRPr="000C4007">
        <w:t xml:space="preserve">: </w:t>
      </w:r>
      <w:hyperlink r:id="rId28" w:history="1">
        <w:r w:rsidR="00311CF0" w:rsidRPr="001F499C">
          <w:rPr>
            <w:rStyle w:val="Hyperlink"/>
          </w:rPr>
          <w:t>audomainreview@communications.gov.au</w:t>
        </w:r>
      </w:hyperlink>
      <w:r w:rsidR="008C48AE">
        <w:t>.</w:t>
      </w:r>
    </w:p>
    <w:p w14:paraId="3D86110D" w14:textId="77777777" w:rsidR="006C17A2" w:rsidRDefault="000C4007" w:rsidP="000C4007">
      <w:r w:rsidRPr="000C4007">
        <w:t>Submissions must include the respondent’s name, organisation (if relevant) and contact details. Submissions with no verifiable contact details will not be considered.</w:t>
      </w:r>
    </w:p>
    <w:p w14:paraId="5B48F9C9" w14:textId="77777777" w:rsidR="006C17A2" w:rsidRDefault="000C4007" w:rsidP="000C4007">
      <w:r w:rsidRPr="000C4007">
        <w:t xml:space="preserve">Respondents should be aware that submissions will generally </w:t>
      </w:r>
      <w:r w:rsidR="00167080">
        <w:t xml:space="preserve">be </w:t>
      </w:r>
      <w:r w:rsidRPr="000C4007">
        <w:t>made publicly available</w:t>
      </w:r>
      <w:r w:rsidR="007B1889">
        <w:t xml:space="preserve"> through </w:t>
      </w:r>
      <w:r w:rsidRPr="000C4007">
        <w:t>the Department’s website. The Department reserves the right not to publish any submission, or part of a submission, in its absolute discretion. No correspondence will be entered into with respondents in relation to any decisions by the Department not to publish a submission in whole or in part.</w:t>
      </w:r>
    </w:p>
    <w:p w14:paraId="19A37A99" w14:textId="77777777" w:rsidR="006C17A2" w:rsidRDefault="000C4007" w:rsidP="000C4007">
      <w:r w:rsidRPr="000C4007">
        <w:t xml:space="preserve">All submissions will be treated as non-confidential information, and therefore able to be made publicly available by the Department, unless a respondent specifically requests its submission, or a part of its submission, is kept confidential, and acceptable reasons accompany the request. Email disclaimers will not be considered sufficient confidentiality requests. The Department is subject to the </w:t>
      </w:r>
      <w:r w:rsidRPr="000C4007">
        <w:rPr>
          <w:i/>
          <w:iCs/>
        </w:rPr>
        <w:t xml:space="preserve">Freedom of Information Act 1982 </w:t>
      </w:r>
      <w:r w:rsidRPr="000C4007">
        <w:t>and submissions may be required to be disclosed by the Department in response to requests made under that Act.</w:t>
      </w:r>
    </w:p>
    <w:p w14:paraId="2FA30C9C" w14:textId="77777777" w:rsidR="000C4007" w:rsidRPr="000C4007" w:rsidRDefault="000C4007" w:rsidP="000C4007">
      <w:r w:rsidRPr="000C4007">
        <w:rPr>
          <w:i/>
          <w:iCs/>
        </w:rPr>
        <w:t xml:space="preserve">The Privacy Act 1988 </w:t>
      </w:r>
      <w:r w:rsidRPr="000C4007">
        <w:t>establishes certain principles with respect to the collection, use, and disclosure of information about individuals. Any personal information respondents provide to the Department through their submission will be used for purposes related to consideration of issues raised in this paper in accordance with the Australian Privacy Principles in the Privacy Act. If a submission, or any part, is made publicly available by the Department the name of the respondent will be included with that submission, or part. Respondents should clearly indicate in their submission if they do not wish to have their name included in any publication relating to the review t</w:t>
      </w:r>
      <w:r w:rsidR="006C17A2">
        <w:t>hat the Department may publish.</w:t>
      </w:r>
    </w:p>
    <w:p w14:paraId="1D278C06" w14:textId="6778D468" w:rsidR="000C4007" w:rsidRPr="000C4007" w:rsidRDefault="000C4007" w:rsidP="000C4007">
      <w:r w:rsidRPr="000C4007">
        <w:t>Questions about the submis</w:t>
      </w:r>
      <w:r w:rsidR="00790C61">
        <w:t xml:space="preserve">sion process can be directed to: </w:t>
      </w:r>
      <w:hyperlink r:id="rId29" w:history="1">
        <w:r w:rsidR="00311CF0" w:rsidRPr="001F499C">
          <w:rPr>
            <w:rStyle w:val="Hyperlink"/>
          </w:rPr>
          <w:t>audomainreview@communications.gov.au</w:t>
        </w:r>
      </w:hyperlink>
      <w:r w:rsidRPr="000C4007">
        <w:t>.</w:t>
      </w:r>
    </w:p>
    <w:p w14:paraId="1133835F" w14:textId="77777777" w:rsidR="00164BC9" w:rsidRDefault="00164BC9">
      <w:pPr>
        <w:spacing w:after="160" w:line="259" w:lineRule="auto"/>
      </w:pPr>
      <w:r>
        <w:br w:type="page"/>
      </w:r>
    </w:p>
    <w:p w14:paraId="0043880A" w14:textId="77777777" w:rsidR="00C53C30" w:rsidRDefault="006C17A2" w:rsidP="00CA64BC">
      <w:pPr>
        <w:pStyle w:val="Heading2"/>
      </w:pPr>
      <w:bookmarkStart w:id="25" w:name="_Attachment_A—Discussion_questions"/>
      <w:bookmarkEnd w:id="25"/>
      <w:r>
        <w:lastRenderedPageBreak/>
        <w:t>Attachment A—</w:t>
      </w:r>
      <w:r w:rsidR="00164BC9">
        <w:t>Discussion questions</w:t>
      </w:r>
    </w:p>
    <w:p w14:paraId="39C6A7C6" w14:textId="77777777" w:rsidR="00E46172" w:rsidRDefault="00E46172" w:rsidP="00CA64BC">
      <w:pPr>
        <w:pStyle w:val="Heading3"/>
      </w:pPr>
      <w:proofErr w:type="spellStart"/>
      <w:proofErr w:type="gramStart"/>
      <w:r>
        <w:t>auDA’s</w:t>
      </w:r>
      <w:proofErr w:type="spellEnd"/>
      <w:proofErr w:type="gramEnd"/>
      <w:r>
        <w:t xml:space="preserve"> roles and responsibilities</w:t>
      </w:r>
    </w:p>
    <w:p w14:paraId="151F1CFE" w14:textId="77777777" w:rsidR="006C17A2" w:rsidRDefault="00E46172" w:rsidP="006C17A2">
      <w:pPr>
        <w:pStyle w:val="Bulletlevel1"/>
        <w:numPr>
          <w:ilvl w:val="0"/>
          <w:numId w:val="20"/>
        </w:numPr>
        <w:ind w:left="567" w:hanging="567"/>
      </w:pPr>
      <w:r>
        <w:t xml:space="preserve">What are </w:t>
      </w:r>
      <w:proofErr w:type="spellStart"/>
      <w:r>
        <w:t>auDA’s</w:t>
      </w:r>
      <w:proofErr w:type="spellEnd"/>
      <w:r>
        <w:t xml:space="preserve"> primary roles and responsibilities?</w:t>
      </w:r>
    </w:p>
    <w:p w14:paraId="65A7F7C4" w14:textId="77777777" w:rsidR="006C17A2" w:rsidRDefault="00E46172" w:rsidP="006C17A2">
      <w:pPr>
        <w:pStyle w:val="Bulletlevel1"/>
        <w:numPr>
          <w:ilvl w:val="0"/>
          <w:numId w:val="20"/>
        </w:numPr>
        <w:ind w:left="567" w:hanging="567"/>
      </w:pPr>
      <w:r>
        <w:t xml:space="preserve">Do the current terms of endorsement set out appropriate guiding principles for a fit for purpose .au </w:t>
      </w:r>
      <w:proofErr w:type="spellStart"/>
      <w:r>
        <w:t>ccTLD</w:t>
      </w:r>
      <w:proofErr w:type="spellEnd"/>
      <w:r>
        <w:t xml:space="preserve"> manager?</w:t>
      </w:r>
    </w:p>
    <w:p w14:paraId="77D8FC95" w14:textId="77777777" w:rsidR="00E46172" w:rsidRDefault="00E46172" w:rsidP="006C17A2">
      <w:pPr>
        <w:pStyle w:val="Bulletlevel1"/>
        <w:numPr>
          <w:ilvl w:val="0"/>
          <w:numId w:val="20"/>
        </w:numPr>
        <w:ind w:left="567" w:hanging="567"/>
      </w:pPr>
      <w:r>
        <w:t xml:space="preserve">Do the terms of endorsement reflect community expectations for the management of the .au </w:t>
      </w:r>
      <w:proofErr w:type="spellStart"/>
      <w:r>
        <w:t>ccTLD</w:t>
      </w:r>
      <w:proofErr w:type="spellEnd"/>
      <w:r>
        <w:t>?</w:t>
      </w:r>
    </w:p>
    <w:p w14:paraId="75B17EEC" w14:textId="72047B7E" w:rsidR="00BC4DB3" w:rsidRPr="00E64B2D" w:rsidRDefault="00BC4DB3" w:rsidP="00BC4DB3">
      <w:pPr>
        <w:pStyle w:val="Bulletlevel1"/>
        <w:numPr>
          <w:ilvl w:val="0"/>
          <w:numId w:val="20"/>
        </w:numPr>
        <w:ind w:left="567" w:hanging="567"/>
      </w:pPr>
      <w:r>
        <w:t xml:space="preserve">What external trends and developments may affect </w:t>
      </w:r>
      <w:proofErr w:type="spellStart"/>
      <w:r>
        <w:t>auDA’s</w:t>
      </w:r>
      <w:proofErr w:type="spellEnd"/>
      <w:r>
        <w:t xml:space="preserve"> roles and responsibilities? </w:t>
      </w:r>
    </w:p>
    <w:p w14:paraId="4D1F4EEE" w14:textId="77777777" w:rsidR="00E46172" w:rsidRPr="0073047C" w:rsidRDefault="00E46172" w:rsidP="00CA64BC">
      <w:pPr>
        <w:pStyle w:val="Heading3"/>
      </w:pPr>
      <w:r>
        <w:t>Corporate governance</w:t>
      </w:r>
    </w:p>
    <w:p w14:paraId="4523E0BF" w14:textId="77777777" w:rsidR="00E46172" w:rsidRPr="00EB7637" w:rsidRDefault="00E46172" w:rsidP="006C17A2">
      <w:pPr>
        <w:pStyle w:val="Bulletlevel1"/>
        <w:numPr>
          <w:ilvl w:val="0"/>
          <w:numId w:val="20"/>
        </w:numPr>
        <w:ind w:left="567" w:hanging="567"/>
      </w:pPr>
      <w:r>
        <w:t xml:space="preserve">What best practice approaches and processes should be considered with regard to </w:t>
      </w:r>
      <w:proofErr w:type="spellStart"/>
      <w:r>
        <w:t>auDA</w:t>
      </w:r>
      <w:proofErr w:type="spellEnd"/>
      <w:r>
        <w:t xml:space="preserve"> corporate governance?</w:t>
      </w:r>
    </w:p>
    <w:p w14:paraId="0C71D987" w14:textId="77777777" w:rsidR="00E46172" w:rsidRDefault="00E46172" w:rsidP="006C17A2">
      <w:pPr>
        <w:pStyle w:val="Bulletlevel1"/>
        <w:numPr>
          <w:ilvl w:val="0"/>
          <w:numId w:val="20"/>
        </w:numPr>
        <w:ind w:left="567" w:hanging="567"/>
      </w:pPr>
      <w:r>
        <w:t xml:space="preserve">What does good corporate governance </w:t>
      </w:r>
      <w:r w:rsidR="003F2407">
        <w:t xml:space="preserve">for </w:t>
      </w:r>
      <w:proofErr w:type="spellStart"/>
      <w:r w:rsidR="003F2407">
        <w:t>auDA</w:t>
      </w:r>
      <w:proofErr w:type="spellEnd"/>
      <w:r w:rsidR="003F2407">
        <w:t xml:space="preserve"> </w:t>
      </w:r>
      <w:r>
        <w:t>look like? Are the ASX corporate governance principles sufficient? Should other principles also be considered?</w:t>
      </w:r>
    </w:p>
    <w:p w14:paraId="06B2D73B" w14:textId="77777777" w:rsidR="00E46172" w:rsidRDefault="00E46172" w:rsidP="006C17A2">
      <w:pPr>
        <w:pStyle w:val="Bulletlevel1"/>
        <w:numPr>
          <w:ilvl w:val="0"/>
          <w:numId w:val="20"/>
        </w:numPr>
        <w:ind w:left="567" w:hanging="567"/>
      </w:pPr>
      <w:r>
        <w:t xml:space="preserve">Should reform of existing </w:t>
      </w:r>
      <w:proofErr w:type="spellStart"/>
      <w:r>
        <w:t>auDA</w:t>
      </w:r>
      <w:proofErr w:type="spellEnd"/>
      <w:r>
        <w:t xml:space="preserve"> corporate governance arrangements be considered? If so, what are the reform priorities?</w:t>
      </w:r>
    </w:p>
    <w:p w14:paraId="15F794FA" w14:textId="77777777" w:rsidR="006C17A2" w:rsidRDefault="00E46172" w:rsidP="006C17A2">
      <w:pPr>
        <w:pStyle w:val="Bulletlevel1"/>
        <w:numPr>
          <w:ilvl w:val="0"/>
          <w:numId w:val="20"/>
        </w:numPr>
        <w:ind w:left="567" w:hanging="567"/>
      </w:pPr>
      <w:r>
        <w:t xml:space="preserve">Do the current board arrangements support </w:t>
      </w:r>
      <w:proofErr w:type="spellStart"/>
      <w:r>
        <w:t>auDA</w:t>
      </w:r>
      <w:proofErr w:type="spellEnd"/>
      <w:r>
        <w:t xml:space="preserve"> in effectively delivering its roles and responsibilities?</w:t>
      </w:r>
    </w:p>
    <w:p w14:paraId="561B0A8B" w14:textId="77777777" w:rsidR="006C17A2" w:rsidRDefault="00E46172" w:rsidP="006C17A2">
      <w:pPr>
        <w:pStyle w:val="Bulletlevel1"/>
        <w:numPr>
          <w:ilvl w:val="0"/>
          <w:numId w:val="20"/>
        </w:numPr>
        <w:ind w:left="567" w:hanging="567"/>
      </w:pPr>
      <w:r>
        <w:t>Should reform of existing board arrangements be considered? If so, what are the reform priorities?</w:t>
      </w:r>
    </w:p>
    <w:p w14:paraId="66705A86" w14:textId="77777777" w:rsidR="00E46172" w:rsidRPr="000B15B3" w:rsidRDefault="00E46172" w:rsidP="00CA64BC">
      <w:pPr>
        <w:pStyle w:val="Heading3"/>
      </w:pPr>
      <w:r w:rsidRPr="000B15B3">
        <w:t>Stakeholder engagement</w:t>
      </w:r>
    </w:p>
    <w:p w14:paraId="7F4DB352" w14:textId="77777777" w:rsidR="00E46172" w:rsidRDefault="00E46172" w:rsidP="006C17A2">
      <w:pPr>
        <w:pStyle w:val="Bulletlevel1"/>
        <w:numPr>
          <w:ilvl w:val="0"/>
          <w:numId w:val="20"/>
        </w:numPr>
        <w:ind w:left="567" w:hanging="567"/>
      </w:pPr>
      <w:r>
        <w:t xml:space="preserve">Who are </w:t>
      </w:r>
      <w:proofErr w:type="spellStart"/>
      <w:r>
        <w:t>auDA’s</w:t>
      </w:r>
      <w:proofErr w:type="spellEnd"/>
      <w:r>
        <w:t xml:space="preserve"> stakeholders?</w:t>
      </w:r>
    </w:p>
    <w:p w14:paraId="62E55F87" w14:textId="77777777" w:rsidR="00E46172" w:rsidRDefault="00E46172" w:rsidP="006C17A2">
      <w:pPr>
        <w:pStyle w:val="Bulletlevel1"/>
        <w:numPr>
          <w:ilvl w:val="0"/>
          <w:numId w:val="20"/>
        </w:numPr>
        <w:ind w:left="567" w:hanging="567"/>
      </w:pPr>
      <w:r>
        <w:t xml:space="preserve">How should </w:t>
      </w:r>
      <w:proofErr w:type="spellStart"/>
      <w:r>
        <w:t>auDA</w:t>
      </w:r>
      <w:proofErr w:type="spellEnd"/>
      <w:r>
        <w:t xml:space="preserve"> engage with its stakeholders? Are there guiding principles which should be considered?</w:t>
      </w:r>
    </w:p>
    <w:p w14:paraId="148E98EF" w14:textId="77777777" w:rsidR="00E46172" w:rsidRDefault="00E46172" w:rsidP="006C17A2">
      <w:pPr>
        <w:pStyle w:val="Bulletlevel1"/>
        <w:numPr>
          <w:ilvl w:val="0"/>
          <w:numId w:val="20"/>
        </w:numPr>
        <w:ind w:left="567" w:hanging="567"/>
      </w:pPr>
      <w:r>
        <w:t xml:space="preserve">Are </w:t>
      </w:r>
      <w:proofErr w:type="spellStart"/>
      <w:r>
        <w:t>auDA’s</w:t>
      </w:r>
      <w:proofErr w:type="spellEnd"/>
      <w:r>
        <w:t xml:space="preserve"> stakeholder engagement processes effective?</w:t>
      </w:r>
    </w:p>
    <w:p w14:paraId="3D8DC8F7" w14:textId="77777777" w:rsidR="00E46172" w:rsidRDefault="00E46172" w:rsidP="006C17A2">
      <w:pPr>
        <w:pStyle w:val="Bulletlevel1"/>
        <w:numPr>
          <w:ilvl w:val="0"/>
          <w:numId w:val="20"/>
        </w:numPr>
        <w:ind w:left="567" w:hanging="567"/>
      </w:pPr>
      <w:r>
        <w:t>Is a transparency and accountability framework effective?</w:t>
      </w:r>
    </w:p>
    <w:p w14:paraId="036371CB" w14:textId="77777777" w:rsidR="006C17A2" w:rsidRDefault="00E46172" w:rsidP="00CA64BC">
      <w:pPr>
        <w:pStyle w:val="Heading3"/>
      </w:pPr>
      <w:r>
        <w:t>Membership</w:t>
      </w:r>
    </w:p>
    <w:p w14:paraId="191125DB" w14:textId="77777777" w:rsidR="00E46172" w:rsidRDefault="00E46172" w:rsidP="006C17A2">
      <w:pPr>
        <w:pStyle w:val="Bulletlevel1"/>
        <w:numPr>
          <w:ilvl w:val="0"/>
          <w:numId w:val="20"/>
        </w:numPr>
        <w:ind w:left="567" w:hanging="567"/>
      </w:pPr>
      <w:r>
        <w:t xml:space="preserve">Is </w:t>
      </w:r>
      <w:proofErr w:type="spellStart"/>
      <w:r>
        <w:t>auDA’s</w:t>
      </w:r>
      <w:proofErr w:type="spellEnd"/>
      <w:r>
        <w:t xml:space="preserve"> membership structure reflective of the range of stakeholders that rely on, or interact with, the .au domain?</w:t>
      </w:r>
    </w:p>
    <w:p w14:paraId="41E6035F" w14:textId="77777777" w:rsidR="004D179A" w:rsidRDefault="00E46172" w:rsidP="006C17A2">
      <w:pPr>
        <w:pStyle w:val="Bulletlevel1"/>
        <w:numPr>
          <w:ilvl w:val="0"/>
          <w:numId w:val="20"/>
        </w:numPr>
        <w:ind w:left="567" w:hanging="567"/>
      </w:pPr>
      <w:r>
        <w:t xml:space="preserve">Does </w:t>
      </w:r>
      <w:proofErr w:type="spellStart"/>
      <w:r>
        <w:t>auDA’s</w:t>
      </w:r>
      <w:proofErr w:type="spellEnd"/>
      <w:r>
        <w:t xml:space="preserve"> membership structure support it in delivering its roles and responsibilities?</w:t>
      </w:r>
    </w:p>
    <w:p w14:paraId="301C31EC" w14:textId="77777777" w:rsidR="00E46172" w:rsidRPr="0073047C" w:rsidRDefault="00E46172" w:rsidP="00CA64BC">
      <w:pPr>
        <w:pStyle w:val="Heading3"/>
      </w:pPr>
      <w:r>
        <w:t>Security of the .au domain</w:t>
      </w:r>
    </w:p>
    <w:p w14:paraId="44B3FF7A" w14:textId="77777777" w:rsidR="00E46172" w:rsidRDefault="00E46172" w:rsidP="006C17A2">
      <w:pPr>
        <w:pStyle w:val="Bulletlevel1"/>
        <w:numPr>
          <w:ilvl w:val="0"/>
          <w:numId w:val="20"/>
        </w:numPr>
        <w:ind w:left="567" w:hanging="567"/>
      </w:pPr>
      <w:r>
        <w:t xml:space="preserve">What emerging risks does </w:t>
      </w:r>
      <w:proofErr w:type="spellStart"/>
      <w:r>
        <w:t>auDA</w:t>
      </w:r>
      <w:proofErr w:type="spellEnd"/>
      <w:r>
        <w:t xml:space="preserve"> face in relation to </w:t>
      </w:r>
      <w:r w:rsidR="00784048">
        <w:t xml:space="preserve">the </w:t>
      </w:r>
      <w:r>
        <w:t>security and stability of the .au domain?</w:t>
      </w:r>
    </w:p>
    <w:p w14:paraId="485CD5DE" w14:textId="77777777" w:rsidR="00E46172" w:rsidRDefault="00E46172" w:rsidP="006C17A2">
      <w:pPr>
        <w:pStyle w:val="Bulletlevel1"/>
        <w:numPr>
          <w:ilvl w:val="0"/>
          <w:numId w:val="20"/>
        </w:numPr>
        <w:ind w:left="567" w:hanging="567"/>
      </w:pPr>
      <w:r>
        <w:t>What is best practice for DNS administration?</w:t>
      </w:r>
    </w:p>
    <w:p w14:paraId="2C858ABA" w14:textId="77777777" w:rsidR="00E46172" w:rsidRDefault="00E46172" w:rsidP="006C17A2">
      <w:pPr>
        <w:pStyle w:val="Bulletlevel1"/>
        <w:numPr>
          <w:ilvl w:val="0"/>
          <w:numId w:val="20"/>
        </w:numPr>
        <w:ind w:left="567" w:hanging="567"/>
      </w:pPr>
      <w:r>
        <w:t xml:space="preserve">Does </w:t>
      </w:r>
      <w:proofErr w:type="spellStart"/>
      <w:r>
        <w:t>auDA</w:t>
      </w:r>
      <w:proofErr w:type="spellEnd"/>
      <w:r>
        <w:t xml:space="preserve"> maintain appropriate mitigation strategies?</w:t>
      </w:r>
      <w:r w:rsidRPr="009D1825">
        <w:t xml:space="preserve"> </w:t>
      </w:r>
      <w:r>
        <w:t>What additional mitigation strategies should be considered? How should these strategies be assessed?</w:t>
      </w:r>
    </w:p>
    <w:p w14:paraId="1A27DCB0" w14:textId="77777777" w:rsidR="006C17A2" w:rsidRDefault="00E46172" w:rsidP="006C17A2">
      <w:pPr>
        <w:pStyle w:val="Bulletlevel1"/>
        <w:numPr>
          <w:ilvl w:val="0"/>
          <w:numId w:val="20"/>
        </w:numPr>
        <w:ind w:left="567" w:hanging="567"/>
      </w:pPr>
      <w:r>
        <w:t xml:space="preserve">What is the optimal mix of capabilities to expand </w:t>
      </w:r>
      <w:proofErr w:type="spellStart"/>
      <w:r>
        <w:t>auDA’s</w:t>
      </w:r>
      <w:proofErr w:type="spellEnd"/>
      <w:r>
        <w:t xml:space="preserve"> cybersecurity preparedness?</w:t>
      </w:r>
    </w:p>
    <w:p w14:paraId="0649FA9F" w14:textId="77777777" w:rsidR="00E46172" w:rsidRDefault="00E46172" w:rsidP="006C17A2">
      <w:pPr>
        <w:pStyle w:val="Bulletlevel1"/>
        <w:numPr>
          <w:ilvl w:val="0"/>
          <w:numId w:val="20"/>
        </w:numPr>
        <w:spacing w:after="0"/>
        <w:ind w:left="567" w:hanging="567"/>
      </w:pPr>
      <w:r>
        <w:t xml:space="preserve">How should </w:t>
      </w:r>
      <w:proofErr w:type="spellStart"/>
      <w:r>
        <w:t>auDA</w:t>
      </w:r>
      <w:proofErr w:type="spellEnd"/>
      <w:r>
        <w:t xml:space="preserve"> engage with the Government in its management of risks?</w:t>
      </w:r>
    </w:p>
    <w:p w14:paraId="5F205F74" w14:textId="77777777" w:rsidR="00164BC9" w:rsidRDefault="00164BC9" w:rsidP="000B15B3">
      <w:pPr>
        <w:tabs>
          <w:tab w:val="left" w:pos="5285"/>
        </w:tabs>
      </w:pPr>
    </w:p>
    <w:sectPr w:rsidR="00164BC9" w:rsidSect="00C86077">
      <w:headerReference w:type="default" r:id="rId30"/>
      <w:footerReference w:type="default" r:id="rId31"/>
      <w:type w:val="continuous"/>
      <w:pgSz w:w="11906" w:h="16838"/>
      <w:pgMar w:top="1440" w:right="1133" w:bottom="1440" w:left="1440"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0CD1A" w14:textId="77777777" w:rsidR="00D02A27" w:rsidRDefault="00D02A27" w:rsidP="003F0A2D">
      <w:pPr>
        <w:spacing w:after="0"/>
      </w:pPr>
      <w:r>
        <w:separator/>
      </w:r>
    </w:p>
  </w:endnote>
  <w:endnote w:type="continuationSeparator" w:id="0">
    <w:p w14:paraId="3EEC0697" w14:textId="77777777" w:rsidR="00D02A27" w:rsidRDefault="00D02A27" w:rsidP="003F0A2D">
      <w:pPr>
        <w:spacing w:after="0"/>
      </w:pPr>
      <w:r>
        <w:continuationSeparator/>
      </w:r>
    </w:p>
  </w:endnote>
  <w:endnote w:type="continuationNotice" w:id="1">
    <w:p w14:paraId="5DA33DCD" w14:textId="77777777" w:rsidR="00D02A27" w:rsidRDefault="00D02A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4475" w14:textId="77777777" w:rsidR="006860C6" w:rsidRDefault="006860C6" w:rsidP="00297528">
    <w:pPr>
      <w:pStyle w:val="Footer"/>
      <w:ind w:left="-1418"/>
    </w:pPr>
    <w:r>
      <w:rPr>
        <w:noProof/>
        <w:lang w:eastAsia="zh-TW" w:bidi="hi-IN"/>
      </w:rPr>
      <w:drawing>
        <wp:inline distT="0" distB="0" distL="0" distR="0" wp14:anchorId="5128517D" wp14:editId="12CB0446">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19B4F" w14:textId="77777777" w:rsidR="006860C6" w:rsidRPr="0037566A" w:rsidRDefault="006860C6" w:rsidP="006C17A2">
    <w:pPr>
      <w:pStyle w:val="Footer"/>
      <w:tabs>
        <w:tab w:val="clear" w:pos="9026"/>
        <w:tab w:val="right" w:pos="9333"/>
      </w:tabs>
      <w:rPr>
        <w:sz w:val="18"/>
        <w:szCs w:val="18"/>
      </w:rPr>
    </w:pPr>
    <w:r>
      <w:rPr>
        <w:sz w:val="18"/>
        <w:szCs w:val="18"/>
      </w:rPr>
      <w:t>Review of Australia’s .au</w:t>
    </w:r>
    <w:r>
      <w:rPr>
        <w:sz w:val="18"/>
        <w:szCs w:val="18"/>
      </w:rPr>
      <w:tab/>
    </w:r>
    <w:hyperlink r:id="rId1" w:history="1">
      <w:r w:rsidRPr="0037566A">
        <w:rPr>
          <w:rStyle w:val="Hyperlink"/>
          <w:sz w:val="18"/>
          <w:szCs w:val="18"/>
        </w:rPr>
        <w:t>www.communications.gov.au</w:t>
      </w:r>
    </w:hyperlink>
  </w:p>
  <w:p w14:paraId="1A3FD249" w14:textId="454507C3" w:rsidR="006860C6" w:rsidRPr="00B74F9F" w:rsidRDefault="006860C6" w:rsidP="006C17A2">
    <w:pPr>
      <w:pStyle w:val="Footer"/>
      <w:tabs>
        <w:tab w:val="clear" w:pos="9026"/>
        <w:tab w:val="right" w:pos="9333"/>
      </w:tabs>
      <w:rPr>
        <w:rStyle w:val="Hyperlink"/>
        <w:color w:val="auto"/>
        <w:sz w:val="18"/>
        <w:szCs w:val="18"/>
      </w:rPr>
    </w:pPr>
    <w:proofErr w:type="gramStart"/>
    <w:r>
      <w:rPr>
        <w:sz w:val="18"/>
        <w:szCs w:val="18"/>
      </w:rPr>
      <w:t>domain</w:t>
    </w:r>
    <w:proofErr w:type="gramEnd"/>
    <w:r>
      <w:rPr>
        <w:sz w:val="18"/>
        <w:szCs w:val="18"/>
      </w:rPr>
      <w:t xml:space="preserve"> management—</w:t>
    </w:r>
    <w:r w:rsidR="004405B6">
      <w:rPr>
        <w:sz w:val="18"/>
        <w:szCs w:val="18"/>
      </w:rPr>
      <w:t>d</w:t>
    </w:r>
    <w:r>
      <w:rPr>
        <w:sz w:val="18"/>
        <w:szCs w:val="18"/>
      </w:rPr>
      <w:t>iscussion paper</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7078E">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7078E">
          <w:rPr>
            <w:bCs/>
            <w:noProof/>
            <w:sz w:val="18"/>
            <w:szCs w:val="18"/>
          </w:rPr>
          <w:t>14</w:t>
        </w:r>
        <w:r w:rsidRPr="0037566A">
          <w:rPr>
            <w:bCs/>
            <w:sz w:val="18"/>
            <w:szCs w:val="18"/>
          </w:rPr>
          <w:fldChar w:fldCharType="end"/>
        </w:r>
      </w:sdtContent>
    </w:sdt>
  </w:p>
  <w:p w14:paraId="1D72F0EB" w14:textId="77777777" w:rsidR="006860C6" w:rsidRPr="00B74F9F" w:rsidRDefault="006860C6" w:rsidP="006C17A2">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97BC" w14:textId="77777777" w:rsidR="00D02A27" w:rsidRDefault="00D02A27" w:rsidP="003F0A2D">
      <w:pPr>
        <w:spacing w:after="0"/>
      </w:pPr>
      <w:r>
        <w:separator/>
      </w:r>
    </w:p>
  </w:footnote>
  <w:footnote w:type="continuationSeparator" w:id="0">
    <w:p w14:paraId="43CF9153" w14:textId="77777777" w:rsidR="00D02A27" w:rsidRDefault="00D02A27" w:rsidP="003F0A2D">
      <w:pPr>
        <w:spacing w:after="0"/>
      </w:pPr>
      <w:r>
        <w:continuationSeparator/>
      </w:r>
    </w:p>
  </w:footnote>
  <w:footnote w:type="continuationNotice" w:id="1">
    <w:p w14:paraId="5D63F548" w14:textId="77777777" w:rsidR="00D02A27" w:rsidRDefault="00D02A27">
      <w:pPr>
        <w:spacing w:after="0"/>
      </w:pPr>
    </w:p>
  </w:footnote>
  <w:footnote w:id="2">
    <w:p w14:paraId="01B2BC54" w14:textId="77777777" w:rsidR="006860C6" w:rsidRDefault="006860C6">
      <w:pPr>
        <w:pStyle w:val="FootnoteText"/>
      </w:pPr>
      <w:r>
        <w:rPr>
          <w:rStyle w:val="FootnoteReference"/>
        </w:rPr>
        <w:footnoteRef/>
      </w:r>
      <w:r>
        <w:t xml:space="preserve"> Australian Bureau of Statistics, June 2016, </w:t>
      </w:r>
      <w:hyperlink r:id="rId1" w:history="1">
        <w:r w:rsidRPr="00014173">
          <w:rPr>
            <w:rStyle w:val="Hyperlink"/>
          </w:rPr>
          <w:t>8166.0 – Summary of IT use and innovation in Australian business, 2015-16</w:t>
        </w:r>
      </w:hyperlink>
      <w:r>
        <w:t>.</w:t>
      </w:r>
    </w:p>
  </w:footnote>
  <w:footnote w:id="3">
    <w:p w14:paraId="40EF9BE9" w14:textId="77777777" w:rsidR="006860C6" w:rsidRDefault="006860C6">
      <w:pPr>
        <w:pStyle w:val="FootnoteText"/>
      </w:pPr>
      <w:r>
        <w:rPr>
          <w:rStyle w:val="FootnoteReference"/>
        </w:rPr>
        <w:footnoteRef/>
      </w:r>
      <w:r>
        <w:t xml:space="preserve"> ICANN, 25 October 2001, </w:t>
      </w:r>
      <w:hyperlink r:id="rId2" w:history="1">
        <w:r w:rsidRPr="00C217D9">
          <w:rPr>
            <w:rStyle w:val="Hyperlink"/>
          </w:rPr>
          <w:t xml:space="preserve">.au </w:t>
        </w:r>
        <w:proofErr w:type="spellStart"/>
        <w:r w:rsidRPr="00C217D9">
          <w:rPr>
            <w:rStyle w:val="Hyperlink"/>
          </w:rPr>
          <w:t>ccTLD</w:t>
        </w:r>
        <w:proofErr w:type="spellEnd"/>
        <w:r w:rsidRPr="00C217D9">
          <w:rPr>
            <w:rStyle w:val="Hyperlink"/>
          </w:rPr>
          <w:t xml:space="preserve"> Sponsorship Agreement</w:t>
        </w:r>
      </w:hyperlink>
      <w:r>
        <w:t>.</w:t>
      </w:r>
    </w:p>
  </w:footnote>
  <w:footnote w:id="4">
    <w:p w14:paraId="433D18BB" w14:textId="77777777" w:rsidR="006860C6" w:rsidRDefault="006860C6">
      <w:pPr>
        <w:pStyle w:val="FootnoteText"/>
      </w:pPr>
      <w:r>
        <w:rPr>
          <w:rStyle w:val="FootnoteReference"/>
        </w:rPr>
        <w:footnoteRef/>
      </w:r>
      <w:r>
        <w:t xml:space="preserve"> Department of Finance, September 2017, </w:t>
      </w:r>
      <w:hyperlink r:id="rId3" w:history="1">
        <w:r w:rsidRPr="002803E2">
          <w:rPr>
            <w:rStyle w:val="Hyperlink"/>
          </w:rPr>
          <w:t>Government Business Enterprises (GBEs)</w:t>
        </w:r>
      </w:hyperlink>
      <w:r>
        <w:t>.</w:t>
      </w:r>
    </w:p>
  </w:footnote>
  <w:footnote w:id="5">
    <w:p w14:paraId="37399A64" w14:textId="77777777" w:rsidR="006860C6" w:rsidRDefault="006860C6">
      <w:pPr>
        <w:pStyle w:val="FootnoteText"/>
      </w:pPr>
      <w:r>
        <w:rPr>
          <w:rStyle w:val="FootnoteReference"/>
        </w:rPr>
        <w:footnoteRef/>
      </w:r>
      <w:r>
        <w:t xml:space="preserve"> </w:t>
      </w:r>
      <w:proofErr w:type="spellStart"/>
      <w:proofErr w:type="gramStart"/>
      <w:r>
        <w:t>auDA</w:t>
      </w:r>
      <w:proofErr w:type="spellEnd"/>
      <w:proofErr w:type="gramEnd"/>
      <w:r>
        <w:t xml:space="preserve">, 2012, </w:t>
      </w:r>
      <w:hyperlink r:id="rId4" w:history="1">
        <w:r w:rsidRPr="002F449D">
          <w:rPr>
            <w:rStyle w:val="Hyperlink"/>
          </w:rPr>
          <w:t>Accountability and transparency framework</w:t>
        </w:r>
      </w:hyperlink>
      <w:r>
        <w:t>.</w:t>
      </w:r>
    </w:p>
  </w:footnote>
  <w:footnote w:id="6">
    <w:p w14:paraId="37E4C95E" w14:textId="77777777" w:rsidR="006860C6" w:rsidRDefault="006860C6" w:rsidP="00BD2D52">
      <w:pPr>
        <w:pStyle w:val="FootnoteText"/>
      </w:pPr>
      <w:r>
        <w:rPr>
          <w:rStyle w:val="FootnoteReference"/>
        </w:rPr>
        <w:footnoteRef/>
      </w:r>
      <w:r>
        <w:t xml:space="preserve"> </w:t>
      </w:r>
      <w:proofErr w:type="spellStart"/>
      <w:r>
        <w:t>auDA</w:t>
      </w:r>
      <w:proofErr w:type="spellEnd"/>
      <w:r>
        <w:t xml:space="preserve">, 2017, </w:t>
      </w:r>
      <w:hyperlink r:id="rId5" w:history="1">
        <w:proofErr w:type="spellStart"/>
        <w:r w:rsidRPr="005707AE">
          <w:rPr>
            <w:rStyle w:val="Hyperlink"/>
          </w:rPr>
          <w:t>auDA</w:t>
        </w:r>
        <w:proofErr w:type="spellEnd"/>
        <w:r w:rsidRPr="005707AE">
          <w:rPr>
            <w:rStyle w:val="Hyperlink"/>
          </w:rPr>
          <w:t xml:space="preserve"> Board Minutes 22 May 2017</w:t>
        </w:r>
      </w:hyperlink>
    </w:p>
  </w:footnote>
  <w:footnote w:id="7">
    <w:p w14:paraId="5F0DE939" w14:textId="77777777" w:rsidR="006860C6" w:rsidRDefault="006860C6" w:rsidP="00BD2D52">
      <w:pPr>
        <w:pStyle w:val="FootnoteText"/>
      </w:pPr>
      <w:r>
        <w:rPr>
          <w:rStyle w:val="FootnoteReference"/>
        </w:rPr>
        <w:footnoteRef/>
      </w:r>
      <w:r>
        <w:t xml:space="preserve"> </w:t>
      </w:r>
      <w:proofErr w:type="spellStart"/>
      <w:r>
        <w:t>auDA</w:t>
      </w:r>
      <w:proofErr w:type="spellEnd"/>
      <w:r>
        <w:t xml:space="preserve">, 2017, </w:t>
      </w:r>
      <w:hyperlink r:id="rId6" w:history="1">
        <w:r w:rsidRPr="005707AE">
          <w:rPr>
            <w:rStyle w:val="Hyperlink"/>
          </w:rPr>
          <w:t>Board Communique Following Special General Meeting</w:t>
        </w:r>
      </w:hyperlink>
    </w:p>
  </w:footnote>
  <w:footnote w:id="8">
    <w:p w14:paraId="33B913E3" w14:textId="77777777" w:rsidR="006860C6" w:rsidRPr="000B15B3" w:rsidRDefault="006860C6" w:rsidP="007318E2">
      <w:pPr>
        <w:pStyle w:val="FootnoteText"/>
        <w:rPr>
          <w:szCs w:val="16"/>
        </w:rPr>
      </w:pPr>
      <w:r w:rsidRPr="000B15B3">
        <w:rPr>
          <w:rStyle w:val="FootnoteReference"/>
          <w:szCs w:val="16"/>
        </w:rPr>
        <w:footnoteRef/>
      </w:r>
      <w:r w:rsidRPr="000B15B3">
        <w:rPr>
          <w:szCs w:val="16"/>
        </w:rPr>
        <w:t xml:space="preserve"> </w:t>
      </w:r>
      <w:proofErr w:type="spellStart"/>
      <w:proofErr w:type="gramStart"/>
      <w:r w:rsidRPr="000B15B3">
        <w:rPr>
          <w:szCs w:val="16"/>
        </w:rPr>
        <w:t>auDA</w:t>
      </w:r>
      <w:proofErr w:type="spellEnd"/>
      <w:proofErr w:type="gramEnd"/>
      <w:r w:rsidRPr="000B15B3">
        <w:rPr>
          <w:szCs w:val="16"/>
        </w:rPr>
        <w:t xml:space="preserve">, 2015, </w:t>
      </w:r>
      <w:hyperlink r:id="rId7" w:history="1">
        <w:proofErr w:type="spellStart"/>
        <w:r w:rsidRPr="000B15B3">
          <w:rPr>
            <w:rStyle w:val="Hyperlink"/>
            <w:szCs w:val="16"/>
          </w:rPr>
          <w:t>auDA</w:t>
        </w:r>
        <w:proofErr w:type="spellEnd"/>
        <w:r w:rsidRPr="000B15B3">
          <w:rPr>
            <w:rStyle w:val="Hyperlink"/>
            <w:szCs w:val="16"/>
          </w:rPr>
          <w:t xml:space="preserve"> Strategic Plan 2015-18.</w:t>
        </w:r>
      </w:hyperlink>
    </w:p>
  </w:footnote>
  <w:footnote w:id="9">
    <w:p w14:paraId="5E3CBFAF" w14:textId="77777777" w:rsidR="006860C6" w:rsidRDefault="006860C6">
      <w:pPr>
        <w:pStyle w:val="FootnoteText"/>
      </w:pPr>
      <w:r>
        <w:rPr>
          <w:rStyle w:val="FootnoteReference"/>
        </w:rPr>
        <w:footnoteRef/>
      </w:r>
      <w:r>
        <w:t xml:space="preserve"> </w:t>
      </w:r>
      <w:proofErr w:type="spellStart"/>
      <w:proofErr w:type="gramStart"/>
      <w:r w:rsidRPr="00D53CD8">
        <w:t>auDA</w:t>
      </w:r>
      <w:proofErr w:type="spellEnd"/>
      <w:proofErr w:type="gramEnd"/>
      <w:r w:rsidRPr="00D53CD8">
        <w:t xml:space="preserve">, 2016, </w:t>
      </w:r>
      <w:hyperlink r:id="rId8" w:history="1">
        <w:proofErr w:type="spellStart"/>
        <w:r w:rsidRPr="003B4707">
          <w:rPr>
            <w:rStyle w:val="Hyperlink"/>
          </w:rPr>
          <w:t>auDA</w:t>
        </w:r>
        <w:proofErr w:type="spellEnd"/>
        <w:r w:rsidRPr="003B4707">
          <w:rPr>
            <w:rStyle w:val="Hyperlink"/>
          </w:rPr>
          <w:t xml:space="preserve"> Annual Report 2015-16</w:t>
        </w:r>
      </w:hyperlink>
      <w:r w:rsidRPr="003B4707">
        <w:t>.</w:t>
      </w:r>
    </w:p>
  </w:footnote>
  <w:footnote w:id="10">
    <w:p w14:paraId="1DC70752" w14:textId="6AFBA6AB" w:rsidR="006860C6" w:rsidRDefault="006860C6" w:rsidP="00A80C50">
      <w:pPr>
        <w:pStyle w:val="FootnoteText"/>
      </w:pPr>
      <w:r>
        <w:rPr>
          <w:rStyle w:val="FootnoteReference"/>
        </w:rPr>
        <w:footnoteRef/>
      </w:r>
      <w:r>
        <w:t xml:space="preserve"> Deloitte Access Economics, 2017, </w:t>
      </w:r>
      <w:hyperlink r:id="rId9" w:history="1">
        <w:r w:rsidRPr="000679F9">
          <w:rPr>
            <w:rStyle w:val="Hyperlink"/>
          </w:rPr>
          <w:t>Australia’s Digital Pulse</w:t>
        </w:r>
      </w:hyperlink>
      <w:r>
        <w:t>.</w:t>
      </w:r>
    </w:p>
  </w:footnote>
  <w:footnote w:id="11">
    <w:p w14:paraId="777086EA" w14:textId="77777777" w:rsidR="006860C6" w:rsidRDefault="006860C6" w:rsidP="00A80C50">
      <w:pPr>
        <w:pStyle w:val="FootnoteText"/>
      </w:pPr>
      <w:r>
        <w:rPr>
          <w:rStyle w:val="FootnoteReference"/>
        </w:rPr>
        <w:footnoteRef/>
      </w:r>
      <w:r>
        <w:t xml:space="preserve"> Australian Government, 2016, </w:t>
      </w:r>
      <w:hyperlink r:id="rId10" w:history="1">
        <w:r w:rsidRPr="00A74D61">
          <w:rPr>
            <w:rStyle w:val="Hyperlink"/>
          </w:rPr>
          <w:t>Australia’s cyber security strategy</w:t>
        </w:r>
      </w:hyperlink>
      <w:r>
        <w:t>.</w:t>
      </w:r>
    </w:p>
  </w:footnote>
  <w:footnote w:id="12">
    <w:p w14:paraId="32F4ACB4" w14:textId="77777777" w:rsidR="006860C6" w:rsidRDefault="006860C6">
      <w:pPr>
        <w:pStyle w:val="FootnoteText"/>
      </w:pPr>
      <w:r>
        <w:rPr>
          <w:rStyle w:val="FootnoteReference"/>
        </w:rPr>
        <w:footnoteRef/>
      </w:r>
      <w:r>
        <w:t xml:space="preserve"> Australian Government 2017, </w:t>
      </w:r>
      <w:hyperlink r:id="rId11" w:history="1">
        <w:r w:rsidRPr="00D353BC">
          <w:rPr>
            <w:rStyle w:val="Hyperlink"/>
          </w:rPr>
          <w:t>Essential eight explained</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19B1" w14:textId="77777777" w:rsidR="006860C6" w:rsidRDefault="004D179A" w:rsidP="003F0A2D">
    <w:pPr>
      <w:pStyle w:val="Header"/>
      <w:ind w:left="-1418"/>
    </w:pPr>
    <w:r>
      <w:rPr>
        <w:noProof/>
        <w:lang w:eastAsia="zh-TW" w:bidi="hi-IN"/>
      </w:rPr>
      <w:drawing>
        <wp:inline distT="0" distB="0" distL="0" distR="0" wp14:anchorId="116FBF6F" wp14:editId="070FBC2D">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7078BB1" w14:textId="77777777" w:rsidR="006860C6" w:rsidRPr="009A56D0" w:rsidRDefault="006860C6"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November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CA1"/>
    <w:multiLevelType w:val="hybridMultilevel"/>
    <w:tmpl w:val="43C097D2"/>
    <w:lvl w:ilvl="0" w:tplc="C5F8449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514305"/>
    <w:multiLevelType w:val="hybridMultilevel"/>
    <w:tmpl w:val="A6EE7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3D2FF7"/>
    <w:multiLevelType w:val="hybridMultilevel"/>
    <w:tmpl w:val="C678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F2D20"/>
    <w:multiLevelType w:val="hybridMultilevel"/>
    <w:tmpl w:val="DD3CD35E"/>
    <w:lvl w:ilvl="0" w:tplc="8DEAB1F2">
      <w:start w:val="1"/>
      <w:numFmt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183DEC"/>
    <w:multiLevelType w:val="hybridMultilevel"/>
    <w:tmpl w:val="408461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93B4471"/>
    <w:multiLevelType w:val="hybridMultilevel"/>
    <w:tmpl w:val="B2E2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F58C4"/>
    <w:multiLevelType w:val="hybridMultilevel"/>
    <w:tmpl w:val="2B96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05728"/>
    <w:multiLevelType w:val="hybridMultilevel"/>
    <w:tmpl w:val="53ECEB2E"/>
    <w:lvl w:ilvl="0" w:tplc="B24E02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452F34"/>
    <w:multiLevelType w:val="hybridMultilevel"/>
    <w:tmpl w:val="1E9A7B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3833477"/>
    <w:multiLevelType w:val="hybridMultilevel"/>
    <w:tmpl w:val="F92A85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EB6099"/>
    <w:multiLevelType w:val="hybridMultilevel"/>
    <w:tmpl w:val="21BCA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652E1B"/>
    <w:multiLevelType w:val="hybridMultilevel"/>
    <w:tmpl w:val="F0301C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BED7E79"/>
    <w:multiLevelType w:val="hybridMultilevel"/>
    <w:tmpl w:val="78BC5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4A2A0A"/>
    <w:multiLevelType w:val="hybridMultilevel"/>
    <w:tmpl w:val="F92A85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1E34EC"/>
    <w:multiLevelType w:val="hybridMultilevel"/>
    <w:tmpl w:val="1E9A7B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8694780"/>
    <w:multiLevelType w:val="hybridMultilevel"/>
    <w:tmpl w:val="9D78A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BB578B"/>
    <w:multiLevelType w:val="hybridMultilevel"/>
    <w:tmpl w:val="9AD67D26"/>
    <w:lvl w:ilvl="0" w:tplc="5A8AE7D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9"/>
  </w:num>
  <w:num w:numId="4">
    <w:abstractNumId w:val="1"/>
  </w:num>
  <w:num w:numId="5">
    <w:abstractNumId w:val="18"/>
  </w:num>
  <w:num w:numId="6">
    <w:abstractNumId w:val="16"/>
  </w:num>
  <w:num w:numId="7">
    <w:abstractNumId w:val="6"/>
  </w:num>
  <w:num w:numId="8">
    <w:abstractNumId w:val="4"/>
  </w:num>
  <w:num w:numId="9">
    <w:abstractNumId w:val="4"/>
  </w:num>
  <w:num w:numId="10">
    <w:abstractNumId w:val="1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num>
  <w:num w:numId="17">
    <w:abstractNumId w:val="7"/>
  </w:num>
  <w:num w:numId="18">
    <w:abstractNumId w:val="2"/>
  </w:num>
  <w:num w:numId="19">
    <w:abstractNumId w:val="8"/>
  </w:num>
  <w:num w:numId="20">
    <w:abstractNumId w:val="5"/>
  </w:num>
  <w:num w:numId="21">
    <w:abstractNumId w:val="9"/>
  </w:num>
  <w:num w:numId="22">
    <w:abstractNumId w:val="4"/>
  </w:num>
  <w:num w:numId="23">
    <w:abstractNumId w:val="4"/>
  </w:num>
  <w:num w:numId="24">
    <w:abstractNumId w:val="4"/>
  </w:num>
  <w:num w:numId="25">
    <w:abstractNumId w:val="4"/>
  </w:num>
  <w:num w:numId="26">
    <w:abstractNumId w:val="0"/>
  </w:num>
  <w:num w:numId="27">
    <w:abstractNumId w:val="3"/>
  </w:num>
  <w:num w:numId="28">
    <w:abstractNumId w:val="13"/>
  </w:num>
  <w:num w:numId="29">
    <w:abstractNumId w:val="11"/>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07"/>
    <w:rsid w:val="00014173"/>
    <w:rsid w:val="00015EC1"/>
    <w:rsid w:val="000249BC"/>
    <w:rsid w:val="00033136"/>
    <w:rsid w:val="00034FF5"/>
    <w:rsid w:val="00046467"/>
    <w:rsid w:val="00057439"/>
    <w:rsid w:val="000620CB"/>
    <w:rsid w:val="00064D13"/>
    <w:rsid w:val="000666C7"/>
    <w:rsid w:val="000754D3"/>
    <w:rsid w:val="00093D95"/>
    <w:rsid w:val="000B15B3"/>
    <w:rsid w:val="000C0937"/>
    <w:rsid w:val="000C0FBB"/>
    <w:rsid w:val="000C4007"/>
    <w:rsid w:val="000C460E"/>
    <w:rsid w:val="000E18E3"/>
    <w:rsid w:val="000E1A93"/>
    <w:rsid w:val="000E59DE"/>
    <w:rsid w:val="000F1B14"/>
    <w:rsid w:val="000F2ED9"/>
    <w:rsid w:val="001050E7"/>
    <w:rsid w:val="00116827"/>
    <w:rsid w:val="00130843"/>
    <w:rsid w:val="001433E4"/>
    <w:rsid w:val="0014364B"/>
    <w:rsid w:val="00151597"/>
    <w:rsid w:val="00164BC9"/>
    <w:rsid w:val="00167080"/>
    <w:rsid w:val="00171714"/>
    <w:rsid w:val="00181A86"/>
    <w:rsid w:val="0019304D"/>
    <w:rsid w:val="00197E24"/>
    <w:rsid w:val="001A13A9"/>
    <w:rsid w:val="001C4B38"/>
    <w:rsid w:val="001D58B5"/>
    <w:rsid w:val="001D71F0"/>
    <w:rsid w:val="001D7C38"/>
    <w:rsid w:val="001E5AC7"/>
    <w:rsid w:val="001F3924"/>
    <w:rsid w:val="00213B87"/>
    <w:rsid w:val="00216A47"/>
    <w:rsid w:val="002237E3"/>
    <w:rsid w:val="002245FB"/>
    <w:rsid w:val="00226203"/>
    <w:rsid w:val="00232544"/>
    <w:rsid w:val="0023268E"/>
    <w:rsid w:val="0023271E"/>
    <w:rsid w:val="0024105A"/>
    <w:rsid w:val="00244EFD"/>
    <w:rsid w:val="00256861"/>
    <w:rsid w:val="0025702A"/>
    <w:rsid w:val="00257497"/>
    <w:rsid w:val="0026098A"/>
    <w:rsid w:val="0026242D"/>
    <w:rsid w:val="00262C07"/>
    <w:rsid w:val="00264319"/>
    <w:rsid w:val="002654F5"/>
    <w:rsid w:val="002658FD"/>
    <w:rsid w:val="0027078E"/>
    <w:rsid w:val="002803E2"/>
    <w:rsid w:val="00285881"/>
    <w:rsid w:val="00297528"/>
    <w:rsid w:val="002A1CCC"/>
    <w:rsid w:val="002B0472"/>
    <w:rsid w:val="002C6776"/>
    <w:rsid w:val="002D7EAC"/>
    <w:rsid w:val="002F449D"/>
    <w:rsid w:val="002F773F"/>
    <w:rsid w:val="00311CF0"/>
    <w:rsid w:val="003245CA"/>
    <w:rsid w:val="00331226"/>
    <w:rsid w:val="00344685"/>
    <w:rsid w:val="003509FE"/>
    <w:rsid w:val="00352836"/>
    <w:rsid w:val="00357A1A"/>
    <w:rsid w:val="00362C4E"/>
    <w:rsid w:val="0036564C"/>
    <w:rsid w:val="0037477C"/>
    <w:rsid w:val="0037566A"/>
    <w:rsid w:val="003802FE"/>
    <w:rsid w:val="00387476"/>
    <w:rsid w:val="00387AFD"/>
    <w:rsid w:val="00390901"/>
    <w:rsid w:val="00391A40"/>
    <w:rsid w:val="00392720"/>
    <w:rsid w:val="003927F2"/>
    <w:rsid w:val="003933A9"/>
    <w:rsid w:val="003A5F64"/>
    <w:rsid w:val="003B4707"/>
    <w:rsid w:val="003B5A93"/>
    <w:rsid w:val="003C0D73"/>
    <w:rsid w:val="003C53B3"/>
    <w:rsid w:val="003D1F55"/>
    <w:rsid w:val="003F06CE"/>
    <w:rsid w:val="003F0A2D"/>
    <w:rsid w:val="003F2407"/>
    <w:rsid w:val="003F6147"/>
    <w:rsid w:val="0040012A"/>
    <w:rsid w:val="00402954"/>
    <w:rsid w:val="0040622C"/>
    <w:rsid w:val="00413E69"/>
    <w:rsid w:val="00415C68"/>
    <w:rsid w:val="00425A65"/>
    <w:rsid w:val="00426670"/>
    <w:rsid w:val="004405B6"/>
    <w:rsid w:val="00440C4A"/>
    <w:rsid w:val="004517B1"/>
    <w:rsid w:val="0045434B"/>
    <w:rsid w:val="0045505E"/>
    <w:rsid w:val="0047258C"/>
    <w:rsid w:val="00481E70"/>
    <w:rsid w:val="00490111"/>
    <w:rsid w:val="004942D5"/>
    <w:rsid w:val="004970B4"/>
    <w:rsid w:val="004C5FB0"/>
    <w:rsid w:val="004C717E"/>
    <w:rsid w:val="004C719D"/>
    <w:rsid w:val="004D1391"/>
    <w:rsid w:val="004D179A"/>
    <w:rsid w:val="004D2406"/>
    <w:rsid w:val="004E2885"/>
    <w:rsid w:val="004F3C4E"/>
    <w:rsid w:val="00501E02"/>
    <w:rsid w:val="00507E41"/>
    <w:rsid w:val="00524062"/>
    <w:rsid w:val="00525C89"/>
    <w:rsid w:val="005263B0"/>
    <w:rsid w:val="00534F43"/>
    <w:rsid w:val="00535ADA"/>
    <w:rsid w:val="00540B2F"/>
    <w:rsid w:val="00544461"/>
    <w:rsid w:val="005460B4"/>
    <w:rsid w:val="00556638"/>
    <w:rsid w:val="00562B3D"/>
    <w:rsid w:val="00565EEE"/>
    <w:rsid w:val="00566376"/>
    <w:rsid w:val="00567FAF"/>
    <w:rsid w:val="005707AE"/>
    <w:rsid w:val="00571C8E"/>
    <w:rsid w:val="0057567C"/>
    <w:rsid w:val="00584721"/>
    <w:rsid w:val="00587A5E"/>
    <w:rsid w:val="00590172"/>
    <w:rsid w:val="00594E87"/>
    <w:rsid w:val="00597042"/>
    <w:rsid w:val="005A435C"/>
    <w:rsid w:val="005A46F1"/>
    <w:rsid w:val="005A4E86"/>
    <w:rsid w:val="005B29CA"/>
    <w:rsid w:val="005D7965"/>
    <w:rsid w:val="005E0B69"/>
    <w:rsid w:val="005E29B0"/>
    <w:rsid w:val="005E2C93"/>
    <w:rsid w:val="005F08D5"/>
    <w:rsid w:val="006015E3"/>
    <w:rsid w:val="00601CF1"/>
    <w:rsid w:val="0060346D"/>
    <w:rsid w:val="00606BE5"/>
    <w:rsid w:val="00612A2A"/>
    <w:rsid w:val="00632440"/>
    <w:rsid w:val="00641088"/>
    <w:rsid w:val="00645727"/>
    <w:rsid w:val="00646F0D"/>
    <w:rsid w:val="0064771D"/>
    <w:rsid w:val="00652E00"/>
    <w:rsid w:val="006567E4"/>
    <w:rsid w:val="00662245"/>
    <w:rsid w:val="00662830"/>
    <w:rsid w:val="00673252"/>
    <w:rsid w:val="00674B30"/>
    <w:rsid w:val="006860C6"/>
    <w:rsid w:val="006926FF"/>
    <w:rsid w:val="006A19A2"/>
    <w:rsid w:val="006B709D"/>
    <w:rsid w:val="006C17A2"/>
    <w:rsid w:val="006C4061"/>
    <w:rsid w:val="006C4AE7"/>
    <w:rsid w:val="006D014F"/>
    <w:rsid w:val="006D541F"/>
    <w:rsid w:val="006D5E14"/>
    <w:rsid w:val="006E297C"/>
    <w:rsid w:val="006E7585"/>
    <w:rsid w:val="006F434E"/>
    <w:rsid w:val="00703B4E"/>
    <w:rsid w:val="00704775"/>
    <w:rsid w:val="00705F74"/>
    <w:rsid w:val="00713AB1"/>
    <w:rsid w:val="00715BC8"/>
    <w:rsid w:val="00716FD4"/>
    <w:rsid w:val="007318E2"/>
    <w:rsid w:val="00737CCD"/>
    <w:rsid w:val="007444D2"/>
    <w:rsid w:val="0074511E"/>
    <w:rsid w:val="00750036"/>
    <w:rsid w:val="00751368"/>
    <w:rsid w:val="00754C4F"/>
    <w:rsid w:val="007559B2"/>
    <w:rsid w:val="007655BE"/>
    <w:rsid w:val="00770928"/>
    <w:rsid w:val="007732F5"/>
    <w:rsid w:val="00775582"/>
    <w:rsid w:val="00784048"/>
    <w:rsid w:val="00787C6B"/>
    <w:rsid w:val="00790C61"/>
    <w:rsid w:val="00793EDE"/>
    <w:rsid w:val="00796C39"/>
    <w:rsid w:val="007B1889"/>
    <w:rsid w:val="007B1F75"/>
    <w:rsid w:val="007B2087"/>
    <w:rsid w:val="007C0455"/>
    <w:rsid w:val="007C0935"/>
    <w:rsid w:val="007C1848"/>
    <w:rsid w:val="007C7E8B"/>
    <w:rsid w:val="007F6E83"/>
    <w:rsid w:val="0080530D"/>
    <w:rsid w:val="00812F07"/>
    <w:rsid w:val="00815553"/>
    <w:rsid w:val="00815DD0"/>
    <w:rsid w:val="008208D5"/>
    <w:rsid w:val="00832492"/>
    <w:rsid w:val="0083757E"/>
    <w:rsid w:val="008412C8"/>
    <w:rsid w:val="0084603E"/>
    <w:rsid w:val="00852E5C"/>
    <w:rsid w:val="00853419"/>
    <w:rsid w:val="008A0CB2"/>
    <w:rsid w:val="008A312B"/>
    <w:rsid w:val="008A6EBC"/>
    <w:rsid w:val="008B0F1C"/>
    <w:rsid w:val="008C0218"/>
    <w:rsid w:val="008C48AE"/>
    <w:rsid w:val="008C6204"/>
    <w:rsid w:val="008C6C53"/>
    <w:rsid w:val="008D36D1"/>
    <w:rsid w:val="008E66BA"/>
    <w:rsid w:val="008F7563"/>
    <w:rsid w:val="00917715"/>
    <w:rsid w:val="00925491"/>
    <w:rsid w:val="00930BDB"/>
    <w:rsid w:val="009311AA"/>
    <w:rsid w:val="00933ABA"/>
    <w:rsid w:val="00945743"/>
    <w:rsid w:val="00953288"/>
    <w:rsid w:val="00971D72"/>
    <w:rsid w:val="00972BFC"/>
    <w:rsid w:val="009759B3"/>
    <w:rsid w:val="00987507"/>
    <w:rsid w:val="00994A2E"/>
    <w:rsid w:val="00995AF5"/>
    <w:rsid w:val="00996F79"/>
    <w:rsid w:val="009A0E9D"/>
    <w:rsid w:val="009A192A"/>
    <w:rsid w:val="009A56D0"/>
    <w:rsid w:val="009D5884"/>
    <w:rsid w:val="00A201CB"/>
    <w:rsid w:val="00A24629"/>
    <w:rsid w:val="00A50344"/>
    <w:rsid w:val="00A625B3"/>
    <w:rsid w:val="00A669A1"/>
    <w:rsid w:val="00A67003"/>
    <w:rsid w:val="00A7176A"/>
    <w:rsid w:val="00A71813"/>
    <w:rsid w:val="00A71DA0"/>
    <w:rsid w:val="00A72830"/>
    <w:rsid w:val="00A72966"/>
    <w:rsid w:val="00A80C50"/>
    <w:rsid w:val="00A857C6"/>
    <w:rsid w:val="00A868DD"/>
    <w:rsid w:val="00A93C39"/>
    <w:rsid w:val="00A9650B"/>
    <w:rsid w:val="00A97F0C"/>
    <w:rsid w:val="00AA0E87"/>
    <w:rsid w:val="00AA58EA"/>
    <w:rsid w:val="00AB1006"/>
    <w:rsid w:val="00AB27F0"/>
    <w:rsid w:val="00AB59B0"/>
    <w:rsid w:val="00AB5C30"/>
    <w:rsid w:val="00AC2162"/>
    <w:rsid w:val="00AD083B"/>
    <w:rsid w:val="00AE5092"/>
    <w:rsid w:val="00AF277C"/>
    <w:rsid w:val="00AF3660"/>
    <w:rsid w:val="00B04145"/>
    <w:rsid w:val="00B312ED"/>
    <w:rsid w:val="00B36B4E"/>
    <w:rsid w:val="00B370BC"/>
    <w:rsid w:val="00B37155"/>
    <w:rsid w:val="00B47CE1"/>
    <w:rsid w:val="00B567E5"/>
    <w:rsid w:val="00B63300"/>
    <w:rsid w:val="00B704A5"/>
    <w:rsid w:val="00B71FD0"/>
    <w:rsid w:val="00B72C06"/>
    <w:rsid w:val="00B74F9F"/>
    <w:rsid w:val="00B76010"/>
    <w:rsid w:val="00B8305F"/>
    <w:rsid w:val="00B83D49"/>
    <w:rsid w:val="00B94092"/>
    <w:rsid w:val="00BA3AD9"/>
    <w:rsid w:val="00BA6148"/>
    <w:rsid w:val="00BB75AE"/>
    <w:rsid w:val="00BC243B"/>
    <w:rsid w:val="00BC43AC"/>
    <w:rsid w:val="00BC4DB3"/>
    <w:rsid w:val="00BD086B"/>
    <w:rsid w:val="00BD0C85"/>
    <w:rsid w:val="00BD2D52"/>
    <w:rsid w:val="00BE6F9D"/>
    <w:rsid w:val="00BF5D25"/>
    <w:rsid w:val="00BF73C7"/>
    <w:rsid w:val="00C11412"/>
    <w:rsid w:val="00C217D9"/>
    <w:rsid w:val="00C22808"/>
    <w:rsid w:val="00C22F41"/>
    <w:rsid w:val="00C53C30"/>
    <w:rsid w:val="00C6126B"/>
    <w:rsid w:val="00C61D2E"/>
    <w:rsid w:val="00C61E8C"/>
    <w:rsid w:val="00C6576B"/>
    <w:rsid w:val="00C77C63"/>
    <w:rsid w:val="00C86077"/>
    <w:rsid w:val="00C93B86"/>
    <w:rsid w:val="00C97AC9"/>
    <w:rsid w:val="00CA64BC"/>
    <w:rsid w:val="00CD41C6"/>
    <w:rsid w:val="00CD46CE"/>
    <w:rsid w:val="00CE281D"/>
    <w:rsid w:val="00CF1072"/>
    <w:rsid w:val="00CF3179"/>
    <w:rsid w:val="00CF6EFB"/>
    <w:rsid w:val="00D02A27"/>
    <w:rsid w:val="00D03788"/>
    <w:rsid w:val="00D10123"/>
    <w:rsid w:val="00D20C87"/>
    <w:rsid w:val="00D20D4B"/>
    <w:rsid w:val="00D24D05"/>
    <w:rsid w:val="00D353BC"/>
    <w:rsid w:val="00D35444"/>
    <w:rsid w:val="00D373B3"/>
    <w:rsid w:val="00D40370"/>
    <w:rsid w:val="00D4372F"/>
    <w:rsid w:val="00D53CD8"/>
    <w:rsid w:val="00D54A6E"/>
    <w:rsid w:val="00D57A03"/>
    <w:rsid w:val="00D83284"/>
    <w:rsid w:val="00D857F8"/>
    <w:rsid w:val="00D914A9"/>
    <w:rsid w:val="00DB095A"/>
    <w:rsid w:val="00DB219D"/>
    <w:rsid w:val="00DD209D"/>
    <w:rsid w:val="00DD24C5"/>
    <w:rsid w:val="00DD4718"/>
    <w:rsid w:val="00E031E1"/>
    <w:rsid w:val="00E14F7D"/>
    <w:rsid w:val="00E22204"/>
    <w:rsid w:val="00E240F8"/>
    <w:rsid w:val="00E24CC5"/>
    <w:rsid w:val="00E41761"/>
    <w:rsid w:val="00E46172"/>
    <w:rsid w:val="00E4722A"/>
    <w:rsid w:val="00E501E0"/>
    <w:rsid w:val="00E53F93"/>
    <w:rsid w:val="00E56962"/>
    <w:rsid w:val="00E62211"/>
    <w:rsid w:val="00E64B2D"/>
    <w:rsid w:val="00E74D73"/>
    <w:rsid w:val="00E85992"/>
    <w:rsid w:val="00EA7F10"/>
    <w:rsid w:val="00EB36C2"/>
    <w:rsid w:val="00EB64F7"/>
    <w:rsid w:val="00EB7637"/>
    <w:rsid w:val="00ED31F9"/>
    <w:rsid w:val="00ED6E52"/>
    <w:rsid w:val="00EF00F3"/>
    <w:rsid w:val="00EF19D9"/>
    <w:rsid w:val="00EF66EB"/>
    <w:rsid w:val="00F0444D"/>
    <w:rsid w:val="00F0693D"/>
    <w:rsid w:val="00F13938"/>
    <w:rsid w:val="00F147B2"/>
    <w:rsid w:val="00F222BC"/>
    <w:rsid w:val="00F22CCE"/>
    <w:rsid w:val="00F25673"/>
    <w:rsid w:val="00F26913"/>
    <w:rsid w:val="00F31260"/>
    <w:rsid w:val="00F33103"/>
    <w:rsid w:val="00F36EFE"/>
    <w:rsid w:val="00F41896"/>
    <w:rsid w:val="00F442C4"/>
    <w:rsid w:val="00F53267"/>
    <w:rsid w:val="00F565CA"/>
    <w:rsid w:val="00F729AE"/>
    <w:rsid w:val="00F879D0"/>
    <w:rsid w:val="00F977DF"/>
    <w:rsid w:val="00FA414F"/>
    <w:rsid w:val="00FA6082"/>
    <w:rsid w:val="00FA7C28"/>
    <w:rsid w:val="00FB013B"/>
    <w:rsid w:val="00FB4064"/>
    <w:rsid w:val="00FB6A4B"/>
    <w:rsid w:val="00FC377D"/>
    <w:rsid w:val="00FD7771"/>
    <w:rsid w:val="00FD7F28"/>
    <w:rsid w:val="00FF180D"/>
    <w:rsid w:val="00FF3538"/>
    <w:rsid w:val="00FF48C7"/>
    <w:rsid w:val="00FF767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37C5B8"/>
  <w15:chartTrackingRefBased/>
  <w15:docId w15:val="{9185B6BD-8857-4B91-98AB-0844EFF9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AE"/>
    <w:pPr>
      <w:spacing w:after="20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CA64BC"/>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CA64BC"/>
    <w:pPr>
      <w:keepNext/>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C17A2"/>
    <w:rPr>
      <w:color w:val="07478C"/>
      <w:u w:val="single"/>
      <w:bdr w:val="none" w:sz="0" w:space="0" w:color="auto"/>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DB219D"/>
    <w:p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CA64BC"/>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C48AE"/>
    <w:pPr>
      <w:keepNext/>
      <w:spacing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CA64BC"/>
    <w:rPr>
      <w:rFonts w:asciiTheme="majorHAnsi" w:eastAsiaTheme="majorEastAsia" w:hAnsiTheme="majorHAnsi" w:cstheme="majorBidi"/>
      <w:b/>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pPr>
      <w:ind w:left="567"/>
    </w:pPr>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rsid w:val="00226203"/>
    <w:pPr>
      <w:pageBreakBefore/>
      <w:numPr>
        <w:numId w:val="4"/>
      </w:numPr>
      <w:ind w:left="851" w:hanging="851"/>
    </w:pPr>
  </w:style>
  <w:style w:type="paragraph" w:customStyle="1" w:styleId="Heading3-list">
    <w:name w:val="Heading 3 - list"/>
    <w:basedOn w:val="Heading3"/>
    <w:next w:val="Normal"/>
    <w:rsid w:val="00987507"/>
    <w:pPr>
      <w:numPr>
        <w:ilvl w:val="1"/>
        <w:numId w:val="4"/>
      </w:numPr>
      <w:ind w:left="851" w:hanging="851"/>
    </w:pPr>
  </w:style>
  <w:style w:type="paragraph" w:customStyle="1" w:styleId="Heading4-list">
    <w:name w:val="Heading 4 - list"/>
    <w:basedOn w:val="Heading4"/>
    <w:next w:val="Normal"/>
    <w:rsid w:val="00945743"/>
    <w:pPr>
      <w:numPr>
        <w:ilvl w:val="2"/>
        <w:numId w:val="4"/>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 w:type="paragraph" w:styleId="Revision">
    <w:name w:val="Revision"/>
    <w:hidden/>
    <w:uiPriority w:val="99"/>
    <w:semiHidden/>
    <w:rsid w:val="0014364B"/>
    <w:pPr>
      <w:spacing w:after="0" w:line="240" w:lineRule="auto"/>
    </w:pPr>
  </w:style>
  <w:style w:type="character" w:customStyle="1" w:styleId="UnresolvedMention">
    <w:name w:val="Unresolved Mention"/>
    <w:basedOn w:val="DefaultParagraphFont"/>
    <w:uiPriority w:val="99"/>
    <w:semiHidden/>
    <w:unhideWhenUsed/>
    <w:rsid w:val="008C48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2662">
      <w:bodyDiv w:val="1"/>
      <w:marLeft w:val="0"/>
      <w:marRight w:val="0"/>
      <w:marTop w:val="0"/>
      <w:marBottom w:val="0"/>
      <w:divBdr>
        <w:top w:val="none" w:sz="0" w:space="0" w:color="auto"/>
        <w:left w:val="none" w:sz="0" w:space="0" w:color="auto"/>
        <w:bottom w:val="none" w:sz="0" w:space="0" w:color="auto"/>
        <w:right w:val="none" w:sz="0" w:space="0" w:color="auto"/>
      </w:divBdr>
    </w:div>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869760008">
      <w:bodyDiv w:val="1"/>
      <w:marLeft w:val="0"/>
      <w:marRight w:val="0"/>
      <w:marTop w:val="0"/>
      <w:marBottom w:val="0"/>
      <w:divBdr>
        <w:top w:val="none" w:sz="0" w:space="0" w:color="auto"/>
        <w:left w:val="none" w:sz="0" w:space="0" w:color="auto"/>
        <w:bottom w:val="none" w:sz="0" w:space="0" w:color="auto"/>
        <w:right w:val="none" w:sz="0" w:space="0" w:color="auto"/>
      </w:divBdr>
      <w:divsChild>
        <w:div w:id="1494905595">
          <w:marLeft w:val="0"/>
          <w:marRight w:val="0"/>
          <w:marTop w:val="0"/>
          <w:marBottom w:val="0"/>
          <w:divBdr>
            <w:top w:val="none" w:sz="0" w:space="0" w:color="auto"/>
            <w:left w:val="none" w:sz="0" w:space="0" w:color="auto"/>
            <w:bottom w:val="none" w:sz="0" w:space="0" w:color="auto"/>
            <w:right w:val="none" w:sz="0" w:space="0" w:color="auto"/>
          </w:divBdr>
          <w:divsChild>
            <w:div w:id="957757132">
              <w:marLeft w:val="0"/>
              <w:marRight w:val="0"/>
              <w:marTop w:val="0"/>
              <w:marBottom w:val="0"/>
              <w:divBdr>
                <w:top w:val="none" w:sz="0" w:space="0" w:color="auto"/>
                <w:left w:val="none" w:sz="0" w:space="0" w:color="auto"/>
                <w:bottom w:val="none" w:sz="0" w:space="0" w:color="auto"/>
                <w:right w:val="none" w:sz="0" w:space="0" w:color="auto"/>
              </w:divBdr>
              <w:divsChild>
                <w:div w:id="1780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7960">
      <w:bodyDiv w:val="1"/>
      <w:marLeft w:val="0"/>
      <w:marRight w:val="0"/>
      <w:marTop w:val="0"/>
      <w:marBottom w:val="0"/>
      <w:divBdr>
        <w:top w:val="none" w:sz="0" w:space="0" w:color="auto"/>
        <w:left w:val="none" w:sz="0" w:space="0" w:color="auto"/>
        <w:bottom w:val="none" w:sz="0" w:space="0" w:color="auto"/>
        <w:right w:val="none" w:sz="0" w:space="0" w:color="auto"/>
      </w:divBdr>
      <w:divsChild>
        <w:div w:id="300964121">
          <w:marLeft w:val="0"/>
          <w:marRight w:val="0"/>
          <w:marTop w:val="0"/>
          <w:marBottom w:val="0"/>
          <w:divBdr>
            <w:top w:val="none" w:sz="0" w:space="0" w:color="auto"/>
            <w:left w:val="none" w:sz="0" w:space="0" w:color="auto"/>
            <w:bottom w:val="none" w:sz="0" w:space="0" w:color="auto"/>
            <w:right w:val="none" w:sz="0" w:space="0" w:color="auto"/>
          </w:divBdr>
          <w:divsChild>
            <w:div w:id="270557555">
              <w:marLeft w:val="0"/>
              <w:marRight w:val="0"/>
              <w:marTop w:val="0"/>
              <w:marBottom w:val="0"/>
              <w:divBdr>
                <w:top w:val="none" w:sz="0" w:space="0" w:color="auto"/>
                <w:left w:val="none" w:sz="0" w:space="0" w:color="auto"/>
                <w:bottom w:val="none" w:sz="0" w:space="0" w:color="auto"/>
                <w:right w:val="none" w:sz="0" w:space="0" w:color="auto"/>
              </w:divBdr>
              <w:divsChild>
                <w:div w:id="7228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3519">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 w:id="17760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communications.gov.au/documents/terms-reference-review-au-domain-administration" TargetMode="External"/><Relationship Id="rId26" Type="http://schemas.openxmlformats.org/officeDocument/2006/relationships/hyperlink" Target="https://www.governanceinstitute.com.au/knowledge-resources/guidance-tools/whole-of-organisation-governance/" TargetMode="External"/><Relationship Id="rId3" Type="http://schemas.openxmlformats.org/officeDocument/2006/relationships/customXml" Target="../customXml/item3.xml"/><Relationship Id="rId21" Type="http://schemas.openxmlformats.org/officeDocument/2006/relationships/hyperlink" Target="https://www.iana.org/reports/2001/au-redelegation/alston-to-lynn-16aug01.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bs.gov.au/ausstats/abs@.nsf/mf/8153.0" TargetMode="External"/><Relationship Id="rId25" Type="http://schemas.openxmlformats.org/officeDocument/2006/relationships/hyperlink" Target="http://www.asx.com.au/documents/asx-compliance/cgc-principles-and-recommendations-3rd-ed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hois.icann.org/en/domain-name-registration-process" TargetMode="External"/><Relationship Id="rId29" Type="http://schemas.openxmlformats.org/officeDocument/2006/relationships/hyperlink" Target="mailto:audomainreview@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aicd.companydirectors.com.au/~/media/cd2/resources/director-resources/nfp/pdf/nfp-principles-and-guidance-131015.ash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23" Type="http://schemas.openxmlformats.org/officeDocument/2006/relationships/hyperlink" Target="http://icgn.flpbks.com/icgn_global_governance_principles/" TargetMode="External"/><Relationship Id="rId28" Type="http://schemas.openxmlformats.org/officeDocument/2006/relationships/hyperlink" Target="mailto:audomainreview@communications.gov.au"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hyperlink" Target="http://www.acnc.gov.au/ACNC/Manage/Governance/ACNC/Edu/GovStds_overview.aspx" TargetMode="External"/><Relationship Id="rId27" Type="http://schemas.openxmlformats.org/officeDocument/2006/relationships/hyperlink" Target="http://www.communications.gov.au/have-your-say"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uda.org.au/assets/Annual-Reports/2015-16-auDA-Annual-Report.pdf" TargetMode="External"/><Relationship Id="rId3" Type="http://schemas.openxmlformats.org/officeDocument/2006/relationships/hyperlink" Target="http://www.finance.gov.au/resource-management/governance/gbe/" TargetMode="External"/><Relationship Id="rId7" Type="http://schemas.openxmlformats.org/officeDocument/2006/relationships/hyperlink" Target="https://www.auda.org.au/assets/About-auDA/Strategic-Plan/auDA-strategic-plan-2015-18.pdf" TargetMode="External"/><Relationship Id="rId2" Type="http://schemas.openxmlformats.org/officeDocument/2006/relationships/hyperlink" Target="https://www.icann.org/resources/unthemed-pages/au-2012-02-25-en" TargetMode="External"/><Relationship Id="rId1" Type="http://schemas.openxmlformats.org/officeDocument/2006/relationships/hyperlink" Target="http://www.abs.gov.au/ausstats/abs@.nsf/mf/8166.0" TargetMode="External"/><Relationship Id="rId6" Type="http://schemas.openxmlformats.org/officeDocument/2006/relationships/hyperlink" Target="https://www.auda.org.au/news/board-communique-following-special-general-meeting/" TargetMode="External"/><Relationship Id="rId11" Type="http://schemas.openxmlformats.org/officeDocument/2006/relationships/hyperlink" Target="https://www.asd.gov.au/publications/protect/essential-eight-explained.htm" TargetMode="External"/><Relationship Id="rId5" Type="http://schemas.openxmlformats.org/officeDocument/2006/relationships/hyperlink" Target="https://www.auda.org.au/assets/Board/2017/auDA-Board-Minutes-22-May-2017-website.pdf" TargetMode="External"/><Relationship Id="rId10" Type="http://schemas.openxmlformats.org/officeDocument/2006/relationships/hyperlink" Target="https://cybersecuritystrategy.pmc.gov.au/assets/img/PMC-Cyber-Strategy.pdf" TargetMode="External"/><Relationship Id="rId4" Type="http://schemas.openxmlformats.org/officeDocument/2006/relationships/hyperlink" Target="https://www.auda.org.au/pdf/auda-atf-draft.pdf" TargetMode="External"/><Relationship Id="rId9" Type="http://schemas.openxmlformats.org/officeDocument/2006/relationships/hyperlink" Target="https://www.acs.org.au/content/dam/acs/acs-publications/Australia's%20Digital%20Pulse%20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BEDD2BC1136E49A18E74E8682CFA3E" ma:contentTypeVersion="0" ma:contentTypeDescription="Create a new document." ma:contentTypeScope="" ma:versionID="fcbeaa579fd036877767e0ddc3cac2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FB3F8C4-C960-4406-BED4-337561ABA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4BE2C85E-2BAE-4D1A-ACD1-6BA89C5A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4683</Words>
  <Characters>27304</Characters>
  <Application>Microsoft Office Word</Application>
  <DocSecurity>0</DocSecurity>
  <Lines>479</Lines>
  <Paragraphs>275</Paragraphs>
  <ScaleCrop>false</ScaleCrop>
  <HeadingPairs>
    <vt:vector size="2" baseType="variant">
      <vt:variant>
        <vt:lpstr>Title</vt:lpstr>
      </vt:variant>
      <vt:variant>
        <vt:i4>1</vt:i4>
      </vt:variant>
    </vt:vector>
  </HeadingPairs>
  <TitlesOfParts>
    <vt:vector size="1" baseType="lpstr">
      <vt:lpstr>Review of Australia’s .au domain management</vt:lpstr>
    </vt:vector>
  </TitlesOfParts>
  <Company>Department of Communications and the Arts</Company>
  <LinksUpToDate>false</LinksUpToDate>
  <CharactersWithSpaces>31712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Australia’s .au domain management—discussion paper</dc:title>
  <dc:subject/>
  <dc:creator>Department of Communications and the Arts</dc:creator>
  <cp:keywords/>
  <dc:description/>
  <cp:lastModifiedBy>Department of Communications and the Arts</cp:lastModifiedBy>
  <cp:revision>7</cp:revision>
  <cp:lastPrinted>2017-11-08T05:07:00Z</cp:lastPrinted>
  <dcterms:created xsi:type="dcterms:W3CDTF">2017-11-16T04:56:00Z</dcterms:created>
  <dcterms:modified xsi:type="dcterms:W3CDTF">2017-11-16T05:00:00Z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0x010100D6BEDD2BC1136E49A18E74E8682CFA3E</vt:lpwstr>
  </property>
  <property fmtid="{D5CDD505-2E9C-101B-9397-08002B2CF9AE}" pid="3" name="TrimRevisionNumber">
    <vt:i4>2</vt:i4>
  </property>
</Properties>
</file>