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DD1E" w14:textId="77777777" w:rsidR="005F5FCB" w:rsidRPr="00402060" w:rsidRDefault="005F5FCB" w:rsidP="00226D36">
      <w:pPr>
        <w:spacing w:after="480"/>
        <w:jc w:val="center"/>
        <w:rPr>
          <w:b/>
          <w:sz w:val="40"/>
        </w:rPr>
      </w:pPr>
      <w:r>
        <w:rPr>
          <w:b/>
          <w:sz w:val="40"/>
        </w:rPr>
        <w:t xml:space="preserve">EXPOSURE </w:t>
      </w:r>
      <w:r w:rsidRPr="00402060">
        <w:rPr>
          <w:b/>
          <w:sz w:val="40"/>
        </w:rPr>
        <w:t>DRAFT</w:t>
      </w:r>
    </w:p>
    <w:p w14:paraId="3BDA97BB" w14:textId="77777777" w:rsidR="00521C09" w:rsidRPr="00AB0C55" w:rsidRDefault="00E479CD" w:rsidP="00226D36">
      <w:pPr>
        <w:spacing w:after="480"/>
      </w:pPr>
      <w:r w:rsidRPr="00AB0C55">
        <w:rPr>
          <w:noProof/>
          <w:lang w:eastAsia="en-AU"/>
        </w:rPr>
        <w:drawing>
          <wp:inline distT="0" distB="0" distL="0" distR="0" wp14:anchorId="57E82EB0" wp14:editId="0153F374">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4CB7D80" w14:textId="77777777" w:rsidR="00402060" w:rsidRDefault="00592EBD" w:rsidP="00226D36">
      <w:pPr>
        <w:pStyle w:val="Heading1"/>
      </w:pPr>
      <w:r w:rsidRPr="00AB0C55">
        <w:t xml:space="preserve">Radiocommunications (Spectrum </w:t>
      </w:r>
      <w:r w:rsidRPr="00226D36">
        <w:t>Licence</w:t>
      </w:r>
      <w:r w:rsidRPr="00AB0C55">
        <w:t xml:space="preserve"> Allocation—</w:t>
      </w:r>
      <w:r w:rsidR="001E2492" w:rsidRPr="00AB0C55">
        <w:t>Residual 700 MHz Band One</w:t>
      </w:r>
      <w:r w:rsidRPr="00AB0C55">
        <w:t>) Direction 2016</w:t>
      </w:r>
    </w:p>
    <w:p w14:paraId="5CB33C01" w14:textId="77777777" w:rsidR="00592EBD" w:rsidRPr="00AB0C55" w:rsidRDefault="00592EBD" w:rsidP="005457FB">
      <w:pPr>
        <w:spacing w:before="480"/>
        <w:rPr>
          <w:i/>
          <w:sz w:val="28"/>
          <w:szCs w:val="26"/>
        </w:rPr>
      </w:pPr>
      <w:r w:rsidRPr="00AB0C55">
        <w:rPr>
          <w:i/>
          <w:sz w:val="28"/>
          <w:szCs w:val="26"/>
        </w:rPr>
        <w:t xml:space="preserve">Australian Communications and Media Authority </w:t>
      </w:r>
      <w:bookmarkStart w:id="0" w:name="_GoBack"/>
      <w:r w:rsidRPr="00AB0C55">
        <w:rPr>
          <w:i/>
          <w:sz w:val="28"/>
          <w:szCs w:val="26"/>
        </w:rPr>
        <w:t>Act</w:t>
      </w:r>
      <w:bookmarkEnd w:id="0"/>
      <w:r w:rsidRPr="00AB0C55">
        <w:rPr>
          <w:i/>
          <w:sz w:val="28"/>
          <w:szCs w:val="26"/>
        </w:rPr>
        <w:t xml:space="preserve"> 2005</w:t>
      </w:r>
    </w:p>
    <w:p w14:paraId="6311DD36" w14:textId="77777777" w:rsidR="00592EBD" w:rsidRPr="00AB0C55" w:rsidRDefault="00592EBD" w:rsidP="005457FB">
      <w:pPr>
        <w:spacing w:after="720"/>
        <w:rPr>
          <w:i/>
          <w:sz w:val="28"/>
          <w:szCs w:val="26"/>
        </w:rPr>
      </w:pPr>
      <w:r w:rsidRPr="00AB0C55">
        <w:rPr>
          <w:i/>
          <w:sz w:val="28"/>
          <w:szCs w:val="26"/>
        </w:rPr>
        <w:t xml:space="preserve">Radiocommunications Act </w:t>
      </w:r>
      <w:r w:rsidR="00FE1E53" w:rsidRPr="00AB0C55">
        <w:rPr>
          <w:i/>
          <w:sz w:val="28"/>
          <w:szCs w:val="26"/>
        </w:rPr>
        <w:t>1992</w:t>
      </w:r>
    </w:p>
    <w:p w14:paraId="1706F315" w14:textId="77777777" w:rsidR="00914D92" w:rsidRPr="00AB0C55" w:rsidRDefault="00635788" w:rsidP="00BE2C51">
      <w:pPr>
        <w:pStyle w:val="SignCoverPageStart"/>
        <w:spacing w:before="240"/>
      </w:pPr>
      <w:r w:rsidRPr="00AB0C55">
        <w:t>I, MITCH FIFIELD, Minister for Communications,</w:t>
      </w:r>
      <w:r w:rsidR="00592EBD" w:rsidRPr="00AB0C55">
        <w:t xml:space="preserve"> </w:t>
      </w:r>
      <w:r w:rsidRPr="00AB0C55">
        <w:t xml:space="preserve">give the following </w:t>
      </w:r>
      <w:r w:rsidR="008661D2" w:rsidRPr="00AB0C55">
        <w:t>d</w:t>
      </w:r>
      <w:r w:rsidR="00592EBD" w:rsidRPr="00AB0C55">
        <w:t>irection</w:t>
      </w:r>
      <w:r w:rsidRPr="00AB0C55">
        <w:t>.</w:t>
      </w:r>
    </w:p>
    <w:p w14:paraId="00A81851" w14:textId="0DB7684D" w:rsidR="00914D92" w:rsidRPr="00AB0C55" w:rsidRDefault="00914D92" w:rsidP="00BE2C51">
      <w:pPr>
        <w:keepNext/>
        <w:spacing w:before="720" w:line="240" w:lineRule="atLeast"/>
        <w:ind w:right="397"/>
        <w:jc w:val="both"/>
        <w:rPr>
          <w:sz w:val="24"/>
          <w:szCs w:val="24"/>
        </w:rPr>
      </w:pPr>
      <w:r w:rsidRPr="00AB0C55">
        <w:rPr>
          <w:sz w:val="24"/>
          <w:szCs w:val="24"/>
        </w:rPr>
        <w:t>Dated</w:t>
      </w:r>
      <w:bookmarkStart w:id="1" w:name="BKCheck15B_2"/>
      <w:bookmarkEnd w:id="1"/>
    </w:p>
    <w:p w14:paraId="4BB98AEE" w14:textId="77777777" w:rsidR="00914D92" w:rsidRPr="00AB0C55" w:rsidRDefault="007F77CD" w:rsidP="00E00CCB">
      <w:pPr>
        <w:keepNext/>
        <w:tabs>
          <w:tab w:val="left" w:pos="3402"/>
        </w:tabs>
        <w:spacing w:before="960" w:line="300" w:lineRule="atLeast"/>
        <w:ind w:right="397"/>
        <w:rPr>
          <w:szCs w:val="22"/>
        </w:rPr>
      </w:pPr>
      <w:r w:rsidRPr="00AB0C55">
        <w:rPr>
          <w:szCs w:val="22"/>
        </w:rPr>
        <w:t>MITCH FIFIELD</w:t>
      </w:r>
      <w:r w:rsidR="00402060">
        <w:rPr>
          <w:szCs w:val="22"/>
        </w:rPr>
        <w:t xml:space="preserve"> </w:t>
      </w:r>
      <w:r w:rsidR="00402060" w:rsidRPr="00402060">
        <w:rPr>
          <w:b/>
          <w:szCs w:val="22"/>
        </w:rPr>
        <w:t>[</w:t>
      </w:r>
      <w:r w:rsidR="007920C2">
        <w:rPr>
          <w:b/>
          <w:szCs w:val="22"/>
        </w:rPr>
        <w:t xml:space="preserve">EXPOSURE </w:t>
      </w:r>
      <w:r w:rsidR="00402060" w:rsidRPr="00402060">
        <w:rPr>
          <w:b/>
          <w:szCs w:val="22"/>
        </w:rPr>
        <w:t>DRAFT ONLY – NOT FOR SIGNATURE]</w:t>
      </w:r>
    </w:p>
    <w:p w14:paraId="15CB6A82" w14:textId="20FBA0D3" w:rsidR="00521C09" w:rsidRPr="00AB0C55" w:rsidRDefault="00914D92" w:rsidP="00226D36">
      <w:pPr>
        <w:pStyle w:val="SignCoverPageEnd"/>
      </w:pPr>
      <w:r w:rsidRPr="00AB0C55">
        <w:t>Minister for Communications</w:t>
      </w:r>
    </w:p>
    <w:p w14:paraId="37C1AF94" w14:textId="77777777" w:rsidR="00506262" w:rsidRDefault="00506262">
      <w:pPr>
        <w:spacing w:line="240" w:lineRule="auto"/>
        <w:rPr>
          <w:rStyle w:val="CharSectno"/>
          <w:rFonts w:eastAsia="Times New Roman" w:cs="Times New Roman"/>
          <w:b/>
          <w:kern w:val="28"/>
          <w:sz w:val="24"/>
          <w:lang w:eastAsia="en-AU"/>
        </w:rPr>
      </w:pPr>
      <w:bookmarkStart w:id="2" w:name="_Toc418067266"/>
      <w:bookmarkStart w:id="3" w:name="_Toc418067518"/>
      <w:bookmarkStart w:id="4" w:name="_Toc418067534"/>
      <w:bookmarkStart w:id="5" w:name="_Toc418067960"/>
      <w:bookmarkStart w:id="6" w:name="_Toc418165041"/>
      <w:r>
        <w:rPr>
          <w:rStyle w:val="CharSectno"/>
        </w:rPr>
        <w:br w:type="page"/>
      </w:r>
    </w:p>
    <w:p w14:paraId="1C799D01" w14:textId="77777777" w:rsidR="00275065" w:rsidRPr="00AB0C55" w:rsidRDefault="00275065" w:rsidP="00226D36">
      <w:pPr>
        <w:pStyle w:val="Heading2"/>
      </w:pPr>
      <w:proofErr w:type="gramStart"/>
      <w:r w:rsidRPr="00AB0C55">
        <w:rPr>
          <w:rStyle w:val="CharSectno"/>
        </w:rPr>
        <w:t>1</w:t>
      </w:r>
      <w:r w:rsidR="00521C09" w:rsidRPr="00AB0C55">
        <w:t xml:space="preserve">  </w:t>
      </w:r>
      <w:r w:rsidRPr="00226D36">
        <w:t>Name</w:t>
      </w:r>
      <w:bookmarkEnd w:id="2"/>
      <w:bookmarkEnd w:id="3"/>
      <w:bookmarkEnd w:id="4"/>
      <w:bookmarkEnd w:id="5"/>
      <w:bookmarkEnd w:id="6"/>
      <w:proofErr w:type="gramEnd"/>
    </w:p>
    <w:p w14:paraId="0088F9D9" w14:textId="77777777" w:rsidR="00160EE0" w:rsidRPr="00AB0C55" w:rsidRDefault="00275065" w:rsidP="00521C09">
      <w:pPr>
        <w:pStyle w:val="subsection"/>
      </w:pPr>
      <w:r w:rsidRPr="00AB0C55">
        <w:tab/>
      </w:r>
      <w:r w:rsidRPr="00AB0C55">
        <w:tab/>
        <w:t>This</w:t>
      </w:r>
      <w:r w:rsidR="00AC3EF3" w:rsidRPr="00AB0C55">
        <w:t xml:space="preserve"> </w:t>
      </w:r>
      <w:r w:rsidRPr="00AB0C55">
        <w:t>is the</w:t>
      </w:r>
      <w:r w:rsidR="00AC3EF3" w:rsidRPr="00AB0C55">
        <w:t xml:space="preserve"> </w:t>
      </w:r>
      <w:r w:rsidR="00592EBD" w:rsidRPr="00AB0C55">
        <w:rPr>
          <w:i/>
        </w:rPr>
        <w:t xml:space="preserve">Radiocommunications (Spectrum Licence Allocation—Residual 700 MHz </w:t>
      </w:r>
      <w:r w:rsidR="001E2492" w:rsidRPr="00AB0C55">
        <w:rPr>
          <w:i/>
        </w:rPr>
        <w:t>Band One</w:t>
      </w:r>
      <w:r w:rsidR="00592EBD" w:rsidRPr="00AB0C55">
        <w:rPr>
          <w:i/>
        </w:rPr>
        <w:t>) Direction 2016</w:t>
      </w:r>
      <w:r w:rsidR="00C47468" w:rsidRPr="00AB0C55">
        <w:t>.</w:t>
      </w:r>
    </w:p>
    <w:p w14:paraId="21E59C14" w14:textId="77777777" w:rsidR="00275065" w:rsidRPr="00AB0C55" w:rsidRDefault="00275065" w:rsidP="00226D36">
      <w:pPr>
        <w:pStyle w:val="Heading2"/>
      </w:pPr>
      <w:bookmarkStart w:id="7" w:name="_Toc418067267"/>
      <w:bookmarkStart w:id="8" w:name="_Toc418067519"/>
      <w:bookmarkStart w:id="9" w:name="_Toc418067535"/>
      <w:bookmarkStart w:id="10" w:name="_Toc418067961"/>
      <w:bookmarkStart w:id="11" w:name="_Toc418165042"/>
      <w:proofErr w:type="gramStart"/>
      <w:r w:rsidRPr="00AB0C55">
        <w:rPr>
          <w:rStyle w:val="CharSectno"/>
        </w:rPr>
        <w:t>2</w:t>
      </w:r>
      <w:r w:rsidR="00521C09" w:rsidRPr="00AB0C55">
        <w:t xml:space="preserve">  </w:t>
      </w:r>
      <w:r w:rsidRPr="00497E1D">
        <w:t>Commencement</w:t>
      </w:r>
      <w:bookmarkEnd w:id="7"/>
      <w:bookmarkEnd w:id="8"/>
      <w:bookmarkEnd w:id="9"/>
      <w:bookmarkEnd w:id="10"/>
      <w:bookmarkEnd w:id="11"/>
      <w:proofErr w:type="gramEnd"/>
    </w:p>
    <w:p w14:paraId="00A15F1F" w14:textId="77777777" w:rsidR="00275065" w:rsidRPr="00AB0C55" w:rsidRDefault="00275065" w:rsidP="00521C09">
      <w:pPr>
        <w:pStyle w:val="subsection"/>
      </w:pPr>
      <w:r w:rsidRPr="00AB0C55">
        <w:tab/>
      </w:r>
      <w:r w:rsidRPr="00AB0C55">
        <w:tab/>
        <w:t xml:space="preserve">This </w:t>
      </w:r>
      <w:r w:rsidR="00AC3EF3" w:rsidRPr="00AB0C55">
        <w:t xml:space="preserve">instrument </w:t>
      </w:r>
      <w:r w:rsidRPr="00AB0C55">
        <w:t>commences on the day after it is registered</w:t>
      </w:r>
      <w:r w:rsidR="000527F0" w:rsidRPr="00AB0C55">
        <w:t xml:space="preserve"> on the Federal Register of </w:t>
      </w:r>
      <w:r w:rsidR="0015255D" w:rsidRPr="00AB0C55">
        <w:t>Legislation</w:t>
      </w:r>
      <w:r w:rsidRPr="00AB0C55">
        <w:t>.</w:t>
      </w:r>
    </w:p>
    <w:p w14:paraId="49CADB8D" w14:textId="77777777" w:rsidR="00592EBD" w:rsidRPr="00AB0C55" w:rsidRDefault="00592EBD" w:rsidP="00226D36">
      <w:pPr>
        <w:pStyle w:val="Heading2"/>
      </w:pPr>
      <w:bookmarkStart w:id="12" w:name="_Toc418067269"/>
      <w:bookmarkStart w:id="13" w:name="_Toc418067521"/>
      <w:bookmarkStart w:id="14" w:name="_Toc418067537"/>
      <w:bookmarkStart w:id="15" w:name="_Toc418067963"/>
      <w:bookmarkStart w:id="16" w:name="_Toc418165044"/>
      <w:proofErr w:type="gramStart"/>
      <w:r w:rsidRPr="00AB0C55">
        <w:rPr>
          <w:rStyle w:val="CharSectno"/>
        </w:rPr>
        <w:t>3</w:t>
      </w:r>
      <w:r w:rsidRPr="00AB0C55">
        <w:t xml:space="preserve">  Authority</w:t>
      </w:r>
      <w:proofErr w:type="gramEnd"/>
    </w:p>
    <w:p w14:paraId="065583A9" w14:textId="77777777" w:rsidR="00CB4932" w:rsidRPr="00AB0C55" w:rsidRDefault="00592EBD" w:rsidP="00592EBD">
      <w:pPr>
        <w:pStyle w:val="subsection"/>
      </w:pPr>
      <w:r w:rsidRPr="00AB0C55">
        <w:tab/>
      </w:r>
      <w:r w:rsidRPr="00AB0C55">
        <w:tab/>
      </w:r>
      <w:r w:rsidR="0015255D" w:rsidRPr="00AB0C55">
        <w:t>T</w:t>
      </w:r>
      <w:r w:rsidRPr="00AB0C55">
        <w:t xml:space="preserve">his instrument </w:t>
      </w:r>
      <w:r w:rsidR="008661D2" w:rsidRPr="00AB0C55">
        <w:t>is made under</w:t>
      </w:r>
      <w:r w:rsidR="00CB4932" w:rsidRPr="00AB0C55">
        <w:t>:</w:t>
      </w:r>
    </w:p>
    <w:p w14:paraId="19A8A00C" w14:textId="14327507" w:rsidR="00CB4932" w:rsidRPr="00AB0C55" w:rsidRDefault="00CB4932" w:rsidP="00CB4932">
      <w:pPr>
        <w:pStyle w:val="paragraph"/>
      </w:pPr>
      <w:r w:rsidRPr="00AB0C55">
        <w:tab/>
        <w:t>(</w:t>
      </w:r>
      <w:r w:rsidR="000B6D4C">
        <w:t>a</w:t>
      </w:r>
      <w:r w:rsidRPr="00AB0C55">
        <w:t>)</w:t>
      </w:r>
      <w:r w:rsidRPr="00AB0C55">
        <w:tab/>
      </w:r>
      <w:proofErr w:type="gramStart"/>
      <w:r w:rsidR="008661D2" w:rsidRPr="00AB0C55">
        <w:t>subsection</w:t>
      </w:r>
      <w:proofErr w:type="gramEnd"/>
      <w:r w:rsidR="00F037D4" w:rsidRPr="00AB0C55">
        <w:t> </w:t>
      </w:r>
      <w:r w:rsidR="008661D2" w:rsidRPr="00AB0C55">
        <w:t xml:space="preserve">60(10) </w:t>
      </w:r>
      <w:r w:rsidRPr="00AB0C55">
        <w:t xml:space="preserve">of the </w:t>
      </w:r>
      <w:r w:rsidRPr="00551400">
        <w:rPr>
          <w:i/>
        </w:rPr>
        <w:t>Radiocommunications Act</w:t>
      </w:r>
      <w:r w:rsidRPr="00AB0C55">
        <w:t>;</w:t>
      </w:r>
    </w:p>
    <w:p w14:paraId="7510A1EE" w14:textId="77777777" w:rsidR="008661D2" w:rsidRDefault="00CB4932" w:rsidP="00CB4932">
      <w:pPr>
        <w:pStyle w:val="paragraph"/>
      </w:pPr>
      <w:r w:rsidRPr="00AB0C55">
        <w:tab/>
        <w:t>(</w:t>
      </w:r>
      <w:r w:rsidR="000B6D4C">
        <w:t>b</w:t>
      </w:r>
      <w:r w:rsidRPr="00AB0C55">
        <w:t>)</w:t>
      </w:r>
      <w:r w:rsidRPr="00AB0C55">
        <w:tab/>
      </w:r>
      <w:proofErr w:type="gramStart"/>
      <w:r w:rsidRPr="00AB0C55">
        <w:t>subsection</w:t>
      </w:r>
      <w:proofErr w:type="gramEnd"/>
      <w:r w:rsidRPr="00AB0C55">
        <w:t xml:space="preserve"> </w:t>
      </w:r>
      <w:r w:rsidR="00F037D4" w:rsidRPr="00AB0C55">
        <w:t>294(</w:t>
      </w:r>
      <w:r w:rsidRPr="00AB0C55">
        <w:t>2</w:t>
      </w:r>
      <w:r w:rsidR="00F037D4" w:rsidRPr="00AB0C55">
        <w:t xml:space="preserve">) </w:t>
      </w:r>
      <w:r w:rsidR="008661D2" w:rsidRPr="00AB0C55">
        <w:t xml:space="preserve">of the </w:t>
      </w:r>
      <w:r w:rsidR="008661D2" w:rsidRPr="00551400">
        <w:rPr>
          <w:i/>
        </w:rPr>
        <w:t>Radiocommunications Act</w:t>
      </w:r>
      <w:r w:rsidR="000B6D4C">
        <w:t>; and</w:t>
      </w:r>
    </w:p>
    <w:p w14:paraId="6F1A4885" w14:textId="77777777" w:rsidR="000B6D4C" w:rsidRPr="00AB0C55" w:rsidRDefault="000B6D4C" w:rsidP="000B6D4C">
      <w:pPr>
        <w:pStyle w:val="paragraph"/>
      </w:pPr>
      <w:r w:rsidRPr="00AB0C55">
        <w:tab/>
        <w:t>(</w:t>
      </w:r>
      <w:r>
        <w:t>c</w:t>
      </w:r>
      <w:r w:rsidRPr="00AB0C55">
        <w:t>)</w:t>
      </w:r>
      <w:r w:rsidRPr="00AB0C55">
        <w:tab/>
      </w:r>
      <w:proofErr w:type="gramStart"/>
      <w:r w:rsidRPr="00AB0C55">
        <w:t>subsection</w:t>
      </w:r>
      <w:proofErr w:type="gramEnd"/>
      <w:r w:rsidRPr="00AB0C55">
        <w:t> 14(1) of the ACMA Act</w:t>
      </w:r>
      <w:r>
        <w:t>.</w:t>
      </w:r>
    </w:p>
    <w:p w14:paraId="5E5D07E8" w14:textId="77777777" w:rsidR="00275065" w:rsidRPr="00AB0C55" w:rsidRDefault="00592EBD" w:rsidP="00226D36">
      <w:pPr>
        <w:pStyle w:val="Heading2"/>
      </w:pPr>
      <w:proofErr w:type="gramStart"/>
      <w:r w:rsidRPr="00AB0C55">
        <w:rPr>
          <w:rStyle w:val="CharSectno"/>
        </w:rPr>
        <w:t>4</w:t>
      </w:r>
      <w:r w:rsidR="00521C09" w:rsidRPr="00AB0C55">
        <w:t xml:space="preserve">  </w:t>
      </w:r>
      <w:bookmarkEnd w:id="12"/>
      <w:bookmarkEnd w:id="13"/>
      <w:bookmarkEnd w:id="14"/>
      <w:bookmarkEnd w:id="15"/>
      <w:bookmarkEnd w:id="16"/>
      <w:r w:rsidR="00A3517E" w:rsidRPr="00AB0C55">
        <w:t>Interpretation</w:t>
      </w:r>
      <w:proofErr w:type="gramEnd"/>
    </w:p>
    <w:p w14:paraId="32053735" w14:textId="77777777" w:rsidR="000C5AE2" w:rsidRPr="00AB0C55" w:rsidRDefault="000C5AE2" w:rsidP="00521C09">
      <w:pPr>
        <w:pStyle w:val="subsection"/>
      </w:pPr>
      <w:r w:rsidRPr="00AB0C55">
        <w:tab/>
      </w:r>
      <w:r w:rsidR="00A3517E" w:rsidRPr="00AB0C55">
        <w:t>(1)</w:t>
      </w:r>
      <w:r w:rsidRPr="00AB0C55">
        <w:tab/>
        <w:t xml:space="preserve">In this </w:t>
      </w:r>
      <w:r w:rsidR="006D2642" w:rsidRPr="00AB0C55">
        <w:t>instrument</w:t>
      </w:r>
      <w:r w:rsidRPr="00AB0C55">
        <w:t>:</w:t>
      </w:r>
    </w:p>
    <w:p w14:paraId="0D23C3A0" w14:textId="77777777" w:rsidR="00506262" w:rsidRPr="00621EFF" w:rsidRDefault="00506262" w:rsidP="00506262">
      <w:pPr>
        <w:pStyle w:val="Definition"/>
        <w:rPr>
          <w:b/>
          <w:i/>
        </w:rPr>
      </w:pPr>
      <w:r w:rsidRPr="00621EFF">
        <w:rPr>
          <w:b/>
          <w:i/>
        </w:rPr>
        <w:t xml:space="preserve">ACMA </w:t>
      </w:r>
      <w:r w:rsidRPr="00621EFF">
        <w:t xml:space="preserve">means the </w:t>
      </w:r>
      <w:r w:rsidRPr="00256451">
        <w:t>Australian Communications and Media Authority.</w:t>
      </w:r>
    </w:p>
    <w:p w14:paraId="30147CA9" w14:textId="77777777" w:rsidR="00592EBD" w:rsidRPr="00256451" w:rsidRDefault="00592EBD" w:rsidP="00521C09">
      <w:pPr>
        <w:pStyle w:val="Definition"/>
        <w:rPr>
          <w:b/>
        </w:rPr>
      </w:pPr>
      <w:r w:rsidRPr="00AB0C55">
        <w:rPr>
          <w:b/>
          <w:i/>
        </w:rPr>
        <w:t>ACMA Act</w:t>
      </w:r>
      <w:r w:rsidRPr="00AB0C55">
        <w:t xml:space="preserve"> means</w:t>
      </w:r>
      <w:r w:rsidR="00A3517E" w:rsidRPr="00AB0C55">
        <w:t xml:space="preserve"> the</w:t>
      </w:r>
      <w:r w:rsidRPr="00AB0C55">
        <w:t xml:space="preserve"> </w:t>
      </w:r>
      <w:r w:rsidRPr="00AB0C55">
        <w:rPr>
          <w:i/>
        </w:rPr>
        <w:t>Australian Communications and Media Authority Act 2005</w:t>
      </w:r>
      <w:r w:rsidR="00BA41E0">
        <w:t>.</w:t>
      </w:r>
    </w:p>
    <w:p w14:paraId="1CFF2754" w14:textId="77777777" w:rsidR="00841659" w:rsidRPr="00AB0C55" w:rsidRDefault="00841659" w:rsidP="00841659">
      <w:pPr>
        <w:pStyle w:val="Definition"/>
      </w:pPr>
      <w:proofErr w:type="gramStart"/>
      <w:r w:rsidRPr="00AB0C55">
        <w:rPr>
          <w:b/>
          <w:i/>
        </w:rPr>
        <w:t>allocation</w:t>
      </w:r>
      <w:proofErr w:type="gramEnd"/>
      <w:r w:rsidRPr="00AB0C55">
        <w:rPr>
          <w:b/>
          <w:i/>
        </w:rPr>
        <w:t xml:space="preserve"> procedures </w:t>
      </w:r>
      <w:r w:rsidRPr="00AB0C55">
        <w:t xml:space="preserve">means </w:t>
      </w:r>
      <w:r w:rsidR="00610D64">
        <w:t xml:space="preserve">any </w:t>
      </w:r>
      <w:r w:rsidRPr="00AB0C55">
        <w:t xml:space="preserve">procedures determined by the ACMA under section 60 of the </w:t>
      </w:r>
      <w:r w:rsidRPr="00551400">
        <w:rPr>
          <w:i/>
        </w:rPr>
        <w:t>Radiocommunications Act</w:t>
      </w:r>
      <w:r w:rsidRPr="00AB0C55">
        <w:t>.</w:t>
      </w:r>
    </w:p>
    <w:p w14:paraId="03948362" w14:textId="77777777" w:rsidR="00DC03BB" w:rsidRDefault="00DC03BB" w:rsidP="00521C09">
      <w:pPr>
        <w:pStyle w:val="Definition"/>
      </w:pPr>
      <w:r>
        <w:rPr>
          <w:b/>
          <w:i/>
        </w:rPr>
        <w:t>charges determination</w:t>
      </w:r>
      <w:r>
        <w:t xml:space="preserve"> means </w:t>
      </w:r>
      <w:r w:rsidR="00610D64">
        <w:t xml:space="preserve">any </w:t>
      </w:r>
      <w:r>
        <w:t xml:space="preserve">determination made </w:t>
      </w:r>
      <w:r w:rsidR="00F11995">
        <w:t xml:space="preserve">by the ACMA </w:t>
      </w:r>
      <w:r>
        <w:t xml:space="preserve">under subsection 294(1) of the </w:t>
      </w:r>
      <w:r w:rsidRPr="00551400">
        <w:rPr>
          <w:i/>
        </w:rPr>
        <w:t>Radiocommunications Act</w:t>
      </w:r>
      <w:r>
        <w:t xml:space="preserve"> </w:t>
      </w:r>
      <w:r w:rsidR="00D51BF9">
        <w:t xml:space="preserve">fixing spectrum access charges payable by licensees for issuing spectrum licences in the </w:t>
      </w:r>
      <w:r>
        <w:t>residual 700</w:t>
      </w:r>
      <w:r w:rsidR="00F11995">
        <w:t> </w:t>
      </w:r>
      <w:r>
        <w:t>MHz band one</w:t>
      </w:r>
      <w:r w:rsidR="00ED573F">
        <w:t xml:space="preserve"> in the </w:t>
      </w:r>
      <w:r w:rsidR="00506262">
        <w:t xml:space="preserve">designated </w:t>
      </w:r>
      <w:r w:rsidR="00ED573F">
        <w:t>area</w:t>
      </w:r>
      <w:r w:rsidR="00A7128E">
        <w:t>, and specifying the times when spectrum access charges are payable</w:t>
      </w:r>
      <w:r>
        <w:t>.</w:t>
      </w:r>
    </w:p>
    <w:p w14:paraId="7380ED1D" w14:textId="77777777" w:rsidR="00506262" w:rsidRPr="00E50E49" w:rsidRDefault="00506262" w:rsidP="00506262">
      <w:pPr>
        <w:pStyle w:val="Definition"/>
        <w:rPr>
          <w:b/>
          <w:i/>
          <w:szCs w:val="22"/>
        </w:rPr>
      </w:pPr>
      <w:proofErr w:type="gramStart"/>
      <w:r w:rsidRPr="00E96DE8">
        <w:rPr>
          <w:b/>
          <w:bCs/>
          <w:i/>
          <w:iCs/>
          <w:szCs w:val="22"/>
        </w:rPr>
        <w:lastRenderedPageBreak/>
        <w:t>designated</w:t>
      </w:r>
      <w:proofErr w:type="gramEnd"/>
      <w:r w:rsidRPr="00E96DE8">
        <w:rPr>
          <w:b/>
          <w:bCs/>
          <w:i/>
          <w:iCs/>
          <w:szCs w:val="22"/>
        </w:rPr>
        <w:t xml:space="preserve"> area </w:t>
      </w:r>
      <w:r w:rsidRPr="00E96DE8">
        <w:rPr>
          <w:szCs w:val="22"/>
        </w:rPr>
        <w:t>means the area to which the re-allocation declaration applies, as described in subsection 4(2) of the re-allocation declaration.</w:t>
      </w:r>
      <w:r w:rsidRPr="00E50E49">
        <w:rPr>
          <w:b/>
          <w:i/>
          <w:szCs w:val="22"/>
        </w:rPr>
        <w:t xml:space="preserve"> </w:t>
      </w:r>
    </w:p>
    <w:p w14:paraId="34155950" w14:textId="77777777" w:rsidR="00F656B1" w:rsidRDefault="00F656B1" w:rsidP="00F656B1">
      <w:pPr>
        <w:pStyle w:val="Definition"/>
      </w:pPr>
      <w:proofErr w:type="gramStart"/>
      <w:r>
        <w:rPr>
          <w:b/>
          <w:i/>
        </w:rPr>
        <w:t>licence</w:t>
      </w:r>
      <w:proofErr w:type="gramEnd"/>
      <w:r>
        <w:rPr>
          <w:b/>
          <w:i/>
        </w:rPr>
        <w:t xml:space="preserve"> area</w:t>
      </w:r>
      <w:r>
        <w:t xml:space="preserve"> means the area or aggregate of areas within which operation of radiocommunications is authorised by a spectrum licence.</w:t>
      </w:r>
    </w:p>
    <w:p w14:paraId="32101B91" w14:textId="77777777" w:rsidR="007151D9" w:rsidRPr="007151D9" w:rsidRDefault="007151D9" w:rsidP="00F656B1">
      <w:pPr>
        <w:pStyle w:val="Definition"/>
      </w:pPr>
      <w:proofErr w:type="gramStart"/>
      <w:r>
        <w:rPr>
          <w:b/>
          <w:i/>
        </w:rPr>
        <w:t>licence</w:t>
      </w:r>
      <w:proofErr w:type="gramEnd"/>
      <w:r>
        <w:rPr>
          <w:b/>
          <w:i/>
        </w:rPr>
        <w:t xml:space="preserve"> period</w:t>
      </w:r>
      <w:r>
        <w:t xml:space="preserve"> means the period </w:t>
      </w:r>
      <w:r w:rsidR="00630A45">
        <w:t xml:space="preserve">commencing </w:t>
      </w:r>
      <w:r>
        <w:t xml:space="preserve">1 April 2018 and </w:t>
      </w:r>
      <w:r w:rsidR="00630A45">
        <w:t xml:space="preserve">expiring on </w:t>
      </w:r>
      <w:r>
        <w:t>31 December 2029.</w:t>
      </w:r>
    </w:p>
    <w:p w14:paraId="2EFE6AC9" w14:textId="77777777" w:rsidR="00BA22C5" w:rsidRPr="00AB0C55" w:rsidRDefault="00BA22C5" w:rsidP="00521C09">
      <w:pPr>
        <w:pStyle w:val="Definition"/>
      </w:pPr>
      <w:proofErr w:type="gramStart"/>
      <w:r w:rsidRPr="00AB0C55">
        <w:rPr>
          <w:b/>
          <w:i/>
        </w:rPr>
        <w:t>marketing</w:t>
      </w:r>
      <w:proofErr w:type="gramEnd"/>
      <w:r w:rsidRPr="00AB0C55">
        <w:rPr>
          <w:b/>
          <w:i/>
        </w:rPr>
        <w:t xml:space="preserve"> plan</w:t>
      </w:r>
      <w:r w:rsidRPr="00AB0C55">
        <w:t xml:space="preserve"> means a plan made</w:t>
      </w:r>
      <w:r w:rsidR="0016297F">
        <w:t xml:space="preserve"> by the ACMA</w:t>
      </w:r>
      <w:r w:rsidRPr="00AB0C55">
        <w:t xml:space="preserve"> under section 39A of the </w:t>
      </w:r>
      <w:r w:rsidRPr="00551400">
        <w:rPr>
          <w:i/>
        </w:rPr>
        <w:t>Radiocommunications Act</w:t>
      </w:r>
      <w:r w:rsidR="007A5883" w:rsidRPr="00AB0C55">
        <w:t xml:space="preserve"> in accordance with the re</w:t>
      </w:r>
      <w:r w:rsidR="007A5883" w:rsidRPr="00AB0C55">
        <w:noBreakHyphen/>
        <w:t>allocation declaration</w:t>
      </w:r>
      <w:r w:rsidRPr="00AB0C55">
        <w:t>.</w:t>
      </w:r>
    </w:p>
    <w:p w14:paraId="71536414" w14:textId="77777777" w:rsidR="006D2642" w:rsidRPr="00AB0C55" w:rsidRDefault="00592EBD" w:rsidP="00521C09">
      <w:pPr>
        <w:pStyle w:val="Definition"/>
      </w:pPr>
      <w:r w:rsidRPr="00AB0C55">
        <w:rPr>
          <w:b/>
          <w:i/>
        </w:rPr>
        <w:t xml:space="preserve">Radiocommunications </w:t>
      </w:r>
      <w:r w:rsidR="006D2642" w:rsidRPr="00AB0C55">
        <w:rPr>
          <w:b/>
          <w:i/>
        </w:rPr>
        <w:t>Act</w:t>
      </w:r>
      <w:r w:rsidR="006D2642" w:rsidRPr="00AB0C55">
        <w:t xml:space="preserve"> means</w:t>
      </w:r>
      <w:r w:rsidR="00A3517E" w:rsidRPr="00AB0C55">
        <w:t xml:space="preserve"> the</w:t>
      </w:r>
      <w:r w:rsidR="006D2642" w:rsidRPr="00AB0C55">
        <w:t xml:space="preserve"> </w:t>
      </w:r>
      <w:r w:rsidRPr="00AB0C55">
        <w:rPr>
          <w:i/>
        </w:rPr>
        <w:t>Radiocommunications Act 1992</w:t>
      </w:r>
      <w:r w:rsidR="006D2642" w:rsidRPr="00AB0C55">
        <w:t>.</w:t>
      </w:r>
    </w:p>
    <w:p w14:paraId="273342E9" w14:textId="77777777" w:rsidR="007A5883" w:rsidRPr="00AB0C55" w:rsidRDefault="007A5883" w:rsidP="00521C09">
      <w:pPr>
        <w:pStyle w:val="Definition"/>
      </w:pPr>
      <w:proofErr w:type="gramStart"/>
      <w:r w:rsidRPr="00AB0C55">
        <w:rPr>
          <w:b/>
          <w:i/>
        </w:rPr>
        <w:t>re-allocation</w:t>
      </w:r>
      <w:proofErr w:type="gramEnd"/>
      <w:r w:rsidRPr="00AB0C55">
        <w:rPr>
          <w:b/>
          <w:i/>
        </w:rPr>
        <w:t xml:space="preserve"> declaration</w:t>
      </w:r>
      <w:r w:rsidRPr="00AB0C55">
        <w:t xml:space="preserve"> means the </w:t>
      </w:r>
      <w:r w:rsidRPr="00AB0C55">
        <w:rPr>
          <w:i/>
        </w:rPr>
        <w:t>Radiocommunications (Spectrum Re-allocation) Declaration No. 1 of 2011</w:t>
      </w:r>
      <w:r w:rsidRPr="00AB0C55">
        <w:t>.</w:t>
      </w:r>
    </w:p>
    <w:p w14:paraId="749AB0FE" w14:textId="77777777" w:rsidR="001E2492" w:rsidRPr="00AB0C55" w:rsidRDefault="001E2492" w:rsidP="00521C09">
      <w:pPr>
        <w:pStyle w:val="Definition"/>
      </w:pPr>
      <w:proofErr w:type="gramStart"/>
      <w:r w:rsidRPr="00AB0C55">
        <w:rPr>
          <w:b/>
          <w:i/>
        </w:rPr>
        <w:t>residual</w:t>
      </w:r>
      <w:proofErr w:type="gramEnd"/>
      <w:r w:rsidRPr="00AB0C55">
        <w:rPr>
          <w:b/>
          <w:i/>
        </w:rPr>
        <w:t xml:space="preserve"> 700 MHz band one</w:t>
      </w:r>
      <w:r w:rsidRPr="00AB0C55">
        <w:t xml:space="preserve"> means the following parts of the spectrum:</w:t>
      </w:r>
    </w:p>
    <w:p w14:paraId="6D8503FF" w14:textId="77777777" w:rsidR="001E2492" w:rsidRPr="00AB0C55" w:rsidRDefault="001E2492" w:rsidP="001E2492">
      <w:pPr>
        <w:pStyle w:val="paragraph"/>
      </w:pPr>
      <w:r w:rsidRPr="00AB0C55">
        <w:tab/>
        <w:t>(a)</w:t>
      </w:r>
      <w:r w:rsidRPr="00AB0C55">
        <w:tab/>
      </w:r>
      <w:r w:rsidR="00A3517E" w:rsidRPr="00AB0C55">
        <w:t>73</w:t>
      </w:r>
      <w:r w:rsidR="00841659" w:rsidRPr="00AB0C55">
        <w:t>8</w:t>
      </w:r>
      <w:r w:rsidR="00A3517E" w:rsidRPr="00AB0C55">
        <w:t xml:space="preserve"> MHz to 74</w:t>
      </w:r>
      <w:r w:rsidR="00841659" w:rsidRPr="00AB0C55">
        <w:t>8</w:t>
      </w:r>
      <w:r w:rsidR="00A3517E" w:rsidRPr="00AB0C55">
        <w:t xml:space="preserve"> MHz; and</w:t>
      </w:r>
    </w:p>
    <w:p w14:paraId="22F73411" w14:textId="77777777" w:rsidR="00A3517E" w:rsidRPr="00AB0C55" w:rsidRDefault="00A3517E" w:rsidP="001E2492">
      <w:pPr>
        <w:pStyle w:val="paragraph"/>
      </w:pPr>
      <w:r w:rsidRPr="00AB0C55">
        <w:tab/>
        <w:t>(b)</w:t>
      </w:r>
      <w:r w:rsidRPr="00AB0C55">
        <w:tab/>
        <w:t>7</w:t>
      </w:r>
      <w:r w:rsidR="00841659" w:rsidRPr="00AB0C55">
        <w:t>93</w:t>
      </w:r>
      <w:r w:rsidRPr="00AB0C55">
        <w:t xml:space="preserve"> MHz to </w:t>
      </w:r>
      <w:r w:rsidR="00841659" w:rsidRPr="00AB0C55">
        <w:t>803</w:t>
      </w:r>
      <w:r w:rsidRPr="00AB0C55">
        <w:t xml:space="preserve"> </w:t>
      </w:r>
      <w:proofErr w:type="spellStart"/>
      <w:r w:rsidRPr="00AB0C55">
        <w:t>MHz.</w:t>
      </w:r>
      <w:proofErr w:type="spellEnd"/>
    </w:p>
    <w:p w14:paraId="75C15CF0" w14:textId="77777777" w:rsidR="00F037D4" w:rsidRPr="00AB0C55" w:rsidRDefault="00F037D4" w:rsidP="00521C09">
      <w:pPr>
        <w:pStyle w:val="Definition"/>
      </w:pPr>
      <w:r w:rsidRPr="00615F66">
        <w:rPr>
          <w:b/>
          <w:i/>
        </w:rPr>
        <w:t>VHA</w:t>
      </w:r>
      <w:r w:rsidRPr="00615F66">
        <w:t xml:space="preserve"> means</w:t>
      </w:r>
      <w:r w:rsidR="00615F66" w:rsidRPr="00615F66">
        <w:t xml:space="preserve"> Vodafone Hutchison Australia Pty Limited (ACN 096 304 620), as the company exists from time to time (even if its name is later changed)</w:t>
      </w:r>
      <w:r w:rsidRPr="00615F66">
        <w:t>.</w:t>
      </w:r>
    </w:p>
    <w:p w14:paraId="1617511C" w14:textId="77777777" w:rsidR="00F44A78" w:rsidRPr="00AB0C55" w:rsidRDefault="00F44A78" w:rsidP="00F44A78">
      <w:pPr>
        <w:pStyle w:val="subsection"/>
      </w:pPr>
      <w:bookmarkStart w:id="17" w:name="_Toc418165046"/>
      <w:r w:rsidRPr="00AB0C55">
        <w:tab/>
        <w:t>(2)</w:t>
      </w:r>
      <w:r w:rsidRPr="00AB0C55">
        <w:tab/>
        <w:t>In this instrument</w:t>
      </w:r>
      <w:r w:rsidR="00977DF9" w:rsidRPr="00AB0C55">
        <w:t>, a reference to a part of the spectrum includes all frequencies that are greater than the lower frequency, up to and including the higher frequency.</w:t>
      </w:r>
    </w:p>
    <w:p w14:paraId="178F64A2" w14:textId="77777777" w:rsidR="00977DF9" w:rsidRDefault="00977DF9" w:rsidP="00977DF9">
      <w:pPr>
        <w:pStyle w:val="notetext"/>
      </w:pPr>
      <w:r w:rsidRPr="00AB0C55">
        <w:t>Note:</w:t>
      </w:r>
      <w:r w:rsidRPr="00AB0C55">
        <w:tab/>
        <w:t>This means the lower number in the reference to a part of the spectrum is not included in the part of the spectrum.</w:t>
      </w:r>
    </w:p>
    <w:p w14:paraId="73145CEF" w14:textId="77777777" w:rsidR="00C46D95" w:rsidRDefault="00C46D95" w:rsidP="00551400">
      <w:pPr>
        <w:pStyle w:val="subsection"/>
        <w:keepNext/>
        <w:keepLines/>
        <w:spacing w:before="0"/>
      </w:pPr>
      <w:r>
        <w:tab/>
        <w:t>(3)</w:t>
      </w:r>
      <w:r>
        <w:tab/>
        <w:t xml:space="preserve">In this instrument, a </w:t>
      </w:r>
      <w:r w:rsidR="00B0411D">
        <w:t>figure expressed as</w:t>
      </w:r>
      <w:r>
        <w:t xml:space="preserve"> </w:t>
      </w:r>
      <w:r w:rsidR="00B0411D">
        <w:t xml:space="preserve">$/MHz/pop means a unit amount to be applied by the ACMA in </w:t>
      </w:r>
      <w:r w:rsidR="007151D9">
        <w:t xml:space="preserve">fixing </w:t>
      </w:r>
      <w:r w:rsidR="00B0411D">
        <w:t>the spectrum access charges payable by a licensee in relation to a spectrum licence, where:</w:t>
      </w:r>
    </w:p>
    <w:p w14:paraId="6F3E44F7" w14:textId="77777777" w:rsidR="00B0411D" w:rsidRDefault="00B0411D" w:rsidP="00551400">
      <w:pPr>
        <w:pStyle w:val="paragraph"/>
        <w:keepNext/>
        <w:keepLines/>
      </w:pPr>
      <w:r>
        <w:tab/>
        <w:t>(a)</w:t>
      </w:r>
      <w:r>
        <w:tab/>
        <w:t>$ = Australian dollars; and</w:t>
      </w:r>
    </w:p>
    <w:p w14:paraId="42E8B995" w14:textId="77777777" w:rsidR="00B0411D" w:rsidRDefault="00B0411D" w:rsidP="00551400">
      <w:pPr>
        <w:pStyle w:val="paragraph"/>
        <w:keepNext/>
        <w:keepLines/>
      </w:pPr>
      <w:r>
        <w:tab/>
        <w:t>(b)</w:t>
      </w:r>
      <w:r>
        <w:tab/>
        <w:t>MHz = the bandwidth of spectrum authorised for use in the licence area by the spectrum licence; and</w:t>
      </w:r>
    </w:p>
    <w:p w14:paraId="75245AB9" w14:textId="77777777" w:rsidR="00A200C9" w:rsidRDefault="00B0411D" w:rsidP="00551400">
      <w:pPr>
        <w:pStyle w:val="paragraph"/>
        <w:keepNext/>
        <w:keepLines/>
        <w:rPr>
          <w:szCs w:val="22"/>
        </w:rPr>
      </w:pPr>
      <w:r>
        <w:tab/>
        <w:t>(c)</w:t>
      </w:r>
      <w:r>
        <w:tab/>
      </w:r>
      <w:proofErr w:type="gramStart"/>
      <w:r>
        <w:t>pop</w:t>
      </w:r>
      <w:proofErr w:type="gramEnd"/>
      <w:r>
        <w:t xml:space="preserve"> = </w:t>
      </w:r>
      <w:r w:rsidR="00A200C9">
        <w:rPr>
          <w:szCs w:val="22"/>
        </w:rPr>
        <w:t>22,872,578</w:t>
      </w:r>
      <w:r w:rsidR="008F5629">
        <w:rPr>
          <w:szCs w:val="22"/>
        </w:rPr>
        <w:t>.</w:t>
      </w:r>
    </w:p>
    <w:p w14:paraId="793DD99E" w14:textId="77777777" w:rsidR="008F5629" w:rsidRPr="008F5629" w:rsidRDefault="008F5629" w:rsidP="00256451">
      <w:pPr>
        <w:pStyle w:val="notetext"/>
      </w:pPr>
      <w:r>
        <w:t>Note:</w:t>
      </w:r>
      <w:r>
        <w:tab/>
        <w:t xml:space="preserve">This was the projected population determined by the ACMA when setting the initial price used for the previous allocation of spectrum licences in the 700 MHz band in 2013, in accordance with the </w:t>
      </w:r>
      <w:r>
        <w:rPr>
          <w:i/>
        </w:rPr>
        <w:t>Australian Communications and Media Authority (Allocation Procedures – Reserve Prices) Direction No. 2 of 2012</w:t>
      </w:r>
      <w:r>
        <w:t>.</w:t>
      </w:r>
    </w:p>
    <w:p w14:paraId="28BE58BB" w14:textId="77777777" w:rsidR="00FE1E53" w:rsidRPr="00AB0C55" w:rsidRDefault="00687F22" w:rsidP="00551400">
      <w:pPr>
        <w:pStyle w:val="Heading2"/>
        <w:spacing w:before="200"/>
      </w:pPr>
      <w:proofErr w:type="gramStart"/>
      <w:r w:rsidRPr="00AB0C55">
        <w:rPr>
          <w:rStyle w:val="CharSectno"/>
        </w:rPr>
        <w:t>5</w:t>
      </w:r>
      <w:r w:rsidR="00FE1E53" w:rsidRPr="00AB0C55">
        <w:t xml:space="preserve">  </w:t>
      </w:r>
      <w:r w:rsidR="00841659" w:rsidRPr="00AB0C55">
        <w:t>Revocation</w:t>
      </w:r>
      <w:proofErr w:type="gramEnd"/>
    </w:p>
    <w:p w14:paraId="295EB4A2" w14:textId="77777777" w:rsidR="00FE1E53" w:rsidRPr="00AB0C55" w:rsidRDefault="00FE1E53" w:rsidP="00FE1E53">
      <w:pPr>
        <w:pStyle w:val="subsection"/>
      </w:pPr>
      <w:r w:rsidRPr="00AB0C55">
        <w:tab/>
      </w:r>
      <w:r w:rsidRPr="00AB0C55">
        <w:tab/>
        <w:t xml:space="preserve">The following instruments are </w:t>
      </w:r>
      <w:r w:rsidR="00841659" w:rsidRPr="00AB0C55">
        <w:t>revoked</w:t>
      </w:r>
      <w:r w:rsidRPr="00AB0C55">
        <w:t>:</w:t>
      </w:r>
    </w:p>
    <w:p w14:paraId="31447542" w14:textId="77777777" w:rsidR="00FE1E53" w:rsidRPr="00AB0C55" w:rsidRDefault="00FE1E53" w:rsidP="00FE1E53">
      <w:pPr>
        <w:pStyle w:val="paragraph"/>
      </w:pPr>
      <w:r w:rsidRPr="00AB0C55">
        <w:tab/>
        <w:t>(a)</w:t>
      </w:r>
      <w:r w:rsidRPr="00AB0C55">
        <w:tab/>
      </w:r>
      <w:r w:rsidRPr="00AB0C55">
        <w:rPr>
          <w:i/>
        </w:rPr>
        <w:t>Radiocommunications (Spectrum Licence Limits) Direction No. 1 of 2012</w:t>
      </w:r>
      <w:r w:rsidRPr="00AB0C55">
        <w:t>; and</w:t>
      </w:r>
    </w:p>
    <w:p w14:paraId="2A53269E" w14:textId="77777777" w:rsidR="00FE1E53" w:rsidRPr="00AB0C55" w:rsidRDefault="00FE1E53" w:rsidP="00FE1E53">
      <w:pPr>
        <w:pStyle w:val="paragraph"/>
      </w:pPr>
      <w:r w:rsidRPr="00AB0C55">
        <w:tab/>
        <w:t>(b)</w:t>
      </w:r>
      <w:r w:rsidRPr="00AB0C55">
        <w:tab/>
      </w:r>
      <w:r w:rsidRPr="00AB0C55">
        <w:rPr>
          <w:i/>
        </w:rPr>
        <w:t>Radiocommunications (Spectrum Access Charges – 700 MHz Band) Direction No. 1 of 2013</w:t>
      </w:r>
      <w:r w:rsidR="00026EEB" w:rsidRPr="00AB0C55">
        <w:t>.</w:t>
      </w:r>
    </w:p>
    <w:p w14:paraId="1BDA8C31" w14:textId="77777777" w:rsidR="00FE1E53" w:rsidRPr="00AB0C55" w:rsidRDefault="00FE1E53" w:rsidP="00FE1E53">
      <w:pPr>
        <w:pStyle w:val="notetext"/>
      </w:pPr>
      <w:r w:rsidRPr="00AB0C55">
        <w:t>Note:</w:t>
      </w:r>
      <w:r w:rsidRPr="00AB0C55">
        <w:tab/>
        <w:t xml:space="preserve">The </w:t>
      </w:r>
      <w:r w:rsidRPr="00AB0C55">
        <w:rPr>
          <w:i/>
        </w:rPr>
        <w:t>Radiocommunications (Spectrum Access Charges – 700 MHz Band) Direction No. 1 of 2013</w:t>
      </w:r>
      <w:r w:rsidRPr="00AB0C55">
        <w:t xml:space="preserve"> is not a legislative instrument.</w:t>
      </w:r>
    </w:p>
    <w:p w14:paraId="2A40F225" w14:textId="77777777" w:rsidR="00841659" w:rsidRPr="00AB0C55" w:rsidRDefault="006212FA" w:rsidP="00551400">
      <w:pPr>
        <w:pStyle w:val="Heading2"/>
        <w:spacing w:before="200"/>
      </w:pPr>
      <w:bookmarkStart w:id="18" w:name="_Toc418165039"/>
      <w:proofErr w:type="gramStart"/>
      <w:r w:rsidRPr="00AB0C55">
        <w:rPr>
          <w:rStyle w:val="CharSectno"/>
        </w:rPr>
        <w:t>6</w:t>
      </w:r>
      <w:r w:rsidR="00841659" w:rsidRPr="00AB0C55">
        <w:t xml:space="preserve">  Direction</w:t>
      </w:r>
      <w:proofErr w:type="gramEnd"/>
      <w:r w:rsidR="00841659" w:rsidRPr="00AB0C55">
        <w:t>—</w:t>
      </w:r>
      <w:r w:rsidR="00E814FF" w:rsidRPr="00AB0C55">
        <w:t>a</w:t>
      </w:r>
      <w:r w:rsidR="00841659" w:rsidRPr="00AB0C55">
        <w:t xml:space="preserve">llocation </w:t>
      </w:r>
      <w:r w:rsidR="00E814FF" w:rsidRPr="00AB0C55">
        <w:t>l</w:t>
      </w:r>
      <w:r w:rsidR="00841659" w:rsidRPr="00AB0C55">
        <w:t>imits</w:t>
      </w:r>
    </w:p>
    <w:p w14:paraId="18962DB7" w14:textId="77777777" w:rsidR="00841659" w:rsidRPr="00AB0C55" w:rsidRDefault="00841659" w:rsidP="00841659">
      <w:pPr>
        <w:pStyle w:val="subsection"/>
      </w:pPr>
      <w:r w:rsidRPr="00AB0C55">
        <w:tab/>
        <w:t>(1)</w:t>
      </w:r>
      <w:r w:rsidRPr="00AB0C55">
        <w:tab/>
        <w:t xml:space="preserve">This direction is given to the ACMA under subsection 60(10) of the </w:t>
      </w:r>
      <w:r w:rsidRPr="00551400">
        <w:rPr>
          <w:i/>
        </w:rPr>
        <w:t>Radiocommunications Act</w:t>
      </w:r>
      <w:r w:rsidRPr="00AB0C55">
        <w:t>.</w:t>
      </w:r>
    </w:p>
    <w:p w14:paraId="546488C4" w14:textId="77777777" w:rsidR="00841659" w:rsidRDefault="00841659" w:rsidP="00841659">
      <w:pPr>
        <w:pStyle w:val="subsection"/>
      </w:pPr>
      <w:r w:rsidRPr="00AB0C55">
        <w:tab/>
        <w:t>(</w:t>
      </w:r>
      <w:r w:rsidR="009E4CE2" w:rsidRPr="00AB0C55">
        <w:t>2</w:t>
      </w:r>
      <w:r w:rsidRPr="00AB0C55">
        <w:t>)</w:t>
      </w:r>
      <w:r w:rsidRPr="00AB0C55">
        <w:tab/>
        <w:t xml:space="preserve">I direct the ACMA to determine </w:t>
      </w:r>
      <w:r w:rsidR="00C46D95">
        <w:t xml:space="preserve">allocation </w:t>
      </w:r>
      <w:r w:rsidRPr="00AB0C55">
        <w:t xml:space="preserve">procedures </w:t>
      </w:r>
      <w:r w:rsidR="00C46D95">
        <w:t xml:space="preserve">that impose </w:t>
      </w:r>
      <w:r w:rsidRPr="00AB0C55">
        <w:t xml:space="preserve">limits </w:t>
      </w:r>
      <w:r w:rsidR="00C46D95">
        <w:t xml:space="preserve">that ensure that, </w:t>
      </w:r>
      <w:r w:rsidRPr="00AB0C55">
        <w:t xml:space="preserve">as a result of the allocation of spectrum licences under Subdivision B of </w:t>
      </w:r>
      <w:r w:rsidR="00C46D95">
        <w:t xml:space="preserve">Division 1 of </w:t>
      </w:r>
      <w:r w:rsidRPr="00AB0C55">
        <w:t xml:space="preserve">Part 3.2 of the </w:t>
      </w:r>
      <w:r w:rsidR="00DC03BB" w:rsidRPr="00551400">
        <w:rPr>
          <w:i/>
        </w:rPr>
        <w:t xml:space="preserve">Radiocommunications </w:t>
      </w:r>
      <w:r w:rsidRPr="00551400">
        <w:rPr>
          <w:i/>
        </w:rPr>
        <w:t>Act</w:t>
      </w:r>
      <w:r w:rsidRPr="00AB0C55">
        <w:t xml:space="preserve">, each of the following persons or </w:t>
      </w:r>
      <w:r w:rsidR="00577F5C" w:rsidRPr="00A63B89">
        <w:t>groups</w:t>
      </w:r>
      <w:r w:rsidRPr="00AB0C55">
        <w:t xml:space="preserve"> of persons</w:t>
      </w:r>
      <w:r w:rsidR="0016297F">
        <w:t xml:space="preserve"> </w:t>
      </w:r>
      <w:r w:rsidR="00C46D95">
        <w:t xml:space="preserve">may use no more than the specified amount of each of the parts of the spectrum in </w:t>
      </w:r>
      <w:r w:rsidR="0016297F" w:rsidRPr="00AB0C55">
        <w:t xml:space="preserve">residual 700 MHz band one in the </w:t>
      </w:r>
      <w:r w:rsidR="00506262">
        <w:t>designated</w:t>
      </w:r>
      <w:r w:rsidR="00506262" w:rsidRPr="00AB0C55">
        <w:t xml:space="preserve"> </w:t>
      </w:r>
      <w:r w:rsidR="0016297F" w:rsidRPr="00AB0C55">
        <w:t>area</w:t>
      </w:r>
      <w:r w:rsidR="0016297F">
        <w:t>:</w:t>
      </w:r>
    </w:p>
    <w:p w14:paraId="2FDFA564" w14:textId="77777777" w:rsidR="00841659" w:rsidRPr="00AB0C55" w:rsidRDefault="00841659" w:rsidP="0016297F">
      <w:pPr>
        <w:pStyle w:val="paragraph"/>
      </w:pPr>
      <w:r w:rsidRPr="00AB0C55">
        <w:tab/>
        <w:t>(</w:t>
      </w:r>
      <w:r w:rsidR="0016297F">
        <w:t>a</w:t>
      </w:r>
      <w:r w:rsidRPr="00AB0C55">
        <w:t>)</w:t>
      </w:r>
      <w:r w:rsidRPr="00AB0C55">
        <w:tab/>
        <w:t>VHA</w:t>
      </w:r>
      <w:r w:rsidR="0016297F">
        <w:t>—1</w:t>
      </w:r>
      <w:r w:rsidRPr="00AB0C55">
        <w:t>0 MHz</w:t>
      </w:r>
      <w:r w:rsidR="000B6D4C">
        <w:t>; and</w:t>
      </w:r>
    </w:p>
    <w:p w14:paraId="31D8AD2B" w14:textId="77777777" w:rsidR="00841659" w:rsidRPr="00AB0C55" w:rsidRDefault="00841659" w:rsidP="0016297F">
      <w:pPr>
        <w:pStyle w:val="paragraph"/>
      </w:pPr>
      <w:r w:rsidRPr="00AB0C55">
        <w:tab/>
        <w:t>(</w:t>
      </w:r>
      <w:r w:rsidR="0016297F">
        <w:t>b</w:t>
      </w:r>
      <w:r w:rsidRPr="00AB0C55">
        <w:t>)</w:t>
      </w:r>
      <w:r w:rsidRPr="00AB0C55">
        <w:tab/>
      </w:r>
      <w:proofErr w:type="gramStart"/>
      <w:r w:rsidR="0016297F">
        <w:t>all</w:t>
      </w:r>
      <w:proofErr w:type="gramEnd"/>
      <w:r w:rsidR="0016297F">
        <w:t xml:space="preserve"> other persons—</w:t>
      </w:r>
      <w:r w:rsidRPr="00AB0C55">
        <w:t>nil.</w:t>
      </w:r>
    </w:p>
    <w:p w14:paraId="60781B2B" w14:textId="77777777" w:rsidR="00841659" w:rsidRPr="00AB0C55" w:rsidRDefault="006212FA" w:rsidP="00226D36">
      <w:pPr>
        <w:pStyle w:val="Heading2"/>
      </w:pPr>
      <w:bookmarkStart w:id="19" w:name="_Toc418067271"/>
      <w:bookmarkStart w:id="20" w:name="_Toc418067523"/>
      <w:bookmarkStart w:id="21" w:name="_Toc418067539"/>
      <w:bookmarkStart w:id="22" w:name="_Toc418067965"/>
      <w:bookmarkStart w:id="23" w:name="_Toc418165047"/>
      <w:proofErr w:type="gramStart"/>
      <w:r w:rsidRPr="00AB0C55">
        <w:rPr>
          <w:rStyle w:val="CharSectno"/>
        </w:rPr>
        <w:t>7</w:t>
      </w:r>
      <w:r w:rsidR="00841659" w:rsidRPr="00AB0C55">
        <w:t xml:space="preserve">  Direction</w:t>
      </w:r>
      <w:proofErr w:type="gramEnd"/>
      <w:r w:rsidR="00841659" w:rsidRPr="00AB0C55">
        <w:t>—</w:t>
      </w:r>
      <w:r w:rsidR="00E814FF" w:rsidRPr="00AB0C55">
        <w:t>s</w:t>
      </w:r>
      <w:r w:rsidR="009E4CE2" w:rsidRPr="00AB0C55">
        <w:t xml:space="preserve">pectrum </w:t>
      </w:r>
      <w:r w:rsidR="00E814FF" w:rsidRPr="00AB0C55">
        <w:t>a</w:t>
      </w:r>
      <w:r w:rsidR="009E4CE2" w:rsidRPr="00AB0C55">
        <w:t xml:space="preserve">ccess </w:t>
      </w:r>
      <w:r w:rsidR="00E814FF" w:rsidRPr="00AB0C55">
        <w:t>c</w:t>
      </w:r>
      <w:r w:rsidR="009E4CE2" w:rsidRPr="00AB0C55">
        <w:t>harges</w:t>
      </w:r>
    </w:p>
    <w:p w14:paraId="7AB72492" w14:textId="77777777" w:rsidR="00841659" w:rsidRPr="00AB0C55" w:rsidRDefault="00841659" w:rsidP="00841659">
      <w:pPr>
        <w:pStyle w:val="subsection"/>
      </w:pPr>
      <w:r w:rsidRPr="00AB0C55">
        <w:tab/>
        <w:t>(1)</w:t>
      </w:r>
      <w:r w:rsidRPr="00AB0C55">
        <w:tab/>
      </w:r>
      <w:r w:rsidR="009E4CE2" w:rsidRPr="00AB0C55">
        <w:t>These</w:t>
      </w:r>
      <w:r w:rsidRPr="00AB0C55">
        <w:t xml:space="preserve"> direction</w:t>
      </w:r>
      <w:r w:rsidR="009E4CE2" w:rsidRPr="00AB0C55">
        <w:t>s</w:t>
      </w:r>
      <w:r w:rsidRPr="00AB0C55">
        <w:t xml:space="preserve"> </w:t>
      </w:r>
      <w:r w:rsidR="009E4CE2" w:rsidRPr="00AB0C55">
        <w:t xml:space="preserve">are </w:t>
      </w:r>
      <w:r w:rsidRPr="00AB0C55">
        <w:t>given to the ACMA under subsection</w:t>
      </w:r>
      <w:r w:rsidR="008D52B6" w:rsidRPr="00AB0C55">
        <w:t> </w:t>
      </w:r>
      <w:r w:rsidR="007A5883" w:rsidRPr="00AB0C55">
        <w:t>294(2)</w:t>
      </w:r>
      <w:r w:rsidRPr="00AB0C55">
        <w:t xml:space="preserve"> of the </w:t>
      </w:r>
      <w:r w:rsidRPr="00551400">
        <w:rPr>
          <w:i/>
        </w:rPr>
        <w:t>Radiocommunications Act</w:t>
      </w:r>
      <w:r w:rsidRPr="00AB0C55">
        <w:t>.</w:t>
      </w:r>
    </w:p>
    <w:p w14:paraId="5F030114" w14:textId="77777777" w:rsidR="009E4CE2" w:rsidRPr="00AB0C55" w:rsidRDefault="009E4CE2" w:rsidP="009E4CE2">
      <w:pPr>
        <w:pStyle w:val="SubsectionHead"/>
      </w:pPr>
      <w:r w:rsidRPr="00AB0C55">
        <w:t>Minimum value of the spectrum</w:t>
      </w:r>
    </w:p>
    <w:p w14:paraId="114D48D7" w14:textId="77777777" w:rsidR="00841659" w:rsidRDefault="00841659" w:rsidP="00841659">
      <w:pPr>
        <w:pStyle w:val="subsection"/>
      </w:pPr>
      <w:r w:rsidRPr="00AB0C55">
        <w:tab/>
        <w:t>(</w:t>
      </w:r>
      <w:r w:rsidR="00C64D95" w:rsidRPr="00AB0C55">
        <w:t>2</w:t>
      </w:r>
      <w:r w:rsidRPr="00AB0C55">
        <w:t>)</w:t>
      </w:r>
      <w:r w:rsidRPr="00AB0C55">
        <w:tab/>
        <w:t xml:space="preserve">I direct the ACMA that the spectrum access charges fixed by it in </w:t>
      </w:r>
      <w:r w:rsidR="003F0084">
        <w:t xml:space="preserve">relation to residual 700 MHz band one in </w:t>
      </w:r>
      <w:r w:rsidRPr="00AB0C55">
        <w:t xml:space="preserve">any </w:t>
      </w:r>
      <w:r w:rsidR="00ED573F">
        <w:t>charges determination</w:t>
      </w:r>
      <w:r w:rsidRPr="00AB0C55">
        <w:t xml:space="preserve"> must reflect no less than the amount of </w:t>
      </w:r>
      <w:r w:rsidRPr="00256451">
        <w:t>$</w:t>
      </w:r>
      <w:r w:rsidR="007A5883" w:rsidRPr="00256451">
        <w:t>1.25/MHz/pop</w:t>
      </w:r>
      <w:r w:rsidRPr="00AB0C55">
        <w:t xml:space="preserve">, being the amount that I consider to be the minimum value of </w:t>
      </w:r>
      <w:r w:rsidR="00DD2111">
        <w:t xml:space="preserve">the spectrum in </w:t>
      </w:r>
      <w:r w:rsidR="008D52B6" w:rsidRPr="00AB0C55">
        <w:t>residual 700 MHz band one</w:t>
      </w:r>
      <w:r w:rsidR="004C54E3">
        <w:t xml:space="preserve"> </w:t>
      </w:r>
      <w:r w:rsidR="007151D9">
        <w:t>for the licence period</w:t>
      </w:r>
      <w:r w:rsidRPr="00AB0C55">
        <w:t>.</w:t>
      </w:r>
    </w:p>
    <w:p w14:paraId="13BBB4D2" w14:textId="347596B2" w:rsidR="00D01FBF" w:rsidRPr="00AB0C55" w:rsidRDefault="00D01FBF" w:rsidP="00256451">
      <w:pPr>
        <w:pStyle w:val="notetext"/>
      </w:pPr>
      <w:r>
        <w:t>Note:</w:t>
      </w:r>
      <w:r>
        <w:tab/>
      </w:r>
      <w:r w:rsidR="00435D63">
        <w:t>T</w:t>
      </w:r>
      <w:r w:rsidR="00256451">
        <w:t>he pre</w:t>
      </w:r>
      <w:r w:rsidR="00D15326">
        <w:noBreakHyphen/>
      </w:r>
      <w:r w:rsidR="00256451">
        <w:t xml:space="preserve">determined price </w:t>
      </w:r>
      <w:r w:rsidR="00D15326">
        <w:t xml:space="preserve">offered for allocation of the licence </w:t>
      </w:r>
      <w:r w:rsidR="00256451">
        <w:t xml:space="preserve">will </w:t>
      </w:r>
      <w:r w:rsidR="00435D63">
        <w:t>be determined in accordance with subsection 8(6)</w:t>
      </w:r>
      <w:r w:rsidR="00256451">
        <w:t>.</w:t>
      </w:r>
      <w:r w:rsidR="003E79DE">
        <w:t xml:space="preserve">  I</w:t>
      </w:r>
      <w:r w:rsidR="00C37122">
        <w:t>f payment is made by instalments</w:t>
      </w:r>
      <w:r w:rsidR="003E79DE">
        <w:t xml:space="preserve"> in accordance with subsection 8(6)</w:t>
      </w:r>
      <w:r w:rsidR="00C37122">
        <w:t>,</w:t>
      </w:r>
      <w:r w:rsidR="002A72C3">
        <w:t xml:space="preserve"> t</w:t>
      </w:r>
      <w:r>
        <w:t xml:space="preserve">he figure of $1.25/MHz/pop </w:t>
      </w:r>
      <w:r w:rsidR="00042001">
        <w:t>applies</w:t>
      </w:r>
      <w:r>
        <w:t xml:space="preserve"> after </w:t>
      </w:r>
      <w:r w:rsidR="002A72C3">
        <w:t>discounting the nominal amount of any deferred instalment to its value as at 31 January 2018</w:t>
      </w:r>
      <w:r w:rsidR="00E05C18">
        <w:t xml:space="preserve"> at a rate of 5% per annum</w:t>
      </w:r>
      <w:r w:rsidR="002A72C3">
        <w:t>.</w:t>
      </w:r>
    </w:p>
    <w:p w14:paraId="2314A9FE" w14:textId="77777777" w:rsidR="009E4CE2" w:rsidRPr="00AB0C55" w:rsidRDefault="009E4CE2" w:rsidP="009E4CE2">
      <w:pPr>
        <w:pStyle w:val="SubsectionHead"/>
      </w:pPr>
      <w:r w:rsidRPr="00AB0C55">
        <w:t>Payment in instalments</w:t>
      </w:r>
    </w:p>
    <w:p w14:paraId="6ACA4D9D" w14:textId="4BC3DC6E" w:rsidR="00841659" w:rsidRPr="00AB0C55" w:rsidRDefault="00841659" w:rsidP="00841659">
      <w:pPr>
        <w:pStyle w:val="subsection"/>
      </w:pPr>
      <w:r w:rsidRPr="00AB0C55">
        <w:tab/>
        <w:t>(</w:t>
      </w:r>
      <w:r w:rsidR="00C64D95" w:rsidRPr="00AB0C55">
        <w:t>3</w:t>
      </w:r>
      <w:r w:rsidRPr="00AB0C55">
        <w:t>)</w:t>
      </w:r>
      <w:r w:rsidRPr="00AB0C55">
        <w:tab/>
      </w:r>
      <w:r w:rsidR="007A5883" w:rsidRPr="00AB0C55">
        <w:t xml:space="preserve">I direct the ACMA that persons are to be permitted to pay </w:t>
      </w:r>
      <w:r w:rsidR="00610D64">
        <w:t xml:space="preserve">spectrum access charges fixed by it </w:t>
      </w:r>
      <w:r w:rsidR="0072325D">
        <w:t xml:space="preserve">in relation to residual 700 MHz band one </w:t>
      </w:r>
      <w:r w:rsidR="00610D64">
        <w:t xml:space="preserve">in a charges determination </w:t>
      </w:r>
      <w:r w:rsidR="007A5883" w:rsidRPr="00AB0C55">
        <w:t>in instalments</w:t>
      </w:r>
      <w:r w:rsidR="00C64D95" w:rsidRPr="00AB0C55">
        <w:t>, as long as the instalments meet the conditions set out in subsection (4).</w:t>
      </w:r>
    </w:p>
    <w:p w14:paraId="377270A6" w14:textId="707E73A7" w:rsidR="000D00B8" w:rsidRDefault="00C64D95" w:rsidP="008A64AA">
      <w:pPr>
        <w:pStyle w:val="subsection"/>
      </w:pPr>
      <w:r w:rsidRPr="00AB0C55">
        <w:tab/>
        <w:t>(4)</w:t>
      </w:r>
      <w:r w:rsidRPr="00AB0C55">
        <w:tab/>
        <w:t>The spectrum access charges must be payable in three instalments</w:t>
      </w:r>
      <w:r w:rsidR="008A64AA">
        <w:t>, with e</w:t>
      </w:r>
      <w:r w:rsidR="00A63DFA">
        <w:t xml:space="preserve">ach </w:t>
      </w:r>
      <w:r w:rsidRPr="00AB0C55">
        <w:t xml:space="preserve">instalment </w:t>
      </w:r>
      <w:r w:rsidR="008A64AA">
        <w:t>to</w:t>
      </w:r>
      <w:r w:rsidR="008A64AA" w:rsidRPr="00AB0C55">
        <w:t xml:space="preserve"> </w:t>
      </w:r>
      <w:r w:rsidRPr="00AB0C55">
        <w:t xml:space="preserve">become payable </w:t>
      </w:r>
      <w:r w:rsidR="000D00B8">
        <w:t>on the following dates:</w:t>
      </w:r>
    </w:p>
    <w:p w14:paraId="78A67880" w14:textId="77777777" w:rsidR="000D00B8" w:rsidRDefault="00136E6D" w:rsidP="00A63B89">
      <w:pPr>
        <w:pStyle w:val="paragraph"/>
      </w:pPr>
      <w:r>
        <w:tab/>
      </w:r>
      <w:r w:rsidR="000D00B8">
        <w:t>(a)</w:t>
      </w:r>
      <w:r w:rsidR="000D00B8">
        <w:tab/>
      </w:r>
      <w:proofErr w:type="gramStart"/>
      <w:r w:rsidR="00A63DFA">
        <w:t>first</w:t>
      </w:r>
      <w:proofErr w:type="gramEnd"/>
      <w:r w:rsidR="00A63DFA">
        <w:t xml:space="preserve"> instalment—</w:t>
      </w:r>
      <w:r w:rsidR="000D00B8">
        <w:t xml:space="preserve">31 January </w:t>
      </w:r>
      <w:r w:rsidR="00214CE4">
        <w:t>2018</w:t>
      </w:r>
      <w:r w:rsidR="000D00B8">
        <w:t>;</w:t>
      </w:r>
    </w:p>
    <w:p w14:paraId="2569CCEC" w14:textId="77777777" w:rsidR="000D00B8" w:rsidRDefault="00136E6D" w:rsidP="00A63B89">
      <w:pPr>
        <w:pStyle w:val="paragraph"/>
      </w:pPr>
      <w:r>
        <w:tab/>
      </w:r>
      <w:r w:rsidR="000D00B8">
        <w:t>(b)</w:t>
      </w:r>
      <w:r w:rsidR="000D00B8">
        <w:tab/>
      </w:r>
      <w:proofErr w:type="gramStart"/>
      <w:r w:rsidR="00A63DFA">
        <w:t>second</w:t>
      </w:r>
      <w:proofErr w:type="gramEnd"/>
      <w:r w:rsidR="00A63DFA">
        <w:t xml:space="preserve"> instalment—</w:t>
      </w:r>
      <w:r w:rsidR="000D00B8">
        <w:t>31 January 2019; and</w:t>
      </w:r>
    </w:p>
    <w:p w14:paraId="66E74E7A" w14:textId="77777777" w:rsidR="00C64D95" w:rsidRPr="00AB0C55" w:rsidRDefault="00136E6D" w:rsidP="00A63B89">
      <w:pPr>
        <w:pStyle w:val="paragraph"/>
      </w:pPr>
      <w:r>
        <w:tab/>
      </w:r>
      <w:r w:rsidR="000D00B8">
        <w:t>(c)</w:t>
      </w:r>
      <w:r w:rsidR="000D00B8">
        <w:tab/>
      </w:r>
      <w:proofErr w:type="gramStart"/>
      <w:r w:rsidR="00A63DFA">
        <w:t>third</w:t>
      </w:r>
      <w:proofErr w:type="gramEnd"/>
      <w:r w:rsidR="00A63DFA">
        <w:t xml:space="preserve"> instalment—</w:t>
      </w:r>
      <w:r w:rsidR="000D00B8">
        <w:t>31 January 2020.</w:t>
      </w:r>
    </w:p>
    <w:p w14:paraId="2E274243" w14:textId="77777777" w:rsidR="009E4CE2" w:rsidRPr="00AB0C55" w:rsidRDefault="009E4CE2" w:rsidP="009E4CE2">
      <w:pPr>
        <w:pStyle w:val="SubsectionHead"/>
      </w:pPr>
      <w:r w:rsidRPr="00AB0C55">
        <w:t>Miscellaneous</w:t>
      </w:r>
    </w:p>
    <w:p w14:paraId="3325BF89" w14:textId="3E6A7750" w:rsidR="00841659" w:rsidRPr="00AB0C55" w:rsidRDefault="00841659" w:rsidP="00841659">
      <w:pPr>
        <w:pStyle w:val="subsection"/>
      </w:pPr>
      <w:r w:rsidRPr="00AB0C55">
        <w:tab/>
        <w:t>(</w:t>
      </w:r>
      <w:r w:rsidR="008A64AA">
        <w:t>5</w:t>
      </w:r>
      <w:r w:rsidRPr="00AB0C55">
        <w:t>)</w:t>
      </w:r>
      <w:r w:rsidRPr="00AB0C55">
        <w:tab/>
        <w:t xml:space="preserve">For the avoidance of doubt, nothing in this section prevents the ACMA from considering other relevant matters in making a determination under subsection 294(1) of the </w:t>
      </w:r>
      <w:r w:rsidR="00AB0C55" w:rsidRPr="00551400">
        <w:rPr>
          <w:i/>
        </w:rPr>
        <w:t xml:space="preserve">Radiocommunications </w:t>
      </w:r>
      <w:r w:rsidRPr="00551400">
        <w:rPr>
          <w:i/>
        </w:rPr>
        <w:t>Act</w:t>
      </w:r>
      <w:r w:rsidRPr="00AB0C55">
        <w:t>.</w:t>
      </w:r>
    </w:p>
    <w:bookmarkEnd w:id="18"/>
    <w:bookmarkEnd w:id="19"/>
    <w:bookmarkEnd w:id="20"/>
    <w:bookmarkEnd w:id="21"/>
    <w:bookmarkEnd w:id="22"/>
    <w:bookmarkEnd w:id="23"/>
    <w:p w14:paraId="4A31B147" w14:textId="77777777" w:rsidR="009606F8" w:rsidRPr="00AB0C55" w:rsidRDefault="006212FA" w:rsidP="00226D36">
      <w:pPr>
        <w:pStyle w:val="Heading2"/>
      </w:pPr>
      <w:proofErr w:type="gramStart"/>
      <w:r w:rsidRPr="00AB0C55">
        <w:rPr>
          <w:rStyle w:val="CharSectno"/>
        </w:rPr>
        <w:t>8</w:t>
      </w:r>
      <w:r w:rsidR="009606F8" w:rsidRPr="00AB0C55">
        <w:t xml:space="preserve">  </w:t>
      </w:r>
      <w:r w:rsidR="00861CC1" w:rsidRPr="00AB0C55">
        <w:t>Direction</w:t>
      </w:r>
      <w:proofErr w:type="gramEnd"/>
      <w:r w:rsidR="00861CC1" w:rsidRPr="00AB0C55">
        <w:t>—</w:t>
      </w:r>
      <w:r w:rsidR="00E814FF" w:rsidRPr="00AB0C55">
        <w:t>a</w:t>
      </w:r>
      <w:r w:rsidR="00861CC1" w:rsidRPr="00AB0C55">
        <w:t>llocatio</w:t>
      </w:r>
      <w:r w:rsidR="00E814FF" w:rsidRPr="00AB0C55">
        <w:t>n and issue of spectrum licence</w:t>
      </w:r>
    </w:p>
    <w:p w14:paraId="6F6AC7B5" w14:textId="77777777" w:rsidR="00FE1E53" w:rsidRPr="00AB0C55" w:rsidRDefault="00FE1E53" w:rsidP="00FE1E53">
      <w:pPr>
        <w:pStyle w:val="subsection"/>
      </w:pPr>
      <w:r w:rsidRPr="00AB0C55">
        <w:tab/>
        <w:t>(1)</w:t>
      </w:r>
      <w:r w:rsidRPr="00AB0C55">
        <w:tab/>
        <w:t>This direction is given to the ACMA under subsection 14(1) of the ACMA Act.</w:t>
      </w:r>
    </w:p>
    <w:p w14:paraId="6E7C5F91" w14:textId="77777777" w:rsidR="009606F8" w:rsidRPr="00AB0C55" w:rsidRDefault="009606F8" w:rsidP="009606F8">
      <w:pPr>
        <w:pStyle w:val="subsection"/>
      </w:pPr>
      <w:r w:rsidRPr="00AB0C55">
        <w:tab/>
        <w:t>(</w:t>
      </w:r>
      <w:r w:rsidR="00B456C7" w:rsidRPr="00AB0C55">
        <w:t>2</w:t>
      </w:r>
      <w:r w:rsidRPr="00AB0C55">
        <w:t>)</w:t>
      </w:r>
      <w:r w:rsidRPr="00AB0C55">
        <w:tab/>
        <w:t xml:space="preserve">I direct the ACMA to take such action as it considers necessary to allocate and issue </w:t>
      </w:r>
      <w:r w:rsidR="007151D9">
        <w:t xml:space="preserve">a single </w:t>
      </w:r>
      <w:r w:rsidRPr="00AB0C55">
        <w:t xml:space="preserve">spectrum licence </w:t>
      </w:r>
      <w:r w:rsidR="007151D9">
        <w:t xml:space="preserve">authorising the operation of radiocommunications devices </w:t>
      </w:r>
      <w:r w:rsidRPr="00AB0C55">
        <w:t xml:space="preserve">in </w:t>
      </w:r>
      <w:r w:rsidR="007151D9">
        <w:t xml:space="preserve">the entirety of </w:t>
      </w:r>
      <w:r w:rsidRPr="00AB0C55">
        <w:t>residual 700 MHz band one</w:t>
      </w:r>
      <w:r w:rsidR="00A93D60" w:rsidRPr="00AB0C55">
        <w:t xml:space="preserve"> in the </w:t>
      </w:r>
      <w:r w:rsidR="00506262">
        <w:t>designated</w:t>
      </w:r>
      <w:r w:rsidR="00506262" w:rsidRPr="00AB0C55">
        <w:t xml:space="preserve"> </w:t>
      </w:r>
      <w:r w:rsidR="00A93D60" w:rsidRPr="00AB0C55">
        <w:t>area</w:t>
      </w:r>
      <w:r w:rsidR="00DF27AD" w:rsidRPr="00AB0C55">
        <w:t>.</w:t>
      </w:r>
    </w:p>
    <w:p w14:paraId="346B1E69" w14:textId="070CC0DD" w:rsidR="009606F8" w:rsidRDefault="009606F8" w:rsidP="009606F8">
      <w:pPr>
        <w:pStyle w:val="subsection"/>
      </w:pPr>
      <w:r w:rsidRPr="00AB0C55">
        <w:tab/>
      </w:r>
      <w:r w:rsidR="002F2244" w:rsidRPr="00AB0C55">
        <w:t>(</w:t>
      </w:r>
      <w:r w:rsidR="00B456C7" w:rsidRPr="00AB0C55">
        <w:t>3</w:t>
      </w:r>
      <w:r w:rsidR="002F2244" w:rsidRPr="00AB0C55">
        <w:t>)</w:t>
      </w:r>
      <w:r w:rsidR="002F2244" w:rsidRPr="00AB0C55">
        <w:tab/>
        <w:t>In giving effect t</w:t>
      </w:r>
      <w:r w:rsidR="00DF27AD" w:rsidRPr="00AB0C55">
        <w:t xml:space="preserve">o this direction, the ACMA must, as it considers necessary, </w:t>
      </w:r>
      <w:r w:rsidR="002F2244" w:rsidRPr="00AB0C55">
        <w:t xml:space="preserve">make </w:t>
      </w:r>
      <w:r w:rsidR="00F037D4" w:rsidRPr="00AB0C55">
        <w:t xml:space="preserve">or amend </w:t>
      </w:r>
      <w:r w:rsidR="002F2244" w:rsidRPr="00AB0C55">
        <w:t>a marketing plan and determine allocation procedures</w:t>
      </w:r>
      <w:r w:rsidR="00C8071F" w:rsidRPr="00AB0C55">
        <w:t xml:space="preserve"> that are consistent with </w:t>
      </w:r>
      <w:r w:rsidR="00E814FF" w:rsidRPr="00AB0C55">
        <w:t>subsections (</w:t>
      </w:r>
      <w:r w:rsidR="00D80F6C">
        <w:t>4</w:t>
      </w:r>
      <w:r w:rsidR="00E814FF" w:rsidRPr="00AB0C55">
        <w:t>)</w:t>
      </w:r>
      <w:r w:rsidR="00D15326">
        <w:t xml:space="preserve"> to</w:t>
      </w:r>
      <w:r w:rsidR="00E814FF" w:rsidRPr="00AB0C55">
        <w:t xml:space="preserve"> (</w:t>
      </w:r>
      <w:r w:rsidR="00D15326">
        <w:t>6</w:t>
      </w:r>
      <w:r w:rsidR="00E814FF" w:rsidRPr="00AB0C55">
        <w:t>)</w:t>
      </w:r>
      <w:r w:rsidR="002F2244" w:rsidRPr="00AB0C55">
        <w:t>.</w:t>
      </w:r>
    </w:p>
    <w:bookmarkEnd w:id="17"/>
    <w:p w14:paraId="0C7A68CE" w14:textId="77777777" w:rsidR="0098641C" w:rsidRPr="00AB0C55" w:rsidRDefault="009606F8" w:rsidP="009E4CE2">
      <w:pPr>
        <w:pStyle w:val="SubsectionHead"/>
      </w:pPr>
      <w:r w:rsidRPr="00AB0C55">
        <w:t>Method of allocation</w:t>
      </w:r>
    </w:p>
    <w:p w14:paraId="4F136553" w14:textId="00158C1A" w:rsidR="001E2492" w:rsidRPr="00AB0C55" w:rsidRDefault="001E2492" w:rsidP="001E2492">
      <w:pPr>
        <w:pStyle w:val="subsection"/>
      </w:pPr>
      <w:r w:rsidRPr="00AB0C55">
        <w:tab/>
      </w:r>
      <w:r w:rsidR="009E4CE2" w:rsidRPr="00AB0C55">
        <w:t>(</w:t>
      </w:r>
      <w:r w:rsidR="00953A94">
        <w:t>4</w:t>
      </w:r>
      <w:r w:rsidR="009E4CE2" w:rsidRPr="00AB0C55">
        <w:t>)</w:t>
      </w:r>
      <w:r w:rsidRPr="00AB0C55">
        <w:tab/>
      </w:r>
      <w:r w:rsidR="00A200C9">
        <w:t>The s</w:t>
      </w:r>
      <w:r w:rsidR="002F2244" w:rsidRPr="00AB0C55">
        <w:t xml:space="preserve">pectrum </w:t>
      </w:r>
      <w:r w:rsidR="00774C09" w:rsidRPr="00AB0C55">
        <w:t xml:space="preserve">licence </w:t>
      </w:r>
      <w:r w:rsidR="00687F22" w:rsidRPr="00AB0C55">
        <w:t xml:space="preserve">allocated in accordance with </w:t>
      </w:r>
      <w:r w:rsidR="00B456C7" w:rsidRPr="00AB0C55">
        <w:t xml:space="preserve">this section </w:t>
      </w:r>
      <w:r w:rsidR="00C8071F" w:rsidRPr="00AB0C55">
        <w:t>must</w:t>
      </w:r>
      <w:r w:rsidR="002F2244" w:rsidRPr="00AB0C55">
        <w:t xml:space="preserve"> be allocated </w:t>
      </w:r>
      <w:r w:rsidR="00B456C7" w:rsidRPr="00AB0C55">
        <w:t>for</w:t>
      </w:r>
      <w:r w:rsidR="002F2244" w:rsidRPr="00AB0C55">
        <w:t xml:space="preserve"> a </w:t>
      </w:r>
      <w:r w:rsidR="00256451">
        <w:t>pre-determined</w:t>
      </w:r>
      <w:r w:rsidR="00256451" w:rsidRPr="00AB0C55">
        <w:t xml:space="preserve"> </w:t>
      </w:r>
      <w:r w:rsidR="002F2244" w:rsidRPr="00AB0C55">
        <w:t>price.</w:t>
      </w:r>
    </w:p>
    <w:p w14:paraId="79D2539C" w14:textId="77777777" w:rsidR="009606F8" w:rsidRPr="00AB0C55" w:rsidRDefault="00887811" w:rsidP="009E4CE2">
      <w:pPr>
        <w:pStyle w:val="SubsectionHead"/>
      </w:pPr>
      <w:r>
        <w:t>Period</w:t>
      </w:r>
      <w:r w:rsidRPr="00AB0C55">
        <w:t xml:space="preserve"> </w:t>
      </w:r>
      <w:r w:rsidR="005A3A13" w:rsidRPr="00AB0C55">
        <w:t>of licence</w:t>
      </w:r>
    </w:p>
    <w:p w14:paraId="14DE8CF9" w14:textId="77777777" w:rsidR="005A3A13" w:rsidRDefault="009606F8" w:rsidP="00A239F9">
      <w:pPr>
        <w:pStyle w:val="subsection"/>
      </w:pPr>
      <w:r w:rsidRPr="00AB0C55">
        <w:tab/>
      </w:r>
      <w:r w:rsidR="009E4CE2" w:rsidRPr="00AB0C55">
        <w:t>(</w:t>
      </w:r>
      <w:r w:rsidR="007151D9">
        <w:t>5</w:t>
      </w:r>
      <w:r w:rsidR="009E4CE2" w:rsidRPr="00AB0C55">
        <w:t>)</w:t>
      </w:r>
      <w:r w:rsidRPr="00AB0C55">
        <w:tab/>
      </w:r>
      <w:r w:rsidR="00A200C9">
        <w:t>The s</w:t>
      </w:r>
      <w:r w:rsidR="00F037D4" w:rsidRPr="00AB0C55">
        <w:t>pectrum l</w:t>
      </w:r>
      <w:r w:rsidR="005A3A13" w:rsidRPr="00AB0C55">
        <w:t xml:space="preserve">icence issued </w:t>
      </w:r>
      <w:r w:rsidR="00687F22" w:rsidRPr="00AB0C55">
        <w:t xml:space="preserve">in accordance with </w:t>
      </w:r>
      <w:r w:rsidR="00B456C7" w:rsidRPr="00AB0C55">
        <w:t xml:space="preserve">this section </w:t>
      </w:r>
      <w:r w:rsidR="00C8071F" w:rsidRPr="00AB0C55">
        <w:t>must</w:t>
      </w:r>
      <w:r w:rsidR="007151D9">
        <w:t xml:space="preserve"> be issued </w:t>
      </w:r>
      <w:r w:rsidR="00341377">
        <w:t xml:space="preserve">to be in force </w:t>
      </w:r>
      <w:r w:rsidR="007151D9">
        <w:t>for the licence period.</w:t>
      </w:r>
    </w:p>
    <w:p w14:paraId="38D2E554" w14:textId="77777777" w:rsidR="00256451" w:rsidRPr="00AB0C55" w:rsidRDefault="00256451" w:rsidP="00256451">
      <w:pPr>
        <w:pStyle w:val="SubsectionHead"/>
      </w:pPr>
      <w:r>
        <w:t xml:space="preserve">Way in which </w:t>
      </w:r>
      <w:r w:rsidR="009136EB">
        <w:t xml:space="preserve">the </w:t>
      </w:r>
      <w:r>
        <w:t>price</w:t>
      </w:r>
      <w:r w:rsidR="009136EB">
        <w:t xml:space="preserve"> is </w:t>
      </w:r>
      <w:r>
        <w:t>to be determined</w:t>
      </w:r>
    </w:p>
    <w:p w14:paraId="64D89AA7" w14:textId="77777777" w:rsidR="00256451" w:rsidRDefault="00256451" w:rsidP="00A239F9">
      <w:pPr>
        <w:pStyle w:val="subsection"/>
      </w:pPr>
      <w:r>
        <w:tab/>
        <w:t>(6)</w:t>
      </w:r>
      <w:r>
        <w:tab/>
        <w:t xml:space="preserve">The price </w:t>
      </w:r>
      <w:r w:rsidR="0095383D">
        <w:t xml:space="preserve">to be </w:t>
      </w:r>
      <w:r w:rsidR="00D15326">
        <w:t xml:space="preserve">offered </w:t>
      </w:r>
      <w:r>
        <w:t xml:space="preserve">for the </w:t>
      </w:r>
      <w:r w:rsidR="0095383D">
        <w:t xml:space="preserve">allocation of the </w:t>
      </w:r>
      <w:r>
        <w:t xml:space="preserve">spectrum licence </w:t>
      </w:r>
      <w:r w:rsidR="00D15326">
        <w:t>in accordance with this section must</w:t>
      </w:r>
      <w:r>
        <w:t xml:space="preserve"> be determined </w:t>
      </w:r>
      <w:r w:rsidR="0095383D">
        <w:t xml:space="preserve">as </w:t>
      </w:r>
      <w:r>
        <w:t xml:space="preserve">the following, depending on when </w:t>
      </w:r>
      <w:r w:rsidR="00D15326">
        <w:t xml:space="preserve">the </w:t>
      </w:r>
      <w:r>
        <w:t xml:space="preserve">spectrum access charges </w:t>
      </w:r>
      <w:r w:rsidR="00D15326">
        <w:t xml:space="preserve">to be fixed for the issue of the licence would </w:t>
      </w:r>
      <w:r>
        <w:t>become payable:</w:t>
      </w:r>
    </w:p>
    <w:p w14:paraId="64B1E1DE" w14:textId="77777777" w:rsidR="00256451" w:rsidRDefault="00256451">
      <w:pPr>
        <w:pStyle w:val="paragraph"/>
      </w:pPr>
      <w:r>
        <w:tab/>
        <w:t>(a)</w:t>
      </w:r>
      <w:r>
        <w:tab/>
      </w:r>
      <w:proofErr w:type="gramStart"/>
      <w:r>
        <w:t>in</w:t>
      </w:r>
      <w:proofErr w:type="gramEnd"/>
      <w:r>
        <w:t xml:space="preserve"> full before </w:t>
      </w:r>
      <w:r w:rsidR="00D15326">
        <w:t xml:space="preserve">the </w:t>
      </w:r>
      <w:r>
        <w:t>commencement of the licence—$571,814,450; or</w:t>
      </w:r>
    </w:p>
    <w:p w14:paraId="153D9A88" w14:textId="77777777" w:rsidR="00256451" w:rsidRDefault="00256451">
      <w:pPr>
        <w:pStyle w:val="paragraph"/>
      </w:pPr>
      <w:r>
        <w:tab/>
        <w:t>(b)</w:t>
      </w:r>
      <w:r>
        <w:tab/>
      </w:r>
      <w:proofErr w:type="gramStart"/>
      <w:r>
        <w:t>in</w:t>
      </w:r>
      <w:proofErr w:type="gramEnd"/>
      <w:r>
        <w:t xml:space="preserve"> instalments in accordance with subsections 7(</w:t>
      </w:r>
      <w:r w:rsidR="00D15326">
        <w:t>3</w:t>
      </w:r>
      <w:r>
        <w:t xml:space="preserve">) </w:t>
      </w:r>
      <w:r w:rsidR="008A64AA">
        <w:t>and</w:t>
      </w:r>
      <w:r>
        <w:t xml:space="preserve"> (</w:t>
      </w:r>
      <w:r w:rsidR="008A64AA">
        <w:t>4</w:t>
      </w:r>
      <w:r>
        <w:t>)—$594,300,000</w:t>
      </w:r>
      <w:r w:rsidR="00D15326">
        <w:t>,</w:t>
      </w:r>
      <w:r>
        <w:t xml:space="preserve"> in the following instalments:</w:t>
      </w:r>
    </w:p>
    <w:p w14:paraId="775E21B4" w14:textId="77777777" w:rsidR="00256451" w:rsidRDefault="00D15326" w:rsidP="00A239F9">
      <w:pPr>
        <w:pStyle w:val="paragraphsub"/>
      </w:pPr>
      <w:r>
        <w:tab/>
        <w:t>(</w:t>
      </w:r>
      <w:proofErr w:type="spellStart"/>
      <w:r>
        <w:t>i</w:t>
      </w:r>
      <w:proofErr w:type="spellEnd"/>
      <w:r>
        <w:t>)</w:t>
      </w:r>
      <w:r>
        <w:tab/>
      </w:r>
      <w:proofErr w:type="gramStart"/>
      <w:r>
        <w:t>first</w:t>
      </w:r>
      <w:proofErr w:type="gramEnd"/>
      <w:r>
        <w:t xml:space="preserve"> instalment—$274,500,000;</w:t>
      </w:r>
    </w:p>
    <w:p w14:paraId="713FEF79" w14:textId="77777777" w:rsidR="00D15326" w:rsidRDefault="00D15326" w:rsidP="00A239F9">
      <w:pPr>
        <w:pStyle w:val="paragraphsub"/>
      </w:pPr>
      <w:r>
        <w:tab/>
        <w:t>(ii)</w:t>
      </w:r>
      <w:r>
        <w:tab/>
      </w:r>
      <w:proofErr w:type="gramStart"/>
      <w:r>
        <w:t>second</w:t>
      </w:r>
      <w:proofErr w:type="gramEnd"/>
      <w:r>
        <w:t xml:space="preserve"> instalment—$159,900,000; and</w:t>
      </w:r>
    </w:p>
    <w:p w14:paraId="3CD2E32D" w14:textId="77777777" w:rsidR="00D15326" w:rsidRPr="00256451" w:rsidRDefault="00D15326" w:rsidP="00A239F9">
      <w:pPr>
        <w:pStyle w:val="paragraphsub"/>
      </w:pPr>
      <w:r>
        <w:tab/>
        <w:t>(iii)</w:t>
      </w:r>
      <w:r>
        <w:tab/>
      </w:r>
      <w:proofErr w:type="gramStart"/>
      <w:r>
        <w:t>third</w:t>
      </w:r>
      <w:proofErr w:type="gramEnd"/>
      <w:r>
        <w:t xml:space="preserve"> instalment—$159,900,000.</w:t>
      </w:r>
    </w:p>
    <w:sectPr w:rsidR="00D15326" w:rsidRPr="00256451" w:rsidSect="005F5FCB">
      <w:headerReference w:type="even" r:id="rId12"/>
      <w:headerReference w:type="default" r:id="rId13"/>
      <w:footerReference w:type="even" r:id="rId14"/>
      <w:footerReference w:type="default" r:id="rId15"/>
      <w:footerReference w:type="first" r:id="rId16"/>
      <w:pgSz w:w="11907" w:h="16839" w:code="9"/>
      <w:pgMar w:top="1276" w:right="2410" w:bottom="3969" w:left="2410" w:header="720" w:footer="34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2D37" w14:textId="77777777" w:rsidR="00FA5AE3" w:rsidRDefault="00FA5AE3">
      <w:r>
        <w:separator/>
      </w:r>
    </w:p>
  </w:endnote>
  <w:endnote w:type="continuationSeparator" w:id="0">
    <w:p w14:paraId="127D57F2" w14:textId="77777777" w:rsidR="00FA5AE3" w:rsidRDefault="00FA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05E87" w14:textId="77777777" w:rsidR="00226D36" w:rsidRDefault="00226D36" w:rsidP="00226D36">
    <w:pPr>
      <w:pBdr>
        <w:top w:val="single" w:sz="6" w:space="1" w:color="auto"/>
      </w:pBdr>
      <w:spacing w:line="0" w:lineRule="atLeast"/>
      <w:rPr>
        <w:sz w:val="16"/>
        <w:szCs w:val="16"/>
      </w:rPr>
    </w:pPr>
  </w:p>
  <w:p w14:paraId="1F873F15" w14:textId="77777777" w:rsidR="00226D36" w:rsidRPr="00226D36" w:rsidRDefault="00226D36" w:rsidP="00226D36">
    <w:pPr>
      <w:spacing w:after="240"/>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FB6">
      <w:rPr>
        <w:i/>
        <w:noProof/>
        <w:sz w:val="18"/>
      </w:rPr>
      <w:t>6</w:t>
    </w:r>
    <w:r w:rsidRPr="00ED79B6">
      <w:rPr>
        <w:i/>
        <w:sz w:val="18"/>
      </w:rPr>
      <w:fldChar w:fldCharType="end"/>
    </w:r>
  </w:p>
  <w:p w14:paraId="228BBA89" w14:textId="77777777" w:rsidR="00226D36" w:rsidRPr="00402060" w:rsidRDefault="00226D36" w:rsidP="00226D36">
    <w:pPr>
      <w:jc w:val="center"/>
      <w:rPr>
        <w:b/>
        <w:sz w:val="40"/>
        <w:szCs w:val="40"/>
      </w:rPr>
    </w:pPr>
    <w:r>
      <w:rPr>
        <w:b/>
        <w:sz w:val="40"/>
        <w:szCs w:val="40"/>
      </w:rPr>
      <w:t xml:space="preserve">EXPOSURE </w:t>
    </w:r>
    <w:r w:rsidRPr="00402060">
      <w:rPr>
        <w:b/>
        <w:sz w:val="40"/>
        <w:szCs w:val="40"/>
      </w:rPr>
      <w:t>DRAFT</w:t>
    </w:r>
  </w:p>
  <w:p w14:paraId="2D7CDFEB" w14:textId="5B223677" w:rsidR="006938A4" w:rsidRPr="00226D36" w:rsidRDefault="006938A4" w:rsidP="00226D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6631" w14:textId="77777777" w:rsidR="006938A4" w:rsidRDefault="006938A4" w:rsidP="00BE2C51">
    <w:pPr>
      <w:pBdr>
        <w:top w:val="single" w:sz="6" w:space="1" w:color="auto"/>
      </w:pBdr>
      <w:spacing w:line="0" w:lineRule="atLeast"/>
      <w:rPr>
        <w:sz w:val="16"/>
        <w:szCs w:val="16"/>
      </w:rPr>
    </w:pPr>
  </w:p>
  <w:p w14:paraId="0125B14D" w14:textId="0D615A09" w:rsidR="00226D36" w:rsidRPr="00226D36" w:rsidRDefault="00226D36" w:rsidP="00226D36">
    <w:pPr>
      <w:spacing w:after="240"/>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D5FB6">
      <w:rPr>
        <w:i/>
        <w:noProof/>
        <w:sz w:val="18"/>
      </w:rPr>
      <w:t>5</w:t>
    </w:r>
    <w:r w:rsidRPr="00ED79B6">
      <w:rPr>
        <w:i/>
        <w:sz w:val="18"/>
      </w:rPr>
      <w:fldChar w:fldCharType="end"/>
    </w:r>
  </w:p>
  <w:p w14:paraId="27567245" w14:textId="77777777" w:rsidR="006938A4" w:rsidRPr="00402060" w:rsidRDefault="001A058F" w:rsidP="00402060">
    <w:pPr>
      <w:jc w:val="center"/>
      <w:rPr>
        <w:b/>
        <w:sz w:val="40"/>
        <w:szCs w:val="40"/>
      </w:rPr>
    </w:pPr>
    <w:r>
      <w:rPr>
        <w:b/>
        <w:sz w:val="40"/>
        <w:szCs w:val="40"/>
      </w:rPr>
      <w:t xml:space="preserve">EXPOSURE </w:t>
    </w:r>
    <w:r w:rsidR="006938A4" w:rsidRPr="00402060">
      <w:rPr>
        <w:b/>
        <w:sz w:val="40"/>
        <w:szCs w:val="40"/>
      </w:rPr>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C3E0" w14:textId="77777777" w:rsidR="006938A4" w:rsidRPr="00402060" w:rsidRDefault="001A058F" w:rsidP="00402060">
    <w:pPr>
      <w:jc w:val="center"/>
      <w:rPr>
        <w:b/>
        <w:sz w:val="40"/>
      </w:rPr>
    </w:pPr>
    <w:r>
      <w:rPr>
        <w:b/>
        <w:sz w:val="40"/>
      </w:rPr>
      <w:t xml:space="preserve">EXPOSURE </w:t>
    </w:r>
    <w:r w:rsidR="006938A4" w:rsidRPr="00402060">
      <w:rPr>
        <w:b/>
        <w:sz w:val="40"/>
      </w:rP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2E60" w14:textId="77777777" w:rsidR="00FA5AE3" w:rsidRDefault="00FA5AE3">
      <w:r>
        <w:separator/>
      </w:r>
    </w:p>
  </w:footnote>
  <w:footnote w:type="continuationSeparator" w:id="0">
    <w:p w14:paraId="6A09CAB3" w14:textId="77777777" w:rsidR="00FA5AE3" w:rsidRDefault="00FA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B38E" w14:textId="77777777" w:rsidR="00226D36" w:rsidRPr="00402060" w:rsidRDefault="00226D36" w:rsidP="00226D36">
    <w:pPr>
      <w:jc w:val="center"/>
      <w:rPr>
        <w:b/>
        <w:sz w:val="40"/>
      </w:rPr>
    </w:pPr>
    <w:r>
      <w:rPr>
        <w:b/>
        <w:sz w:val="40"/>
      </w:rPr>
      <w:t xml:space="preserve">EXPOSURE </w:t>
    </w:r>
    <w:r w:rsidRPr="00402060">
      <w:rPr>
        <w:b/>
        <w:sz w:val="40"/>
      </w:rPr>
      <w:t>DRAFT</w:t>
    </w:r>
  </w:p>
  <w:p w14:paraId="177C42A7" w14:textId="77777777" w:rsidR="00226D36" w:rsidRPr="007A1328" w:rsidRDefault="00226D36" w:rsidP="00226D36">
    <w:pPr>
      <w:spacing w:before="360" w:line="240" w:lineRule="auto"/>
      <w:rPr>
        <w:b/>
        <w:sz w:val="24"/>
      </w:rPr>
    </w:pPr>
  </w:p>
  <w:p w14:paraId="1515C202" w14:textId="77777777" w:rsidR="00226D36" w:rsidRPr="007A1328" w:rsidRDefault="00226D36" w:rsidP="00226D36">
    <w:pPr>
      <w:pBdr>
        <w:bottom w:val="single" w:sz="6" w:space="1" w:color="auto"/>
      </w:pBdr>
      <w:spacing w:after="36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D5FB6">
      <w:rPr>
        <w:noProof/>
        <w:sz w:val="24"/>
      </w:rPr>
      <w:t>8</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F96E" w14:textId="77777777" w:rsidR="00226D36" w:rsidRPr="00402060" w:rsidRDefault="00226D36" w:rsidP="00226D36">
    <w:pPr>
      <w:jc w:val="center"/>
      <w:rPr>
        <w:b/>
        <w:sz w:val="40"/>
      </w:rPr>
    </w:pPr>
    <w:r>
      <w:rPr>
        <w:b/>
        <w:sz w:val="40"/>
      </w:rPr>
      <w:t xml:space="preserve">EXPOSURE </w:t>
    </w:r>
    <w:r w:rsidRPr="00402060">
      <w:rPr>
        <w:b/>
        <w:sz w:val="40"/>
      </w:rPr>
      <w:t>DRAFT</w:t>
    </w:r>
  </w:p>
  <w:p w14:paraId="43159F44" w14:textId="77777777" w:rsidR="00226D36" w:rsidRPr="007A1328" w:rsidRDefault="00226D36" w:rsidP="00226D36">
    <w:pPr>
      <w:spacing w:before="360" w:line="240" w:lineRule="auto"/>
      <w:rPr>
        <w:b/>
        <w:sz w:val="24"/>
      </w:rPr>
    </w:pPr>
  </w:p>
  <w:p w14:paraId="2F8BD749" w14:textId="77777777" w:rsidR="00226D36" w:rsidRPr="007A1328" w:rsidRDefault="00226D36" w:rsidP="00226D36">
    <w:pPr>
      <w:pBdr>
        <w:bottom w:val="single" w:sz="6" w:space="1" w:color="auto"/>
      </w:pBdr>
      <w:spacing w:after="36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D5FB6">
      <w:rPr>
        <w:noProof/>
        <w:sz w:val="24"/>
      </w:rPr>
      <w:t>7</w:t>
    </w:r>
    <w:r w:rsidRPr="007A132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54E5B"/>
    <w:multiLevelType w:val="hybridMultilevel"/>
    <w:tmpl w:val="C436F184"/>
    <w:lvl w:ilvl="0" w:tplc="7130A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00E7F14"/>
    <w:multiLevelType w:val="hybridMultilevel"/>
    <w:tmpl w:val="C95C5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2A68EC"/>
    <w:multiLevelType w:val="hybridMultilevel"/>
    <w:tmpl w:val="1D7ED334"/>
    <w:lvl w:ilvl="0" w:tplc="36581C12">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957D8"/>
    <w:multiLevelType w:val="hybridMultilevel"/>
    <w:tmpl w:val="A198DC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7"/>
  </w:num>
  <w:num w:numId="16">
    <w:abstractNumId w:val="15"/>
  </w:num>
  <w:num w:numId="17">
    <w:abstractNumId w:val="19"/>
  </w:num>
  <w:num w:numId="18">
    <w:abstractNumId w:val="13"/>
  </w:num>
  <w:num w:numId="19">
    <w:abstractNumId w:val="11"/>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TrueTypeFonts/>
  <w:saveSubsetFonts/>
  <w:activeWritingStyle w:appName="MSWord" w:lang="en-AU"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90"/>
    <w:rsid w:val="00001E7A"/>
    <w:rsid w:val="00002328"/>
    <w:rsid w:val="000047FD"/>
    <w:rsid w:val="000056EE"/>
    <w:rsid w:val="00007819"/>
    <w:rsid w:val="00010203"/>
    <w:rsid w:val="00012A4E"/>
    <w:rsid w:val="00013A38"/>
    <w:rsid w:val="00016D1A"/>
    <w:rsid w:val="00016DCE"/>
    <w:rsid w:val="0001739E"/>
    <w:rsid w:val="00020180"/>
    <w:rsid w:val="00022695"/>
    <w:rsid w:val="00023FD2"/>
    <w:rsid w:val="000265BC"/>
    <w:rsid w:val="00026EEB"/>
    <w:rsid w:val="00031EFC"/>
    <w:rsid w:val="0003434D"/>
    <w:rsid w:val="0003498B"/>
    <w:rsid w:val="00036586"/>
    <w:rsid w:val="0004081D"/>
    <w:rsid w:val="00042001"/>
    <w:rsid w:val="00043271"/>
    <w:rsid w:val="000450B5"/>
    <w:rsid w:val="000472C2"/>
    <w:rsid w:val="00050C80"/>
    <w:rsid w:val="000510B9"/>
    <w:rsid w:val="0005136F"/>
    <w:rsid w:val="00051C9B"/>
    <w:rsid w:val="000527F0"/>
    <w:rsid w:val="000551A3"/>
    <w:rsid w:val="00055E25"/>
    <w:rsid w:val="000617C7"/>
    <w:rsid w:val="000620C5"/>
    <w:rsid w:val="00065A0E"/>
    <w:rsid w:val="0006722F"/>
    <w:rsid w:val="00071791"/>
    <w:rsid w:val="000721B0"/>
    <w:rsid w:val="000727F9"/>
    <w:rsid w:val="000729E4"/>
    <w:rsid w:val="000735A3"/>
    <w:rsid w:val="00074661"/>
    <w:rsid w:val="00074D5E"/>
    <w:rsid w:val="000753EE"/>
    <w:rsid w:val="00075B3D"/>
    <w:rsid w:val="00076B35"/>
    <w:rsid w:val="00077634"/>
    <w:rsid w:val="00080E25"/>
    <w:rsid w:val="000824EA"/>
    <w:rsid w:val="00083CC7"/>
    <w:rsid w:val="00085877"/>
    <w:rsid w:val="00086090"/>
    <w:rsid w:val="00086E1D"/>
    <w:rsid w:val="00090414"/>
    <w:rsid w:val="0009067F"/>
    <w:rsid w:val="00092802"/>
    <w:rsid w:val="00095CC4"/>
    <w:rsid w:val="00097B55"/>
    <w:rsid w:val="000A3C52"/>
    <w:rsid w:val="000B0A20"/>
    <w:rsid w:val="000B1255"/>
    <w:rsid w:val="000B26C3"/>
    <w:rsid w:val="000B52F3"/>
    <w:rsid w:val="000B68A5"/>
    <w:rsid w:val="000B6D4C"/>
    <w:rsid w:val="000C12AB"/>
    <w:rsid w:val="000C2AB1"/>
    <w:rsid w:val="000C56FE"/>
    <w:rsid w:val="000C5AE2"/>
    <w:rsid w:val="000C78B5"/>
    <w:rsid w:val="000D00B8"/>
    <w:rsid w:val="000D112D"/>
    <w:rsid w:val="000D363E"/>
    <w:rsid w:val="000D44F8"/>
    <w:rsid w:val="000D7167"/>
    <w:rsid w:val="000D736B"/>
    <w:rsid w:val="000E081D"/>
    <w:rsid w:val="000E470D"/>
    <w:rsid w:val="000E63CF"/>
    <w:rsid w:val="000F140F"/>
    <w:rsid w:val="000F3758"/>
    <w:rsid w:val="00102347"/>
    <w:rsid w:val="00102ADD"/>
    <w:rsid w:val="0010710A"/>
    <w:rsid w:val="00110F98"/>
    <w:rsid w:val="0011161E"/>
    <w:rsid w:val="0011172E"/>
    <w:rsid w:val="00111E48"/>
    <w:rsid w:val="0011314E"/>
    <w:rsid w:val="00114286"/>
    <w:rsid w:val="00117290"/>
    <w:rsid w:val="00121B18"/>
    <w:rsid w:val="00122CA1"/>
    <w:rsid w:val="0012560F"/>
    <w:rsid w:val="00126C80"/>
    <w:rsid w:val="00126D00"/>
    <w:rsid w:val="00133419"/>
    <w:rsid w:val="00134204"/>
    <w:rsid w:val="001354AD"/>
    <w:rsid w:val="001363F5"/>
    <w:rsid w:val="00136E6D"/>
    <w:rsid w:val="00137EF4"/>
    <w:rsid w:val="00143B92"/>
    <w:rsid w:val="00145C33"/>
    <w:rsid w:val="0014660D"/>
    <w:rsid w:val="001509A9"/>
    <w:rsid w:val="001510F9"/>
    <w:rsid w:val="0015255D"/>
    <w:rsid w:val="00152824"/>
    <w:rsid w:val="00153593"/>
    <w:rsid w:val="001544DD"/>
    <w:rsid w:val="00154AA0"/>
    <w:rsid w:val="00156A5A"/>
    <w:rsid w:val="00157E82"/>
    <w:rsid w:val="00160A6A"/>
    <w:rsid w:val="00160EE0"/>
    <w:rsid w:val="0016297F"/>
    <w:rsid w:val="00162FDE"/>
    <w:rsid w:val="0016552E"/>
    <w:rsid w:val="001661B3"/>
    <w:rsid w:val="0017150E"/>
    <w:rsid w:val="00171A0A"/>
    <w:rsid w:val="0017420C"/>
    <w:rsid w:val="00176457"/>
    <w:rsid w:val="0017669E"/>
    <w:rsid w:val="00176BCE"/>
    <w:rsid w:val="00180A3A"/>
    <w:rsid w:val="00180CD3"/>
    <w:rsid w:val="00182100"/>
    <w:rsid w:val="001840EA"/>
    <w:rsid w:val="00190D22"/>
    <w:rsid w:val="00191B57"/>
    <w:rsid w:val="001A058F"/>
    <w:rsid w:val="001A062E"/>
    <w:rsid w:val="001A25BD"/>
    <w:rsid w:val="001A26AC"/>
    <w:rsid w:val="001A284D"/>
    <w:rsid w:val="001A2921"/>
    <w:rsid w:val="001A2B82"/>
    <w:rsid w:val="001A4737"/>
    <w:rsid w:val="001A550E"/>
    <w:rsid w:val="001A745A"/>
    <w:rsid w:val="001A7717"/>
    <w:rsid w:val="001B2B49"/>
    <w:rsid w:val="001B4168"/>
    <w:rsid w:val="001B6479"/>
    <w:rsid w:val="001B680B"/>
    <w:rsid w:val="001B750D"/>
    <w:rsid w:val="001C2D2D"/>
    <w:rsid w:val="001C48B6"/>
    <w:rsid w:val="001C52FA"/>
    <w:rsid w:val="001C5A60"/>
    <w:rsid w:val="001C6C78"/>
    <w:rsid w:val="001C6E23"/>
    <w:rsid w:val="001C72A8"/>
    <w:rsid w:val="001D1730"/>
    <w:rsid w:val="001D49E7"/>
    <w:rsid w:val="001D7DD2"/>
    <w:rsid w:val="001E1FF9"/>
    <w:rsid w:val="001E2492"/>
    <w:rsid w:val="001E3BA9"/>
    <w:rsid w:val="001E551F"/>
    <w:rsid w:val="001E6E32"/>
    <w:rsid w:val="001F0F35"/>
    <w:rsid w:val="001F1819"/>
    <w:rsid w:val="001F204C"/>
    <w:rsid w:val="001F24CF"/>
    <w:rsid w:val="001F3D0A"/>
    <w:rsid w:val="001F4C6D"/>
    <w:rsid w:val="0020253A"/>
    <w:rsid w:val="0020488A"/>
    <w:rsid w:val="0020650F"/>
    <w:rsid w:val="002125DA"/>
    <w:rsid w:val="00212A75"/>
    <w:rsid w:val="00214CE4"/>
    <w:rsid w:val="00220EDA"/>
    <w:rsid w:val="00221EB1"/>
    <w:rsid w:val="00222DA1"/>
    <w:rsid w:val="00223A7F"/>
    <w:rsid w:val="002250FB"/>
    <w:rsid w:val="00226223"/>
    <w:rsid w:val="00226D36"/>
    <w:rsid w:val="002271DC"/>
    <w:rsid w:val="00230352"/>
    <w:rsid w:val="00236609"/>
    <w:rsid w:val="00240CD1"/>
    <w:rsid w:val="00245159"/>
    <w:rsid w:val="00246624"/>
    <w:rsid w:val="00253EE7"/>
    <w:rsid w:val="00254B2F"/>
    <w:rsid w:val="00254C12"/>
    <w:rsid w:val="00256451"/>
    <w:rsid w:val="00260641"/>
    <w:rsid w:val="00262431"/>
    <w:rsid w:val="00265E15"/>
    <w:rsid w:val="00265ED0"/>
    <w:rsid w:val="002673BD"/>
    <w:rsid w:val="00270826"/>
    <w:rsid w:val="0027106F"/>
    <w:rsid w:val="0027210B"/>
    <w:rsid w:val="00272310"/>
    <w:rsid w:val="0027467B"/>
    <w:rsid w:val="00275065"/>
    <w:rsid w:val="002757D6"/>
    <w:rsid w:val="00283099"/>
    <w:rsid w:val="00286BB1"/>
    <w:rsid w:val="002870C2"/>
    <w:rsid w:val="002937F9"/>
    <w:rsid w:val="00293C63"/>
    <w:rsid w:val="002957A9"/>
    <w:rsid w:val="00296435"/>
    <w:rsid w:val="0029646C"/>
    <w:rsid w:val="00296E69"/>
    <w:rsid w:val="002A29F4"/>
    <w:rsid w:val="002A57A4"/>
    <w:rsid w:val="002A6101"/>
    <w:rsid w:val="002A72C3"/>
    <w:rsid w:val="002B2A9A"/>
    <w:rsid w:val="002B63A3"/>
    <w:rsid w:val="002B6DA4"/>
    <w:rsid w:val="002C0290"/>
    <w:rsid w:val="002C0E89"/>
    <w:rsid w:val="002C0F7D"/>
    <w:rsid w:val="002C10FF"/>
    <w:rsid w:val="002C40A0"/>
    <w:rsid w:val="002C42F1"/>
    <w:rsid w:val="002C77BC"/>
    <w:rsid w:val="002C79E4"/>
    <w:rsid w:val="002C7F8D"/>
    <w:rsid w:val="002D35D3"/>
    <w:rsid w:val="002D658C"/>
    <w:rsid w:val="002E2FE3"/>
    <w:rsid w:val="002E3A9B"/>
    <w:rsid w:val="002E4402"/>
    <w:rsid w:val="002F05DB"/>
    <w:rsid w:val="002F0CE6"/>
    <w:rsid w:val="002F11AE"/>
    <w:rsid w:val="002F149C"/>
    <w:rsid w:val="002F2244"/>
    <w:rsid w:val="002F5E03"/>
    <w:rsid w:val="002F7F66"/>
    <w:rsid w:val="00302D1D"/>
    <w:rsid w:val="00304F86"/>
    <w:rsid w:val="0030627F"/>
    <w:rsid w:val="00307011"/>
    <w:rsid w:val="003073E4"/>
    <w:rsid w:val="00312BF2"/>
    <w:rsid w:val="003143FF"/>
    <w:rsid w:val="00320243"/>
    <w:rsid w:val="003229AA"/>
    <w:rsid w:val="00323901"/>
    <w:rsid w:val="003242D2"/>
    <w:rsid w:val="00325C10"/>
    <w:rsid w:val="003269CD"/>
    <w:rsid w:val="00327AAB"/>
    <w:rsid w:val="0033106A"/>
    <w:rsid w:val="00332345"/>
    <w:rsid w:val="003328BD"/>
    <w:rsid w:val="003332AF"/>
    <w:rsid w:val="00336768"/>
    <w:rsid w:val="003367C2"/>
    <w:rsid w:val="00336865"/>
    <w:rsid w:val="00336E26"/>
    <w:rsid w:val="003412DC"/>
    <w:rsid w:val="00341377"/>
    <w:rsid w:val="00341C71"/>
    <w:rsid w:val="00343A1B"/>
    <w:rsid w:val="00343EA6"/>
    <w:rsid w:val="00344037"/>
    <w:rsid w:val="00347380"/>
    <w:rsid w:val="00347ABE"/>
    <w:rsid w:val="00351600"/>
    <w:rsid w:val="003526D3"/>
    <w:rsid w:val="003567D5"/>
    <w:rsid w:val="003570F6"/>
    <w:rsid w:val="00363C3E"/>
    <w:rsid w:val="003646CF"/>
    <w:rsid w:val="0036497C"/>
    <w:rsid w:val="00364DB8"/>
    <w:rsid w:val="00365485"/>
    <w:rsid w:val="00365707"/>
    <w:rsid w:val="00366209"/>
    <w:rsid w:val="00366F9B"/>
    <w:rsid w:val="003722D5"/>
    <w:rsid w:val="00374DBE"/>
    <w:rsid w:val="0037528D"/>
    <w:rsid w:val="00376918"/>
    <w:rsid w:val="00377C91"/>
    <w:rsid w:val="00380C43"/>
    <w:rsid w:val="00382AB6"/>
    <w:rsid w:val="00385A57"/>
    <w:rsid w:val="00386521"/>
    <w:rsid w:val="0038715C"/>
    <w:rsid w:val="00390E65"/>
    <w:rsid w:val="00393A96"/>
    <w:rsid w:val="00395FAC"/>
    <w:rsid w:val="00396732"/>
    <w:rsid w:val="003A0BD7"/>
    <w:rsid w:val="003A0C0D"/>
    <w:rsid w:val="003A271A"/>
    <w:rsid w:val="003A29E3"/>
    <w:rsid w:val="003A3291"/>
    <w:rsid w:val="003A34CC"/>
    <w:rsid w:val="003A358A"/>
    <w:rsid w:val="003A3951"/>
    <w:rsid w:val="003A4C15"/>
    <w:rsid w:val="003A6ECF"/>
    <w:rsid w:val="003B55ED"/>
    <w:rsid w:val="003B7433"/>
    <w:rsid w:val="003C1016"/>
    <w:rsid w:val="003C41F2"/>
    <w:rsid w:val="003C6D45"/>
    <w:rsid w:val="003C700C"/>
    <w:rsid w:val="003C71FC"/>
    <w:rsid w:val="003C7A9A"/>
    <w:rsid w:val="003D0A16"/>
    <w:rsid w:val="003D1F25"/>
    <w:rsid w:val="003D20DD"/>
    <w:rsid w:val="003D57BF"/>
    <w:rsid w:val="003D5B35"/>
    <w:rsid w:val="003E02FA"/>
    <w:rsid w:val="003E1CCB"/>
    <w:rsid w:val="003E5662"/>
    <w:rsid w:val="003E64C5"/>
    <w:rsid w:val="003E79DE"/>
    <w:rsid w:val="003F0084"/>
    <w:rsid w:val="003F0D36"/>
    <w:rsid w:val="003F18D4"/>
    <w:rsid w:val="003F1A97"/>
    <w:rsid w:val="003F1AF9"/>
    <w:rsid w:val="003F3B63"/>
    <w:rsid w:val="003F7349"/>
    <w:rsid w:val="00401C42"/>
    <w:rsid w:val="00402060"/>
    <w:rsid w:val="00402693"/>
    <w:rsid w:val="00402C51"/>
    <w:rsid w:val="00402E52"/>
    <w:rsid w:val="00403373"/>
    <w:rsid w:val="00403AE4"/>
    <w:rsid w:val="0040581C"/>
    <w:rsid w:val="00405873"/>
    <w:rsid w:val="00405A62"/>
    <w:rsid w:val="00406A94"/>
    <w:rsid w:val="004070A9"/>
    <w:rsid w:val="00411455"/>
    <w:rsid w:val="004120B2"/>
    <w:rsid w:val="004134F6"/>
    <w:rsid w:val="00414DE1"/>
    <w:rsid w:val="004156A0"/>
    <w:rsid w:val="00416A06"/>
    <w:rsid w:val="004207D7"/>
    <w:rsid w:val="00420E93"/>
    <w:rsid w:val="00423C02"/>
    <w:rsid w:val="00424431"/>
    <w:rsid w:val="0042496B"/>
    <w:rsid w:val="00425581"/>
    <w:rsid w:val="004261B7"/>
    <w:rsid w:val="00427249"/>
    <w:rsid w:val="00435D63"/>
    <w:rsid w:val="00440DE0"/>
    <w:rsid w:val="00441257"/>
    <w:rsid w:val="00442444"/>
    <w:rsid w:val="00442DED"/>
    <w:rsid w:val="004454CF"/>
    <w:rsid w:val="0044728E"/>
    <w:rsid w:val="00447FF1"/>
    <w:rsid w:val="0045063A"/>
    <w:rsid w:val="00454D0B"/>
    <w:rsid w:val="00456454"/>
    <w:rsid w:val="00460549"/>
    <w:rsid w:val="004709E2"/>
    <w:rsid w:val="00471344"/>
    <w:rsid w:val="0047221D"/>
    <w:rsid w:val="004742DF"/>
    <w:rsid w:val="0047464A"/>
    <w:rsid w:val="00477B83"/>
    <w:rsid w:val="00480BB9"/>
    <w:rsid w:val="004825F7"/>
    <w:rsid w:val="00482B0A"/>
    <w:rsid w:val="0048461B"/>
    <w:rsid w:val="00485A89"/>
    <w:rsid w:val="00487A4B"/>
    <w:rsid w:val="004906FD"/>
    <w:rsid w:val="00490E26"/>
    <w:rsid w:val="004920F7"/>
    <w:rsid w:val="00492AF6"/>
    <w:rsid w:val="00495EBA"/>
    <w:rsid w:val="00495FD3"/>
    <w:rsid w:val="004976A6"/>
    <w:rsid w:val="00497DA1"/>
    <w:rsid w:val="00497E1D"/>
    <w:rsid w:val="004A7D5D"/>
    <w:rsid w:val="004B088C"/>
    <w:rsid w:val="004B0996"/>
    <w:rsid w:val="004B1E60"/>
    <w:rsid w:val="004B3683"/>
    <w:rsid w:val="004B717C"/>
    <w:rsid w:val="004C0190"/>
    <w:rsid w:val="004C3A75"/>
    <w:rsid w:val="004C54E3"/>
    <w:rsid w:val="004C6D83"/>
    <w:rsid w:val="004D0718"/>
    <w:rsid w:val="004D25B2"/>
    <w:rsid w:val="004D2CCB"/>
    <w:rsid w:val="004D460F"/>
    <w:rsid w:val="004D5FB6"/>
    <w:rsid w:val="004E01BE"/>
    <w:rsid w:val="004E1500"/>
    <w:rsid w:val="004E1C67"/>
    <w:rsid w:val="004E3375"/>
    <w:rsid w:val="004E3516"/>
    <w:rsid w:val="004E58FF"/>
    <w:rsid w:val="004E6561"/>
    <w:rsid w:val="004E6672"/>
    <w:rsid w:val="004E70BA"/>
    <w:rsid w:val="004E7128"/>
    <w:rsid w:val="004E74FC"/>
    <w:rsid w:val="004F0A32"/>
    <w:rsid w:val="004F10E6"/>
    <w:rsid w:val="004F586F"/>
    <w:rsid w:val="004F6F63"/>
    <w:rsid w:val="005007C6"/>
    <w:rsid w:val="005025A1"/>
    <w:rsid w:val="00502C8A"/>
    <w:rsid w:val="005046D8"/>
    <w:rsid w:val="00506262"/>
    <w:rsid w:val="005069EE"/>
    <w:rsid w:val="00507C08"/>
    <w:rsid w:val="00512C3B"/>
    <w:rsid w:val="0051543A"/>
    <w:rsid w:val="00515F0E"/>
    <w:rsid w:val="005160A0"/>
    <w:rsid w:val="005171AD"/>
    <w:rsid w:val="00517E9B"/>
    <w:rsid w:val="0052120B"/>
    <w:rsid w:val="0052196C"/>
    <w:rsid w:val="00521C09"/>
    <w:rsid w:val="00524BE1"/>
    <w:rsid w:val="00524C2B"/>
    <w:rsid w:val="00525F42"/>
    <w:rsid w:val="0052732A"/>
    <w:rsid w:val="00532043"/>
    <w:rsid w:val="0053273C"/>
    <w:rsid w:val="00532F03"/>
    <w:rsid w:val="00535BFA"/>
    <w:rsid w:val="005430FE"/>
    <w:rsid w:val="005457FB"/>
    <w:rsid w:val="00546200"/>
    <w:rsid w:val="00551400"/>
    <w:rsid w:val="00553BBD"/>
    <w:rsid w:val="00553CCE"/>
    <w:rsid w:val="005547EB"/>
    <w:rsid w:val="005548F9"/>
    <w:rsid w:val="00555098"/>
    <w:rsid w:val="00560D28"/>
    <w:rsid w:val="00561460"/>
    <w:rsid w:val="00564001"/>
    <w:rsid w:val="00564FF3"/>
    <w:rsid w:val="0056559C"/>
    <w:rsid w:val="005665B2"/>
    <w:rsid w:val="00571FCD"/>
    <w:rsid w:val="005732A7"/>
    <w:rsid w:val="00574A09"/>
    <w:rsid w:val="00574CAE"/>
    <w:rsid w:val="0057642D"/>
    <w:rsid w:val="00577475"/>
    <w:rsid w:val="00577F5C"/>
    <w:rsid w:val="00580E49"/>
    <w:rsid w:val="00581353"/>
    <w:rsid w:val="005818B9"/>
    <w:rsid w:val="00584A71"/>
    <w:rsid w:val="005867F2"/>
    <w:rsid w:val="00590B66"/>
    <w:rsid w:val="005914FF"/>
    <w:rsid w:val="00592EBD"/>
    <w:rsid w:val="0059382B"/>
    <w:rsid w:val="00594F6A"/>
    <w:rsid w:val="00596B78"/>
    <w:rsid w:val="005A04A5"/>
    <w:rsid w:val="005A0F53"/>
    <w:rsid w:val="005A2A56"/>
    <w:rsid w:val="005A388A"/>
    <w:rsid w:val="005A3A13"/>
    <w:rsid w:val="005A5E49"/>
    <w:rsid w:val="005A7398"/>
    <w:rsid w:val="005B045D"/>
    <w:rsid w:val="005B19A9"/>
    <w:rsid w:val="005B2816"/>
    <w:rsid w:val="005C0C75"/>
    <w:rsid w:val="005C2096"/>
    <w:rsid w:val="005C20BB"/>
    <w:rsid w:val="005C3553"/>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E703B"/>
    <w:rsid w:val="005F17D7"/>
    <w:rsid w:val="005F5365"/>
    <w:rsid w:val="005F5FCB"/>
    <w:rsid w:val="005F667E"/>
    <w:rsid w:val="005F7573"/>
    <w:rsid w:val="005F7A59"/>
    <w:rsid w:val="006045DF"/>
    <w:rsid w:val="0060499E"/>
    <w:rsid w:val="006060C4"/>
    <w:rsid w:val="00610CB1"/>
    <w:rsid w:val="00610D64"/>
    <w:rsid w:val="00612688"/>
    <w:rsid w:val="006133D2"/>
    <w:rsid w:val="00615F66"/>
    <w:rsid w:val="0062109B"/>
    <w:rsid w:val="006212FA"/>
    <w:rsid w:val="006228F8"/>
    <w:rsid w:val="00625EBE"/>
    <w:rsid w:val="00626972"/>
    <w:rsid w:val="00630A45"/>
    <w:rsid w:val="00630C62"/>
    <w:rsid w:val="006334F8"/>
    <w:rsid w:val="00635788"/>
    <w:rsid w:val="00641CB9"/>
    <w:rsid w:val="00642014"/>
    <w:rsid w:val="0064304E"/>
    <w:rsid w:val="0064394A"/>
    <w:rsid w:val="00645165"/>
    <w:rsid w:val="00645A49"/>
    <w:rsid w:val="00647421"/>
    <w:rsid w:val="006503AC"/>
    <w:rsid w:val="0065051F"/>
    <w:rsid w:val="00651A97"/>
    <w:rsid w:val="006548E6"/>
    <w:rsid w:val="006568EC"/>
    <w:rsid w:val="00657009"/>
    <w:rsid w:val="00657047"/>
    <w:rsid w:val="0065794A"/>
    <w:rsid w:val="00666109"/>
    <w:rsid w:val="00666B8A"/>
    <w:rsid w:val="006671F5"/>
    <w:rsid w:val="00670D11"/>
    <w:rsid w:val="00672003"/>
    <w:rsid w:val="00672575"/>
    <w:rsid w:val="00672979"/>
    <w:rsid w:val="00675602"/>
    <w:rsid w:val="00675DB2"/>
    <w:rsid w:val="00680DF0"/>
    <w:rsid w:val="00686152"/>
    <w:rsid w:val="00686485"/>
    <w:rsid w:val="00687F22"/>
    <w:rsid w:val="00691AD5"/>
    <w:rsid w:val="006938A4"/>
    <w:rsid w:val="006A1BED"/>
    <w:rsid w:val="006A4638"/>
    <w:rsid w:val="006A4BA5"/>
    <w:rsid w:val="006B0CD9"/>
    <w:rsid w:val="006B141F"/>
    <w:rsid w:val="006B28EE"/>
    <w:rsid w:val="006B3F9E"/>
    <w:rsid w:val="006B6FE0"/>
    <w:rsid w:val="006C31CA"/>
    <w:rsid w:val="006C39A1"/>
    <w:rsid w:val="006C4BED"/>
    <w:rsid w:val="006C53D2"/>
    <w:rsid w:val="006C795D"/>
    <w:rsid w:val="006D0603"/>
    <w:rsid w:val="006D18DE"/>
    <w:rsid w:val="006D2642"/>
    <w:rsid w:val="006E0D1E"/>
    <w:rsid w:val="006E1327"/>
    <w:rsid w:val="006E15A7"/>
    <w:rsid w:val="006E23CD"/>
    <w:rsid w:val="006E6AF8"/>
    <w:rsid w:val="006F2504"/>
    <w:rsid w:val="006F4850"/>
    <w:rsid w:val="006F53B0"/>
    <w:rsid w:val="00700F97"/>
    <w:rsid w:val="007014F3"/>
    <w:rsid w:val="0070264A"/>
    <w:rsid w:val="007037DD"/>
    <w:rsid w:val="00703B4D"/>
    <w:rsid w:val="00707B9F"/>
    <w:rsid w:val="00711354"/>
    <w:rsid w:val="00711719"/>
    <w:rsid w:val="00712FD6"/>
    <w:rsid w:val="00714984"/>
    <w:rsid w:val="007151D9"/>
    <w:rsid w:val="00715B04"/>
    <w:rsid w:val="00717563"/>
    <w:rsid w:val="0072325D"/>
    <w:rsid w:val="00725A68"/>
    <w:rsid w:val="00730AB3"/>
    <w:rsid w:val="00732425"/>
    <w:rsid w:val="00732741"/>
    <w:rsid w:val="00733D1E"/>
    <w:rsid w:val="00733ED9"/>
    <w:rsid w:val="0073521A"/>
    <w:rsid w:val="007352EF"/>
    <w:rsid w:val="00735B24"/>
    <w:rsid w:val="0073761F"/>
    <w:rsid w:val="00741706"/>
    <w:rsid w:val="00742BE4"/>
    <w:rsid w:val="00743395"/>
    <w:rsid w:val="00743F86"/>
    <w:rsid w:val="0074530F"/>
    <w:rsid w:val="007507CB"/>
    <w:rsid w:val="00750F54"/>
    <w:rsid w:val="00751293"/>
    <w:rsid w:val="00755DC6"/>
    <w:rsid w:val="007576E3"/>
    <w:rsid w:val="00757D9D"/>
    <w:rsid w:val="007600AC"/>
    <w:rsid w:val="00761E10"/>
    <w:rsid w:val="007640FB"/>
    <w:rsid w:val="00767850"/>
    <w:rsid w:val="00772F15"/>
    <w:rsid w:val="00774C09"/>
    <w:rsid w:val="007755B6"/>
    <w:rsid w:val="00776570"/>
    <w:rsid w:val="0077765E"/>
    <w:rsid w:val="007803FF"/>
    <w:rsid w:val="0078324E"/>
    <w:rsid w:val="00783980"/>
    <w:rsid w:val="00785DFE"/>
    <w:rsid w:val="00787D5F"/>
    <w:rsid w:val="00787E97"/>
    <w:rsid w:val="00790500"/>
    <w:rsid w:val="007916FB"/>
    <w:rsid w:val="007920C2"/>
    <w:rsid w:val="00792C57"/>
    <w:rsid w:val="00792D08"/>
    <w:rsid w:val="007952D3"/>
    <w:rsid w:val="0079643C"/>
    <w:rsid w:val="0079710F"/>
    <w:rsid w:val="00797C09"/>
    <w:rsid w:val="007A0273"/>
    <w:rsid w:val="007A1349"/>
    <w:rsid w:val="007A18FD"/>
    <w:rsid w:val="007A3567"/>
    <w:rsid w:val="007A3B6D"/>
    <w:rsid w:val="007A5883"/>
    <w:rsid w:val="007A7801"/>
    <w:rsid w:val="007B0E83"/>
    <w:rsid w:val="007B21CD"/>
    <w:rsid w:val="007B5948"/>
    <w:rsid w:val="007C012A"/>
    <w:rsid w:val="007C0378"/>
    <w:rsid w:val="007C18C3"/>
    <w:rsid w:val="007C23A0"/>
    <w:rsid w:val="007C27A1"/>
    <w:rsid w:val="007C2AB8"/>
    <w:rsid w:val="007C378E"/>
    <w:rsid w:val="007C49D9"/>
    <w:rsid w:val="007C6BF9"/>
    <w:rsid w:val="007C7ED2"/>
    <w:rsid w:val="007D1730"/>
    <w:rsid w:val="007D2042"/>
    <w:rsid w:val="007D2BFE"/>
    <w:rsid w:val="007D4230"/>
    <w:rsid w:val="007D4D7B"/>
    <w:rsid w:val="007E14DD"/>
    <w:rsid w:val="007E21C3"/>
    <w:rsid w:val="007E3BC6"/>
    <w:rsid w:val="007E5662"/>
    <w:rsid w:val="007E610B"/>
    <w:rsid w:val="007F3623"/>
    <w:rsid w:val="007F5909"/>
    <w:rsid w:val="007F6065"/>
    <w:rsid w:val="007F6B43"/>
    <w:rsid w:val="007F77CD"/>
    <w:rsid w:val="00800EE9"/>
    <w:rsid w:val="00802693"/>
    <w:rsid w:val="00804C62"/>
    <w:rsid w:val="00805B1D"/>
    <w:rsid w:val="0081295B"/>
    <w:rsid w:val="00812E73"/>
    <w:rsid w:val="00813B6F"/>
    <w:rsid w:val="008200F1"/>
    <w:rsid w:val="00820E6A"/>
    <w:rsid w:val="0082494B"/>
    <w:rsid w:val="00826D3D"/>
    <w:rsid w:val="0083232E"/>
    <w:rsid w:val="00833881"/>
    <w:rsid w:val="00834026"/>
    <w:rsid w:val="00836F81"/>
    <w:rsid w:val="00837950"/>
    <w:rsid w:val="008405E8"/>
    <w:rsid w:val="00841659"/>
    <w:rsid w:val="008421EA"/>
    <w:rsid w:val="00847462"/>
    <w:rsid w:val="008529D0"/>
    <w:rsid w:val="00855B7C"/>
    <w:rsid w:val="00861B2D"/>
    <w:rsid w:val="00861CC1"/>
    <w:rsid w:val="008621D6"/>
    <w:rsid w:val="008661D2"/>
    <w:rsid w:val="00871BD1"/>
    <w:rsid w:val="00872D79"/>
    <w:rsid w:val="008764CF"/>
    <w:rsid w:val="008800E2"/>
    <w:rsid w:val="00880302"/>
    <w:rsid w:val="008847E0"/>
    <w:rsid w:val="00884A91"/>
    <w:rsid w:val="00884AF0"/>
    <w:rsid w:val="00885A66"/>
    <w:rsid w:val="00887811"/>
    <w:rsid w:val="008901CD"/>
    <w:rsid w:val="00890231"/>
    <w:rsid w:val="00890489"/>
    <w:rsid w:val="00890765"/>
    <w:rsid w:val="00890A16"/>
    <w:rsid w:val="008911A6"/>
    <w:rsid w:val="0089224C"/>
    <w:rsid w:val="008965FC"/>
    <w:rsid w:val="00896DB8"/>
    <w:rsid w:val="008A04AD"/>
    <w:rsid w:val="008A0AE3"/>
    <w:rsid w:val="008A0D3A"/>
    <w:rsid w:val="008A0EF2"/>
    <w:rsid w:val="008A13F6"/>
    <w:rsid w:val="008A1B60"/>
    <w:rsid w:val="008A26E8"/>
    <w:rsid w:val="008A3D32"/>
    <w:rsid w:val="008A5870"/>
    <w:rsid w:val="008A5DD5"/>
    <w:rsid w:val="008A64AA"/>
    <w:rsid w:val="008A6DDA"/>
    <w:rsid w:val="008B02F9"/>
    <w:rsid w:val="008B09DB"/>
    <w:rsid w:val="008B4A30"/>
    <w:rsid w:val="008B7DD7"/>
    <w:rsid w:val="008C117F"/>
    <w:rsid w:val="008C15A7"/>
    <w:rsid w:val="008C1D70"/>
    <w:rsid w:val="008C23F1"/>
    <w:rsid w:val="008C2B87"/>
    <w:rsid w:val="008C38FE"/>
    <w:rsid w:val="008C628F"/>
    <w:rsid w:val="008C6FFC"/>
    <w:rsid w:val="008D027A"/>
    <w:rsid w:val="008D2C3B"/>
    <w:rsid w:val="008D2F4A"/>
    <w:rsid w:val="008D3896"/>
    <w:rsid w:val="008D3FB6"/>
    <w:rsid w:val="008D52B6"/>
    <w:rsid w:val="008D64ED"/>
    <w:rsid w:val="008D6FBE"/>
    <w:rsid w:val="008E02E5"/>
    <w:rsid w:val="008E0640"/>
    <w:rsid w:val="008E1131"/>
    <w:rsid w:val="008E45F9"/>
    <w:rsid w:val="008E5BB1"/>
    <w:rsid w:val="008E7009"/>
    <w:rsid w:val="008E74ED"/>
    <w:rsid w:val="008E7D39"/>
    <w:rsid w:val="008F5629"/>
    <w:rsid w:val="008F5EC2"/>
    <w:rsid w:val="00901DA5"/>
    <w:rsid w:val="00902FB5"/>
    <w:rsid w:val="0090335E"/>
    <w:rsid w:val="009042F5"/>
    <w:rsid w:val="00905A06"/>
    <w:rsid w:val="00906D49"/>
    <w:rsid w:val="009070F5"/>
    <w:rsid w:val="00911EFF"/>
    <w:rsid w:val="009123E3"/>
    <w:rsid w:val="009125B8"/>
    <w:rsid w:val="009136EB"/>
    <w:rsid w:val="00913ECD"/>
    <w:rsid w:val="009149F1"/>
    <w:rsid w:val="00914CC9"/>
    <w:rsid w:val="00914D92"/>
    <w:rsid w:val="00915994"/>
    <w:rsid w:val="00916FDB"/>
    <w:rsid w:val="00922335"/>
    <w:rsid w:val="00923493"/>
    <w:rsid w:val="00924C24"/>
    <w:rsid w:val="00927F56"/>
    <w:rsid w:val="0093033C"/>
    <w:rsid w:val="00930C1D"/>
    <w:rsid w:val="009356C5"/>
    <w:rsid w:val="00935817"/>
    <w:rsid w:val="009360BD"/>
    <w:rsid w:val="0094096F"/>
    <w:rsid w:val="00942C0F"/>
    <w:rsid w:val="009437DF"/>
    <w:rsid w:val="00944599"/>
    <w:rsid w:val="00946AE0"/>
    <w:rsid w:val="00950B11"/>
    <w:rsid w:val="0095322A"/>
    <w:rsid w:val="0095383D"/>
    <w:rsid w:val="00953A94"/>
    <w:rsid w:val="009553F5"/>
    <w:rsid w:val="0095559F"/>
    <w:rsid w:val="009606F8"/>
    <w:rsid w:val="00960E91"/>
    <w:rsid w:val="009635A5"/>
    <w:rsid w:val="00966987"/>
    <w:rsid w:val="009669B2"/>
    <w:rsid w:val="00966D2A"/>
    <w:rsid w:val="009676B9"/>
    <w:rsid w:val="00970DE9"/>
    <w:rsid w:val="009746D4"/>
    <w:rsid w:val="009746D8"/>
    <w:rsid w:val="00977DF9"/>
    <w:rsid w:val="009801BF"/>
    <w:rsid w:val="00982FFF"/>
    <w:rsid w:val="00983F35"/>
    <w:rsid w:val="00985B59"/>
    <w:rsid w:val="0098641C"/>
    <w:rsid w:val="00987DF2"/>
    <w:rsid w:val="009901D6"/>
    <w:rsid w:val="00992087"/>
    <w:rsid w:val="00992710"/>
    <w:rsid w:val="00992DAC"/>
    <w:rsid w:val="0099319B"/>
    <w:rsid w:val="009955A7"/>
    <w:rsid w:val="00995E3E"/>
    <w:rsid w:val="00996B0A"/>
    <w:rsid w:val="009A4BDC"/>
    <w:rsid w:val="009A57A5"/>
    <w:rsid w:val="009A595E"/>
    <w:rsid w:val="009B10B3"/>
    <w:rsid w:val="009B242B"/>
    <w:rsid w:val="009B252C"/>
    <w:rsid w:val="009B32D7"/>
    <w:rsid w:val="009B3986"/>
    <w:rsid w:val="009C26D8"/>
    <w:rsid w:val="009C3A14"/>
    <w:rsid w:val="009C4F99"/>
    <w:rsid w:val="009E104B"/>
    <w:rsid w:val="009E2539"/>
    <w:rsid w:val="009E3171"/>
    <w:rsid w:val="009E3974"/>
    <w:rsid w:val="009E39CE"/>
    <w:rsid w:val="009E4CE2"/>
    <w:rsid w:val="009E5220"/>
    <w:rsid w:val="009E6F97"/>
    <w:rsid w:val="009F1988"/>
    <w:rsid w:val="009F3211"/>
    <w:rsid w:val="009F3F34"/>
    <w:rsid w:val="009F46E7"/>
    <w:rsid w:val="009F61D3"/>
    <w:rsid w:val="00A01333"/>
    <w:rsid w:val="00A01FB2"/>
    <w:rsid w:val="00A07733"/>
    <w:rsid w:val="00A12816"/>
    <w:rsid w:val="00A1281A"/>
    <w:rsid w:val="00A12B40"/>
    <w:rsid w:val="00A143DD"/>
    <w:rsid w:val="00A162E6"/>
    <w:rsid w:val="00A17D1D"/>
    <w:rsid w:val="00A200C9"/>
    <w:rsid w:val="00A20966"/>
    <w:rsid w:val="00A20C10"/>
    <w:rsid w:val="00A2158C"/>
    <w:rsid w:val="00A239F9"/>
    <w:rsid w:val="00A240E5"/>
    <w:rsid w:val="00A26EC4"/>
    <w:rsid w:val="00A30816"/>
    <w:rsid w:val="00A30A15"/>
    <w:rsid w:val="00A31BE9"/>
    <w:rsid w:val="00A33BCC"/>
    <w:rsid w:val="00A3491E"/>
    <w:rsid w:val="00A3517E"/>
    <w:rsid w:val="00A37E7E"/>
    <w:rsid w:val="00A40509"/>
    <w:rsid w:val="00A40923"/>
    <w:rsid w:val="00A41806"/>
    <w:rsid w:val="00A420BB"/>
    <w:rsid w:val="00A42213"/>
    <w:rsid w:val="00A428C2"/>
    <w:rsid w:val="00A43AF6"/>
    <w:rsid w:val="00A45B5F"/>
    <w:rsid w:val="00A45C77"/>
    <w:rsid w:val="00A4716C"/>
    <w:rsid w:val="00A5794C"/>
    <w:rsid w:val="00A60B79"/>
    <w:rsid w:val="00A611D5"/>
    <w:rsid w:val="00A63B89"/>
    <w:rsid w:val="00A63DFA"/>
    <w:rsid w:val="00A64421"/>
    <w:rsid w:val="00A64D50"/>
    <w:rsid w:val="00A650BA"/>
    <w:rsid w:val="00A65E59"/>
    <w:rsid w:val="00A67535"/>
    <w:rsid w:val="00A67927"/>
    <w:rsid w:val="00A7128E"/>
    <w:rsid w:val="00A715A3"/>
    <w:rsid w:val="00A7238F"/>
    <w:rsid w:val="00A725A4"/>
    <w:rsid w:val="00A72DDC"/>
    <w:rsid w:val="00A90A25"/>
    <w:rsid w:val="00A91F48"/>
    <w:rsid w:val="00A92A3F"/>
    <w:rsid w:val="00A939BC"/>
    <w:rsid w:val="00A93D60"/>
    <w:rsid w:val="00A9492D"/>
    <w:rsid w:val="00A955D9"/>
    <w:rsid w:val="00A9777F"/>
    <w:rsid w:val="00AA04DF"/>
    <w:rsid w:val="00AA097C"/>
    <w:rsid w:val="00AA2200"/>
    <w:rsid w:val="00AA43E4"/>
    <w:rsid w:val="00AA64FB"/>
    <w:rsid w:val="00AA6BD5"/>
    <w:rsid w:val="00AB0406"/>
    <w:rsid w:val="00AB0C55"/>
    <w:rsid w:val="00AB3442"/>
    <w:rsid w:val="00AB3647"/>
    <w:rsid w:val="00AB370F"/>
    <w:rsid w:val="00AB3AB7"/>
    <w:rsid w:val="00AB492E"/>
    <w:rsid w:val="00AB539C"/>
    <w:rsid w:val="00AC0714"/>
    <w:rsid w:val="00AC260E"/>
    <w:rsid w:val="00AC2749"/>
    <w:rsid w:val="00AC3EF3"/>
    <w:rsid w:val="00AC4206"/>
    <w:rsid w:val="00AC4CB3"/>
    <w:rsid w:val="00AC5561"/>
    <w:rsid w:val="00AC6723"/>
    <w:rsid w:val="00AC7CC2"/>
    <w:rsid w:val="00AD1409"/>
    <w:rsid w:val="00AD2C1D"/>
    <w:rsid w:val="00AD2FDA"/>
    <w:rsid w:val="00AD318A"/>
    <w:rsid w:val="00AD3862"/>
    <w:rsid w:val="00AD3BA7"/>
    <w:rsid w:val="00AD4C82"/>
    <w:rsid w:val="00AD56FF"/>
    <w:rsid w:val="00AD6369"/>
    <w:rsid w:val="00AD7490"/>
    <w:rsid w:val="00AE3BDB"/>
    <w:rsid w:val="00AE5649"/>
    <w:rsid w:val="00AE59B1"/>
    <w:rsid w:val="00AF319F"/>
    <w:rsid w:val="00AF77CA"/>
    <w:rsid w:val="00B022E4"/>
    <w:rsid w:val="00B02301"/>
    <w:rsid w:val="00B02802"/>
    <w:rsid w:val="00B0347E"/>
    <w:rsid w:val="00B0411D"/>
    <w:rsid w:val="00B07D2B"/>
    <w:rsid w:val="00B11FF4"/>
    <w:rsid w:val="00B1270A"/>
    <w:rsid w:val="00B12ACE"/>
    <w:rsid w:val="00B15265"/>
    <w:rsid w:val="00B20DCA"/>
    <w:rsid w:val="00B23D22"/>
    <w:rsid w:val="00B25390"/>
    <w:rsid w:val="00B267A3"/>
    <w:rsid w:val="00B2730F"/>
    <w:rsid w:val="00B30277"/>
    <w:rsid w:val="00B312AC"/>
    <w:rsid w:val="00B32109"/>
    <w:rsid w:val="00B341F1"/>
    <w:rsid w:val="00B35329"/>
    <w:rsid w:val="00B37210"/>
    <w:rsid w:val="00B4067E"/>
    <w:rsid w:val="00B41A08"/>
    <w:rsid w:val="00B423E1"/>
    <w:rsid w:val="00B425A5"/>
    <w:rsid w:val="00B4372D"/>
    <w:rsid w:val="00B440EB"/>
    <w:rsid w:val="00B44A30"/>
    <w:rsid w:val="00B456C7"/>
    <w:rsid w:val="00B50B2D"/>
    <w:rsid w:val="00B534EC"/>
    <w:rsid w:val="00B564FE"/>
    <w:rsid w:val="00B56B8D"/>
    <w:rsid w:val="00B602AB"/>
    <w:rsid w:val="00B61209"/>
    <w:rsid w:val="00B64636"/>
    <w:rsid w:val="00B64D46"/>
    <w:rsid w:val="00B65B18"/>
    <w:rsid w:val="00B65D30"/>
    <w:rsid w:val="00B6604D"/>
    <w:rsid w:val="00B664EF"/>
    <w:rsid w:val="00B70432"/>
    <w:rsid w:val="00B74EBD"/>
    <w:rsid w:val="00B750D0"/>
    <w:rsid w:val="00B75420"/>
    <w:rsid w:val="00B75D7B"/>
    <w:rsid w:val="00B76F60"/>
    <w:rsid w:val="00B779A9"/>
    <w:rsid w:val="00B82EAA"/>
    <w:rsid w:val="00B82F22"/>
    <w:rsid w:val="00B83763"/>
    <w:rsid w:val="00B83997"/>
    <w:rsid w:val="00B878E2"/>
    <w:rsid w:val="00B91BFB"/>
    <w:rsid w:val="00B922ED"/>
    <w:rsid w:val="00B947B5"/>
    <w:rsid w:val="00B94967"/>
    <w:rsid w:val="00BA099A"/>
    <w:rsid w:val="00BA0D5A"/>
    <w:rsid w:val="00BA22C5"/>
    <w:rsid w:val="00BA3AA3"/>
    <w:rsid w:val="00BA41E0"/>
    <w:rsid w:val="00BA454E"/>
    <w:rsid w:val="00BA4CD6"/>
    <w:rsid w:val="00BA4E2C"/>
    <w:rsid w:val="00BA56DA"/>
    <w:rsid w:val="00BA5A9A"/>
    <w:rsid w:val="00BA61EE"/>
    <w:rsid w:val="00BA761C"/>
    <w:rsid w:val="00BA7815"/>
    <w:rsid w:val="00BB4AFF"/>
    <w:rsid w:val="00BB626D"/>
    <w:rsid w:val="00BC3295"/>
    <w:rsid w:val="00BC3D9E"/>
    <w:rsid w:val="00BC63F3"/>
    <w:rsid w:val="00BD0739"/>
    <w:rsid w:val="00BD12AB"/>
    <w:rsid w:val="00BD1A10"/>
    <w:rsid w:val="00BD3F1E"/>
    <w:rsid w:val="00BD4BF4"/>
    <w:rsid w:val="00BD5EC2"/>
    <w:rsid w:val="00BE2C51"/>
    <w:rsid w:val="00BE63CA"/>
    <w:rsid w:val="00BF039D"/>
    <w:rsid w:val="00BF12B8"/>
    <w:rsid w:val="00BF45FB"/>
    <w:rsid w:val="00BF59D9"/>
    <w:rsid w:val="00BF65E6"/>
    <w:rsid w:val="00BF6D49"/>
    <w:rsid w:val="00C00E04"/>
    <w:rsid w:val="00C01793"/>
    <w:rsid w:val="00C01E41"/>
    <w:rsid w:val="00C02DBF"/>
    <w:rsid w:val="00C03332"/>
    <w:rsid w:val="00C040AB"/>
    <w:rsid w:val="00C0430D"/>
    <w:rsid w:val="00C06014"/>
    <w:rsid w:val="00C071C9"/>
    <w:rsid w:val="00C07B1D"/>
    <w:rsid w:val="00C13C8E"/>
    <w:rsid w:val="00C143E8"/>
    <w:rsid w:val="00C160A7"/>
    <w:rsid w:val="00C1732D"/>
    <w:rsid w:val="00C17668"/>
    <w:rsid w:val="00C213F6"/>
    <w:rsid w:val="00C21A09"/>
    <w:rsid w:val="00C22270"/>
    <w:rsid w:val="00C2242E"/>
    <w:rsid w:val="00C243DF"/>
    <w:rsid w:val="00C24C71"/>
    <w:rsid w:val="00C24D82"/>
    <w:rsid w:val="00C25CE4"/>
    <w:rsid w:val="00C26338"/>
    <w:rsid w:val="00C2651E"/>
    <w:rsid w:val="00C321EA"/>
    <w:rsid w:val="00C33891"/>
    <w:rsid w:val="00C33E69"/>
    <w:rsid w:val="00C34B2A"/>
    <w:rsid w:val="00C35C14"/>
    <w:rsid w:val="00C37122"/>
    <w:rsid w:val="00C46D95"/>
    <w:rsid w:val="00C47091"/>
    <w:rsid w:val="00C47468"/>
    <w:rsid w:val="00C50412"/>
    <w:rsid w:val="00C50FB8"/>
    <w:rsid w:val="00C5123D"/>
    <w:rsid w:val="00C5142A"/>
    <w:rsid w:val="00C534C8"/>
    <w:rsid w:val="00C54244"/>
    <w:rsid w:val="00C55B9C"/>
    <w:rsid w:val="00C5685E"/>
    <w:rsid w:val="00C56C15"/>
    <w:rsid w:val="00C60711"/>
    <w:rsid w:val="00C63BD4"/>
    <w:rsid w:val="00C63FE9"/>
    <w:rsid w:val="00C64D95"/>
    <w:rsid w:val="00C65016"/>
    <w:rsid w:val="00C70AEF"/>
    <w:rsid w:val="00C70FAF"/>
    <w:rsid w:val="00C73929"/>
    <w:rsid w:val="00C757B2"/>
    <w:rsid w:val="00C77407"/>
    <w:rsid w:val="00C8071F"/>
    <w:rsid w:val="00C82B39"/>
    <w:rsid w:val="00C82D38"/>
    <w:rsid w:val="00C839E5"/>
    <w:rsid w:val="00C83FC3"/>
    <w:rsid w:val="00C84977"/>
    <w:rsid w:val="00C85260"/>
    <w:rsid w:val="00C861D2"/>
    <w:rsid w:val="00C87D72"/>
    <w:rsid w:val="00C92281"/>
    <w:rsid w:val="00C92CDA"/>
    <w:rsid w:val="00C9472B"/>
    <w:rsid w:val="00C95A4E"/>
    <w:rsid w:val="00C96597"/>
    <w:rsid w:val="00C969F3"/>
    <w:rsid w:val="00C97211"/>
    <w:rsid w:val="00CA12A7"/>
    <w:rsid w:val="00CA1EB2"/>
    <w:rsid w:val="00CA2653"/>
    <w:rsid w:val="00CA2747"/>
    <w:rsid w:val="00CB2099"/>
    <w:rsid w:val="00CB418B"/>
    <w:rsid w:val="00CB4932"/>
    <w:rsid w:val="00CC0028"/>
    <w:rsid w:val="00CC0106"/>
    <w:rsid w:val="00CC0728"/>
    <w:rsid w:val="00CC0B86"/>
    <w:rsid w:val="00CC1069"/>
    <w:rsid w:val="00CC1B36"/>
    <w:rsid w:val="00CC4EF4"/>
    <w:rsid w:val="00CC5842"/>
    <w:rsid w:val="00CC5A7E"/>
    <w:rsid w:val="00CC60E7"/>
    <w:rsid w:val="00CC7753"/>
    <w:rsid w:val="00CD0141"/>
    <w:rsid w:val="00CD04D3"/>
    <w:rsid w:val="00CD0C0E"/>
    <w:rsid w:val="00CD11C3"/>
    <w:rsid w:val="00CD2143"/>
    <w:rsid w:val="00CD22C1"/>
    <w:rsid w:val="00CD4CA7"/>
    <w:rsid w:val="00CD5C01"/>
    <w:rsid w:val="00CE142D"/>
    <w:rsid w:val="00CE233A"/>
    <w:rsid w:val="00CE2643"/>
    <w:rsid w:val="00CF2F05"/>
    <w:rsid w:val="00CF3CCE"/>
    <w:rsid w:val="00CF5D22"/>
    <w:rsid w:val="00CF60F8"/>
    <w:rsid w:val="00CF689A"/>
    <w:rsid w:val="00D0111E"/>
    <w:rsid w:val="00D01FBF"/>
    <w:rsid w:val="00D035FA"/>
    <w:rsid w:val="00D061BC"/>
    <w:rsid w:val="00D06F31"/>
    <w:rsid w:val="00D10555"/>
    <w:rsid w:val="00D1206A"/>
    <w:rsid w:val="00D15326"/>
    <w:rsid w:val="00D222D8"/>
    <w:rsid w:val="00D27EAA"/>
    <w:rsid w:val="00D30298"/>
    <w:rsid w:val="00D304D1"/>
    <w:rsid w:val="00D33155"/>
    <w:rsid w:val="00D33DA9"/>
    <w:rsid w:val="00D34D9F"/>
    <w:rsid w:val="00D358ED"/>
    <w:rsid w:val="00D36966"/>
    <w:rsid w:val="00D40E4E"/>
    <w:rsid w:val="00D42F9A"/>
    <w:rsid w:val="00D4327E"/>
    <w:rsid w:val="00D43C47"/>
    <w:rsid w:val="00D4502B"/>
    <w:rsid w:val="00D45CFF"/>
    <w:rsid w:val="00D467F6"/>
    <w:rsid w:val="00D50A88"/>
    <w:rsid w:val="00D50AA7"/>
    <w:rsid w:val="00D50D04"/>
    <w:rsid w:val="00D51A6A"/>
    <w:rsid w:val="00D51BF9"/>
    <w:rsid w:val="00D52499"/>
    <w:rsid w:val="00D52833"/>
    <w:rsid w:val="00D53BE1"/>
    <w:rsid w:val="00D608D7"/>
    <w:rsid w:val="00D61C41"/>
    <w:rsid w:val="00D62311"/>
    <w:rsid w:val="00D62BB9"/>
    <w:rsid w:val="00D67BFF"/>
    <w:rsid w:val="00D72203"/>
    <w:rsid w:val="00D72818"/>
    <w:rsid w:val="00D72D29"/>
    <w:rsid w:val="00D735E3"/>
    <w:rsid w:val="00D74F65"/>
    <w:rsid w:val="00D76D58"/>
    <w:rsid w:val="00D80F6C"/>
    <w:rsid w:val="00D81637"/>
    <w:rsid w:val="00D81D67"/>
    <w:rsid w:val="00D85BB3"/>
    <w:rsid w:val="00D86D2A"/>
    <w:rsid w:val="00D873E7"/>
    <w:rsid w:val="00D93293"/>
    <w:rsid w:val="00D9391D"/>
    <w:rsid w:val="00D9415C"/>
    <w:rsid w:val="00D9574F"/>
    <w:rsid w:val="00D96034"/>
    <w:rsid w:val="00D96FAA"/>
    <w:rsid w:val="00D97C6A"/>
    <w:rsid w:val="00D97F3C"/>
    <w:rsid w:val="00DA39B1"/>
    <w:rsid w:val="00DA47F9"/>
    <w:rsid w:val="00DA7254"/>
    <w:rsid w:val="00DB1780"/>
    <w:rsid w:val="00DB2833"/>
    <w:rsid w:val="00DB3B4C"/>
    <w:rsid w:val="00DB6AD2"/>
    <w:rsid w:val="00DB6EFB"/>
    <w:rsid w:val="00DB78AA"/>
    <w:rsid w:val="00DB7978"/>
    <w:rsid w:val="00DC03BB"/>
    <w:rsid w:val="00DC13C7"/>
    <w:rsid w:val="00DC2F75"/>
    <w:rsid w:val="00DC686D"/>
    <w:rsid w:val="00DC7046"/>
    <w:rsid w:val="00DD0F30"/>
    <w:rsid w:val="00DD2111"/>
    <w:rsid w:val="00DD355A"/>
    <w:rsid w:val="00DD3616"/>
    <w:rsid w:val="00DE0A50"/>
    <w:rsid w:val="00DE0B13"/>
    <w:rsid w:val="00DE2A58"/>
    <w:rsid w:val="00DE6E03"/>
    <w:rsid w:val="00DE7467"/>
    <w:rsid w:val="00DF27AD"/>
    <w:rsid w:val="00DF5C3D"/>
    <w:rsid w:val="00DF6D67"/>
    <w:rsid w:val="00DF7A67"/>
    <w:rsid w:val="00E00CCB"/>
    <w:rsid w:val="00E0170F"/>
    <w:rsid w:val="00E01972"/>
    <w:rsid w:val="00E046CD"/>
    <w:rsid w:val="00E05C18"/>
    <w:rsid w:val="00E06384"/>
    <w:rsid w:val="00E115EE"/>
    <w:rsid w:val="00E12D64"/>
    <w:rsid w:val="00E1335F"/>
    <w:rsid w:val="00E147C5"/>
    <w:rsid w:val="00E14C28"/>
    <w:rsid w:val="00E212D0"/>
    <w:rsid w:val="00E21C9C"/>
    <w:rsid w:val="00E22161"/>
    <w:rsid w:val="00E2352B"/>
    <w:rsid w:val="00E2378E"/>
    <w:rsid w:val="00E26242"/>
    <w:rsid w:val="00E26CDE"/>
    <w:rsid w:val="00E26F1E"/>
    <w:rsid w:val="00E3021A"/>
    <w:rsid w:val="00E30BFD"/>
    <w:rsid w:val="00E326F4"/>
    <w:rsid w:val="00E34B83"/>
    <w:rsid w:val="00E36DF4"/>
    <w:rsid w:val="00E371BB"/>
    <w:rsid w:val="00E42448"/>
    <w:rsid w:val="00E42DB0"/>
    <w:rsid w:val="00E476B6"/>
    <w:rsid w:val="00E479CD"/>
    <w:rsid w:val="00E47D47"/>
    <w:rsid w:val="00E51B0C"/>
    <w:rsid w:val="00E51FF8"/>
    <w:rsid w:val="00E529BC"/>
    <w:rsid w:val="00E537B4"/>
    <w:rsid w:val="00E61DD6"/>
    <w:rsid w:val="00E62BED"/>
    <w:rsid w:val="00E73966"/>
    <w:rsid w:val="00E73A1B"/>
    <w:rsid w:val="00E76310"/>
    <w:rsid w:val="00E7672E"/>
    <w:rsid w:val="00E814FF"/>
    <w:rsid w:val="00E83CB5"/>
    <w:rsid w:val="00E85474"/>
    <w:rsid w:val="00E85483"/>
    <w:rsid w:val="00E876A1"/>
    <w:rsid w:val="00E87CFE"/>
    <w:rsid w:val="00E91A76"/>
    <w:rsid w:val="00E924EE"/>
    <w:rsid w:val="00E94FEE"/>
    <w:rsid w:val="00E95A6B"/>
    <w:rsid w:val="00EA0056"/>
    <w:rsid w:val="00EA14B9"/>
    <w:rsid w:val="00EB00FD"/>
    <w:rsid w:val="00EB0254"/>
    <w:rsid w:val="00EB0B7B"/>
    <w:rsid w:val="00EB1707"/>
    <w:rsid w:val="00EB256F"/>
    <w:rsid w:val="00EB31CA"/>
    <w:rsid w:val="00EB5B57"/>
    <w:rsid w:val="00EB71AE"/>
    <w:rsid w:val="00EB7BDE"/>
    <w:rsid w:val="00EC0C5E"/>
    <w:rsid w:val="00EC1470"/>
    <w:rsid w:val="00EC18DC"/>
    <w:rsid w:val="00EC6938"/>
    <w:rsid w:val="00ED148F"/>
    <w:rsid w:val="00ED153A"/>
    <w:rsid w:val="00ED310D"/>
    <w:rsid w:val="00ED3249"/>
    <w:rsid w:val="00ED3B47"/>
    <w:rsid w:val="00ED573F"/>
    <w:rsid w:val="00EE54A3"/>
    <w:rsid w:val="00EE7017"/>
    <w:rsid w:val="00EE7651"/>
    <w:rsid w:val="00EF2A15"/>
    <w:rsid w:val="00EF2F9D"/>
    <w:rsid w:val="00EF41E9"/>
    <w:rsid w:val="00EF4880"/>
    <w:rsid w:val="00EF4F03"/>
    <w:rsid w:val="00EF54E6"/>
    <w:rsid w:val="00F00C4C"/>
    <w:rsid w:val="00F02FB6"/>
    <w:rsid w:val="00F037D4"/>
    <w:rsid w:val="00F03BA0"/>
    <w:rsid w:val="00F04553"/>
    <w:rsid w:val="00F057F6"/>
    <w:rsid w:val="00F07689"/>
    <w:rsid w:val="00F10055"/>
    <w:rsid w:val="00F10548"/>
    <w:rsid w:val="00F11995"/>
    <w:rsid w:val="00F126D4"/>
    <w:rsid w:val="00F1343A"/>
    <w:rsid w:val="00F13B15"/>
    <w:rsid w:val="00F1449F"/>
    <w:rsid w:val="00F157AC"/>
    <w:rsid w:val="00F15ED1"/>
    <w:rsid w:val="00F17941"/>
    <w:rsid w:val="00F21027"/>
    <w:rsid w:val="00F275BD"/>
    <w:rsid w:val="00F27877"/>
    <w:rsid w:val="00F3058D"/>
    <w:rsid w:val="00F33606"/>
    <w:rsid w:val="00F35903"/>
    <w:rsid w:val="00F3623A"/>
    <w:rsid w:val="00F3797F"/>
    <w:rsid w:val="00F37E3B"/>
    <w:rsid w:val="00F41EA3"/>
    <w:rsid w:val="00F44A78"/>
    <w:rsid w:val="00F4594E"/>
    <w:rsid w:val="00F45A0E"/>
    <w:rsid w:val="00F46935"/>
    <w:rsid w:val="00F4771F"/>
    <w:rsid w:val="00F504C6"/>
    <w:rsid w:val="00F5332E"/>
    <w:rsid w:val="00F54B0B"/>
    <w:rsid w:val="00F54EC9"/>
    <w:rsid w:val="00F55371"/>
    <w:rsid w:val="00F57858"/>
    <w:rsid w:val="00F60524"/>
    <w:rsid w:val="00F60AAA"/>
    <w:rsid w:val="00F61562"/>
    <w:rsid w:val="00F656B1"/>
    <w:rsid w:val="00F72662"/>
    <w:rsid w:val="00F738AB"/>
    <w:rsid w:val="00F7544B"/>
    <w:rsid w:val="00F7748A"/>
    <w:rsid w:val="00F77F9B"/>
    <w:rsid w:val="00F8004D"/>
    <w:rsid w:val="00F80AF7"/>
    <w:rsid w:val="00F81BE7"/>
    <w:rsid w:val="00F8464C"/>
    <w:rsid w:val="00F85736"/>
    <w:rsid w:val="00F8632C"/>
    <w:rsid w:val="00F87B42"/>
    <w:rsid w:val="00F93C04"/>
    <w:rsid w:val="00F94F72"/>
    <w:rsid w:val="00F96701"/>
    <w:rsid w:val="00FA2260"/>
    <w:rsid w:val="00FA33E4"/>
    <w:rsid w:val="00FA5AE3"/>
    <w:rsid w:val="00FA61AA"/>
    <w:rsid w:val="00FA6DE7"/>
    <w:rsid w:val="00FB2765"/>
    <w:rsid w:val="00FB2A3E"/>
    <w:rsid w:val="00FB35D0"/>
    <w:rsid w:val="00FB515C"/>
    <w:rsid w:val="00FC1CF1"/>
    <w:rsid w:val="00FD0E8A"/>
    <w:rsid w:val="00FD189C"/>
    <w:rsid w:val="00FD212A"/>
    <w:rsid w:val="00FD41B2"/>
    <w:rsid w:val="00FD4915"/>
    <w:rsid w:val="00FD4B3A"/>
    <w:rsid w:val="00FD4C92"/>
    <w:rsid w:val="00FE03CA"/>
    <w:rsid w:val="00FE1E53"/>
    <w:rsid w:val="00FE6284"/>
    <w:rsid w:val="00FE79D3"/>
    <w:rsid w:val="00FF0611"/>
    <w:rsid w:val="00FF16E6"/>
    <w:rsid w:val="00FF20D1"/>
    <w:rsid w:val="00FF5B0A"/>
    <w:rsid w:val="00FF7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A617869"/>
  <w15:docId w15:val="{7874B595-6EAC-4D59-91B7-91D763D4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3B0"/>
    <w:pPr>
      <w:spacing w:line="260" w:lineRule="atLeast"/>
    </w:pPr>
    <w:rPr>
      <w:rFonts w:eastAsiaTheme="minorHAnsi" w:cstheme="minorBidi"/>
      <w:sz w:val="22"/>
      <w:lang w:eastAsia="en-US"/>
    </w:rPr>
  </w:style>
  <w:style w:type="paragraph" w:styleId="Heading1">
    <w:name w:val="heading 1"/>
    <w:basedOn w:val="Actno"/>
    <w:next w:val="Normal"/>
    <w:qFormat/>
    <w:rsid w:val="00226D36"/>
    <w:pPr>
      <w:outlineLvl w:val="0"/>
    </w:pPr>
  </w:style>
  <w:style w:type="paragraph" w:styleId="Heading2">
    <w:name w:val="heading 2"/>
    <w:basedOn w:val="ActHead5"/>
    <w:next w:val="Normal"/>
    <w:qFormat/>
    <w:rsid w:val="00551400"/>
    <w:pPr>
      <w:spacing w:before="240"/>
      <w:outlineLvl w:val="1"/>
    </w:p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6F53B0"/>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auto"/>
      <w:u w:val="single"/>
    </w:rPr>
  </w:style>
  <w:style w:type="paragraph" w:styleId="Header">
    <w:name w:val="header"/>
    <w:basedOn w:val="OPCParaBase"/>
    <w:link w:val="HeaderChar"/>
    <w:unhideWhenUsed/>
    <w:rsid w:val="006F53B0"/>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uiPriority w:val="99"/>
    <w:rsid w:val="00772F15"/>
    <w:rPr>
      <w:color w:val="auto"/>
      <w:u w:val="single"/>
    </w:rPr>
  </w:style>
  <w:style w:type="character" w:styleId="LineNumber">
    <w:name w:val="line number"/>
    <w:basedOn w:val="OPCCharBase"/>
    <w:uiPriority w:val="99"/>
    <w:unhideWhenUsed/>
    <w:rsid w:val="006F53B0"/>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521C0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F53B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6F53B0"/>
  </w:style>
  <w:style w:type="character" w:customStyle="1" w:styleId="CharAmSchText">
    <w:name w:val="CharAmSchText"/>
    <w:basedOn w:val="OPCCharBase"/>
    <w:uiPriority w:val="1"/>
    <w:qFormat/>
    <w:rsid w:val="006F53B0"/>
  </w:style>
  <w:style w:type="character" w:customStyle="1" w:styleId="CharChapNo">
    <w:name w:val="CharChapNo"/>
    <w:basedOn w:val="OPCCharBase"/>
    <w:qFormat/>
    <w:rsid w:val="006F53B0"/>
  </w:style>
  <w:style w:type="character" w:customStyle="1" w:styleId="CharChapText">
    <w:name w:val="CharChapText"/>
    <w:basedOn w:val="OPCCharBase"/>
    <w:qFormat/>
    <w:rsid w:val="006F53B0"/>
  </w:style>
  <w:style w:type="character" w:customStyle="1" w:styleId="CharDivNo">
    <w:name w:val="CharDivNo"/>
    <w:basedOn w:val="OPCCharBase"/>
    <w:qFormat/>
    <w:rsid w:val="006F53B0"/>
  </w:style>
  <w:style w:type="character" w:customStyle="1" w:styleId="CharDivText">
    <w:name w:val="CharDivText"/>
    <w:basedOn w:val="OPCCharBase"/>
    <w:qFormat/>
    <w:rsid w:val="006F53B0"/>
  </w:style>
  <w:style w:type="character" w:customStyle="1" w:styleId="CharPartNo">
    <w:name w:val="CharPartNo"/>
    <w:basedOn w:val="OPCCharBase"/>
    <w:qFormat/>
    <w:rsid w:val="006F53B0"/>
  </w:style>
  <w:style w:type="character" w:customStyle="1" w:styleId="CharPartText">
    <w:name w:val="CharPartText"/>
    <w:basedOn w:val="OPCCharBase"/>
    <w:qFormat/>
    <w:rsid w:val="006F53B0"/>
  </w:style>
  <w:style w:type="character" w:customStyle="1" w:styleId="OPCCharBase">
    <w:name w:val="OPCCharBase"/>
    <w:uiPriority w:val="1"/>
    <w:qFormat/>
    <w:rsid w:val="006F53B0"/>
  </w:style>
  <w:style w:type="paragraph" w:customStyle="1" w:styleId="OPCParaBase">
    <w:name w:val="OPCParaBase"/>
    <w:qFormat/>
    <w:rsid w:val="006F53B0"/>
    <w:pPr>
      <w:spacing w:line="260" w:lineRule="atLeast"/>
    </w:pPr>
    <w:rPr>
      <w:sz w:val="22"/>
    </w:rPr>
  </w:style>
  <w:style w:type="character" w:customStyle="1" w:styleId="CharSectno">
    <w:name w:val="CharSectno"/>
    <w:basedOn w:val="OPCCharBase"/>
    <w:qFormat/>
    <w:rsid w:val="006F53B0"/>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6F53B0"/>
    <w:pPr>
      <w:spacing w:line="240" w:lineRule="auto"/>
      <w:ind w:left="1134"/>
    </w:pPr>
    <w:rPr>
      <w:sz w:val="20"/>
    </w:rPr>
  </w:style>
  <w:style w:type="paragraph" w:customStyle="1" w:styleId="ShortT">
    <w:name w:val="ShortT"/>
    <w:basedOn w:val="OPCParaBase"/>
    <w:next w:val="Normal"/>
    <w:qFormat/>
    <w:rsid w:val="006F53B0"/>
    <w:pPr>
      <w:spacing w:line="240" w:lineRule="auto"/>
    </w:pPr>
    <w:rPr>
      <w:b/>
      <w:sz w:val="40"/>
    </w:rPr>
  </w:style>
  <w:style w:type="paragraph" w:customStyle="1" w:styleId="Penalty">
    <w:name w:val="Penalty"/>
    <w:basedOn w:val="OPCParaBase"/>
    <w:rsid w:val="006F53B0"/>
    <w:pPr>
      <w:tabs>
        <w:tab w:val="left" w:pos="2977"/>
      </w:tabs>
      <w:spacing w:before="180" w:line="240" w:lineRule="auto"/>
      <w:ind w:left="1985" w:hanging="851"/>
    </w:pPr>
  </w:style>
  <w:style w:type="paragraph" w:customStyle="1" w:styleId="ActHead1">
    <w:name w:val="ActHead 1"/>
    <w:aliases w:val="c"/>
    <w:basedOn w:val="OPCParaBase"/>
    <w:next w:val="Normal"/>
    <w:qFormat/>
    <w:rsid w:val="006F53B0"/>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6F53B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53B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F53B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F53B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6BB1"/>
    <w:pPr>
      <w:keepLines/>
      <w:tabs>
        <w:tab w:val="right" w:leader="dot" w:pos="7088"/>
      </w:tabs>
      <w:spacing w:before="40" w:line="240" w:lineRule="auto"/>
      <w:ind w:left="1985" w:right="567" w:hanging="567"/>
    </w:pPr>
    <w:rPr>
      <w:kern w:val="28"/>
      <w:sz w:val="18"/>
    </w:rPr>
  </w:style>
  <w:style w:type="paragraph" w:styleId="TOC6">
    <w:name w:val="toc 6"/>
    <w:basedOn w:val="OPCParaBase"/>
    <w:next w:val="Normal"/>
    <w:uiPriority w:val="39"/>
    <w:unhideWhenUsed/>
    <w:rsid w:val="006F53B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53B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F53B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F53B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6F53B0"/>
    <w:pPr>
      <w:spacing w:line="240" w:lineRule="auto"/>
    </w:pPr>
    <w:rPr>
      <w:sz w:val="20"/>
    </w:rPr>
  </w:style>
  <w:style w:type="paragraph" w:customStyle="1" w:styleId="ActHead2">
    <w:name w:val="ActHead 2"/>
    <w:aliases w:val="p"/>
    <w:basedOn w:val="OPCParaBase"/>
    <w:next w:val="ActHead3"/>
    <w:qFormat/>
    <w:rsid w:val="006F53B0"/>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6F53B0"/>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ActHead3">
    <w:name w:val="ActHead 3"/>
    <w:aliases w:val="d"/>
    <w:basedOn w:val="OPCParaBase"/>
    <w:next w:val="ActHead4"/>
    <w:qFormat/>
    <w:rsid w:val="006F53B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53B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53B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53B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53B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53B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53B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53B0"/>
  </w:style>
  <w:style w:type="paragraph" w:customStyle="1" w:styleId="Blocks">
    <w:name w:val="Blocks"/>
    <w:aliases w:val="bb"/>
    <w:basedOn w:val="OPCParaBase"/>
    <w:qFormat/>
    <w:rsid w:val="006F53B0"/>
    <w:pPr>
      <w:spacing w:line="240" w:lineRule="auto"/>
    </w:pPr>
    <w:rPr>
      <w:sz w:val="24"/>
    </w:rPr>
  </w:style>
  <w:style w:type="paragraph" w:customStyle="1" w:styleId="BoxText">
    <w:name w:val="BoxText"/>
    <w:aliases w:val="bt"/>
    <w:basedOn w:val="OPCParaBase"/>
    <w:qFormat/>
    <w:rsid w:val="006F53B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53B0"/>
    <w:rPr>
      <w:b/>
    </w:rPr>
  </w:style>
  <w:style w:type="paragraph" w:customStyle="1" w:styleId="BoxHeadItalic">
    <w:name w:val="BoxHeadItalic"/>
    <w:aliases w:val="bhi"/>
    <w:basedOn w:val="BoxText"/>
    <w:next w:val="BoxStep"/>
    <w:qFormat/>
    <w:rsid w:val="006F53B0"/>
    <w:rPr>
      <w:i/>
    </w:rPr>
  </w:style>
  <w:style w:type="paragraph" w:customStyle="1" w:styleId="BoxList">
    <w:name w:val="BoxList"/>
    <w:aliases w:val="bl"/>
    <w:basedOn w:val="BoxText"/>
    <w:qFormat/>
    <w:rsid w:val="006F53B0"/>
    <w:pPr>
      <w:ind w:left="1559" w:hanging="425"/>
    </w:pPr>
  </w:style>
  <w:style w:type="paragraph" w:customStyle="1" w:styleId="BoxNote">
    <w:name w:val="BoxNote"/>
    <w:aliases w:val="bn"/>
    <w:basedOn w:val="BoxText"/>
    <w:qFormat/>
    <w:rsid w:val="006F53B0"/>
    <w:pPr>
      <w:tabs>
        <w:tab w:val="left" w:pos="1985"/>
      </w:tabs>
      <w:spacing w:before="122" w:line="198" w:lineRule="exact"/>
      <w:ind w:left="2948" w:hanging="1814"/>
    </w:pPr>
    <w:rPr>
      <w:sz w:val="18"/>
    </w:rPr>
  </w:style>
  <w:style w:type="paragraph" w:customStyle="1" w:styleId="BoxPara">
    <w:name w:val="BoxPara"/>
    <w:aliases w:val="bp"/>
    <w:basedOn w:val="BoxText"/>
    <w:qFormat/>
    <w:rsid w:val="006F53B0"/>
    <w:pPr>
      <w:tabs>
        <w:tab w:val="right" w:pos="2268"/>
      </w:tabs>
      <w:ind w:left="2552" w:hanging="1418"/>
    </w:pPr>
  </w:style>
  <w:style w:type="paragraph" w:customStyle="1" w:styleId="BoxStep">
    <w:name w:val="BoxStep"/>
    <w:aliases w:val="bs"/>
    <w:basedOn w:val="BoxText"/>
    <w:qFormat/>
    <w:rsid w:val="006F53B0"/>
    <w:pPr>
      <w:ind w:left="1985" w:hanging="851"/>
    </w:pPr>
  </w:style>
  <w:style w:type="character" w:customStyle="1" w:styleId="CharAmPartNo">
    <w:name w:val="CharAmPartNo"/>
    <w:basedOn w:val="OPCCharBase"/>
    <w:uiPriority w:val="1"/>
    <w:qFormat/>
    <w:rsid w:val="006F53B0"/>
  </w:style>
  <w:style w:type="character" w:customStyle="1" w:styleId="CharAmPartText">
    <w:name w:val="CharAmPartText"/>
    <w:basedOn w:val="OPCCharBase"/>
    <w:uiPriority w:val="1"/>
    <w:qFormat/>
    <w:rsid w:val="006F53B0"/>
  </w:style>
  <w:style w:type="character" w:customStyle="1" w:styleId="CharBoldItalic">
    <w:name w:val="CharBoldItalic"/>
    <w:basedOn w:val="OPCCharBase"/>
    <w:uiPriority w:val="1"/>
    <w:qFormat/>
    <w:rsid w:val="006F53B0"/>
    <w:rPr>
      <w:b/>
      <w:i/>
    </w:rPr>
  </w:style>
  <w:style w:type="character" w:customStyle="1" w:styleId="CharItalic">
    <w:name w:val="CharItalic"/>
    <w:basedOn w:val="OPCCharBase"/>
    <w:uiPriority w:val="1"/>
    <w:qFormat/>
    <w:rsid w:val="006F53B0"/>
    <w:rPr>
      <w:i/>
    </w:rPr>
  </w:style>
  <w:style w:type="character" w:customStyle="1" w:styleId="CharSubdNo">
    <w:name w:val="CharSubdNo"/>
    <w:basedOn w:val="OPCCharBase"/>
    <w:uiPriority w:val="1"/>
    <w:qFormat/>
    <w:rsid w:val="006F53B0"/>
  </w:style>
  <w:style w:type="character" w:customStyle="1" w:styleId="CharSubdText">
    <w:name w:val="CharSubdText"/>
    <w:basedOn w:val="OPCCharBase"/>
    <w:uiPriority w:val="1"/>
    <w:qFormat/>
    <w:rsid w:val="006F53B0"/>
  </w:style>
  <w:style w:type="paragraph" w:customStyle="1" w:styleId="CTA--">
    <w:name w:val="CTA --"/>
    <w:basedOn w:val="OPCParaBase"/>
    <w:next w:val="Normal"/>
    <w:rsid w:val="006F53B0"/>
    <w:pPr>
      <w:spacing w:before="60" w:line="240" w:lineRule="atLeast"/>
      <w:ind w:left="142" w:hanging="142"/>
    </w:pPr>
    <w:rPr>
      <w:sz w:val="20"/>
    </w:rPr>
  </w:style>
  <w:style w:type="paragraph" w:customStyle="1" w:styleId="CTA-">
    <w:name w:val="CTA -"/>
    <w:basedOn w:val="OPCParaBase"/>
    <w:rsid w:val="006F53B0"/>
    <w:pPr>
      <w:spacing w:before="60" w:line="240" w:lineRule="atLeast"/>
      <w:ind w:left="85" w:hanging="85"/>
    </w:pPr>
    <w:rPr>
      <w:sz w:val="20"/>
    </w:rPr>
  </w:style>
  <w:style w:type="paragraph" w:customStyle="1" w:styleId="CTA---">
    <w:name w:val="CTA ---"/>
    <w:basedOn w:val="OPCParaBase"/>
    <w:next w:val="Normal"/>
    <w:rsid w:val="006F53B0"/>
    <w:pPr>
      <w:spacing w:before="60" w:line="240" w:lineRule="atLeast"/>
      <w:ind w:left="198" w:hanging="198"/>
    </w:pPr>
    <w:rPr>
      <w:sz w:val="20"/>
    </w:rPr>
  </w:style>
  <w:style w:type="paragraph" w:customStyle="1" w:styleId="CTA----">
    <w:name w:val="CTA ----"/>
    <w:basedOn w:val="OPCParaBase"/>
    <w:next w:val="Normal"/>
    <w:rsid w:val="006F53B0"/>
    <w:pPr>
      <w:spacing w:before="60" w:line="240" w:lineRule="atLeast"/>
      <w:ind w:left="255" w:hanging="255"/>
    </w:pPr>
    <w:rPr>
      <w:sz w:val="20"/>
    </w:rPr>
  </w:style>
  <w:style w:type="paragraph" w:customStyle="1" w:styleId="CTA1a">
    <w:name w:val="CTA 1(a)"/>
    <w:basedOn w:val="OPCParaBase"/>
    <w:rsid w:val="006F53B0"/>
    <w:pPr>
      <w:tabs>
        <w:tab w:val="right" w:pos="414"/>
      </w:tabs>
      <w:spacing w:before="40" w:line="240" w:lineRule="atLeast"/>
      <w:ind w:left="675" w:hanging="675"/>
    </w:pPr>
    <w:rPr>
      <w:sz w:val="20"/>
    </w:rPr>
  </w:style>
  <w:style w:type="paragraph" w:customStyle="1" w:styleId="CTA1ai">
    <w:name w:val="CTA 1(a)(i)"/>
    <w:basedOn w:val="OPCParaBase"/>
    <w:rsid w:val="006F53B0"/>
    <w:pPr>
      <w:tabs>
        <w:tab w:val="right" w:pos="1004"/>
      </w:tabs>
      <w:spacing w:before="40" w:line="240" w:lineRule="atLeast"/>
      <w:ind w:left="1253" w:hanging="1253"/>
    </w:pPr>
    <w:rPr>
      <w:sz w:val="20"/>
    </w:rPr>
  </w:style>
  <w:style w:type="paragraph" w:customStyle="1" w:styleId="CTA2a">
    <w:name w:val="CTA 2(a)"/>
    <w:basedOn w:val="OPCParaBase"/>
    <w:rsid w:val="006F53B0"/>
    <w:pPr>
      <w:tabs>
        <w:tab w:val="right" w:pos="482"/>
      </w:tabs>
      <w:spacing w:before="40" w:line="240" w:lineRule="atLeast"/>
      <w:ind w:left="748" w:hanging="748"/>
    </w:pPr>
    <w:rPr>
      <w:sz w:val="20"/>
    </w:rPr>
  </w:style>
  <w:style w:type="paragraph" w:customStyle="1" w:styleId="CTA2ai">
    <w:name w:val="CTA 2(a)(i)"/>
    <w:basedOn w:val="OPCParaBase"/>
    <w:rsid w:val="006F53B0"/>
    <w:pPr>
      <w:tabs>
        <w:tab w:val="right" w:pos="1089"/>
      </w:tabs>
      <w:spacing w:before="40" w:line="240" w:lineRule="atLeast"/>
      <w:ind w:left="1327" w:hanging="1327"/>
    </w:pPr>
    <w:rPr>
      <w:sz w:val="20"/>
    </w:rPr>
  </w:style>
  <w:style w:type="paragraph" w:customStyle="1" w:styleId="CTA3a">
    <w:name w:val="CTA 3(a)"/>
    <w:basedOn w:val="OPCParaBase"/>
    <w:rsid w:val="006F53B0"/>
    <w:pPr>
      <w:tabs>
        <w:tab w:val="right" w:pos="556"/>
      </w:tabs>
      <w:spacing w:before="40" w:line="240" w:lineRule="atLeast"/>
      <w:ind w:left="805" w:hanging="805"/>
    </w:pPr>
    <w:rPr>
      <w:sz w:val="20"/>
    </w:rPr>
  </w:style>
  <w:style w:type="paragraph" w:customStyle="1" w:styleId="CTA3ai">
    <w:name w:val="CTA 3(a)(i)"/>
    <w:basedOn w:val="OPCParaBase"/>
    <w:rsid w:val="006F53B0"/>
    <w:pPr>
      <w:tabs>
        <w:tab w:val="right" w:pos="1140"/>
      </w:tabs>
      <w:spacing w:before="40" w:line="240" w:lineRule="atLeast"/>
      <w:ind w:left="1361" w:hanging="1361"/>
    </w:pPr>
    <w:rPr>
      <w:sz w:val="20"/>
    </w:rPr>
  </w:style>
  <w:style w:type="paragraph" w:customStyle="1" w:styleId="CTA4a">
    <w:name w:val="CTA 4(a)"/>
    <w:basedOn w:val="OPCParaBase"/>
    <w:rsid w:val="006F53B0"/>
    <w:pPr>
      <w:tabs>
        <w:tab w:val="right" w:pos="624"/>
      </w:tabs>
      <w:spacing w:before="40" w:line="240" w:lineRule="atLeast"/>
      <w:ind w:left="873" w:hanging="873"/>
    </w:pPr>
    <w:rPr>
      <w:sz w:val="20"/>
    </w:rPr>
  </w:style>
  <w:style w:type="paragraph" w:customStyle="1" w:styleId="CTA4ai">
    <w:name w:val="CTA 4(a)(i)"/>
    <w:basedOn w:val="OPCParaBase"/>
    <w:rsid w:val="006F53B0"/>
    <w:pPr>
      <w:tabs>
        <w:tab w:val="right" w:pos="1213"/>
      </w:tabs>
      <w:spacing w:before="40" w:line="240" w:lineRule="atLeast"/>
      <w:ind w:left="1452" w:hanging="1452"/>
    </w:pPr>
    <w:rPr>
      <w:sz w:val="20"/>
    </w:rPr>
  </w:style>
  <w:style w:type="paragraph" w:customStyle="1" w:styleId="CTACAPS">
    <w:name w:val="CTA CAPS"/>
    <w:basedOn w:val="OPCParaBase"/>
    <w:rsid w:val="006F53B0"/>
    <w:pPr>
      <w:spacing w:before="60" w:line="240" w:lineRule="atLeast"/>
    </w:pPr>
    <w:rPr>
      <w:sz w:val="20"/>
    </w:rPr>
  </w:style>
  <w:style w:type="paragraph" w:customStyle="1" w:styleId="CTAright">
    <w:name w:val="CTA right"/>
    <w:basedOn w:val="OPCParaBase"/>
    <w:rsid w:val="006F53B0"/>
    <w:pPr>
      <w:spacing w:before="60" w:line="240" w:lineRule="auto"/>
      <w:jc w:val="right"/>
    </w:pPr>
    <w:rPr>
      <w:sz w:val="20"/>
    </w:rPr>
  </w:style>
  <w:style w:type="paragraph" w:customStyle="1" w:styleId="subsection">
    <w:name w:val="subsection"/>
    <w:aliases w:val="ss"/>
    <w:basedOn w:val="OPCParaBase"/>
    <w:rsid w:val="006F53B0"/>
    <w:pPr>
      <w:tabs>
        <w:tab w:val="right" w:pos="1021"/>
      </w:tabs>
      <w:spacing w:before="180" w:line="240" w:lineRule="auto"/>
      <w:ind w:left="1134" w:hanging="1134"/>
    </w:pPr>
  </w:style>
  <w:style w:type="paragraph" w:customStyle="1" w:styleId="Definition">
    <w:name w:val="Definition"/>
    <w:aliases w:val="dd"/>
    <w:basedOn w:val="OPCParaBase"/>
    <w:rsid w:val="006F53B0"/>
    <w:pPr>
      <w:spacing w:before="180" w:line="240" w:lineRule="auto"/>
      <w:ind w:left="1134"/>
    </w:pPr>
  </w:style>
  <w:style w:type="character" w:customStyle="1" w:styleId="HeaderChar">
    <w:name w:val="Header Char"/>
    <w:basedOn w:val="DefaultParagraphFont"/>
    <w:link w:val="Header"/>
    <w:rsid w:val="006F53B0"/>
    <w:rPr>
      <w:sz w:val="16"/>
    </w:rPr>
  </w:style>
  <w:style w:type="paragraph" w:customStyle="1" w:styleId="House">
    <w:name w:val="House"/>
    <w:basedOn w:val="OPCParaBase"/>
    <w:rsid w:val="006F53B0"/>
    <w:pPr>
      <w:spacing w:line="240" w:lineRule="auto"/>
    </w:pPr>
    <w:rPr>
      <w:sz w:val="28"/>
    </w:rPr>
  </w:style>
  <w:style w:type="paragraph" w:customStyle="1" w:styleId="Item">
    <w:name w:val="Item"/>
    <w:aliases w:val="i"/>
    <w:basedOn w:val="OPCParaBase"/>
    <w:next w:val="ItemHead"/>
    <w:rsid w:val="006F53B0"/>
    <w:pPr>
      <w:keepLines/>
      <w:spacing w:before="80" w:line="240" w:lineRule="auto"/>
      <w:ind w:left="709"/>
    </w:pPr>
  </w:style>
  <w:style w:type="paragraph" w:customStyle="1" w:styleId="ItemHead">
    <w:name w:val="ItemHead"/>
    <w:aliases w:val="ih"/>
    <w:basedOn w:val="OPCParaBase"/>
    <w:next w:val="Item"/>
    <w:rsid w:val="006F53B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53B0"/>
    <w:pPr>
      <w:spacing w:line="240" w:lineRule="auto"/>
    </w:pPr>
    <w:rPr>
      <w:b/>
      <w:sz w:val="32"/>
    </w:rPr>
  </w:style>
  <w:style w:type="paragraph" w:customStyle="1" w:styleId="notedraft">
    <w:name w:val="note(draft)"/>
    <w:aliases w:val="nd"/>
    <w:basedOn w:val="OPCParaBase"/>
    <w:rsid w:val="006F53B0"/>
    <w:pPr>
      <w:spacing w:before="240" w:line="240" w:lineRule="auto"/>
      <w:ind w:left="284" w:hanging="284"/>
    </w:pPr>
    <w:rPr>
      <w:i/>
      <w:sz w:val="24"/>
    </w:rPr>
  </w:style>
  <w:style w:type="paragraph" w:customStyle="1" w:styleId="notemargin">
    <w:name w:val="note(margin)"/>
    <w:aliases w:val="nm"/>
    <w:basedOn w:val="OPCParaBase"/>
    <w:rsid w:val="006F53B0"/>
    <w:pPr>
      <w:tabs>
        <w:tab w:val="left" w:pos="709"/>
      </w:tabs>
      <w:spacing w:before="122" w:line="198" w:lineRule="exact"/>
      <w:ind w:left="709" w:hanging="709"/>
    </w:pPr>
    <w:rPr>
      <w:sz w:val="18"/>
    </w:rPr>
  </w:style>
  <w:style w:type="paragraph" w:customStyle="1" w:styleId="notepara">
    <w:name w:val="note(para)"/>
    <w:aliases w:val="na"/>
    <w:basedOn w:val="OPCParaBase"/>
    <w:rsid w:val="006F53B0"/>
    <w:pPr>
      <w:spacing w:before="40" w:line="198" w:lineRule="exact"/>
      <w:ind w:left="2354" w:hanging="369"/>
    </w:pPr>
    <w:rPr>
      <w:sz w:val="18"/>
    </w:rPr>
  </w:style>
  <w:style w:type="paragraph" w:customStyle="1" w:styleId="noteParlAmend">
    <w:name w:val="note(ParlAmend)"/>
    <w:aliases w:val="npp"/>
    <w:basedOn w:val="OPCParaBase"/>
    <w:next w:val="ParlAmend"/>
    <w:rsid w:val="006F53B0"/>
    <w:pPr>
      <w:spacing w:line="240" w:lineRule="auto"/>
      <w:jc w:val="right"/>
    </w:pPr>
    <w:rPr>
      <w:rFonts w:ascii="Arial" w:hAnsi="Arial"/>
      <w:b/>
      <w:i/>
    </w:rPr>
  </w:style>
  <w:style w:type="paragraph" w:customStyle="1" w:styleId="notetext">
    <w:name w:val="note(text)"/>
    <w:aliases w:val="n"/>
    <w:basedOn w:val="OPCParaBase"/>
    <w:rsid w:val="006F53B0"/>
    <w:pPr>
      <w:spacing w:before="122" w:line="198" w:lineRule="exact"/>
      <w:ind w:left="1985" w:hanging="851"/>
    </w:pPr>
    <w:rPr>
      <w:sz w:val="18"/>
    </w:rPr>
  </w:style>
  <w:style w:type="paragraph" w:customStyle="1" w:styleId="Page1">
    <w:name w:val="Page1"/>
    <w:basedOn w:val="OPCParaBase"/>
    <w:rsid w:val="006F53B0"/>
    <w:pPr>
      <w:spacing w:before="5600" w:line="240" w:lineRule="auto"/>
    </w:pPr>
    <w:rPr>
      <w:b/>
      <w:sz w:val="32"/>
    </w:rPr>
  </w:style>
  <w:style w:type="paragraph" w:customStyle="1" w:styleId="paragraphsub">
    <w:name w:val="paragraph(sub)"/>
    <w:aliases w:val="aa"/>
    <w:basedOn w:val="OPCParaBase"/>
    <w:rsid w:val="006F53B0"/>
    <w:pPr>
      <w:tabs>
        <w:tab w:val="right" w:pos="1985"/>
      </w:tabs>
      <w:spacing w:before="40" w:line="240" w:lineRule="auto"/>
      <w:ind w:left="2098" w:hanging="2098"/>
    </w:pPr>
  </w:style>
  <w:style w:type="paragraph" w:customStyle="1" w:styleId="paragraphsub-sub">
    <w:name w:val="paragraph(sub-sub)"/>
    <w:aliases w:val="aaa"/>
    <w:basedOn w:val="OPCParaBase"/>
    <w:rsid w:val="006F53B0"/>
    <w:pPr>
      <w:tabs>
        <w:tab w:val="right" w:pos="2722"/>
      </w:tabs>
      <w:spacing w:before="40" w:line="240" w:lineRule="auto"/>
      <w:ind w:left="2835" w:hanging="2835"/>
    </w:pPr>
  </w:style>
  <w:style w:type="paragraph" w:customStyle="1" w:styleId="paragraph">
    <w:name w:val="paragraph"/>
    <w:aliases w:val="a"/>
    <w:basedOn w:val="OPCParaBase"/>
    <w:rsid w:val="006F53B0"/>
    <w:pPr>
      <w:tabs>
        <w:tab w:val="right" w:pos="1531"/>
      </w:tabs>
      <w:spacing w:before="40" w:line="240" w:lineRule="auto"/>
      <w:ind w:left="1644" w:hanging="1644"/>
    </w:pPr>
  </w:style>
  <w:style w:type="paragraph" w:customStyle="1" w:styleId="ParlAmend">
    <w:name w:val="ParlAmend"/>
    <w:aliases w:val="pp"/>
    <w:basedOn w:val="OPCParaBase"/>
    <w:rsid w:val="006F53B0"/>
    <w:pPr>
      <w:spacing w:before="240" w:line="240" w:lineRule="atLeast"/>
      <w:ind w:hanging="567"/>
    </w:pPr>
    <w:rPr>
      <w:sz w:val="24"/>
    </w:rPr>
  </w:style>
  <w:style w:type="paragraph" w:customStyle="1" w:styleId="Portfolio">
    <w:name w:val="Portfolio"/>
    <w:basedOn w:val="OPCParaBase"/>
    <w:rsid w:val="006F53B0"/>
    <w:pPr>
      <w:spacing w:line="240" w:lineRule="auto"/>
    </w:pPr>
    <w:rPr>
      <w:i/>
      <w:sz w:val="20"/>
    </w:rPr>
  </w:style>
  <w:style w:type="paragraph" w:customStyle="1" w:styleId="Preamble">
    <w:name w:val="Preamble"/>
    <w:basedOn w:val="OPCParaBase"/>
    <w:next w:val="Normal"/>
    <w:rsid w:val="006F53B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53B0"/>
    <w:pPr>
      <w:spacing w:line="240" w:lineRule="auto"/>
    </w:pPr>
    <w:rPr>
      <w:i/>
      <w:sz w:val="20"/>
    </w:rPr>
  </w:style>
  <w:style w:type="paragraph" w:customStyle="1" w:styleId="Session">
    <w:name w:val="Session"/>
    <w:basedOn w:val="OPCParaBase"/>
    <w:rsid w:val="006F53B0"/>
    <w:pPr>
      <w:spacing w:line="240" w:lineRule="auto"/>
    </w:pPr>
    <w:rPr>
      <w:sz w:val="28"/>
    </w:rPr>
  </w:style>
  <w:style w:type="paragraph" w:customStyle="1" w:styleId="Sponsor">
    <w:name w:val="Sponsor"/>
    <w:basedOn w:val="OPCParaBase"/>
    <w:rsid w:val="006F53B0"/>
    <w:pPr>
      <w:spacing w:line="240" w:lineRule="auto"/>
    </w:pPr>
    <w:rPr>
      <w:i/>
    </w:rPr>
  </w:style>
  <w:style w:type="paragraph" w:customStyle="1" w:styleId="Subitem">
    <w:name w:val="Subitem"/>
    <w:aliases w:val="iss"/>
    <w:basedOn w:val="OPCParaBase"/>
    <w:rsid w:val="006F53B0"/>
    <w:pPr>
      <w:spacing w:before="180" w:line="240" w:lineRule="auto"/>
      <w:ind w:left="709" w:hanging="709"/>
    </w:pPr>
  </w:style>
  <w:style w:type="paragraph" w:customStyle="1" w:styleId="SubitemHead">
    <w:name w:val="SubitemHead"/>
    <w:aliases w:val="issh"/>
    <w:basedOn w:val="OPCParaBase"/>
    <w:rsid w:val="006F53B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53B0"/>
    <w:pPr>
      <w:spacing w:before="40" w:line="240" w:lineRule="auto"/>
      <w:ind w:left="1134"/>
    </w:pPr>
  </w:style>
  <w:style w:type="paragraph" w:customStyle="1" w:styleId="SubsectionHead">
    <w:name w:val="SubsectionHead"/>
    <w:aliases w:val="ssh"/>
    <w:basedOn w:val="OPCParaBase"/>
    <w:next w:val="subsection"/>
    <w:rsid w:val="006F53B0"/>
    <w:pPr>
      <w:keepNext/>
      <w:keepLines/>
      <w:spacing w:before="240" w:line="240" w:lineRule="auto"/>
      <w:ind w:left="1134"/>
    </w:pPr>
    <w:rPr>
      <w:i/>
    </w:rPr>
  </w:style>
  <w:style w:type="paragraph" w:customStyle="1" w:styleId="Tablea">
    <w:name w:val="Table(a)"/>
    <w:aliases w:val="ta"/>
    <w:basedOn w:val="OPCParaBase"/>
    <w:rsid w:val="006F53B0"/>
    <w:pPr>
      <w:spacing w:before="60" w:line="240" w:lineRule="auto"/>
      <w:ind w:left="284" w:hanging="284"/>
    </w:pPr>
    <w:rPr>
      <w:sz w:val="20"/>
    </w:rPr>
  </w:style>
  <w:style w:type="paragraph" w:customStyle="1" w:styleId="TableAA">
    <w:name w:val="Table(AA)"/>
    <w:aliases w:val="taaa"/>
    <w:basedOn w:val="OPCParaBase"/>
    <w:rsid w:val="006F53B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53B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53B0"/>
    <w:pPr>
      <w:spacing w:before="60" w:line="240" w:lineRule="atLeast"/>
    </w:pPr>
    <w:rPr>
      <w:sz w:val="20"/>
    </w:rPr>
  </w:style>
  <w:style w:type="paragraph" w:customStyle="1" w:styleId="TLPBoxTextnote">
    <w:name w:val="TLPBoxText(note"/>
    <w:aliases w:val="right)"/>
    <w:basedOn w:val="OPCParaBase"/>
    <w:rsid w:val="006F53B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53B0"/>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53B0"/>
    <w:pPr>
      <w:spacing w:before="122" w:line="198" w:lineRule="exact"/>
      <w:ind w:left="1985" w:hanging="851"/>
      <w:jc w:val="right"/>
    </w:pPr>
    <w:rPr>
      <w:sz w:val="18"/>
    </w:rPr>
  </w:style>
  <w:style w:type="paragraph" w:customStyle="1" w:styleId="TLPTableBullet">
    <w:name w:val="TLPTableBullet"/>
    <w:aliases w:val="ttb"/>
    <w:basedOn w:val="OPCParaBase"/>
    <w:rsid w:val="006F53B0"/>
    <w:pPr>
      <w:spacing w:line="240" w:lineRule="exact"/>
      <w:ind w:left="284" w:hanging="284"/>
    </w:pPr>
    <w:rPr>
      <w:sz w:val="20"/>
    </w:rPr>
  </w:style>
  <w:style w:type="paragraph" w:customStyle="1" w:styleId="TofSectsGroupHeading">
    <w:name w:val="TofSects(GroupHeading)"/>
    <w:basedOn w:val="OPCParaBase"/>
    <w:next w:val="TofSectsSection"/>
    <w:rsid w:val="006F53B0"/>
    <w:pPr>
      <w:keepLines/>
      <w:spacing w:before="240" w:after="120" w:line="240" w:lineRule="auto"/>
      <w:ind w:left="794"/>
    </w:pPr>
    <w:rPr>
      <w:b/>
      <w:kern w:val="28"/>
      <w:sz w:val="20"/>
    </w:rPr>
  </w:style>
  <w:style w:type="paragraph" w:customStyle="1" w:styleId="TofSectsHeading">
    <w:name w:val="TofSects(Heading)"/>
    <w:basedOn w:val="OPCParaBase"/>
    <w:rsid w:val="006F53B0"/>
    <w:pPr>
      <w:spacing w:before="240" w:after="120" w:line="240" w:lineRule="auto"/>
    </w:pPr>
    <w:rPr>
      <w:b/>
      <w:sz w:val="24"/>
    </w:rPr>
  </w:style>
  <w:style w:type="paragraph" w:customStyle="1" w:styleId="TofSectsSection">
    <w:name w:val="TofSects(Section)"/>
    <w:basedOn w:val="OPCParaBase"/>
    <w:rsid w:val="006F53B0"/>
    <w:pPr>
      <w:keepLines/>
      <w:spacing w:before="40" w:line="240" w:lineRule="auto"/>
      <w:ind w:left="1588" w:hanging="794"/>
    </w:pPr>
    <w:rPr>
      <w:kern w:val="28"/>
      <w:sz w:val="18"/>
    </w:rPr>
  </w:style>
  <w:style w:type="paragraph" w:customStyle="1" w:styleId="TofSectsSubdiv">
    <w:name w:val="TofSects(Subdiv)"/>
    <w:basedOn w:val="OPCParaBase"/>
    <w:rsid w:val="006F53B0"/>
    <w:pPr>
      <w:keepLines/>
      <w:spacing w:before="80" w:line="240" w:lineRule="auto"/>
      <w:ind w:left="1588" w:hanging="794"/>
    </w:pPr>
    <w:rPr>
      <w:kern w:val="28"/>
    </w:rPr>
  </w:style>
  <w:style w:type="paragraph" w:customStyle="1" w:styleId="WRStyle">
    <w:name w:val="WR Style"/>
    <w:aliases w:val="WR"/>
    <w:basedOn w:val="OPCParaBase"/>
    <w:rsid w:val="006F53B0"/>
    <w:pPr>
      <w:spacing w:before="240" w:line="240" w:lineRule="auto"/>
      <w:ind w:left="284" w:hanging="284"/>
    </w:pPr>
    <w:rPr>
      <w:b/>
      <w:i/>
      <w:kern w:val="28"/>
      <w:sz w:val="24"/>
    </w:rPr>
  </w:style>
  <w:style w:type="numbering" w:customStyle="1" w:styleId="OPCBodyList">
    <w:name w:val="OPCBodyList"/>
    <w:uiPriority w:val="99"/>
    <w:rsid w:val="00521C09"/>
    <w:pPr>
      <w:numPr>
        <w:numId w:val="18"/>
      </w:numPr>
    </w:pPr>
  </w:style>
  <w:style w:type="paragraph" w:customStyle="1" w:styleId="noteToPara">
    <w:name w:val="noteToPara"/>
    <w:aliases w:val="ntp"/>
    <w:basedOn w:val="OPCParaBase"/>
    <w:rsid w:val="006F53B0"/>
    <w:pPr>
      <w:spacing w:before="122" w:line="198" w:lineRule="exact"/>
      <w:ind w:left="2353" w:hanging="709"/>
    </w:pPr>
    <w:rPr>
      <w:sz w:val="18"/>
    </w:rPr>
  </w:style>
  <w:style w:type="character" w:customStyle="1" w:styleId="FooterChar">
    <w:name w:val="Footer Char"/>
    <w:basedOn w:val="DefaultParagraphFont"/>
    <w:link w:val="Footer"/>
    <w:rsid w:val="006F53B0"/>
    <w:rPr>
      <w:sz w:val="22"/>
      <w:szCs w:val="24"/>
    </w:rPr>
  </w:style>
  <w:style w:type="character" w:customStyle="1" w:styleId="BalloonTextChar">
    <w:name w:val="Balloon Text Char"/>
    <w:basedOn w:val="DefaultParagraphFont"/>
    <w:link w:val="BalloonText"/>
    <w:uiPriority w:val="99"/>
    <w:rsid w:val="006F53B0"/>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6F53B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53B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53B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53B0"/>
    <w:pPr>
      <w:tabs>
        <w:tab w:val="right" w:pos="1412"/>
      </w:tabs>
      <w:spacing w:before="60" w:line="240" w:lineRule="auto"/>
      <w:ind w:left="1525" w:hanging="1525"/>
    </w:pPr>
    <w:rPr>
      <w:sz w:val="20"/>
    </w:rPr>
  </w:style>
  <w:style w:type="table" w:customStyle="1" w:styleId="CFlag">
    <w:name w:val="CFlag"/>
    <w:basedOn w:val="TableNormal"/>
    <w:uiPriority w:val="99"/>
    <w:rsid w:val="006F53B0"/>
    <w:tblPr/>
  </w:style>
  <w:style w:type="paragraph" w:customStyle="1" w:styleId="InstNo">
    <w:name w:val="InstNo"/>
    <w:basedOn w:val="OPCParaBase"/>
    <w:next w:val="Normal"/>
    <w:rsid w:val="006F53B0"/>
    <w:rPr>
      <w:b/>
      <w:sz w:val="28"/>
      <w:szCs w:val="32"/>
    </w:rPr>
  </w:style>
  <w:style w:type="paragraph" w:customStyle="1" w:styleId="TerritoryT">
    <w:name w:val="TerritoryT"/>
    <w:basedOn w:val="OPCParaBase"/>
    <w:next w:val="Normal"/>
    <w:rsid w:val="006F53B0"/>
    <w:rPr>
      <w:b/>
      <w:sz w:val="32"/>
    </w:rPr>
  </w:style>
  <w:style w:type="paragraph" w:customStyle="1" w:styleId="LegislationMadeUnder">
    <w:name w:val="LegislationMadeUnder"/>
    <w:basedOn w:val="OPCParaBase"/>
    <w:next w:val="Normal"/>
    <w:rsid w:val="006F53B0"/>
    <w:rPr>
      <w:i/>
      <w:sz w:val="32"/>
      <w:szCs w:val="32"/>
    </w:rPr>
  </w:style>
  <w:style w:type="paragraph" w:customStyle="1" w:styleId="SignCoverPageEnd">
    <w:name w:val="SignCoverPageEnd"/>
    <w:basedOn w:val="OPCParaBase"/>
    <w:next w:val="Normal"/>
    <w:rsid w:val="006F53B0"/>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F53B0"/>
    <w:pPr>
      <w:pBdr>
        <w:top w:val="single" w:sz="4" w:space="1" w:color="auto"/>
      </w:pBdr>
      <w:spacing w:before="360"/>
      <w:ind w:right="397"/>
      <w:jc w:val="both"/>
    </w:pPr>
  </w:style>
  <w:style w:type="paragraph" w:customStyle="1" w:styleId="NotesHeading2">
    <w:name w:val="NotesHeading 2"/>
    <w:basedOn w:val="OPCParaBase"/>
    <w:next w:val="Normal"/>
    <w:rsid w:val="006F53B0"/>
    <w:rPr>
      <w:b/>
      <w:sz w:val="28"/>
      <w:szCs w:val="28"/>
    </w:rPr>
  </w:style>
  <w:style w:type="paragraph" w:customStyle="1" w:styleId="NotesHeading1">
    <w:name w:val="NotesHeading 1"/>
    <w:basedOn w:val="OPCParaBase"/>
    <w:next w:val="Normal"/>
    <w:rsid w:val="006F53B0"/>
    <w:rPr>
      <w:b/>
      <w:sz w:val="28"/>
      <w:szCs w:val="28"/>
    </w:rPr>
  </w:style>
  <w:style w:type="paragraph" w:customStyle="1" w:styleId="CompiledActNo">
    <w:name w:val="CompiledActNo"/>
    <w:basedOn w:val="OPCParaBase"/>
    <w:next w:val="Normal"/>
    <w:rsid w:val="006F53B0"/>
    <w:rPr>
      <w:b/>
      <w:sz w:val="24"/>
      <w:szCs w:val="24"/>
    </w:rPr>
  </w:style>
  <w:style w:type="paragraph" w:customStyle="1" w:styleId="ENotesHeading1">
    <w:name w:val="ENotesHeading 1"/>
    <w:aliases w:val="Enh1"/>
    <w:basedOn w:val="OPCParaBase"/>
    <w:next w:val="Normal"/>
    <w:rsid w:val="006F53B0"/>
    <w:pPr>
      <w:spacing w:before="120"/>
      <w:outlineLvl w:val="1"/>
    </w:pPr>
    <w:rPr>
      <w:b/>
      <w:sz w:val="28"/>
      <w:szCs w:val="28"/>
    </w:rPr>
  </w:style>
  <w:style w:type="paragraph" w:customStyle="1" w:styleId="ENotesHeading2">
    <w:name w:val="ENotesHeading 2"/>
    <w:aliases w:val="Enh2"/>
    <w:basedOn w:val="OPCParaBase"/>
    <w:next w:val="Normal"/>
    <w:rsid w:val="006F53B0"/>
    <w:pPr>
      <w:spacing w:before="120" w:after="120"/>
      <w:outlineLvl w:val="2"/>
    </w:pPr>
    <w:rPr>
      <w:b/>
      <w:sz w:val="24"/>
      <w:szCs w:val="28"/>
    </w:rPr>
  </w:style>
  <w:style w:type="paragraph" w:customStyle="1" w:styleId="ENotesHeading3">
    <w:name w:val="ENotesHeading 3"/>
    <w:aliases w:val="Enh3"/>
    <w:basedOn w:val="OPCParaBase"/>
    <w:next w:val="Normal"/>
    <w:rsid w:val="006F53B0"/>
    <w:pPr>
      <w:keepNext/>
      <w:spacing w:before="120" w:line="240" w:lineRule="auto"/>
      <w:outlineLvl w:val="4"/>
    </w:pPr>
    <w:rPr>
      <w:b/>
      <w:szCs w:val="24"/>
    </w:rPr>
  </w:style>
  <w:style w:type="paragraph" w:customStyle="1" w:styleId="ENotesText">
    <w:name w:val="ENotesText"/>
    <w:aliases w:val="Ent"/>
    <w:basedOn w:val="OPCParaBase"/>
    <w:next w:val="Normal"/>
    <w:rsid w:val="006F53B0"/>
    <w:pPr>
      <w:spacing w:before="120"/>
    </w:pPr>
  </w:style>
  <w:style w:type="paragraph" w:customStyle="1" w:styleId="CompiledMadeUnder">
    <w:name w:val="CompiledMadeUnder"/>
    <w:basedOn w:val="OPCParaBase"/>
    <w:next w:val="Normal"/>
    <w:rsid w:val="006F53B0"/>
    <w:rPr>
      <w:i/>
      <w:sz w:val="24"/>
      <w:szCs w:val="24"/>
    </w:rPr>
  </w:style>
  <w:style w:type="paragraph" w:customStyle="1" w:styleId="Paragraphsub-sub-sub">
    <w:name w:val="Paragraph(sub-sub-sub)"/>
    <w:aliases w:val="aaaa"/>
    <w:basedOn w:val="OPCParaBase"/>
    <w:rsid w:val="006F53B0"/>
    <w:pPr>
      <w:tabs>
        <w:tab w:val="right" w:pos="3402"/>
      </w:tabs>
      <w:spacing w:before="40" w:line="240" w:lineRule="auto"/>
      <w:ind w:left="3402" w:hanging="3402"/>
    </w:pPr>
  </w:style>
  <w:style w:type="paragraph" w:customStyle="1" w:styleId="TableTextEndNotes">
    <w:name w:val="TableTextEndNotes"/>
    <w:aliases w:val="Tten"/>
    <w:basedOn w:val="Normal"/>
    <w:rsid w:val="006F53B0"/>
    <w:pPr>
      <w:spacing w:before="60" w:line="240" w:lineRule="auto"/>
    </w:pPr>
    <w:rPr>
      <w:rFonts w:cs="Arial"/>
      <w:sz w:val="20"/>
      <w:szCs w:val="22"/>
    </w:rPr>
  </w:style>
  <w:style w:type="paragraph" w:customStyle="1" w:styleId="SubPartCASA">
    <w:name w:val="SubPart(CASA)"/>
    <w:aliases w:val="csp"/>
    <w:basedOn w:val="OPCParaBase"/>
    <w:next w:val="ActHead3"/>
    <w:rsid w:val="006F53B0"/>
    <w:pPr>
      <w:keepNext/>
      <w:keepLines/>
      <w:spacing w:before="280"/>
      <w:outlineLvl w:val="1"/>
    </w:pPr>
    <w:rPr>
      <w:b/>
      <w:kern w:val="28"/>
      <w:sz w:val="32"/>
    </w:rPr>
  </w:style>
  <w:style w:type="paragraph" w:customStyle="1" w:styleId="TableHeading">
    <w:name w:val="TableHeading"/>
    <w:aliases w:val="th"/>
    <w:basedOn w:val="OPCParaBase"/>
    <w:next w:val="Tabletext"/>
    <w:rsid w:val="006F53B0"/>
    <w:pPr>
      <w:keepNext/>
      <w:spacing w:before="60" w:line="240" w:lineRule="atLeast"/>
    </w:pPr>
    <w:rPr>
      <w:b/>
      <w:sz w:val="20"/>
    </w:rPr>
  </w:style>
  <w:style w:type="paragraph" w:customStyle="1" w:styleId="NoteToSubpara">
    <w:name w:val="NoteToSubpara"/>
    <w:aliases w:val="nts"/>
    <w:basedOn w:val="OPCParaBase"/>
    <w:rsid w:val="006F53B0"/>
    <w:pPr>
      <w:spacing w:before="40" w:line="198" w:lineRule="exact"/>
      <w:ind w:left="2835" w:hanging="709"/>
    </w:pPr>
    <w:rPr>
      <w:sz w:val="18"/>
    </w:rPr>
  </w:style>
  <w:style w:type="paragraph" w:customStyle="1" w:styleId="ENoteTableHeading">
    <w:name w:val="ENoteTableHeading"/>
    <w:aliases w:val="enth"/>
    <w:basedOn w:val="OPCParaBase"/>
    <w:rsid w:val="006F53B0"/>
    <w:pPr>
      <w:keepNext/>
      <w:spacing w:before="60" w:line="240" w:lineRule="atLeast"/>
    </w:pPr>
    <w:rPr>
      <w:rFonts w:ascii="Arial" w:hAnsi="Arial"/>
      <w:b/>
      <w:sz w:val="16"/>
    </w:rPr>
  </w:style>
  <w:style w:type="paragraph" w:customStyle="1" w:styleId="ENoteTTi">
    <w:name w:val="ENoteTTi"/>
    <w:aliases w:val="entti"/>
    <w:basedOn w:val="OPCParaBase"/>
    <w:rsid w:val="006F53B0"/>
    <w:pPr>
      <w:keepNext/>
      <w:spacing w:before="60" w:line="240" w:lineRule="atLeast"/>
      <w:ind w:left="170"/>
    </w:pPr>
    <w:rPr>
      <w:sz w:val="16"/>
    </w:rPr>
  </w:style>
  <w:style w:type="paragraph" w:customStyle="1" w:styleId="ENoteTTIndentHeading">
    <w:name w:val="ENoteTTIndentHeading"/>
    <w:aliases w:val="enTTHi"/>
    <w:basedOn w:val="OPCParaBase"/>
    <w:rsid w:val="006F53B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53B0"/>
    <w:pPr>
      <w:spacing w:before="60" w:line="240" w:lineRule="atLeast"/>
    </w:pPr>
    <w:rPr>
      <w:sz w:val="16"/>
    </w:rPr>
  </w:style>
  <w:style w:type="paragraph" w:customStyle="1" w:styleId="MadeunderText">
    <w:name w:val="MadeunderText"/>
    <w:basedOn w:val="OPCParaBase"/>
    <w:next w:val="CompiledMadeUnder"/>
    <w:rsid w:val="006F53B0"/>
    <w:pPr>
      <w:spacing w:before="240"/>
    </w:pPr>
    <w:rPr>
      <w:sz w:val="24"/>
      <w:szCs w:val="24"/>
    </w:rPr>
  </w:style>
  <w:style w:type="character" w:customStyle="1" w:styleId="CharSubPartTextCASA">
    <w:name w:val="CharSubPartText(CASA)"/>
    <w:basedOn w:val="OPCCharBase"/>
    <w:uiPriority w:val="1"/>
    <w:rsid w:val="006F53B0"/>
  </w:style>
  <w:style w:type="character" w:customStyle="1" w:styleId="CharSubPartNoCASA">
    <w:name w:val="CharSubPartNo(CASA)"/>
    <w:basedOn w:val="OPCCharBase"/>
    <w:uiPriority w:val="1"/>
    <w:rsid w:val="006F53B0"/>
  </w:style>
  <w:style w:type="paragraph" w:customStyle="1" w:styleId="ENoteTTIndentHeadingSub">
    <w:name w:val="ENoteTTIndentHeadingSub"/>
    <w:aliases w:val="enTTHis"/>
    <w:basedOn w:val="OPCParaBase"/>
    <w:rsid w:val="006F53B0"/>
    <w:pPr>
      <w:keepNext/>
      <w:spacing w:before="60" w:line="240" w:lineRule="atLeast"/>
      <w:ind w:left="340"/>
    </w:pPr>
    <w:rPr>
      <w:b/>
      <w:sz w:val="16"/>
    </w:rPr>
  </w:style>
  <w:style w:type="paragraph" w:customStyle="1" w:styleId="ENoteTTiSub">
    <w:name w:val="ENoteTTiSub"/>
    <w:aliases w:val="enttis"/>
    <w:basedOn w:val="OPCParaBase"/>
    <w:rsid w:val="006F53B0"/>
    <w:pPr>
      <w:keepNext/>
      <w:spacing w:before="60" w:line="240" w:lineRule="atLeast"/>
      <w:ind w:left="340"/>
    </w:pPr>
    <w:rPr>
      <w:sz w:val="16"/>
    </w:rPr>
  </w:style>
  <w:style w:type="paragraph" w:customStyle="1" w:styleId="SubDivisionMigration">
    <w:name w:val="SubDivisionMigration"/>
    <w:aliases w:val="sdm"/>
    <w:basedOn w:val="OPCParaBase"/>
    <w:rsid w:val="006F53B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53B0"/>
    <w:pPr>
      <w:keepNext/>
      <w:keepLines/>
      <w:spacing w:before="240" w:line="240" w:lineRule="auto"/>
      <w:ind w:left="1134" w:hanging="1134"/>
    </w:pPr>
    <w:rPr>
      <w:b/>
      <w:sz w:val="28"/>
    </w:rPr>
  </w:style>
  <w:style w:type="paragraph" w:styleId="TOCHeading">
    <w:name w:val="TOC Heading"/>
    <w:basedOn w:val="Heading1"/>
    <w:next w:val="Normal"/>
    <w:uiPriority w:val="39"/>
    <w:unhideWhenUsed/>
    <w:qFormat/>
    <w:rsid w:val="004976A6"/>
    <w:pPr>
      <w:keepLines/>
      <w:spacing w:line="259" w:lineRule="auto"/>
      <w:outlineLvl w:val="9"/>
    </w:pPr>
    <w:rPr>
      <w:rFonts w:asciiTheme="majorHAnsi" w:eastAsiaTheme="majorEastAsia" w:hAnsiTheme="majorHAnsi" w:cstheme="majorBidi"/>
      <w:b w:val="0"/>
      <w:bCs/>
      <w:color w:val="365F91" w:themeColor="accent1" w:themeShade="BF"/>
      <w:lang w:val="en-US"/>
    </w:rPr>
  </w:style>
  <w:style w:type="paragraph" w:customStyle="1" w:styleId="paragrapha">
    <w:name w:val="paragraph(a)"/>
    <w:basedOn w:val="paragraphsub"/>
    <w:rsid w:val="00256451"/>
  </w:style>
  <w:style w:type="character" w:styleId="SubtleReference">
    <w:name w:val="Subtle Reference"/>
    <w:uiPriority w:val="31"/>
    <w:qFormat/>
    <w:rsid w:val="00226D36"/>
    <w:rPr>
      <w: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6046">
      <w:bodyDiv w:val="1"/>
      <w:marLeft w:val="0"/>
      <w:marRight w:val="0"/>
      <w:marTop w:val="0"/>
      <w:marBottom w:val="0"/>
      <w:divBdr>
        <w:top w:val="none" w:sz="0" w:space="0" w:color="auto"/>
        <w:left w:val="none" w:sz="0" w:space="0" w:color="auto"/>
        <w:bottom w:val="none" w:sz="0" w:space="0" w:color="auto"/>
        <w:right w:val="none" w:sz="0" w:space="0" w:color="auto"/>
      </w:divBdr>
    </w:div>
    <w:div w:id="1652245246">
      <w:bodyDiv w:val="1"/>
      <w:marLeft w:val="0"/>
      <w:marRight w:val="0"/>
      <w:marTop w:val="0"/>
      <w:marBottom w:val="0"/>
      <w:divBdr>
        <w:top w:val="none" w:sz="0" w:space="0" w:color="auto"/>
        <w:left w:val="none" w:sz="0" w:space="0" w:color="auto"/>
        <w:bottom w:val="none" w:sz="0" w:space="0" w:color="auto"/>
        <w:right w:val="none" w:sz="0" w:space="0" w:color="auto"/>
      </w:divBdr>
    </w:div>
    <w:div w:id="17572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2cb408e1799b061d41d7dea5747947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0BBA-4218-40C6-A421-34AFFE2606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B3F5DF-9CBF-4469-BA4E-7968F35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159D19-041B-4A22-8577-7FDABE3CE8AC}">
  <ds:schemaRefs>
    <ds:schemaRef ds:uri="http://schemas.microsoft.com/sharepoint/v3/contenttype/forms"/>
  </ds:schemaRefs>
</ds:datastoreItem>
</file>

<file path=customXml/itemProps4.xml><?xml version="1.0" encoding="utf-8"?>
<ds:datastoreItem xmlns:ds="http://schemas.openxmlformats.org/officeDocument/2006/customXml" ds:itemID="{DB680BCA-5C3A-4317-A95D-690B46DF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1089</Words>
  <Characters>6213</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Radiocommunications (Spectrum Licence Allocation—Residual 700 MHz Band One) Direction 2016</vt:lpstr>
    </vt:vector>
  </TitlesOfParts>
  <Manager/>
  <Company/>
  <LinksUpToDate>false</LinksUpToDate>
  <CharactersWithSpaces>7288</CharactersWithSpaces>
  <SharedDoc>false</SharedDoc>
  <HyperlinkBase/>
  <HLinks>
    <vt:vector size="6" baseType="variant">
      <vt:variant>
        <vt:i4>6160468</vt:i4>
      </vt:variant>
      <vt:variant>
        <vt:i4>3</vt:i4>
      </vt:variant>
      <vt:variant>
        <vt:i4>0</vt:i4>
      </vt:variant>
      <vt:variant>
        <vt:i4>5</vt:i4>
      </vt:variant>
      <vt:variant>
        <vt:lpwstr>http://www.comlaw.gov.au/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(Spectrum Licence Allocation—Residual 700 MHz Band One) Direction 2016</dc:title>
  <dc:subject/>
  <dc:creator>Flannery, Angela</dc:creator>
  <cp:keywords/>
  <dc:description/>
  <cp:lastModifiedBy>Theresa Hall</cp:lastModifiedBy>
  <cp:revision>6</cp:revision>
  <cp:lastPrinted>2016-05-06T05:53:00Z</cp:lastPrinted>
  <dcterms:created xsi:type="dcterms:W3CDTF">2016-05-06T05:30:00Z</dcterms:created>
  <dcterms:modified xsi:type="dcterms:W3CDTF">2016-05-06T05:54:00Z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y">
    <vt:lpwstr/>
  </property>
  <property fmtid="{D5CDD505-2E9C-101B-9397-08002B2CF9AE}" pid="3" name="ExcoDate">
    <vt:lpwstr> </vt:lpwstr>
  </property>
  <property fmtid="{D5CDD505-2E9C-101B-9397-08002B2CF9AE}" pid="4" name="Converted">
    <vt:bool>true</vt:bool>
  </property>
  <property fmtid="{D5CDD505-2E9C-101B-9397-08002B2CF9AE}" pid="5" name="DateMade">
    <vt:lpwstr> </vt:lpwstr>
  </property>
  <property fmtid="{D5CDD505-2E9C-101B-9397-08002B2CF9AE}" pid="6" name="Header">
    <vt:lpwstr>Section</vt:lpwstr>
  </property>
  <property fmtid="{D5CDD505-2E9C-101B-9397-08002B2CF9AE}" pid="7" name="ActNo">
    <vt:lpwstr> </vt:lpwstr>
  </property>
  <property fmtid="{D5CDD505-2E9C-101B-9397-08002B2CF9AE}" pid="8" name="Class">
    <vt:lpwstr> </vt:lpwstr>
  </property>
  <property fmtid="{D5CDD505-2E9C-101B-9397-08002B2CF9AE}" pid="9" name="CounterSign">
    <vt:lpwstr/>
  </property>
  <property fmtid="{D5CDD505-2E9C-101B-9397-08002B2CF9AE}" pid="10" name="DocType">
    <vt:lpwstr>NEW</vt:lpwstr>
  </property>
  <property fmtid="{D5CDD505-2E9C-101B-9397-08002B2CF9AE}" pid="11" name="ContentTypeId">
    <vt:lpwstr>0x010100025E3A57EF42484D8B194BCF43214089</vt:lpwstr>
  </property>
  <property fmtid="{D5CDD505-2E9C-101B-9397-08002B2CF9AE}" pid="12" name="IndexMatter">
    <vt:lpwstr> </vt:lpwstr>
  </property>
  <property fmtid="{D5CDD505-2E9C-101B-9397-08002B2CF9AE}" pid="13" name="IndexID">
    <vt:lpwstr>0</vt:lpwstr>
  </property>
  <property fmtid="{D5CDD505-2E9C-101B-9397-08002B2CF9AE}" pid="14" name="ShortT">
    <vt:lpwstr> </vt:lpwstr>
  </property>
  <property fmtid="{D5CDD505-2E9C-101B-9397-08002B2CF9AE}" pid="15" name="TrimRevisionNumber">
    <vt:i4>5</vt:i4>
  </property>
  <property fmtid="{D5CDD505-2E9C-101B-9397-08002B2CF9AE}" pid="16" name="Exco">
    <vt:lpwstr>No</vt:lpwstr>
  </property>
</Properties>
</file>