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9787" w14:textId="77777777" w:rsidR="00567FAF" w:rsidRDefault="00297528" w:rsidP="004543CF">
      <w:pPr>
        <w:spacing w:after="0"/>
        <w:ind w:left="-1418"/>
        <w:sectPr w:rsidR="00567FAF" w:rsidSect="0084603E">
          <w:footerReference w:type="default" r:id="rId11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56849798" wp14:editId="56849799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050A36F9" w14:textId="4B45EA35" w:rsidR="00CA5F21" w:rsidRPr="00B60962" w:rsidRDefault="00CA5F21" w:rsidP="002777FB">
      <w:pPr>
        <w:pStyle w:val="Heading2"/>
      </w:pPr>
      <w:r w:rsidRPr="00971964">
        <w:t xml:space="preserve">Introducing the single </w:t>
      </w:r>
      <w:r w:rsidRPr="006F17C5">
        <w:t>licensing</w:t>
      </w:r>
      <w:r w:rsidRPr="00971964">
        <w:t xml:space="preserve"> system</w:t>
      </w:r>
      <w:r w:rsidR="00226098">
        <w:t>, disqualified persons</w:t>
      </w:r>
      <w:r w:rsidRPr="00971964">
        <w:t xml:space="preserve"> and spectrum authorisations</w:t>
      </w:r>
    </w:p>
    <w:p w14:paraId="0AE5776F" w14:textId="77777777" w:rsidR="004543CF" w:rsidRDefault="00CA5F21" w:rsidP="00446A7D">
      <w:pPr>
        <w:pStyle w:val="Heading4"/>
        <w:spacing w:before="0"/>
        <w:rPr>
          <w:lang w:eastAsia="en-AU"/>
        </w:rPr>
      </w:pPr>
      <w:r w:rsidRPr="009E4E57">
        <w:rPr>
          <w:lang w:eastAsia="en-AU"/>
        </w:rPr>
        <w:t>Introduction</w:t>
      </w:r>
    </w:p>
    <w:p w14:paraId="73EBABAC" w14:textId="3B1D8C8A" w:rsidR="00CA5F21" w:rsidRPr="00B60962" w:rsidRDefault="00CA5F21" w:rsidP="00446A7D">
      <w:pPr>
        <w:spacing w:after="0"/>
        <w:rPr>
          <w:rFonts w:cs="Times New Roman"/>
        </w:rPr>
      </w:pPr>
      <w:r w:rsidRPr="00B60962">
        <w:rPr>
          <w:rFonts w:eastAsia="Times New Roman" w:cs="Times New Roman"/>
          <w:lang w:eastAsia="en-AU"/>
        </w:rPr>
        <w:t xml:space="preserve">The centrepiece of the Bill </w:t>
      </w:r>
      <w:r w:rsidR="00226098">
        <w:rPr>
          <w:rFonts w:eastAsia="Times New Roman" w:cs="Times New Roman"/>
          <w:lang w:eastAsia="en-AU"/>
        </w:rPr>
        <w:t>is</w:t>
      </w:r>
      <w:r w:rsidRPr="00B60962">
        <w:rPr>
          <w:rFonts w:eastAsia="Times New Roman" w:cs="Times New Roman"/>
          <w:lang w:eastAsia="en-AU"/>
        </w:rPr>
        <w:t xml:space="preserve"> the introduction of a single licensing system. </w:t>
      </w:r>
      <w:r w:rsidRPr="00B60962">
        <w:rPr>
          <w:rFonts w:cs="Times New Roman"/>
        </w:rPr>
        <w:t xml:space="preserve">This will provide </w:t>
      </w:r>
      <w:r w:rsidR="00446A7D">
        <w:rPr>
          <w:rFonts w:cs="Times New Roman"/>
        </w:rPr>
        <w:t xml:space="preserve">for </w:t>
      </w:r>
      <w:r w:rsidRPr="00B60962">
        <w:rPr>
          <w:rFonts w:cs="Times New Roman"/>
        </w:rPr>
        <w:t>a</w:t>
      </w:r>
      <w:r w:rsidR="00CA538D">
        <w:rPr>
          <w:rFonts w:cs="Times New Roman"/>
        </w:rPr>
        <w:t xml:space="preserve"> more administratively</w:t>
      </w:r>
      <w:r w:rsidRPr="00B60962">
        <w:rPr>
          <w:rFonts w:cs="Times New Roman"/>
        </w:rPr>
        <w:t xml:space="preserve"> streamlined approach </w:t>
      </w:r>
      <w:r w:rsidR="00CA538D">
        <w:rPr>
          <w:rFonts w:cs="Times New Roman"/>
        </w:rPr>
        <w:t xml:space="preserve">for users </w:t>
      </w:r>
      <w:r w:rsidR="00385E18">
        <w:rPr>
          <w:rFonts w:cs="Times New Roman"/>
        </w:rPr>
        <w:t xml:space="preserve">in regards </w:t>
      </w:r>
      <w:r w:rsidRPr="00B60962">
        <w:rPr>
          <w:rFonts w:cs="Times New Roman"/>
        </w:rPr>
        <w:t>to licensing, p</w:t>
      </w:r>
      <w:r w:rsidR="00226098">
        <w:rPr>
          <w:rFonts w:cs="Times New Roman"/>
        </w:rPr>
        <w:t xml:space="preserve">lanning, allocation and renewal, and give users greater certainty of process. </w:t>
      </w:r>
      <w:bookmarkStart w:id="0" w:name="_GoBack"/>
      <w:bookmarkEnd w:id="0"/>
      <w:r w:rsidR="00EC09DD">
        <w:rPr>
          <w:rFonts w:cs="Times New Roman"/>
        </w:rPr>
        <w:t>S</w:t>
      </w:r>
      <w:r w:rsidRPr="00B60962">
        <w:rPr>
          <w:rFonts w:cs="Times New Roman"/>
        </w:rPr>
        <w:t>pectrum authorisations will regulate the use of spectrum</w:t>
      </w:r>
      <w:r w:rsidR="00EC09DD">
        <w:rPr>
          <w:rFonts w:cs="Times New Roman"/>
        </w:rPr>
        <w:t xml:space="preserve"> without a licence</w:t>
      </w:r>
      <w:r w:rsidRPr="00B60962">
        <w:rPr>
          <w:rFonts w:cs="Times New Roman"/>
        </w:rPr>
        <w:t>.</w:t>
      </w:r>
    </w:p>
    <w:p w14:paraId="3325CEAF" w14:textId="77777777" w:rsidR="00CA5F21" w:rsidRPr="00B60962" w:rsidRDefault="00CA5F21" w:rsidP="004543CF">
      <w:pPr>
        <w:spacing w:after="0"/>
        <w:rPr>
          <w:rFonts w:cs="Times New Roman"/>
        </w:rPr>
      </w:pPr>
    </w:p>
    <w:p w14:paraId="13448441" w14:textId="77777777" w:rsidR="004543CF" w:rsidRDefault="00CA5F21" w:rsidP="002777FB">
      <w:pPr>
        <w:pStyle w:val="Heading4"/>
        <w:rPr>
          <w:lang w:eastAsia="en-AU"/>
        </w:rPr>
      </w:pPr>
      <w:r w:rsidRPr="009E4E57">
        <w:rPr>
          <w:lang w:eastAsia="en-AU"/>
        </w:rPr>
        <w:t>Issue</w:t>
      </w:r>
    </w:p>
    <w:p w14:paraId="4C76EA50" w14:textId="005C9D92" w:rsidR="00CA5F21" w:rsidRPr="00B60962" w:rsidRDefault="00CA5F21" w:rsidP="004543CF">
      <w:pPr>
        <w:spacing w:after="0"/>
        <w:rPr>
          <w:rFonts w:cs="Times New Roman"/>
        </w:rPr>
      </w:pPr>
      <w:r w:rsidRPr="00B60962">
        <w:rPr>
          <w:rFonts w:eastAsia="Times New Roman" w:cs="Times New Roman"/>
          <w:lang w:eastAsia="en-AU"/>
        </w:rPr>
        <w:t xml:space="preserve">The existing licensing system consisting of class, apparatus and spectrum licences is rigid and overly prescriptive. </w:t>
      </w:r>
      <w:r w:rsidRPr="00B60962">
        <w:t>Removing the current hard barriers that exist between licence types</w:t>
      </w:r>
      <w:r w:rsidR="00385E18">
        <w:t>,</w:t>
      </w:r>
      <w:r w:rsidRPr="00B60962">
        <w:t xml:space="preserve"> </w:t>
      </w:r>
      <w:r w:rsidR="00385E18">
        <w:t xml:space="preserve">and the rigid manner in which licenses are designed within the framework, </w:t>
      </w:r>
      <w:r w:rsidR="00226098">
        <w:t>will</w:t>
      </w:r>
      <w:r w:rsidRPr="00B60962">
        <w:t xml:space="preserve"> enable the licensing system to better respond to new technologies and service innovations. </w:t>
      </w:r>
    </w:p>
    <w:p w14:paraId="0907D7A2" w14:textId="77777777" w:rsidR="00CA5F21" w:rsidRPr="00B60962" w:rsidRDefault="00CA5F21" w:rsidP="004543CF">
      <w:pPr>
        <w:spacing w:after="0"/>
      </w:pPr>
    </w:p>
    <w:p w14:paraId="3FCF18FB" w14:textId="77777777" w:rsidR="004543CF" w:rsidRDefault="00CA5F21" w:rsidP="002777FB">
      <w:pPr>
        <w:pStyle w:val="Heading4"/>
      </w:pPr>
      <w:r w:rsidRPr="009E4E57">
        <w:t>Detail</w:t>
      </w:r>
    </w:p>
    <w:p w14:paraId="0CE809CB" w14:textId="1D008EB2" w:rsidR="00CA5F21" w:rsidRDefault="00CA5F21" w:rsidP="004543CF">
      <w:pPr>
        <w:spacing w:after="0"/>
        <w:rPr>
          <w:rFonts w:cs="Times New Roman"/>
        </w:rPr>
      </w:pPr>
      <w:r w:rsidRPr="00B60962">
        <w:rPr>
          <w:rFonts w:cs="Times New Roman"/>
        </w:rPr>
        <w:t>The key aim of the reformed licensing framework is to</w:t>
      </w:r>
      <w:r w:rsidR="00817DE7">
        <w:rPr>
          <w:rFonts w:cs="Times New Roman"/>
        </w:rPr>
        <w:t xml:space="preserve"> provide the ACMA with </w:t>
      </w:r>
      <w:r w:rsidR="00226098">
        <w:rPr>
          <w:rFonts w:cs="Times New Roman"/>
        </w:rPr>
        <w:t>the ability to adapt</w:t>
      </w:r>
      <w:r w:rsidR="00817DE7">
        <w:rPr>
          <w:rFonts w:cs="Times New Roman"/>
        </w:rPr>
        <w:t xml:space="preserve"> licence issue and design</w:t>
      </w:r>
      <w:r w:rsidR="00226098">
        <w:rPr>
          <w:rFonts w:cs="Times New Roman"/>
        </w:rPr>
        <w:t xml:space="preserve"> to enable new technologies</w:t>
      </w:r>
      <w:r w:rsidR="00817DE7">
        <w:rPr>
          <w:rFonts w:cs="Times New Roman"/>
        </w:rPr>
        <w:t>, and to</w:t>
      </w:r>
      <w:r w:rsidRPr="00B60962">
        <w:rPr>
          <w:rFonts w:cs="Times New Roman"/>
        </w:rPr>
        <w:t xml:space="preserve"> simplify processes and improve timeliness for users. Under the new framework, key characteristics of a licence</w:t>
      </w:r>
      <w:r w:rsidR="00C3542C">
        <w:rPr>
          <w:rFonts w:cs="Times New Roman"/>
        </w:rPr>
        <w:t xml:space="preserve"> will be</w:t>
      </w:r>
      <w:r w:rsidR="00EC289A">
        <w:rPr>
          <w:rFonts w:cs="Times New Roman"/>
        </w:rPr>
        <w:t xml:space="preserve"> specified on </w:t>
      </w:r>
      <w:r w:rsidR="00EC289A" w:rsidRPr="00B60962">
        <w:rPr>
          <w:rFonts w:cs="Times New Roman"/>
        </w:rPr>
        <w:t>the licence itself</w:t>
      </w:r>
      <w:r w:rsidRPr="00B60962">
        <w:rPr>
          <w:rFonts w:cs="Times New Roman"/>
        </w:rPr>
        <w:t>, providing greater clarity</w:t>
      </w:r>
      <w:r>
        <w:rPr>
          <w:rFonts w:cs="Times New Roman"/>
        </w:rPr>
        <w:t xml:space="preserve"> for the user</w:t>
      </w:r>
      <w:r w:rsidRPr="00B60962">
        <w:rPr>
          <w:rFonts w:cs="Times New Roman"/>
        </w:rPr>
        <w:t xml:space="preserve">. </w:t>
      </w:r>
    </w:p>
    <w:p w14:paraId="40D8037A" w14:textId="77777777" w:rsidR="00817DE7" w:rsidRPr="00B60962" w:rsidRDefault="00817DE7" w:rsidP="004543CF">
      <w:pPr>
        <w:spacing w:after="0"/>
        <w:rPr>
          <w:rFonts w:cs="Times New Roman"/>
        </w:rPr>
      </w:pPr>
    </w:p>
    <w:p w14:paraId="071C9CAB" w14:textId="0A60AF29" w:rsidR="00CA5F21" w:rsidRPr="00B60962" w:rsidRDefault="00CA5F21" w:rsidP="00A048F0">
      <w:pPr>
        <w:spacing w:after="0"/>
      </w:pPr>
      <w:r w:rsidRPr="00B60962">
        <w:rPr>
          <w:noProof/>
          <w:lang w:eastAsia="en-AU"/>
        </w:rPr>
        <w:drawing>
          <wp:inline distT="0" distB="0" distL="0" distR="0" wp14:anchorId="34CD271E" wp14:editId="3D62689D">
            <wp:extent cx="5895975" cy="2552700"/>
            <wp:effectExtent l="0" t="0" r="9525" b="0"/>
            <wp:docPr id="4" name="Picture 4" descr="A comparison of the new licensing arrangements and the 1992 Act.&#10;&#10;The single licensing system removes the existing hard barriers between licences whcih allows for greater flexibility. " title="A comparison of licensing syste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dept.gov.au\DFS\Home\AWright\Desktop\Presentation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" t="18301" r="22603" b="8804"/>
                    <a:stretch/>
                  </pic:blipFill>
                  <pic:spPr bwMode="auto">
                    <a:xfrm>
                      <a:off x="0" y="0"/>
                      <a:ext cx="5895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962">
        <w:t>The proposed new legislation moves away from the unnecessary regula</w:t>
      </w:r>
      <w:r>
        <w:t xml:space="preserve">tory red tape and administration </w:t>
      </w:r>
      <w:r w:rsidRPr="00B60962">
        <w:t xml:space="preserve">required under the current </w:t>
      </w:r>
      <w:r w:rsidRPr="00B60962">
        <w:rPr>
          <w:i/>
        </w:rPr>
        <w:t xml:space="preserve">Radiocommunications Act 1992. </w:t>
      </w:r>
    </w:p>
    <w:p w14:paraId="07FF180A" w14:textId="77777777" w:rsidR="00F45214" w:rsidRDefault="00EC289A" w:rsidP="00F45214">
      <w:pPr>
        <w:spacing w:after="0" w:line="276" w:lineRule="auto"/>
        <w:rPr>
          <w:rFonts w:eastAsia="Times New Roman" w:cs="Times New Roman"/>
          <w:lang w:eastAsia="en-AU"/>
        </w:rPr>
      </w:pPr>
      <w:r w:rsidRPr="00B60962">
        <w:rPr>
          <w:rFonts w:cs="Times New Roman"/>
        </w:rPr>
        <w:t>The single licensing system will provide licensees with transparency, clarity and certainty</w:t>
      </w:r>
      <w:r w:rsidR="00226098">
        <w:rPr>
          <w:rFonts w:cs="Times New Roman"/>
        </w:rPr>
        <w:t xml:space="preserve"> of process</w:t>
      </w:r>
      <w:r w:rsidRPr="00B60962">
        <w:rPr>
          <w:rFonts w:cs="Times New Roman"/>
        </w:rPr>
        <w:t xml:space="preserve"> around the rights and obligations embedded in their licences. </w:t>
      </w:r>
      <w:r>
        <w:rPr>
          <w:rFonts w:cs="Times New Roman"/>
        </w:rPr>
        <w:t>A</w:t>
      </w:r>
      <w:r w:rsidRPr="00B60962">
        <w:rPr>
          <w:rFonts w:eastAsia="Times New Roman" w:cs="Arial"/>
          <w:lang w:eastAsia="en-AU"/>
        </w:rPr>
        <w:t xml:space="preserve">dditional conditions </w:t>
      </w:r>
      <w:r w:rsidR="00CA538D">
        <w:rPr>
          <w:rFonts w:eastAsia="Times New Roman" w:cs="Arial"/>
          <w:lang w:eastAsia="en-AU"/>
        </w:rPr>
        <w:t>may</w:t>
      </w:r>
      <w:r w:rsidRPr="00B60962">
        <w:rPr>
          <w:rFonts w:eastAsia="Times New Roman" w:cs="Arial"/>
          <w:lang w:eastAsia="en-AU"/>
        </w:rPr>
        <w:t xml:space="preserve"> appear on the licence, such as technical parameters</w:t>
      </w:r>
      <w:r w:rsidR="004E7096">
        <w:rPr>
          <w:rFonts w:eastAsia="Times New Roman" w:cs="Arial"/>
          <w:lang w:eastAsia="en-AU"/>
        </w:rPr>
        <w:t>.</w:t>
      </w:r>
      <w:r w:rsidRPr="00B60962">
        <w:rPr>
          <w:rFonts w:eastAsia="Times New Roman" w:cs="Arial"/>
          <w:lang w:eastAsia="en-AU"/>
        </w:rPr>
        <w:t xml:space="preserve"> </w:t>
      </w:r>
      <w:r w:rsidR="004E7096">
        <w:rPr>
          <w:rFonts w:eastAsia="Times New Roman" w:cs="Arial"/>
          <w:lang w:eastAsia="en-AU"/>
        </w:rPr>
        <w:t>T</w:t>
      </w:r>
      <w:r w:rsidRPr="00B60962">
        <w:rPr>
          <w:rFonts w:eastAsia="Times New Roman" w:cs="Arial"/>
          <w:lang w:eastAsia="en-AU"/>
        </w:rPr>
        <w:t xml:space="preserve">he use of designated statements </w:t>
      </w:r>
      <w:r w:rsidR="004E7096">
        <w:rPr>
          <w:rFonts w:eastAsia="Times New Roman" w:cs="Arial"/>
          <w:lang w:eastAsia="en-AU"/>
        </w:rPr>
        <w:lastRenderedPageBreak/>
        <w:t xml:space="preserve">will also appear on the licence </w:t>
      </w:r>
      <w:r w:rsidR="008E379C">
        <w:rPr>
          <w:rFonts w:eastAsia="Times New Roman" w:cs="Arial"/>
          <w:lang w:eastAsia="en-AU"/>
        </w:rPr>
        <w:t xml:space="preserve">in order to </w:t>
      </w:r>
      <w:r w:rsidRPr="00B60962">
        <w:rPr>
          <w:rFonts w:eastAsia="Times New Roman" w:cs="Arial"/>
          <w:lang w:eastAsia="en-AU"/>
        </w:rPr>
        <w:t xml:space="preserve">limit or </w:t>
      </w:r>
      <w:r w:rsidRPr="00B60962">
        <w:rPr>
          <w:rFonts w:eastAsia="Times New Roman" w:cs="Times New Roman"/>
          <w:lang w:eastAsia="en-AU"/>
        </w:rPr>
        <w:t>restrict the ability for the licence to be traded, suspended or cancelled.</w:t>
      </w:r>
    </w:p>
    <w:p w14:paraId="10AA8D61" w14:textId="77777777" w:rsidR="00F45214" w:rsidRDefault="00F45214">
      <w:pPr>
        <w:spacing w:after="160" w:line="259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br w:type="page"/>
      </w:r>
    </w:p>
    <w:p w14:paraId="6E97AE63" w14:textId="6049F78C" w:rsidR="00EC289A" w:rsidRPr="00F45214" w:rsidRDefault="00EC289A" w:rsidP="00F45214">
      <w:pPr>
        <w:spacing w:after="0" w:line="276" w:lineRule="auto"/>
        <w:rPr>
          <w:rFonts w:eastAsia="Times New Roman" w:cs="Times New Roman"/>
          <w:lang w:eastAsia="en-AU"/>
        </w:rPr>
      </w:pPr>
    </w:p>
    <w:p w14:paraId="4220F573" w14:textId="0D955664" w:rsidR="00CA5F21" w:rsidRPr="00B60962" w:rsidRDefault="00CA5F21" w:rsidP="004543CF">
      <w:pPr>
        <w:spacing w:after="0"/>
        <w:rPr>
          <w:rFonts w:eastAsia="Times New Roman" w:cs="Arial"/>
          <w:lang w:eastAsia="en-AU"/>
        </w:rPr>
      </w:pPr>
      <w:r w:rsidRPr="00B60962">
        <w:rPr>
          <w:rFonts w:eastAsia="Times New Roman" w:cs="Arial"/>
          <w:lang w:eastAsia="en-AU"/>
        </w:rPr>
        <w:t xml:space="preserve">The Bill </w:t>
      </w:r>
      <w:r w:rsidR="00C3542C">
        <w:rPr>
          <w:rFonts w:eastAsia="Times New Roman" w:cs="Arial"/>
          <w:lang w:eastAsia="en-AU"/>
        </w:rPr>
        <w:t>will provide</w:t>
      </w:r>
      <w:r w:rsidRPr="00B60962">
        <w:rPr>
          <w:rFonts w:eastAsia="Times New Roman" w:cs="Arial"/>
          <w:lang w:eastAsia="en-AU"/>
        </w:rPr>
        <w:t xml:space="preserve"> a legislative framework to construct the licensing system. It </w:t>
      </w:r>
      <w:r w:rsidR="00E90533">
        <w:rPr>
          <w:rFonts w:eastAsia="Times New Roman" w:cs="Arial"/>
          <w:lang w:eastAsia="en-AU"/>
        </w:rPr>
        <w:t>will prescribe</w:t>
      </w:r>
      <w:r w:rsidRPr="00B60962">
        <w:rPr>
          <w:rFonts w:eastAsia="Times New Roman" w:cs="Arial"/>
          <w:lang w:eastAsia="en-AU"/>
        </w:rPr>
        <w:t xml:space="preserve"> a set of </w:t>
      </w:r>
      <w:r w:rsidR="001B4CE5">
        <w:rPr>
          <w:rFonts w:eastAsia="Times New Roman" w:cs="Arial"/>
          <w:lang w:eastAsia="en-AU"/>
        </w:rPr>
        <w:t xml:space="preserve">key </w:t>
      </w:r>
      <w:r w:rsidR="00DC44A1">
        <w:rPr>
          <w:rFonts w:eastAsia="Times New Roman" w:cs="Arial"/>
          <w:lang w:eastAsia="en-AU"/>
        </w:rPr>
        <w:t>conditions</w:t>
      </w:r>
      <w:r w:rsidRPr="00B60962">
        <w:rPr>
          <w:rFonts w:eastAsia="Times New Roman" w:cs="Arial"/>
          <w:lang w:eastAsia="en-AU"/>
        </w:rPr>
        <w:t xml:space="preserve"> </w:t>
      </w:r>
      <w:r w:rsidR="00226098">
        <w:rPr>
          <w:rFonts w:eastAsia="Times New Roman" w:cs="Arial"/>
          <w:lang w:eastAsia="en-AU"/>
        </w:rPr>
        <w:t>to be</w:t>
      </w:r>
      <w:r w:rsidR="00EC289A">
        <w:rPr>
          <w:rFonts w:eastAsia="Times New Roman" w:cs="Arial"/>
          <w:lang w:eastAsia="en-AU"/>
        </w:rPr>
        <w:t xml:space="preserve"> included in a licence</w:t>
      </w:r>
      <w:r w:rsidR="00CA538D">
        <w:rPr>
          <w:rFonts w:eastAsia="Times New Roman" w:cs="Arial"/>
          <w:lang w:eastAsia="en-AU"/>
        </w:rPr>
        <w:t xml:space="preserve">. These </w:t>
      </w:r>
      <w:r w:rsidR="006C1D91">
        <w:rPr>
          <w:rFonts w:eastAsia="Times New Roman" w:cs="Arial"/>
          <w:lang w:eastAsia="en-AU"/>
        </w:rPr>
        <w:t xml:space="preserve">include: </w:t>
      </w:r>
    </w:p>
    <w:p w14:paraId="79FCA588" w14:textId="7614D7B9" w:rsidR="00CA5F21" w:rsidRPr="00B60962" w:rsidRDefault="001B4CE5" w:rsidP="004543C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geographic area (part/s) (frequency bandwidth) </w:t>
      </w:r>
    </w:p>
    <w:p w14:paraId="00CF0FB1" w14:textId="0444AF5F" w:rsidR="00FA06AE" w:rsidRDefault="001B4CE5" w:rsidP="004543C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device registration</w:t>
      </w:r>
    </w:p>
    <w:p w14:paraId="4D00F2D7" w14:textId="147BEB3D" w:rsidR="00DC44A1" w:rsidRDefault="001B4CE5" w:rsidP="004543C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prohibition on disqualified persons</w:t>
      </w:r>
    </w:p>
    <w:p w14:paraId="1D7C4BD3" w14:textId="707A8ACB" w:rsidR="00CA538D" w:rsidRDefault="001B4CE5" w:rsidP="004543C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r w:rsidR="00CA538D">
        <w:rPr>
          <w:rFonts w:asciiTheme="minorHAnsi" w:eastAsiaTheme="minorHAnsi" w:hAnsiTheme="minorHAnsi" w:cs="Arial"/>
          <w:sz w:val="22"/>
          <w:szCs w:val="22"/>
          <w:lang w:eastAsia="en-US"/>
        </w:rPr>
        <w:t>ny end of term arrangements</w:t>
      </w:r>
    </w:p>
    <w:p w14:paraId="4F9D21AA" w14:textId="07D2D88F" w:rsidR="00CA5F21" w:rsidRPr="00B60962" w:rsidRDefault="00CA5F21" w:rsidP="004543C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60962">
        <w:rPr>
          <w:rFonts w:asciiTheme="minorHAnsi" w:eastAsiaTheme="minorHAnsi" w:hAnsiTheme="minorHAnsi" w:cs="Arial"/>
          <w:sz w:val="22"/>
          <w:szCs w:val="22"/>
          <w:lang w:eastAsia="en-US"/>
        </w:rPr>
        <w:t>duration (maximum of 20 years)</w:t>
      </w:r>
      <w:r w:rsidR="001B4CE5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  <w:r w:rsidRPr="00B6096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and </w:t>
      </w:r>
    </w:p>
    <w:p w14:paraId="5A2154CB" w14:textId="6E432566" w:rsidR="00CA5F21" w:rsidRPr="00B60962" w:rsidRDefault="00C91133" w:rsidP="004543C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the </w:t>
      </w:r>
      <w:r w:rsidR="00CA5F21" w:rsidRPr="00B6096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payment of applicable </w:t>
      </w:r>
      <w:r w:rsidR="00DC44A1">
        <w:rPr>
          <w:rFonts w:asciiTheme="minorHAnsi" w:eastAsiaTheme="minorHAnsi" w:hAnsiTheme="minorHAnsi" w:cs="Arial"/>
          <w:sz w:val="22"/>
          <w:szCs w:val="22"/>
          <w:lang w:eastAsia="en-US"/>
        </w:rPr>
        <w:t>charges</w:t>
      </w:r>
      <w:r w:rsidR="00CA5F21" w:rsidRPr="00B60962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4BBEC803" w14:textId="77777777" w:rsidR="00CA5F21" w:rsidRDefault="00CA5F21" w:rsidP="004543CF">
      <w:pPr>
        <w:spacing w:after="0" w:line="276" w:lineRule="auto"/>
        <w:rPr>
          <w:rFonts w:cs="Times New Roman"/>
        </w:rPr>
      </w:pPr>
    </w:p>
    <w:p w14:paraId="3A0A3603" w14:textId="351FE197" w:rsidR="00817DE7" w:rsidRDefault="00817DE7" w:rsidP="00446A7D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The ACMA may include </w:t>
      </w:r>
      <w:r w:rsidR="006C1D91">
        <w:rPr>
          <w:rFonts w:cs="Times New Roman"/>
        </w:rPr>
        <w:t xml:space="preserve">other conditions in a licence. </w:t>
      </w:r>
    </w:p>
    <w:p w14:paraId="34C6F100" w14:textId="77777777" w:rsidR="00817DE7" w:rsidRDefault="00817DE7" w:rsidP="00446A7D">
      <w:pPr>
        <w:spacing w:after="0" w:line="276" w:lineRule="auto"/>
        <w:rPr>
          <w:rFonts w:cs="Times New Roman"/>
        </w:rPr>
      </w:pPr>
    </w:p>
    <w:p w14:paraId="1938FD25" w14:textId="77777777" w:rsidR="002E0955" w:rsidRPr="00DC1545" w:rsidRDefault="002E0955" w:rsidP="00446A7D">
      <w:pPr>
        <w:pStyle w:val="Heading4"/>
        <w:spacing w:before="0" w:after="0"/>
      </w:pPr>
      <w:r w:rsidRPr="00DC1545">
        <w:t>Disqualified persons</w:t>
      </w:r>
    </w:p>
    <w:p w14:paraId="3A542EA9" w14:textId="099193E4" w:rsidR="002E0955" w:rsidRDefault="002E0955" w:rsidP="00446A7D">
      <w:pPr>
        <w:spacing w:after="0"/>
      </w:pPr>
      <w:r w:rsidRPr="00446A7D">
        <w:t>The Bill</w:t>
      </w:r>
      <w:r w:rsidR="00E90533" w:rsidRPr="00446A7D">
        <w:t xml:space="preserve"> will give</w:t>
      </w:r>
      <w:r w:rsidRPr="00446A7D">
        <w:t xml:space="preserve"> the ACMA the increased ability to delegate spectrum management functions, such as the issue of licences, to accredited person</w:t>
      </w:r>
      <w:r w:rsidR="00226098">
        <w:t>s or bodies. R</w:t>
      </w:r>
      <w:r w:rsidRPr="00446A7D">
        <w:t>eady access to information is paramount to allow for informed decisions regarding licence issue.</w:t>
      </w:r>
      <w:r>
        <w:t xml:space="preserve"> </w:t>
      </w:r>
    </w:p>
    <w:p w14:paraId="4A8EE867" w14:textId="77777777" w:rsidR="002E0955" w:rsidRDefault="002E0955" w:rsidP="002E0955">
      <w:pPr>
        <w:spacing w:after="0"/>
      </w:pPr>
    </w:p>
    <w:p w14:paraId="67769D8B" w14:textId="25618DEC" w:rsidR="002E0955" w:rsidRDefault="002E0955" w:rsidP="002E0955">
      <w:pPr>
        <w:spacing w:after="0"/>
      </w:pPr>
      <w:r>
        <w:t>The ACMA</w:t>
      </w:r>
      <w:r w:rsidR="00E90533">
        <w:t xml:space="preserve"> will reserve</w:t>
      </w:r>
      <w:r>
        <w:t xml:space="preserve"> the ability to cancel lice</w:t>
      </w:r>
      <w:r w:rsidR="00226098">
        <w:t>nses in only the most serious of</w:t>
      </w:r>
      <w:r>
        <w:t xml:space="preserve"> continued breaches. If an individual or executive officer of a body corporate has their licence cancelled due to a breach of their licence conditions, the ACMA may determine that person is disqualified from being issued a new licence for a specified period of time (a maximum of two years). </w:t>
      </w:r>
    </w:p>
    <w:p w14:paraId="4C86CD70" w14:textId="77777777" w:rsidR="002E0955" w:rsidRDefault="002E0955" w:rsidP="002E0955">
      <w:pPr>
        <w:spacing w:after="0"/>
      </w:pPr>
    </w:p>
    <w:p w14:paraId="6A8429C3" w14:textId="77777777" w:rsidR="002E0955" w:rsidRDefault="002E0955" w:rsidP="002E0955">
      <w:pPr>
        <w:spacing w:after="0"/>
      </w:pPr>
      <w:r>
        <w:t xml:space="preserve">The name of the person, duration of the disqualification and details of the offence caused will be published on the ACMA website on a disqualified persons register for public viewing. </w:t>
      </w:r>
    </w:p>
    <w:p w14:paraId="1A5B73B6" w14:textId="2DFE8B76" w:rsidR="001B4CE5" w:rsidRDefault="001B4CE5" w:rsidP="004543CF">
      <w:pPr>
        <w:spacing w:after="0" w:line="276" w:lineRule="auto"/>
        <w:rPr>
          <w:rFonts w:cs="Times New Roman"/>
        </w:rPr>
      </w:pPr>
    </w:p>
    <w:p w14:paraId="5885F1D3" w14:textId="77777777" w:rsidR="006C1D91" w:rsidRDefault="00CA5F21" w:rsidP="00446A7D">
      <w:pPr>
        <w:pStyle w:val="Heading4"/>
        <w:spacing w:before="0"/>
      </w:pPr>
      <w:r w:rsidRPr="00EC289A">
        <w:t>Spectrum authorisations</w:t>
      </w:r>
      <w:r w:rsidRPr="00B60962">
        <w:t xml:space="preserve"> </w:t>
      </w:r>
    </w:p>
    <w:p w14:paraId="47C3C746" w14:textId="0C76F7DC" w:rsidR="00CA5F21" w:rsidRDefault="006C1D91" w:rsidP="00446A7D">
      <w:pPr>
        <w:spacing w:after="0"/>
      </w:pPr>
      <w:r>
        <w:t xml:space="preserve">Spectrum authorisations </w:t>
      </w:r>
      <w:r w:rsidR="00E90533">
        <w:t xml:space="preserve">will </w:t>
      </w:r>
      <w:r w:rsidR="00CA5F21" w:rsidRPr="00B60962">
        <w:t xml:space="preserve">have a fundamentally different purpose to licences, with authorisations </w:t>
      </w:r>
      <w:r w:rsidR="000C2897">
        <w:t>not including</w:t>
      </w:r>
      <w:r w:rsidR="00CA5F21" w:rsidRPr="00B60962">
        <w:t xml:space="preserve"> </w:t>
      </w:r>
      <w:r w:rsidR="00CA5F21" w:rsidRPr="00310F23">
        <w:t xml:space="preserve">most of the key </w:t>
      </w:r>
      <w:r w:rsidR="00A07401" w:rsidRPr="00310F23">
        <w:t xml:space="preserve">conditions </w:t>
      </w:r>
      <w:r w:rsidR="00CA5F21" w:rsidRPr="00310F23">
        <w:t>of a licence</w:t>
      </w:r>
      <w:r w:rsidR="00CA5F21" w:rsidRPr="00B60962">
        <w:t xml:space="preserve">. </w:t>
      </w:r>
      <w:r w:rsidR="007B462E">
        <w:t xml:space="preserve">Similarly to class licences under the 1992 Act, </w:t>
      </w:r>
      <w:r w:rsidR="00C91133">
        <w:t>spectrum authorisation</w:t>
      </w:r>
      <w:r w:rsidR="001B4CE5">
        <w:t>s</w:t>
      </w:r>
      <w:r w:rsidR="00E90533">
        <w:t xml:space="preserve"> will</w:t>
      </w:r>
      <w:r w:rsidR="00C91133">
        <w:t xml:space="preserve"> not have t</w:t>
      </w:r>
      <w:r w:rsidR="00446A7D">
        <w:t>o be applied for and no fees will be</w:t>
      </w:r>
      <w:r w:rsidR="00C91133">
        <w:t xml:space="preserve"> payable. T</w:t>
      </w:r>
      <w:r w:rsidR="00CA5F21" w:rsidRPr="00B60962">
        <w:t>he c</w:t>
      </w:r>
      <w:r w:rsidR="00E90533">
        <w:t>ore feature of authorisations will be</w:t>
      </w:r>
      <w:r w:rsidR="00CA5F21" w:rsidRPr="00B60962">
        <w:t xml:space="preserve"> that they </w:t>
      </w:r>
      <w:r w:rsidR="007B462E">
        <w:t xml:space="preserve">are intended to </w:t>
      </w:r>
      <w:r w:rsidR="00CA5F21" w:rsidRPr="00B60962">
        <w:t xml:space="preserve">allow </w:t>
      </w:r>
      <w:r w:rsidR="007B462E">
        <w:t xml:space="preserve">radiocommunications </w:t>
      </w:r>
      <w:r w:rsidR="00CA5F21" w:rsidRPr="00B60962">
        <w:t>d</w:t>
      </w:r>
      <w:r w:rsidR="00CA5F21" w:rsidRPr="00B60962">
        <w:rPr>
          <w:lang w:eastAsia="en-AU"/>
        </w:rPr>
        <w:t xml:space="preserve">evices to be operated in </w:t>
      </w:r>
      <w:r w:rsidR="007B462E">
        <w:rPr>
          <w:lang w:eastAsia="en-AU"/>
        </w:rPr>
        <w:t xml:space="preserve">certain parts of the spectrum </w:t>
      </w:r>
      <w:r w:rsidR="00C91133">
        <w:rPr>
          <w:lang w:eastAsia="en-AU"/>
        </w:rPr>
        <w:t>on a shared basis</w:t>
      </w:r>
      <w:r w:rsidR="00CA5F21" w:rsidRPr="00B60962">
        <w:rPr>
          <w:lang w:eastAsia="en-AU"/>
        </w:rPr>
        <w:t xml:space="preserve">, </w:t>
      </w:r>
      <w:r w:rsidR="007B462E">
        <w:rPr>
          <w:lang w:eastAsia="en-AU"/>
        </w:rPr>
        <w:t xml:space="preserve">subject to </w:t>
      </w:r>
      <w:r w:rsidR="00C91133">
        <w:rPr>
          <w:lang w:eastAsia="en-AU"/>
        </w:rPr>
        <w:t xml:space="preserve">common </w:t>
      </w:r>
      <w:r w:rsidR="007B462E">
        <w:rPr>
          <w:lang w:eastAsia="en-AU"/>
        </w:rPr>
        <w:t>conditions</w:t>
      </w:r>
      <w:r w:rsidR="00CA5F21" w:rsidRPr="00B60962">
        <w:t xml:space="preserve">. </w:t>
      </w:r>
      <w:r w:rsidR="007B462E">
        <w:t xml:space="preserve">Conditions </w:t>
      </w:r>
      <w:r w:rsidR="00CA538D">
        <w:t>may also</w:t>
      </w:r>
      <w:r w:rsidR="007B462E">
        <w:t xml:space="preserve"> be imposed </w:t>
      </w:r>
      <w:r w:rsidR="00CA538D">
        <w:t>that ensure</w:t>
      </w:r>
      <w:r w:rsidR="007B462E">
        <w:t xml:space="preserve"> that </w:t>
      </w:r>
      <w:r w:rsidR="00CA5F21" w:rsidRPr="00B60962">
        <w:t>device</w:t>
      </w:r>
      <w:r w:rsidR="00C91133">
        <w:t>s</w:t>
      </w:r>
      <w:r w:rsidR="00CA5F21" w:rsidRPr="00B60962">
        <w:t xml:space="preserve"> must not </w:t>
      </w:r>
      <w:r w:rsidR="007B462E">
        <w:t xml:space="preserve">be operated to </w:t>
      </w:r>
      <w:r w:rsidR="00CA5F21" w:rsidRPr="00B60962">
        <w:t>cause interference to licenced radiocommunications services</w:t>
      </w:r>
      <w:r w:rsidR="007B462E">
        <w:t>,</w:t>
      </w:r>
      <w:r w:rsidR="00CA5F21" w:rsidRPr="00B60962">
        <w:t xml:space="preserve"> </w:t>
      </w:r>
      <w:r w:rsidR="00CA5F21">
        <w:t>and</w:t>
      </w:r>
      <w:r w:rsidR="00CA5F21" w:rsidRPr="00B60962">
        <w:t xml:space="preserve"> no protec</w:t>
      </w:r>
      <w:r w:rsidR="00EC289A">
        <w:t xml:space="preserve">tions </w:t>
      </w:r>
      <w:r w:rsidR="007B462E">
        <w:t xml:space="preserve">from interference </w:t>
      </w:r>
      <w:r w:rsidR="00EC289A">
        <w:t xml:space="preserve">are provided to </w:t>
      </w:r>
      <w:r w:rsidR="007B462E">
        <w:t xml:space="preserve">spectrum authorised </w:t>
      </w:r>
      <w:r w:rsidR="00EC289A">
        <w:t>user</w:t>
      </w:r>
      <w:r w:rsidR="007B462E">
        <w:t>s</w:t>
      </w:r>
      <w:r w:rsidR="00EC289A">
        <w:t xml:space="preserve">. That is, it </w:t>
      </w:r>
      <w:r w:rsidR="00E90533">
        <w:t>will operate</w:t>
      </w:r>
      <w:r w:rsidR="00EC289A">
        <w:t xml:space="preserve"> on a ‘no protection/no interference’ basis. </w:t>
      </w:r>
    </w:p>
    <w:p w14:paraId="06C0F1C0" w14:textId="77777777" w:rsidR="00CA538D" w:rsidRPr="00B60962" w:rsidRDefault="00CA538D" w:rsidP="004543CF">
      <w:pPr>
        <w:spacing w:after="0"/>
        <w:rPr>
          <w:rFonts w:cs="Times New Roman"/>
        </w:rPr>
      </w:pPr>
    </w:p>
    <w:p w14:paraId="7CF4B222" w14:textId="3FB7AAC0" w:rsidR="00CA538D" w:rsidRDefault="00EC03BB" w:rsidP="00CA538D">
      <w:pPr>
        <w:spacing w:after="0"/>
      </w:pPr>
      <w:r>
        <w:rPr>
          <w:rFonts w:cs="Times New Roman"/>
        </w:rPr>
        <w:t>Devices</w:t>
      </w:r>
      <w:r w:rsidR="00CA538D" w:rsidRPr="00EC03BB">
        <w:rPr>
          <w:rFonts w:cs="Times New Roman"/>
        </w:rPr>
        <w:t xml:space="preserve"> will still be required to meet criteria (mainly technical) to be authorised for use</w:t>
      </w:r>
      <w:r>
        <w:rPr>
          <w:rFonts w:cs="Times New Roman"/>
        </w:rPr>
        <w:t xml:space="preserve">. However, </w:t>
      </w:r>
      <w:r w:rsidR="00CA538D" w:rsidRPr="00EC03BB">
        <w:rPr>
          <w:rFonts w:cs="Times New Roman"/>
        </w:rPr>
        <w:t xml:space="preserve">in most cases this will be transparent to end users, who </w:t>
      </w:r>
      <w:r w:rsidR="0084795C">
        <w:rPr>
          <w:rFonts w:cs="Times New Roman"/>
        </w:rPr>
        <w:t>are able to use their device and not have to consider if they need</w:t>
      </w:r>
      <w:r w:rsidR="00CA538D" w:rsidRPr="00EC03BB">
        <w:rPr>
          <w:rFonts w:cs="Times New Roman"/>
        </w:rPr>
        <w:t xml:space="preserve"> to apply for a licence. </w:t>
      </w:r>
      <w:r w:rsidR="00CA538D" w:rsidRPr="00EC03BB">
        <w:t xml:space="preserve">More information about equipment regulation can be found on the </w:t>
      </w:r>
      <w:r w:rsidR="00D92924">
        <w:t>Introducing e</w:t>
      </w:r>
      <w:r w:rsidR="00CA538D" w:rsidRPr="00EC03BB">
        <w:t>quipment rules factsheet.</w:t>
      </w:r>
    </w:p>
    <w:p w14:paraId="49FBFEB4" w14:textId="12E727C3" w:rsidR="00F45214" w:rsidRDefault="00F45214">
      <w:pPr>
        <w:spacing w:after="160" w:line="259" w:lineRule="auto"/>
      </w:pPr>
      <w:r>
        <w:br w:type="page"/>
      </w:r>
    </w:p>
    <w:p w14:paraId="48ED18AA" w14:textId="77777777" w:rsidR="00EF46F1" w:rsidRDefault="00EF46F1" w:rsidP="00CA538D">
      <w:pPr>
        <w:spacing w:after="0"/>
      </w:pPr>
    </w:p>
    <w:p w14:paraId="3E66E1D4" w14:textId="3968CC08" w:rsidR="00136363" w:rsidRDefault="00EF46F1" w:rsidP="00EF46F1">
      <w:pPr>
        <w:pStyle w:val="Heading2"/>
      </w:pPr>
      <w:r>
        <w:t xml:space="preserve">Comparison between spectrum authorisations and licences </w:t>
      </w:r>
    </w:p>
    <w:p w14:paraId="3EC94047" w14:textId="77777777" w:rsidR="001B4CE5" w:rsidRDefault="001B4CE5" w:rsidP="00CA538D">
      <w:pPr>
        <w:spacing w:after="0"/>
      </w:pP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  <w:tblCaption w:val="Comparison between spectrum authorisations and licences"/>
        <w:tblDescription w:val="Rights: Under a spectrum authorisation, a user has right to possession of a device and use of a device, but not trade, interference protection, or to civil proceedings. &#10;Predictability: spectrum authorisations do not include regulatory undertakings, a right to review decisions, or predictability relating to end-of-term processes. Licences do include regulatory undertakings, right to review, and end-of-term processes. &#10;Obligations: spectrum authorisations, unlike licences, do not include obligations to make payment, pay taxes, to register or certify devices, have a maximum duration, or designated statements. Both spectrum authorisations and licences are subject to conditions imposed by the ACMA.&#10;"/>
      </w:tblPr>
      <w:tblGrid>
        <w:gridCol w:w="1803"/>
        <w:gridCol w:w="1803"/>
        <w:gridCol w:w="1545"/>
        <w:gridCol w:w="1701"/>
      </w:tblGrid>
      <w:tr w:rsidR="003F7167" w:rsidRPr="00916A44" w14:paraId="7B4C74D1" w14:textId="77777777" w:rsidTr="00B25F21">
        <w:trPr>
          <w:trHeight w:val="603"/>
          <w:tblHeader/>
        </w:trPr>
        <w:tc>
          <w:tcPr>
            <w:tcW w:w="3606" w:type="dxa"/>
            <w:gridSpan w:val="2"/>
          </w:tcPr>
          <w:p w14:paraId="7FA52BF9" w14:textId="77777777" w:rsidR="003F7167" w:rsidRDefault="003F7167" w:rsidP="003D3C4A">
            <w:pPr>
              <w:jc w:val="center"/>
            </w:pPr>
          </w:p>
        </w:tc>
        <w:tc>
          <w:tcPr>
            <w:tcW w:w="1545" w:type="dxa"/>
          </w:tcPr>
          <w:p w14:paraId="7E94E52A" w14:textId="77777777" w:rsidR="003F7167" w:rsidRPr="00916A44" w:rsidRDefault="003F7167" w:rsidP="003D3C4A">
            <w:pPr>
              <w:jc w:val="center"/>
              <w:rPr>
                <w:b/>
              </w:rPr>
            </w:pPr>
            <w:r w:rsidRPr="00916A44">
              <w:rPr>
                <w:b/>
              </w:rPr>
              <w:t>Spectrum authorisations</w:t>
            </w:r>
          </w:p>
        </w:tc>
        <w:tc>
          <w:tcPr>
            <w:tcW w:w="1701" w:type="dxa"/>
          </w:tcPr>
          <w:p w14:paraId="31288A40" w14:textId="3C3E1A13" w:rsidR="003F7167" w:rsidRPr="00916A44" w:rsidRDefault="003F7167" w:rsidP="003F7167">
            <w:pPr>
              <w:jc w:val="center"/>
              <w:rPr>
                <w:b/>
              </w:rPr>
            </w:pPr>
            <w:r w:rsidRPr="00916A44">
              <w:rPr>
                <w:b/>
              </w:rPr>
              <w:t>Licences</w:t>
            </w:r>
            <w:r>
              <w:rPr>
                <w:b/>
              </w:rPr>
              <w:t xml:space="preserve"> (receivers &amp; transmitters)</w:t>
            </w:r>
          </w:p>
        </w:tc>
      </w:tr>
      <w:tr w:rsidR="003F7167" w14:paraId="503312F5" w14:textId="77777777" w:rsidTr="00F45214">
        <w:tc>
          <w:tcPr>
            <w:tcW w:w="1803" w:type="dxa"/>
            <w:vMerge w:val="restart"/>
            <w:vAlign w:val="center"/>
          </w:tcPr>
          <w:p w14:paraId="6F2BF82B" w14:textId="77777777" w:rsidR="003F7167" w:rsidRDefault="003F7167" w:rsidP="00F45214">
            <w:pPr>
              <w:jc w:val="center"/>
              <w:rPr>
                <w:b/>
              </w:rPr>
            </w:pPr>
          </w:p>
          <w:p w14:paraId="04DC8807" w14:textId="77777777" w:rsidR="003F7167" w:rsidRPr="00916A44" w:rsidRDefault="003F7167" w:rsidP="00F45214">
            <w:pPr>
              <w:jc w:val="center"/>
              <w:rPr>
                <w:b/>
              </w:rPr>
            </w:pPr>
            <w:r>
              <w:rPr>
                <w:b/>
              </w:rPr>
              <w:t>What rights d</w:t>
            </w:r>
            <w:r w:rsidRPr="00916A44">
              <w:rPr>
                <w:b/>
              </w:rPr>
              <w:t>o users have?</w:t>
            </w:r>
          </w:p>
        </w:tc>
        <w:tc>
          <w:tcPr>
            <w:tcW w:w="1803" w:type="dxa"/>
          </w:tcPr>
          <w:p w14:paraId="1B5B3881" w14:textId="77777777" w:rsidR="003F7167" w:rsidRDefault="003F7167" w:rsidP="003D3C4A">
            <w:r>
              <w:t>Possession of a device</w:t>
            </w:r>
          </w:p>
        </w:tc>
        <w:tc>
          <w:tcPr>
            <w:tcW w:w="1545" w:type="dxa"/>
          </w:tcPr>
          <w:p w14:paraId="15937D0A" w14:textId="77777777" w:rsidR="003F7167" w:rsidRDefault="003F7167" w:rsidP="003D3C4A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  <w:tc>
          <w:tcPr>
            <w:tcW w:w="1701" w:type="dxa"/>
          </w:tcPr>
          <w:p w14:paraId="23ECD84F" w14:textId="6AB4C872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221BF13E" w14:textId="77777777" w:rsidTr="00B25F21">
        <w:tc>
          <w:tcPr>
            <w:tcW w:w="1803" w:type="dxa"/>
            <w:vMerge/>
          </w:tcPr>
          <w:p w14:paraId="526B2D0D" w14:textId="77777777" w:rsidR="003F7167" w:rsidRPr="00916A44" w:rsidRDefault="003F7167" w:rsidP="003D3C4A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4AC22B6" w14:textId="77777777" w:rsidR="003F7167" w:rsidRDefault="003F7167" w:rsidP="003D3C4A">
            <w:r>
              <w:t>Use of a device</w:t>
            </w:r>
          </w:p>
        </w:tc>
        <w:tc>
          <w:tcPr>
            <w:tcW w:w="1545" w:type="dxa"/>
          </w:tcPr>
          <w:p w14:paraId="0ABC9BE7" w14:textId="77777777" w:rsidR="003F7167" w:rsidRDefault="003F7167" w:rsidP="003D3C4A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  <w:tc>
          <w:tcPr>
            <w:tcW w:w="1701" w:type="dxa"/>
          </w:tcPr>
          <w:p w14:paraId="533E8FB5" w14:textId="3612E748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3E2B933E" w14:textId="77777777" w:rsidTr="00B25F21">
        <w:tc>
          <w:tcPr>
            <w:tcW w:w="1803" w:type="dxa"/>
            <w:vMerge/>
          </w:tcPr>
          <w:p w14:paraId="25029857" w14:textId="77777777" w:rsidR="003F7167" w:rsidRPr="00916A44" w:rsidRDefault="003F7167" w:rsidP="003D3C4A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F9AF9A6" w14:textId="77777777" w:rsidR="003F7167" w:rsidRDefault="003F7167" w:rsidP="003D3C4A">
            <w:r>
              <w:t>Tradable</w:t>
            </w:r>
          </w:p>
        </w:tc>
        <w:tc>
          <w:tcPr>
            <w:tcW w:w="1545" w:type="dxa"/>
          </w:tcPr>
          <w:p w14:paraId="2768506A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592D6940" w14:textId="317556CE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30E5DAA0" w14:textId="77777777" w:rsidTr="00B25F21">
        <w:tc>
          <w:tcPr>
            <w:tcW w:w="1803" w:type="dxa"/>
            <w:vMerge/>
          </w:tcPr>
          <w:p w14:paraId="28BC86F2" w14:textId="77777777" w:rsidR="003F7167" w:rsidRPr="00916A44" w:rsidRDefault="003F7167" w:rsidP="003D3C4A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391A816" w14:textId="77777777" w:rsidR="003F7167" w:rsidRDefault="003F7167" w:rsidP="003D3C4A">
            <w:r>
              <w:t>Interference protection</w:t>
            </w:r>
          </w:p>
        </w:tc>
        <w:tc>
          <w:tcPr>
            <w:tcW w:w="1545" w:type="dxa"/>
          </w:tcPr>
          <w:p w14:paraId="65EA3A58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0962DDDB" w14:textId="25315165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2942E15A" w14:textId="77777777" w:rsidTr="00B25F21">
        <w:tc>
          <w:tcPr>
            <w:tcW w:w="1803" w:type="dxa"/>
            <w:vMerge/>
          </w:tcPr>
          <w:p w14:paraId="7D00EB36" w14:textId="77777777" w:rsidR="003F7167" w:rsidRPr="00916A44" w:rsidRDefault="003F7167" w:rsidP="003D3C4A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74C7493" w14:textId="77777777" w:rsidR="003F7167" w:rsidRDefault="003F7167" w:rsidP="003D3C4A">
            <w:r>
              <w:t>Civil proceedings</w:t>
            </w:r>
          </w:p>
        </w:tc>
        <w:tc>
          <w:tcPr>
            <w:tcW w:w="1545" w:type="dxa"/>
          </w:tcPr>
          <w:p w14:paraId="3B20EBEB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29EAA183" w14:textId="4E8E29B4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220BDF33" w14:textId="77777777" w:rsidTr="00F45214">
        <w:tc>
          <w:tcPr>
            <w:tcW w:w="1803" w:type="dxa"/>
            <w:vMerge w:val="restart"/>
            <w:vAlign w:val="center"/>
          </w:tcPr>
          <w:p w14:paraId="05CC0D78" w14:textId="77777777" w:rsidR="003F7167" w:rsidRDefault="003F7167" w:rsidP="00F45214">
            <w:pPr>
              <w:jc w:val="center"/>
              <w:rPr>
                <w:b/>
              </w:rPr>
            </w:pPr>
          </w:p>
          <w:p w14:paraId="002D6AEC" w14:textId="77777777" w:rsidR="003F7167" w:rsidRPr="00916A44" w:rsidRDefault="003F7167" w:rsidP="00F45214">
            <w:pPr>
              <w:jc w:val="center"/>
              <w:rPr>
                <w:b/>
              </w:rPr>
            </w:pPr>
            <w:r w:rsidRPr="00916A44">
              <w:rPr>
                <w:b/>
              </w:rPr>
              <w:t>What predictability do users have?</w:t>
            </w:r>
          </w:p>
        </w:tc>
        <w:tc>
          <w:tcPr>
            <w:tcW w:w="1803" w:type="dxa"/>
          </w:tcPr>
          <w:p w14:paraId="696B874B" w14:textId="77777777" w:rsidR="003F7167" w:rsidRDefault="003F7167" w:rsidP="003D3C4A">
            <w:r>
              <w:t>Regulatory undertakings</w:t>
            </w:r>
          </w:p>
        </w:tc>
        <w:tc>
          <w:tcPr>
            <w:tcW w:w="1545" w:type="dxa"/>
          </w:tcPr>
          <w:p w14:paraId="5D3244DA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438D6296" w14:textId="310ABAC1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206BBF59" w14:textId="77777777" w:rsidTr="00B25F21">
        <w:tc>
          <w:tcPr>
            <w:tcW w:w="1803" w:type="dxa"/>
            <w:vMerge/>
          </w:tcPr>
          <w:p w14:paraId="3C7E5EAD" w14:textId="77777777" w:rsidR="003F7167" w:rsidRPr="00916A44" w:rsidRDefault="003F7167" w:rsidP="003D3C4A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702E0B2" w14:textId="77777777" w:rsidR="003F7167" w:rsidRDefault="003F7167" w:rsidP="003D3C4A">
            <w:r>
              <w:t xml:space="preserve">Right to review decisions </w:t>
            </w:r>
          </w:p>
        </w:tc>
        <w:tc>
          <w:tcPr>
            <w:tcW w:w="1545" w:type="dxa"/>
          </w:tcPr>
          <w:p w14:paraId="2473024E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17833A99" w14:textId="6D0A5669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2BE9E51F" w14:textId="77777777" w:rsidTr="00B25F21">
        <w:tc>
          <w:tcPr>
            <w:tcW w:w="1803" w:type="dxa"/>
            <w:vMerge/>
          </w:tcPr>
          <w:p w14:paraId="609882E9" w14:textId="77777777" w:rsidR="003F7167" w:rsidRPr="00916A44" w:rsidRDefault="003F7167" w:rsidP="003D3C4A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5E30CB8" w14:textId="77777777" w:rsidR="003F7167" w:rsidRDefault="003F7167" w:rsidP="003D3C4A">
            <w:r>
              <w:t xml:space="preserve">End of term processes </w:t>
            </w:r>
          </w:p>
        </w:tc>
        <w:tc>
          <w:tcPr>
            <w:tcW w:w="1545" w:type="dxa"/>
          </w:tcPr>
          <w:p w14:paraId="026BD427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5D449A8C" w14:textId="0EA627DE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03229906" w14:textId="77777777" w:rsidTr="00F45214">
        <w:tc>
          <w:tcPr>
            <w:tcW w:w="1803" w:type="dxa"/>
            <w:vMerge w:val="restart"/>
            <w:vAlign w:val="center"/>
          </w:tcPr>
          <w:p w14:paraId="79009E6F" w14:textId="77777777" w:rsidR="003F7167" w:rsidRDefault="003F7167" w:rsidP="00F45214">
            <w:pPr>
              <w:jc w:val="center"/>
              <w:rPr>
                <w:b/>
              </w:rPr>
            </w:pPr>
          </w:p>
          <w:p w14:paraId="27CAF5DF" w14:textId="5B79A511" w:rsidR="003F7167" w:rsidRPr="00916A44" w:rsidRDefault="003F7167" w:rsidP="00F45214">
            <w:pPr>
              <w:jc w:val="center"/>
              <w:rPr>
                <w:b/>
              </w:rPr>
            </w:pPr>
            <w:r>
              <w:rPr>
                <w:b/>
              </w:rPr>
              <w:t>What obligations d</w:t>
            </w:r>
            <w:r w:rsidRPr="00916A44">
              <w:rPr>
                <w:b/>
              </w:rPr>
              <w:t>o users have?</w:t>
            </w:r>
          </w:p>
        </w:tc>
        <w:tc>
          <w:tcPr>
            <w:tcW w:w="1803" w:type="dxa"/>
          </w:tcPr>
          <w:p w14:paraId="30473511" w14:textId="77777777" w:rsidR="003F7167" w:rsidRDefault="003F7167" w:rsidP="003D3C4A">
            <w:r>
              <w:t>Payment required</w:t>
            </w:r>
          </w:p>
        </w:tc>
        <w:tc>
          <w:tcPr>
            <w:tcW w:w="1545" w:type="dxa"/>
          </w:tcPr>
          <w:p w14:paraId="36CBAAD6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5E0BBB70" w14:textId="6B3BBC19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4838EBDE" w14:textId="77777777" w:rsidTr="00B25F21">
        <w:tc>
          <w:tcPr>
            <w:tcW w:w="1803" w:type="dxa"/>
            <w:vMerge/>
          </w:tcPr>
          <w:p w14:paraId="61552CC8" w14:textId="77777777" w:rsidR="003F7167" w:rsidRDefault="003F7167" w:rsidP="003D3C4A"/>
        </w:tc>
        <w:tc>
          <w:tcPr>
            <w:tcW w:w="1803" w:type="dxa"/>
          </w:tcPr>
          <w:p w14:paraId="1BA3D7F1" w14:textId="77777777" w:rsidR="003F7167" w:rsidRDefault="003F7167" w:rsidP="003D3C4A">
            <w:r>
              <w:t xml:space="preserve">Taxable </w:t>
            </w:r>
          </w:p>
        </w:tc>
        <w:tc>
          <w:tcPr>
            <w:tcW w:w="1545" w:type="dxa"/>
          </w:tcPr>
          <w:p w14:paraId="779FF683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5E60F236" w14:textId="37FA5B8A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7638E87F" w14:textId="77777777" w:rsidTr="00B25F21">
        <w:tc>
          <w:tcPr>
            <w:tcW w:w="1803" w:type="dxa"/>
            <w:vMerge/>
          </w:tcPr>
          <w:p w14:paraId="4ABD6CDA" w14:textId="77777777" w:rsidR="003F7167" w:rsidRDefault="003F7167" w:rsidP="003D3C4A"/>
        </w:tc>
        <w:tc>
          <w:tcPr>
            <w:tcW w:w="1803" w:type="dxa"/>
          </w:tcPr>
          <w:p w14:paraId="6005D2CA" w14:textId="77777777" w:rsidR="003F7167" w:rsidRDefault="003F7167" w:rsidP="003D3C4A">
            <w:r>
              <w:t>Requirement to register device</w:t>
            </w:r>
          </w:p>
        </w:tc>
        <w:tc>
          <w:tcPr>
            <w:tcW w:w="1545" w:type="dxa"/>
          </w:tcPr>
          <w:p w14:paraId="5A74894A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492A48D5" w14:textId="1B4F9E5C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478F8B3B" w14:textId="77777777" w:rsidTr="00B25F21">
        <w:tc>
          <w:tcPr>
            <w:tcW w:w="1803" w:type="dxa"/>
            <w:vMerge/>
          </w:tcPr>
          <w:p w14:paraId="003C372B" w14:textId="77777777" w:rsidR="003F7167" w:rsidRDefault="003F7167" w:rsidP="003D3C4A"/>
        </w:tc>
        <w:tc>
          <w:tcPr>
            <w:tcW w:w="1803" w:type="dxa"/>
          </w:tcPr>
          <w:p w14:paraId="211D16CF" w14:textId="77777777" w:rsidR="003F7167" w:rsidRDefault="003F7167" w:rsidP="003D3C4A">
            <w:r>
              <w:t>Device certification</w:t>
            </w:r>
          </w:p>
        </w:tc>
        <w:tc>
          <w:tcPr>
            <w:tcW w:w="1545" w:type="dxa"/>
          </w:tcPr>
          <w:p w14:paraId="7400C0CA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469E7231" w14:textId="2144491B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18C21970" w14:textId="77777777" w:rsidTr="00B25F21">
        <w:tc>
          <w:tcPr>
            <w:tcW w:w="1803" w:type="dxa"/>
            <w:vMerge/>
          </w:tcPr>
          <w:p w14:paraId="68DD3092" w14:textId="77777777" w:rsidR="003F7167" w:rsidRDefault="003F7167" w:rsidP="003D3C4A"/>
        </w:tc>
        <w:tc>
          <w:tcPr>
            <w:tcW w:w="1803" w:type="dxa"/>
          </w:tcPr>
          <w:p w14:paraId="089D3E97" w14:textId="77777777" w:rsidR="003F7167" w:rsidRDefault="003F7167" w:rsidP="003D3C4A">
            <w:r>
              <w:t xml:space="preserve">Maximum duration </w:t>
            </w:r>
          </w:p>
        </w:tc>
        <w:tc>
          <w:tcPr>
            <w:tcW w:w="1545" w:type="dxa"/>
          </w:tcPr>
          <w:p w14:paraId="1376C967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11983F53" w14:textId="75C797E2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2725E4BD" w14:textId="77777777" w:rsidTr="00B25F21">
        <w:tc>
          <w:tcPr>
            <w:tcW w:w="1803" w:type="dxa"/>
            <w:vMerge/>
          </w:tcPr>
          <w:p w14:paraId="69569FB2" w14:textId="77777777" w:rsidR="003F7167" w:rsidRDefault="003F7167" w:rsidP="003D3C4A"/>
        </w:tc>
        <w:tc>
          <w:tcPr>
            <w:tcW w:w="1803" w:type="dxa"/>
          </w:tcPr>
          <w:p w14:paraId="3B3970D7" w14:textId="77777777" w:rsidR="003F7167" w:rsidRDefault="003F7167" w:rsidP="003D3C4A">
            <w:r>
              <w:t>Designated statements</w:t>
            </w:r>
          </w:p>
        </w:tc>
        <w:tc>
          <w:tcPr>
            <w:tcW w:w="1545" w:type="dxa"/>
          </w:tcPr>
          <w:p w14:paraId="25AAC7A4" w14:textId="77777777" w:rsidR="003F7167" w:rsidRDefault="003F7167" w:rsidP="003D3C4A">
            <w:pPr>
              <w:jc w:val="center"/>
            </w:pPr>
          </w:p>
        </w:tc>
        <w:tc>
          <w:tcPr>
            <w:tcW w:w="1701" w:type="dxa"/>
          </w:tcPr>
          <w:p w14:paraId="248BED93" w14:textId="713FE852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  <w:tr w:rsidR="003F7167" w14:paraId="4E660C60" w14:textId="77777777" w:rsidTr="00B25F21">
        <w:tc>
          <w:tcPr>
            <w:tcW w:w="1803" w:type="dxa"/>
            <w:vMerge/>
          </w:tcPr>
          <w:p w14:paraId="73C4F34F" w14:textId="77777777" w:rsidR="003F7167" w:rsidRDefault="003F7167" w:rsidP="003D3C4A"/>
        </w:tc>
        <w:tc>
          <w:tcPr>
            <w:tcW w:w="1803" w:type="dxa"/>
          </w:tcPr>
          <w:p w14:paraId="65B716EE" w14:textId="77777777" w:rsidR="003F7167" w:rsidRDefault="003F7167" w:rsidP="003D3C4A">
            <w:r>
              <w:t>Conditions imposed by the ACMA</w:t>
            </w:r>
          </w:p>
        </w:tc>
        <w:tc>
          <w:tcPr>
            <w:tcW w:w="1545" w:type="dxa"/>
          </w:tcPr>
          <w:p w14:paraId="3BF7A4C4" w14:textId="77777777" w:rsidR="003F7167" w:rsidRDefault="003F7167" w:rsidP="003D3C4A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  <w:tc>
          <w:tcPr>
            <w:tcW w:w="1701" w:type="dxa"/>
          </w:tcPr>
          <w:p w14:paraId="0555FA0A" w14:textId="18769DEF" w:rsidR="003F7167" w:rsidRDefault="003F7167" w:rsidP="003F7167">
            <w:pPr>
              <w:jc w:val="center"/>
            </w:pPr>
            <w:r w:rsidRPr="00532F86">
              <w:rPr>
                <w:rFonts w:ascii="Wingdings" w:eastAsia="Times New Roman" w:hAnsi="Wingdings" w:cs="Times New Roman"/>
                <w:color w:val="000000" w:themeColor="text1"/>
                <w:sz w:val="28"/>
                <w:szCs w:val="28"/>
                <w:lang w:eastAsia="en-AU"/>
              </w:rPr>
              <w:t></w:t>
            </w:r>
          </w:p>
        </w:tc>
      </w:tr>
    </w:tbl>
    <w:p w14:paraId="40704ECB" w14:textId="77777777" w:rsidR="00DC1545" w:rsidRPr="00CC0C40" w:rsidRDefault="00DC1545" w:rsidP="004543CF">
      <w:pPr>
        <w:spacing w:after="0" w:line="276" w:lineRule="auto"/>
      </w:pPr>
    </w:p>
    <w:sectPr w:rsidR="00DC1545" w:rsidRPr="00CC0C40" w:rsidSect="00FD38F4">
      <w:headerReference w:type="default" r:id="rId14"/>
      <w:footerReference w:type="default" r:id="rId15"/>
      <w:type w:val="continuous"/>
      <w:pgSz w:w="11906" w:h="16838"/>
      <w:pgMar w:top="1702" w:right="1133" w:bottom="1276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313E4" w14:textId="77777777" w:rsidR="00887997" w:rsidRDefault="00887997" w:rsidP="003F0A2D">
      <w:pPr>
        <w:spacing w:after="0"/>
      </w:pPr>
      <w:r>
        <w:separator/>
      </w:r>
    </w:p>
  </w:endnote>
  <w:endnote w:type="continuationSeparator" w:id="0">
    <w:p w14:paraId="6E824B1A" w14:textId="77777777" w:rsidR="00887997" w:rsidRDefault="00887997" w:rsidP="003F0A2D">
      <w:pPr>
        <w:spacing w:after="0"/>
      </w:pPr>
      <w:r>
        <w:continuationSeparator/>
      </w:r>
    </w:p>
  </w:endnote>
  <w:endnote w:type="continuationNotice" w:id="1">
    <w:p w14:paraId="58B436EF" w14:textId="77777777" w:rsidR="00887997" w:rsidRDefault="008879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979E" w14:textId="77777777" w:rsidR="00887997" w:rsidRDefault="00887997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568497A4" wp14:editId="568497A5">
          <wp:extent cx="7598462" cy="766386"/>
          <wp:effectExtent l="0" t="0" r="2540" b="0"/>
          <wp:docPr id="3" name="Picture 3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029" cy="77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97A1" w14:textId="592A0627" w:rsidR="00887997" w:rsidRDefault="00887997" w:rsidP="00FD38F4">
    <w:pPr>
      <w:pStyle w:val="Footer"/>
      <w:tabs>
        <w:tab w:val="clear" w:pos="9026"/>
        <w:tab w:val="right" w:pos="9333"/>
      </w:tabs>
      <w:rPr>
        <w:sz w:val="18"/>
        <w:szCs w:val="18"/>
      </w:rPr>
    </w:pPr>
    <w:r>
      <w:rPr>
        <w:sz w:val="18"/>
        <w:szCs w:val="18"/>
      </w:rPr>
      <w:tab/>
    </w:r>
    <w:hyperlink r:id="rId1" w:history="1">
      <w:r w:rsidRPr="005E52FA">
        <w:rPr>
          <w:rStyle w:val="Hyperlink"/>
          <w:sz w:val="18"/>
          <w:szCs w:val="18"/>
        </w:rPr>
        <w:t>www.communications.gov.au</w:t>
      </w:r>
    </w:hyperlink>
    <w:r>
      <w:rPr>
        <w:sz w:val="18"/>
        <w:szCs w:val="18"/>
      </w:rPr>
      <w:tab/>
    </w:r>
    <w:sdt>
      <w:sdtPr>
        <w:rPr>
          <w:sz w:val="18"/>
          <w:szCs w:val="18"/>
        </w:rPr>
        <w:id w:val="-984167973"/>
        <w:docPartObj>
          <w:docPartGallery w:val="Page Numbers (Top of Page)"/>
          <w:docPartUnique/>
        </w:docPartObj>
      </w:sdtPr>
      <w:sdtEndPr/>
      <w:sdtContent>
        <w:r w:rsidRPr="000249BC">
          <w:rPr>
            <w:sz w:val="18"/>
            <w:szCs w:val="18"/>
          </w:rPr>
          <w:t xml:space="preserve">Page </w:t>
        </w:r>
        <w:r w:rsidRPr="000249BC">
          <w:rPr>
            <w:bCs/>
            <w:sz w:val="18"/>
            <w:szCs w:val="18"/>
          </w:rPr>
          <w:fldChar w:fldCharType="begin"/>
        </w:r>
        <w:r w:rsidRPr="000249BC">
          <w:rPr>
            <w:bCs/>
            <w:sz w:val="18"/>
            <w:szCs w:val="18"/>
          </w:rPr>
          <w:instrText xml:space="preserve"> PAGE </w:instrText>
        </w:r>
        <w:r w:rsidRPr="000249BC">
          <w:rPr>
            <w:bCs/>
            <w:sz w:val="18"/>
            <w:szCs w:val="18"/>
          </w:rPr>
          <w:fldChar w:fldCharType="separate"/>
        </w:r>
        <w:r w:rsidR="00E75E85">
          <w:rPr>
            <w:bCs/>
            <w:noProof/>
            <w:sz w:val="18"/>
            <w:szCs w:val="18"/>
          </w:rPr>
          <w:t>2</w:t>
        </w:r>
        <w:r w:rsidRPr="000249BC">
          <w:rPr>
            <w:bCs/>
            <w:sz w:val="18"/>
            <w:szCs w:val="18"/>
          </w:rPr>
          <w:fldChar w:fldCharType="end"/>
        </w:r>
        <w:r w:rsidRPr="000249BC">
          <w:rPr>
            <w:sz w:val="18"/>
            <w:szCs w:val="18"/>
          </w:rPr>
          <w:t xml:space="preserve"> of </w:t>
        </w:r>
        <w:r w:rsidRPr="000249BC">
          <w:rPr>
            <w:bCs/>
            <w:sz w:val="18"/>
            <w:szCs w:val="18"/>
          </w:rPr>
          <w:fldChar w:fldCharType="begin"/>
        </w:r>
        <w:r w:rsidRPr="000249BC">
          <w:rPr>
            <w:bCs/>
            <w:sz w:val="18"/>
            <w:szCs w:val="18"/>
          </w:rPr>
          <w:instrText xml:space="preserve"> NUMPAGES  </w:instrText>
        </w:r>
        <w:r w:rsidRPr="000249BC">
          <w:rPr>
            <w:bCs/>
            <w:sz w:val="18"/>
            <w:szCs w:val="18"/>
          </w:rPr>
          <w:fldChar w:fldCharType="separate"/>
        </w:r>
        <w:r w:rsidR="00E75E85">
          <w:rPr>
            <w:bCs/>
            <w:noProof/>
            <w:sz w:val="18"/>
            <w:szCs w:val="18"/>
          </w:rPr>
          <w:t>3</w:t>
        </w:r>
        <w:r w:rsidRPr="000249BC">
          <w:rPr>
            <w:bCs/>
            <w:sz w:val="18"/>
            <w:szCs w:val="18"/>
          </w:rPr>
          <w:fldChar w:fldCharType="end"/>
        </w:r>
      </w:sdtContent>
    </w:sdt>
  </w:p>
  <w:p w14:paraId="568497A2" w14:textId="3C3AF19E" w:rsidR="00887997" w:rsidRDefault="00887997" w:rsidP="00FD38F4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>
      <w:rPr>
        <w:sz w:val="18"/>
        <w:szCs w:val="18"/>
      </w:rPr>
      <w:tab/>
    </w:r>
    <w:hyperlink r:id="rId2" w:history="1">
      <w:r w:rsidRPr="005E52FA">
        <w:rPr>
          <w:rStyle w:val="Hyperlink"/>
          <w:sz w:val="18"/>
          <w:szCs w:val="18"/>
        </w:rPr>
        <w:t>www.arts.gov.au</w:t>
      </w:r>
    </w:hyperlink>
  </w:p>
  <w:p w14:paraId="568497A3" w14:textId="3C540002" w:rsidR="00887997" w:rsidRDefault="00887997" w:rsidP="00FD38F4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>
      <w:rPr>
        <w:sz w:val="18"/>
        <w:szCs w:val="18"/>
      </w:rPr>
      <w:tab/>
    </w:r>
    <w:hyperlink r:id="rId3" w:history="1">
      <w:r w:rsidRPr="008F66ED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A172" w14:textId="77777777" w:rsidR="00887997" w:rsidRDefault="00887997" w:rsidP="003F0A2D">
      <w:pPr>
        <w:spacing w:after="0"/>
      </w:pPr>
      <w:r>
        <w:separator/>
      </w:r>
    </w:p>
  </w:footnote>
  <w:footnote w:type="continuationSeparator" w:id="0">
    <w:p w14:paraId="461F3B31" w14:textId="77777777" w:rsidR="00887997" w:rsidRDefault="00887997" w:rsidP="003F0A2D">
      <w:pPr>
        <w:spacing w:after="0"/>
      </w:pPr>
      <w:r>
        <w:continuationSeparator/>
      </w:r>
    </w:p>
  </w:footnote>
  <w:footnote w:type="continuationNotice" w:id="1">
    <w:p w14:paraId="140077CE" w14:textId="77777777" w:rsidR="00887997" w:rsidRDefault="0088799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979F" w14:textId="77777777" w:rsidR="00887997" w:rsidRDefault="00887997" w:rsidP="003F0A2D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568497A6" wp14:editId="568497A7">
          <wp:extent cx="7634630" cy="406359"/>
          <wp:effectExtent l="0" t="0" r="0" b="0"/>
          <wp:docPr id="9" name="Picture 9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568497A0" w14:textId="77177EAA" w:rsidR="00887997" w:rsidRPr="009A56D0" w:rsidRDefault="00887997" w:rsidP="00535ADA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of Communications and the Arts</w:t>
    </w:r>
    <w:r w:rsidRPr="009A56D0">
      <w:rPr>
        <w:color w:val="07478C"/>
      </w:rPr>
      <w:tab/>
    </w:r>
    <w:r w:rsidRPr="009A56D0">
      <w:rPr>
        <w:color w:val="07478C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F2D20"/>
    <w:multiLevelType w:val="hybridMultilevel"/>
    <w:tmpl w:val="676888FE"/>
    <w:lvl w:ilvl="0" w:tplc="8D8CBB8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CC6"/>
    <w:multiLevelType w:val="hybridMultilevel"/>
    <w:tmpl w:val="DCF09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5F01C7"/>
    <w:multiLevelType w:val="hybridMultilevel"/>
    <w:tmpl w:val="97424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504F0"/>
    <w:multiLevelType w:val="hybridMultilevel"/>
    <w:tmpl w:val="0BEE247A"/>
    <w:lvl w:ilvl="0" w:tplc="83CE1250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6"/>
    <w:rsid w:val="00010C8C"/>
    <w:rsid w:val="000249BC"/>
    <w:rsid w:val="00025B09"/>
    <w:rsid w:val="00051BCE"/>
    <w:rsid w:val="0006602E"/>
    <w:rsid w:val="000800AF"/>
    <w:rsid w:val="0008464E"/>
    <w:rsid w:val="00090EDB"/>
    <w:rsid w:val="00096D26"/>
    <w:rsid w:val="000C2897"/>
    <w:rsid w:val="000E1A93"/>
    <w:rsid w:val="001023DE"/>
    <w:rsid w:val="00117B46"/>
    <w:rsid w:val="0012570D"/>
    <w:rsid w:val="00135336"/>
    <w:rsid w:val="00136363"/>
    <w:rsid w:val="00165236"/>
    <w:rsid w:val="001656B7"/>
    <w:rsid w:val="001B4CE5"/>
    <w:rsid w:val="001F3924"/>
    <w:rsid w:val="00226098"/>
    <w:rsid w:val="002506AF"/>
    <w:rsid w:val="00264DDC"/>
    <w:rsid w:val="002777FB"/>
    <w:rsid w:val="00285881"/>
    <w:rsid w:val="00297528"/>
    <w:rsid w:val="002D1CAB"/>
    <w:rsid w:val="002E0955"/>
    <w:rsid w:val="00310F23"/>
    <w:rsid w:val="0033629D"/>
    <w:rsid w:val="003509FE"/>
    <w:rsid w:val="0035345B"/>
    <w:rsid w:val="00385E18"/>
    <w:rsid w:val="003A5230"/>
    <w:rsid w:val="003B3534"/>
    <w:rsid w:val="003D3C4A"/>
    <w:rsid w:val="003E4619"/>
    <w:rsid w:val="003F0A2D"/>
    <w:rsid w:val="003F7167"/>
    <w:rsid w:val="0040012A"/>
    <w:rsid w:val="004048E1"/>
    <w:rsid w:val="0040622C"/>
    <w:rsid w:val="0043221A"/>
    <w:rsid w:val="00442D65"/>
    <w:rsid w:val="00446A7D"/>
    <w:rsid w:val="004543CF"/>
    <w:rsid w:val="0047530F"/>
    <w:rsid w:val="00483D60"/>
    <w:rsid w:val="004E7096"/>
    <w:rsid w:val="004F046B"/>
    <w:rsid w:val="00507E41"/>
    <w:rsid w:val="00521C64"/>
    <w:rsid w:val="00535ADA"/>
    <w:rsid w:val="00567FAF"/>
    <w:rsid w:val="005F08D5"/>
    <w:rsid w:val="00640D68"/>
    <w:rsid w:val="0064771D"/>
    <w:rsid w:val="00660BB9"/>
    <w:rsid w:val="00672BB7"/>
    <w:rsid w:val="006808DF"/>
    <w:rsid w:val="006A19A2"/>
    <w:rsid w:val="006C1D91"/>
    <w:rsid w:val="006D014F"/>
    <w:rsid w:val="006D6E9F"/>
    <w:rsid w:val="006E5C0F"/>
    <w:rsid w:val="006F17C5"/>
    <w:rsid w:val="006F5CF8"/>
    <w:rsid w:val="00704775"/>
    <w:rsid w:val="007243BD"/>
    <w:rsid w:val="007B462E"/>
    <w:rsid w:val="007D02EC"/>
    <w:rsid w:val="007F35C2"/>
    <w:rsid w:val="00813016"/>
    <w:rsid w:val="00817DE7"/>
    <w:rsid w:val="0083222D"/>
    <w:rsid w:val="00832492"/>
    <w:rsid w:val="00843222"/>
    <w:rsid w:val="0084603E"/>
    <w:rsid w:val="0084795C"/>
    <w:rsid w:val="00852E5C"/>
    <w:rsid w:val="00853419"/>
    <w:rsid w:val="00855683"/>
    <w:rsid w:val="00876729"/>
    <w:rsid w:val="00887997"/>
    <w:rsid w:val="008A312B"/>
    <w:rsid w:val="008C6C53"/>
    <w:rsid w:val="008E171E"/>
    <w:rsid w:val="008E379C"/>
    <w:rsid w:val="00915013"/>
    <w:rsid w:val="00933ABA"/>
    <w:rsid w:val="009535A5"/>
    <w:rsid w:val="00971964"/>
    <w:rsid w:val="009A56D0"/>
    <w:rsid w:val="009A72AA"/>
    <w:rsid w:val="00A048F0"/>
    <w:rsid w:val="00A07401"/>
    <w:rsid w:val="00A45183"/>
    <w:rsid w:val="00A625B3"/>
    <w:rsid w:val="00A669A1"/>
    <w:rsid w:val="00A70B60"/>
    <w:rsid w:val="00A7176A"/>
    <w:rsid w:val="00AB680F"/>
    <w:rsid w:val="00AD66A7"/>
    <w:rsid w:val="00AF239F"/>
    <w:rsid w:val="00AF277C"/>
    <w:rsid w:val="00B06B43"/>
    <w:rsid w:val="00B25F21"/>
    <w:rsid w:val="00B370BC"/>
    <w:rsid w:val="00B63B7F"/>
    <w:rsid w:val="00B82933"/>
    <w:rsid w:val="00BA2E1F"/>
    <w:rsid w:val="00C3542C"/>
    <w:rsid w:val="00C61D2E"/>
    <w:rsid w:val="00C91133"/>
    <w:rsid w:val="00CA538D"/>
    <w:rsid w:val="00CA5F21"/>
    <w:rsid w:val="00CC0C40"/>
    <w:rsid w:val="00D24D05"/>
    <w:rsid w:val="00D92924"/>
    <w:rsid w:val="00DA34A4"/>
    <w:rsid w:val="00DB095A"/>
    <w:rsid w:val="00DB47C8"/>
    <w:rsid w:val="00DC1545"/>
    <w:rsid w:val="00DC44A1"/>
    <w:rsid w:val="00DD4718"/>
    <w:rsid w:val="00DE2125"/>
    <w:rsid w:val="00E240F8"/>
    <w:rsid w:val="00E75E85"/>
    <w:rsid w:val="00E80C07"/>
    <w:rsid w:val="00E90533"/>
    <w:rsid w:val="00EC03BB"/>
    <w:rsid w:val="00EC09DD"/>
    <w:rsid w:val="00EC289A"/>
    <w:rsid w:val="00EC60BC"/>
    <w:rsid w:val="00EF46F1"/>
    <w:rsid w:val="00EF5AC3"/>
    <w:rsid w:val="00F41896"/>
    <w:rsid w:val="00F45214"/>
    <w:rsid w:val="00F80E3B"/>
    <w:rsid w:val="00F82E4D"/>
    <w:rsid w:val="00F977DF"/>
    <w:rsid w:val="00FA06AE"/>
    <w:rsid w:val="00FA414F"/>
    <w:rsid w:val="00FB4064"/>
    <w:rsid w:val="00FB4E5B"/>
    <w:rsid w:val="00FD38F4"/>
    <w:rsid w:val="00FF180D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56849787"/>
  <w15:chartTrackingRefBased/>
  <w15:docId w15:val="{A0DF94C0-B6D0-4711-B5F5-EF734C2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464E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CE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D26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D26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64E"/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1BCE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6D26"/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customStyle="1" w:styleId="Bulletlevel1">
    <w:name w:val="Bullet level 1"/>
    <w:basedOn w:val="Normal"/>
    <w:qFormat/>
    <w:rsid w:val="00EF5AC3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096D26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EF5AC3"/>
    <w:pPr>
      <w:numPr>
        <w:numId w:val="17"/>
      </w:numPr>
      <w:spacing w:after="0"/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5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0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9D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196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ssification.gov.au" TargetMode="External"/><Relationship Id="rId2" Type="http://schemas.openxmlformats.org/officeDocument/2006/relationships/hyperlink" Target="http://www.arts.gov.au" TargetMode="External"/><Relationship Id="rId1" Type="http://schemas.openxmlformats.org/officeDocument/2006/relationships/hyperlink" Target="http://www.communication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9AF551DB5764D9EF09DA2A099DBC1" ma:contentTypeVersion="0" ma:contentTypeDescription="Create a new document." ma:contentTypeScope="" ma:versionID="4b8142f2b262a8b847e97fdcf26921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4737-3FE1-4DA3-913A-12AEB93C6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9ED72-8577-4F5F-A8AE-57F125861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F6F5E-5E84-4222-BF9F-EB2C70B70C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EA254B-8F73-4A08-B255-7F622B4F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726</Words>
  <Characters>4039</Characters>
  <Application>Microsoft Office Word</Application>
  <DocSecurity>0</DocSecurity>
  <Lines>310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Chan, Chrisa</dc:creator>
  <cp:keywords/>
  <dc:description/>
  <cp:lastModifiedBy>Costaridis, Christina</cp:lastModifiedBy>
  <cp:revision>41</cp:revision>
  <dcterms:created xsi:type="dcterms:W3CDTF">2017-03-23T23:35:00Z</dcterms:created>
  <dcterms:modified xsi:type="dcterms:W3CDTF">2017-05-02T00:21:00Z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0x010100B889AF551DB5764D9EF09DA2A099DBC1</vt:lpwstr>
  </property>
  <property fmtid="{D5CDD505-2E9C-101B-9397-08002B2CF9AE}" pid="3" name="TrimRevisionNumber">
    <vt:i4>38</vt:i4>
  </property>
</Properties>
</file>