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E8E91" w14:textId="77777777" w:rsidR="0094124E" w:rsidRDefault="0094124E" w:rsidP="0094124E">
      <w:pPr>
        <w:ind w:left="-1418"/>
        <w:sectPr w:rsidR="0094124E" w:rsidSect="00347158">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5FC3AAEB" wp14:editId="7080D23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2102FFC" w14:textId="77777777" w:rsidR="002A246D" w:rsidRPr="009C21FD" w:rsidRDefault="002A246D" w:rsidP="009C21FD">
      <w:pPr>
        <w:pStyle w:val="Heading1"/>
      </w:pPr>
      <w:r w:rsidRPr="009C21FD">
        <w:t>Competitive Neutrality of the National Broadcasters Inquiry</w:t>
      </w:r>
    </w:p>
    <w:p w14:paraId="020DB230" w14:textId="77777777" w:rsidR="002A246D" w:rsidRDefault="002A246D" w:rsidP="009C21FD">
      <w:pPr>
        <w:pStyle w:val="Heading2"/>
      </w:pPr>
      <w:r>
        <w:t>What is competitive neutrality?</w:t>
      </w:r>
    </w:p>
    <w:p w14:paraId="62799488" w14:textId="77777777" w:rsidR="002A246D" w:rsidRPr="00C05FA4" w:rsidRDefault="002A246D" w:rsidP="002A246D">
      <w:pPr>
        <w:spacing w:after="240"/>
        <w:rPr>
          <w:rFonts w:ascii="Arial" w:hAnsi="Arial" w:cs="Arial"/>
          <w:sz w:val="24"/>
        </w:rPr>
      </w:pPr>
      <w:r w:rsidRPr="00C05FA4">
        <w:rPr>
          <w:rFonts w:ascii="Arial" w:hAnsi="Arial" w:cs="Arial"/>
          <w:sz w:val="24"/>
        </w:rPr>
        <w:t>Competitive neutrality occurs when no entity operating in a market has undue competitive advantages or disadvantages over any other market participant.</w:t>
      </w:r>
    </w:p>
    <w:p w14:paraId="6D440EFB" w14:textId="77777777" w:rsidR="002A246D" w:rsidRPr="00C05FA4" w:rsidRDefault="002A246D" w:rsidP="002A246D">
      <w:pPr>
        <w:spacing w:after="240"/>
        <w:rPr>
          <w:rFonts w:ascii="Arial" w:hAnsi="Arial" w:cs="Arial"/>
          <w:sz w:val="24"/>
        </w:rPr>
      </w:pPr>
      <w:r w:rsidRPr="00C05FA4">
        <w:rPr>
          <w:rFonts w:ascii="Arial" w:hAnsi="Arial" w:cs="Arial"/>
          <w:sz w:val="24"/>
        </w:rPr>
        <w:t xml:space="preserve">For government business activities – including some activities conducted by the ABC and SBS – this means that they should not enjoy </w:t>
      </w:r>
      <w:r>
        <w:rPr>
          <w:rFonts w:ascii="Arial" w:hAnsi="Arial" w:cs="Arial"/>
          <w:sz w:val="24"/>
        </w:rPr>
        <w:t>a net competitive advantage</w:t>
      </w:r>
      <w:r w:rsidRPr="00C05FA4">
        <w:rPr>
          <w:rFonts w:ascii="Arial" w:hAnsi="Arial" w:cs="Arial"/>
          <w:sz w:val="24"/>
        </w:rPr>
        <w:t xml:space="preserve"> simply by virtue of their public sector ownership.</w:t>
      </w:r>
    </w:p>
    <w:p w14:paraId="66FFA167" w14:textId="77777777" w:rsidR="002A246D" w:rsidRPr="00C05FA4" w:rsidRDefault="002A246D" w:rsidP="002A246D">
      <w:pPr>
        <w:spacing w:after="240"/>
        <w:rPr>
          <w:rFonts w:ascii="Arial" w:hAnsi="Arial" w:cs="Arial"/>
          <w:sz w:val="24"/>
        </w:rPr>
      </w:pPr>
      <w:r w:rsidRPr="00C05FA4">
        <w:rPr>
          <w:rFonts w:ascii="Arial" w:hAnsi="Arial" w:cs="Arial"/>
          <w:sz w:val="24"/>
        </w:rPr>
        <w:t xml:space="preserve">Further </w:t>
      </w:r>
      <w:r>
        <w:rPr>
          <w:rFonts w:ascii="Arial" w:hAnsi="Arial" w:cs="Arial"/>
          <w:sz w:val="24"/>
        </w:rPr>
        <w:t xml:space="preserve">publicly available </w:t>
      </w:r>
      <w:r w:rsidRPr="00C05FA4">
        <w:rPr>
          <w:rFonts w:ascii="Arial" w:hAnsi="Arial" w:cs="Arial"/>
          <w:sz w:val="24"/>
        </w:rPr>
        <w:t>resources on competitive neutrality can be accessed via the links below:</w:t>
      </w:r>
    </w:p>
    <w:p w14:paraId="77DFCDBF" w14:textId="77777777" w:rsidR="002A246D" w:rsidRDefault="00ED0501" w:rsidP="002A246D">
      <w:pPr>
        <w:spacing w:after="240"/>
        <w:rPr>
          <w:rStyle w:val="Hyperlink"/>
          <w:rFonts w:ascii="Arial" w:hAnsi="Arial" w:cs="Arial"/>
          <w:sz w:val="24"/>
        </w:rPr>
      </w:pPr>
      <w:hyperlink r:id="rId15" w:history="1">
        <w:r w:rsidR="002A246D" w:rsidRPr="0037214E">
          <w:rPr>
            <w:rStyle w:val="Hyperlink"/>
            <w:rFonts w:ascii="Arial" w:hAnsi="Arial" w:cs="Arial"/>
            <w:sz w:val="24"/>
          </w:rPr>
          <w:t>Treasury Commonwealth Competitive Neutrality Policy Statement</w:t>
        </w:r>
      </w:hyperlink>
    </w:p>
    <w:p w14:paraId="5FE516B7" w14:textId="77777777" w:rsidR="002A246D" w:rsidRPr="00180F87" w:rsidRDefault="00ED0501" w:rsidP="002A246D">
      <w:pPr>
        <w:spacing w:after="240"/>
        <w:rPr>
          <w:rFonts w:ascii="Arial" w:hAnsi="Arial" w:cs="Arial"/>
          <w:color w:val="9DFFB2" w:themeColor="hyperlink"/>
          <w:sz w:val="24"/>
          <w:u w:val="single"/>
        </w:rPr>
      </w:pPr>
      <w:hyperlink r:id="rId16" w:history="1">
        <w:r w:rsidR="002A246D" w:rsidRPr="0037214E">
          <w:rPr>
            <w:rStyle w:val="Hyperlink"/>
            <w:rFonts w:ascii="Arial" w:hAnsi="Arial" w:cs="Arial"/>
            <w:sz w:val="24"/>
          </w:rPr>
          <w:t>OECD - Competitive Neutrality: Maintaining a level playing field between public and private business</w:t>
        </w:r>
      </w:hyperlink>
    </w:p>
    <w:p w14:paraId="72A54DE8" w14:textId="77777777" w:rsidR="002A246D" w:rsidRPr="00B33637" w:rsidRDefault="002A246D" w:rsidP="009C21FD">
      <w:pPr>
        <w:pStyle w:val="Heading2"/>
      </w:pPr>
      <w:r>
        <w:t>Why is the inquiry needed?</w:t>
      </w:r>
    </w:p>
    <w:p w14:paraId="4AAABEE8" w14:textId="77777777" w:rsidR="002A246D" w:rsidRPr="00C05FA4" w:rsidRDefault="002A246D" w:rsidP="002A246D">
      <w:pPr>
        <w:spacing w:after="240"/>
        <w:rPr>
          <w:rFonts w:ascii="Arial" w:hAnsi="Arial" w:cs="Arial"/>
          <w:sz w:val="24"/>
        </w:rPr>
      </w:pPr>
      <w:r>
        <w:rPr>
          <w:rFonts w:ascii="Arial" w:hAnsi="Arial" w:cs="Arial"/>
          <w:sz w:val="24"/>
        </w:rPr>
        <w:t>While there have been no specific complaints to t</w:t>
      </w:r>
      <w:r w:rsidR="00ED0501">
        <w:rPr>
          <w:rFonts w:ascii="Arial" w:hAnsi="Arial" w:cs="Arial"/>
          <w:sz w:val="24"/>
        </w:rPr>
        <w:t>he Australian Government Competitive</w:t>
      </w:r>
      <w:r>
        <w:rPr>
          <w:rFonts w:ascii="Arial" w:hAnsi="Arial" w:cs="Arial"/>
          <w:sz w:val="24"/>
        </w:rPr>
        <w:t xml:space="preserve"> Neutrality Complaints Office, there are a range of views amongst media market participants relating to competitive neutrality.</w:t>
      </w:r>
      <w:r w:rsidRPr="00C05FA4">
        <w:rPr>
          <w:rFonts w:ascii="Arial" w:hAnsi="Arial" w:cs="Arial"/>
          <w:sz w:val="24"/>
        </w:rPr>
        <w:t xml:space="preserve"> It is</w:t>
      </w:r>
      <w:r>
        <w:rPr>
          <w:rFonts w:ascii="Arial" w:hAnsi="Arial" w:cs="Arial"/>
          <w:sz w:val="24"/>
        </w:rPr>
        <w:t xml:space="preserve"> therefore</w:t>
      </w:r>
      <w:r w:rsidRPr="00C05FA4">
        <w:rPr>
          <w:rFonts w:ascii="Arial" w:hAnsi="Arial" w:cs="Arial"/>
          <w:sz w:val="24"/>
        </w:rPr>
        <w:t xml:space="preserve"> appropriate that, from time to time, there be a forum fo</w:t>
      </w:r>
      <w:bookmarkStart w:id="0" w:name="_GoBack"/>
      <w:bookmarkEnd w:id="0"/>
      <w:r w:rsidRPr="00C05FA4">
        <w:rPr>
          <w:rFonts w:ascii="Arial" w:hAnsi="Arial" w:cs="Arial"/>
          <w:sz w:val="24"/>
        </w:rPr>
        <w:t>r the wider media industry’s perspectives to be put forward and considered in a measured way.</w:t>
      </w:r>
    </w:p>
    <w:p w14:paraId="136AAD6A" w14:textId="77777777" w:rsidR="002A246D" w:rsidRPr="00C05FA4" w:rsidRDefault="002A246D" w:rsidP="002A246D">
      <w:pPr>
        <w:spacing w:after="240"/>
        <w:rPr>
          <w:rFonts w:ascii="Arial" w:hAnsi="Arial" w:cs="Arial"/>
          <w:sz w:val="24"/>
        </w:rPr>
      </w:pPr>
      <w:r>
        <w:rPr>
          <w:rFonts w:ascii="Arial" w:hAnsi="Arial" w:cs="Arial"/>
          <w:sz w:val="24"/>
        </w:rPr>
        <w:t xml:space="preserve">It is important to consider the national broadcasters’ role in media markets </w:t>
      </w:r>
      <w:r w:rsidRPr="004E74AD">
        <w:rPr>
          <w:rFonts w:ascii="Arial" w:hAnsi="Arial" w:cs="Arial"/>
          <w:sz w:val="24"/>
        </w:rPr>
        <w:t>and whether the ways they compete with the private sector are appropriate</w:t>
      </w:r>
      <w:r>
        <w:rPr>
          <w:rFonts w:ascii="Arial" w:hAnsi="Arial" w:cs="Arial"/>
          <w:sz w:val="24"/>
        </w:rPr>
        <w:t xml:space="preserve">. </w:t>
      </w:r>
      <w:r w:rsidRPr="00C05FA4">
        <w:rPr>
          <w:rFonts w:ascii="Arial" w:hAnsi="Arial" w:cs="Arial"/>
          <w:sz w:val="24"/>
        </w:rPr>
        <w:t>Australia’s media landscape continues to evolve rapidly in response to shifting global and consumer trends. For example, ongoing technological change and the rise of new market entrants has forced changes to how our broadcasters operate.</w:t>
      </w:r>
      <w:r>
        <w:rPr>
          <w:rFonts w:ascii="Arial" w:hAnsi="Arial" w:cs="Arial"/>
          <w:sz w:val="24"/>
        </w:rPr>
        <w:t xml:space="preserve"> It is therefore timely to consider how the national broadcasters are operating in the current media market. </w:t>
      </w:r>
    </w:p>
    <w:p w14:paraId="7E8B7AE5" w14:textId="77777777" w:rsidR="002A246D" w:rsidRPr="003D7046" w:rsidRDefault="002A246D" w:rsidP="009C21FD">
      <w:pPr>
        <w:pStyle w:val="Heading2"/>
      </w:pPr>
      <w:r w:rsidRPr="003D7046">
        <w:t xml:space="preserve">Who is leading the </w:t>
      </w:r>
      <w:r>
        <w:t>i</w:t>
      </w:r>
      <w:r w:rsidRPr="003D7046">
        <w:t>nquiry?</w:t>
      </w:r>
    </w:p>
    <w:p w14:paraId="47F696A8" w14:textId="77777777" w:rsidR="002A246D" w:rsidRPr="00C05FA4" w:rsidRDefault="002A246D" w:rsidP="002A246D">
      <w:pPr>
        <w:spacing w:after="240"/>
        <w:rPr>
          <w:rFonts w:ascii="Arial" w:hAnsi="Arial" w:cs="Arial"/>
          <w:sz w:val="24"/>
        </w:rPr>
      </w:pPr>
      <w:r w:rsidRPr="00C05FA4">
        <w:rPr>
          <w:rFonts w:ascii="Arial" w:hAnsi="Arial" w:cs="Arial"/>
          <w:sz w:val="24"/>
        </w:rPr>
        <w:t xml:space="preserve">The Government has appointed an </w:t>
      </w:r>
      <w:r>
        <w:rPr>
          <w:rFonts w:ascii="Arial" w:hAnsi="Arial" w:cs="Arial"/>
          <w:sz w:val="24"/>
        </w:rPr>
        <w:t xml:space="preserve">experienced </w:t>
      </w:r>
      <w:r w:rsidRPr="00C05FA4">
        <w:rPr>
          <w:rFonts w:ascii="Arial" w:hAnsi="Arial" w:cs="Arial"/>
          <w:sz w:val="24"/>
        </w:rPr>
        <w:t xml:space="preserve">panel to conduct </w:t>
      </w:r>
      <w:r>
        <w:rPr>
          <w:rFonts w:ascii="Arial" w:hAnsi="Arial" w:cs="Arial"/>
          <w:sz w:val="24"/>
        </w:rPr>
        <w:t>the</w:t>
      </w:r>
      <w:r w:rsidRPr="00C05FA4">
        <w:rPr>
          <w:rFonts w:ascii="Arial" w:hAnsi="Arial" w:cs="Arial"/>
          <w:sz w:val="24"/>
        </w:rPr>
        <w:t xml:space="preserve"> </w:t>
      </w:r>
      <w:r>
        <w:rPr>
          <w:rFonts w:ascii="Arial" w:hAnsi="Arial" w:cs="Arial"/>
          <w:sz w:val="24"/>
        </w:rPr>
        <w:t>i</w:t>
      </w:r>
      <w:r w:rsidRPr="00C05FA4">
        <w:rPr>
          <w:rFonts w:ascii="Arial" w:hAnsi="Arial" w:cs="Arial"/>
          <w:sz w:val="24"/>
        </w:rPr>
        <w:t>nquiry.</w:t>
      </w:r>
      <w:r>
        <w:rPr>
          <w:rFonts w:ascii="Arial" w:hAnsi="Arial" w:cs="Arial"/>
          <w:sz w:val="24"/>
        </w:rPr>
        <w:t xml:space="preserve"> </w:t>
      </w:r>
      <w:r w:rsidRPr="00C05FA4">
        <w:rPr>
          <w:rFonts w:ascii="Arial" w:hAnsi="Arial" w:cs="Arial"/>
          <w:sz w:val="24"/>
        </w:rPr>
        <w:t>The</w:t>
      </w:r>
      <w:r>
        <w:rPr>
          <w:rFonts w:ascii="Arial" w:hAnsi="Arial" w:cs="Arial"/>
          <w:sz w:val="24"/>
        </w:rPr>
        <w:t> p</w:t>
      </w:r>
      <w:r w:rsidRPr="00C05FA4">
        <w:rPr>
          <w:rFonts w:ascii="Arial" w:hAnsi="Arial" w:cs="Arial"/>
          <w:sz w:val="24"/>
        </w:rPr>
        <w:t>anel will look at how the</w:t>
      </w:r>
      <w:r>
        <w:rPr>
          <w:rFonts w:ascii="Arial" w:hAnsi="Arial" w:cs="Arial"/>
          <w:sz w:val="24"/>
        </w:rPr>
        <w:t xml:space="preserve"> general</w:t>
      </w:r>
      <w:r w:rsidRPr="00C05FA4">
        <w:rPr>
          <w:rFonts w:ascii="Arial" w:hAnsi="Arial" w:cs="Arial"/>
          <w:sz w:val="24"/>
        </w:rPr>
        <w:t xml:space="preserve"> principles of competitive neutrality interact with the operations of the national broadcasters in the modern media setting.</w:t>
      </w:r>
    </w:p>
    <w:p w14:paraId="59FE816C" w14:textId="77777777" w:rsidR="002A246D" w:rsidRDefault="002A246D" w:rsidP="002A246D">
      <w:pPr>
        <w:spacing w:after="240"/>
        <w:rPr>
          <w:rFonts w:ascii="Arial" w:hAnsi="Arial" w:cs="Arial"/>
          <w:sz w:val="24"/>
        </w:rPr>
      </w:pPr>
      <w:r>
        <w:rPr>
          <w:rFonts w:ascii="Arial" w:hAnsi="Arial" w:cs="Arial"/>
          <w:sz w:val="24"/>
        </w:rPr>
        <w:t xml:space="preserve">The panel is chaired by </w:t>
      </w:r>
      <w:r w:rsidRPr="00C05FA4">
        <w:rPr>
          <w:rFonts w:ascii="Arial" w:hAnsi="Arial" w:cs="Arial"/>
          <w:sz w:val="24"/>
        </w:rPr>
        <w:t>Mr</w:t>
      </w:r>
      <w:r>
        <w:rPr>
          <w:rFonts w:ascii="Arial" w:hAnsi="Arial" w:cs="Arial"/>
          <w:sz w:val="24"/>
        </w:rPr>
        <w:t> </w:t>
      </w:r>
      <w:r w:rsidRPr="00C05FA4">
        <w:rPr>
          <w:rFonts w:ascii="Arial" w:hAnsi="Arial" w:cs="Arial"/>
          <w:sz w:val="24"/>
        </w:rPr>
        <w:t>Robert Kerr</w:t>
      </w:r>
      <w:r>
        <w:rPr>
          <w:rFonts w:ascii="Arial" w:hAnsi="Arial" w:cs="Arial"/>
          <w:sz w:val="24"/>
        </w:rPr>
        <w:t xml:space="preserve">. Mr Kerr is </w:t>
      </w:r>
      <w:r w:rsidRPr="00F31926">
        <w:rPr>
          <w:rFonts w:ascii="Arial" w:hAnsi="Arial" w:cs="Arial"/>
          <w:sz w:val="24"/>
        </w:rPr>
        <w:t xml:space="preserve">a self-employed economist </w:t>
      </w:r>
      <w:r>
        <w:rPr>
          <w:rFonts w:ascii="Arial" w:hAnsi="Arial" w:cs="Arial"/>
          <w:sz w:val="24"/>
        </w:rPr>
        <w:t xml:space="preserve">and was </w:t>
      </w:r>
      <w:r w:rsidRPr="00F31926">
        <w:rPr>
          <w:rFonts w:ascii="Arial" w:hAnsi="Arial" w:cs="Arial"/>
          <w:sz w:val="24"/>
        </w:rPr>
        <w:t xml:space="preserve">Commissioner of the Victorian Competition and Efficiency Commission from </w:t>
      </w:r>
      <w:r w:rsidRPr="00F31926">
        <w:rPr>
          <w:rFonts w:ascii="Arial" w:hAnsi="Arial" w:cs="Arial"/>
          <w:sz w:val="24"/>
        </w:rPr>
        <w:lastRenderedPageBreak/>
        <w:t>2004 to 2010</w:t>
      </w:r>
      <w:r>
        <w:rPr>
          <w:rFonts w:ascii="Arial" w:hAnsi="Arial" w:cs="Arial"/>
          <w:sz w:val="24"/>
        </w:rPr>
        <w:t>. He is joined by fellow panellists Ms Julie Flynn—</w:t>
      </w:r>
      <w:proofErr w:type="spellStart"/>
      <w:r w:rsidRPr="00F31926">
        <w:rPr>
          <w:rFonts w:ascii="Arial" w:hAnsi="Arial" w:cs="Arial"/>
          <w:sz w:val="24"/>
        </w:rPr>
        <w:t>Walkley</w:t>
      </w:r>
      <w:proofErr w:type="spellEnd"/>
      <w:r w:rsidRPr="00F31926">
        <w:rPr>
          <w:rFonts w:ascii="Arial" w:hAnsi="Arial" w:cs="Arial"/>
          <w:sz w:val="24"/>
        </w:rPr>
        <w:t xml:space="preserve"> Award winner</w:t>
      </w:r>
      <w:r>
        <w:rPr>
          <w:rFonts w:ascii="Arial" w:hAnsi="Arial" w:cs="Arial"/>
          <w:sz w:val="24"/>
        </w:rPr>
        <w:t xml:space="preserve"> and former Chief Executive Officer of Free TV Australia—and Ms Sandra Levy AO—</w:t>
      </w:r>
      <w:r w:rsidRPr="00F31926">
        <w:rPr>
          <w:rFonts w:ascii="Arial" w:hAnsi="Arial" w:cs="Arial"/>
          <w:sz w:val="24"/>
        </w:rPr>
        <w:t xml:space="preserve">former Chief Executive Officer of the Australian Film, Television and Radio </w:t>
      </w:r>
      <w:r>
        <w:rPr>
          <w:rFonts w:ascii="Arial" w:hAnsi="Arial" w:cs="Arial"/>
          <w:sz w:val="24"/>
        </w:rPr>
        <w:t xml:space="preserve">School and former </w:t>
      </w:r>
      <w:r w:rsidRPr="00F31926">
        <w:rPr>
          <w:rFonts w:ascii="Arial" w:hAnsi="Arial" w:cs="Arial"/>
          <w:sz w:val="24"/>
        </w:rPr>
        <w:t xml:space="preserve">Director of Television at the Australian </w:t>
      </w:r>
      <w:r>
        <w:rPr>
          <w:rFonts w:ascii="Arial" w:hAnsi="Arial" w:cs="Arial"/>
          <w:sz w:val="24"/>
        </w:rPr>
        <w:t xml:space="preserve">Broadcasting Corporation (ABC). </w:t>
      </w:r>
    </w:p>
    <w:p w14:paraId="13B7F6A3" w14:textId="77777777" w:rsidR="002A246D" w:rsidRDefault="002A246D" w:rsidP="002A246D">
      <w:pPr>
        <w:spacing w:after="240"/>
        <w:rPr>
          <w:rFonts w:ascii="Arial" w:hAnsi="Arial" w:cs="Arial"/>
          <w:sz w:val="24"/>
        </w:rPr>
      </w:pPr>
      <w:r>
        <w:rPr>
          <w:rFonts w:ascii="Arial" w:hAnsi="Arial" w:cs="Arial"/>
          <w:sz w:val="24"/>
        </w:rPr>
        <w:t>Staff from the Department of Communications and the Arts are providing support to the panel.</w:t>
      </w:r>
    </w:p>
    <w:p w14:paraId="137D7BFF" w14:textId="77777777" w:rsidR="002A246D" w:rsidRDefault="002A246D" w:rsidP="009C21FD">
      <w:pPr>
        <w:pStyle w:val="Heading2"/>
      </w:pPr>
      <w:r>
        <w:t>Will there be a public consultation process?</w:t>
      </w:r>
    </w:p>
    <w:p w14:paraId="500AA2A1" w14:textId="77777777" w:rsidR="002A246D" w:rsidRPr="00C05FA4" w:rsidRDefault="002A246D" w:rsidP="002A246D">
      <w:pPr>
        <w:spacing w:after="240"/>
        <w:rPr>
          <w:rFonts w:ascii="Arial" w:hAnsi="Arial" w:cs="Arial"/>
          <w:sz w:val="24"/>
        </w:rPr>
      </w:pPr>
      <w:r w:rsidRPr="00C05FA4">
        <w:rPr>
          <w:rFonts w:ascii="Arial" w:hAnsi="Arial" w:cs="Arial"/>
          <w:sz w:val="24"/>
        </w:rPr>
        <w:t>The panel will</w:t>
      </w:r>
      <w:r>
        <w:rPr>
          <w:rFonts w:ascii="Arial" w:hAnsi="Arial" w:cs="Arial"/>
          <w:sz w:val="24"/>
        </w:rPr>
        <w:t xml:space="preserve"> release an issues paper drawing on themes raised in the Terms of Reference. The panel will then</w:t>
      </w:r>
      <w:r w:rsidRPr="00C05FA4">
        <w:rPr>
          <w:rFonts w:ascii="Arial" w:hAnsi="Arial" w:cs="Arial"/>
          <w:sz w:val="24"/>
        </w:rPr>
        <w:t xml:space="preserve"> </w:t>
      </w:r>
      <w:r>
        <w:rPr>
          <w:rFonts w:ascii="Arial" w:hAnsi="Arial" w:cs="Arial"/>
          <w:sz w:val="24"/>
        </w:rPr>
        <w:t>invite responses</w:t>
      </w:r>
      <w:r w:rsidRPr="00C05FA4">
        <w:rPr>
          <w:rFonts w:ascii="Arial" w:hAnsi="Arial" w:cs="Arial"/>
          <w:sz w:val="24"/>
        </w:rPr>
        <w:t xml:space="preserve"> from interested </w:t>
      </w:r>
      <w:r>
        <w:rPr>
          <w:rFonts w:ascii="Arial" w:hAnsi="Arial" w:cs="Arial"/>
          <w:sz w:val="24"/>
        </w:rPr>
        <w:t>parties</w:t>
      </w:r>
      <w:r w:rsidRPr="00C05FA4">
        <w:rPr>
          <w:rFonts w:ascii="Arial" w:hAnsi="Arial" w:cs="Arial"/>
          <w:sz w:val="24"/>
        </w:rPr>
        <w:t xml:space="preserve">. Further information on the timing and process for consultation will be published </w:t>
      </w:r>
      <w:r>
        <w:rPr>
          <w:rFonts w:ascii="Arial" w:hAnsi="Arial" w:cs="Arial"/>
          <w:sz w:val="24"/>
        </w:rPr>
        <w:t>on the Department’s</w:t>
      </w:r>
      <w:r w:rsidRPr="00C05FA4">
        <w:rPr>
          <w:rFonts w:ascii="Arial" w:hAnsi="Arial" w:cs="Arial"/>
          <w:sz w:val="24"/>
        </w:rPr>
        <w:t xml:space="preserve"> website in due course. </w:t>
      </w:r>
    </w:p>
    <w:p w14:paraId="430DCEC8" w14:textId="77777777" w:rsidR="002A246D" w:rsidRDefault="002A246D" w:rsidP="009C21FD">
      <w:pPr>
        <w:pStyle w:val="Heading2"/>
      </w:pPr>
      <w:r>
        <w:t>Who else will the panel consult?</w:t>
      </w:r>
    </w:p>
    <w:p w14:paraId="03C2B5C3" w14:textId="77777777" w:rsidR="00CC75CC" w:rsidRPr="009C21FD" w:rsidRDefault="002A246D" w:rsidP="009C21FD">
      <w:pPr>
        <w:spacing w:after="240"/>
        <w:rPr>
          <w:rFonts w:ascii="Arial" w:hAnsi="Arial" w:cs="Arial"/>
          <w:sz w:val="24"/>
        </w:rPr>
      </w:pPr>
      <w:r w:rsidRPr="00C05FA4">
        <w:rPr>
          <w:rFonts w:ascii="Arial" w:hAnsi="Arial" w:cs="Arial"/>
          <w:sz w:val="24"/>
        </w:rPr>
        <w:t xml:space="preserve">The </w:t>
      </w:r>
      <w:r>
        <w:rPr>
          <w:rFonts w:ascii="Arial" w:hAnsi="Arial" w:cs="Arial"/>
          <w:sz w:val="24"/>
        </w:rPr>
        <w:t>p</w:t>
      </w:r>
      <w:r w:rsidRPr="00C05FA4">
        <w:rPr>
          <w:rFonts w:ascii="Arial" w:hAnsi="Arial" w:cs="Arial"/>
          <w:sz w:val="24"/>
        </w:rPr>
        <w:t xml:space="preserve">anel </w:t>
      </w:r>
      <w:r>
        <w:rPr>
          <w:rFonts w:ascii="Arial" w:hAnsi="Arial" w:cs="Arial"/>
          <w:sz w:val="24"/>
        </w:rPr>
        <w:t xml:space="preserve">will consult closely with </w:t>
      </w:r>
      <w:r w:rsidRPr="00C05FA4">
        <w:rPr>
          <w:rFonts w:ascii="Arial" w:hAnsi="Arial" w:cs="Arial"/>
          <w:sz w:val="24"/>
        </w:rPr>
        <w:t xml:space="preserve">the national broadcasters </w:t>
      </w:r>
      <w:r>
        <w:rPr>
          <w:rFonts w:ascii="Arial" w:hAnsi="Arial" w:cs="Arial"/>
          <w:sz w:val="24"/>
        </w:rPr>
        <w:t xml:space="preserve">as well as participants in media markets and from the </w:t>
      </w:r>
      <w:r w:rsidRPr="00C05FA4">
        <w:rPr>
          <w:rFonts w:ascii="Arial" w:hAnsi="Arial" w:cs="Arial"/>
          <w:sz w:val="24"/>
        </w:rPr>
        <w:t>wider media industry</w:t>
      </w:r>
      <w:r>
        <w:rPr>
          <w:rFonts w:ascii="Arial" w:hAnsi="Arial" w:cs="Arial"/>
          <w:sz w:val="24"/>
        </w:rPr>
        <w:t>. This will include comme</w:t>
      </w:r>
      <w:r w:rsidR="009C21FD">
        <w:rPr>
          <w:rFonts w:ascii="Arial" w:hAnsi="Arial" w:cs="Arial"/>
          <w:sz w:val="24"/>
        </w:rPr>
        <w:t xml:space="preserve">rcial broadcasters, radio, </w:t>
      </w:r>
      <w:proofErr w:type="gramStart"/>
      <w:r w:rsidR="009C21FD">
        <w:rPr>
          <w:rFonts w:ascii="Arial" w:hAnsi="Arial" w:cs="Arial"/>
          <w:sz w:val="24"/>
        </w:rPr>
        <w:t>news</w:t>
      </w:r>
      <w:proofErr w:type="gramEnd"/>
      <w:r w:rsidR="009C21FD">
        <w:rPr>
          <w:rFonts w:ascii="Arial" w:hAnsi="Arial" w:cs="Arial"/>
          <w:sz w:val="24"/>
        </w:rPr>
        <w:t xml:space="preserve"> </w:t>
      </w:r>
      <w:r>
        <w:rPr>
          <w:rFonts w:ascii="Arial" w:hAnsi="Arial" w:cs="Arial"/>
          <w:sz w:val="24"/>
        </w:rPr>
        <w:t xml:space="preserve">and </w:t>
      </w:r>
      <w:r w:rsidRPr="00C05FA4">
        <w:rPr>
          <w:rFonts w:ascii="Arial" w:hAnsi="Arial" w:cs="Arial"/>
          <w:sz w:val="24"/>
        </w:rPr>
        <w:t>co</w:t>
      </w:r>
      <w:r>
        <w:rPr>
          <w:rFonts w:ascii="Arial" w:hAnsi="Arial" w:cs="Arial"/>
          <w:sz w:val="24"/>
        </w:rPr>
        <w:t>ntent producers.</w:t>
      </w:r>
    </w:p>
    <w:sectPr w:rsidR="00CC75CC" w:rsidRPr="009C21FD" w:rsidSect="00343AD3">
      <w:headerReference w:type="default" r:id="rId17"/>
      <w:footerReference w:type="default" r:id="rId18"/>
      <w:type w:val="continuous"/>
      <w:pgSz w:w="11906" w:h="16838"/>
      <w:pgMar w:top="1843" w:right="1440" w:bottom="567"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49E07" w14:textId="77777777" w:rsidR="006B3E00" w:rsidRDefault="006B3E00" w:rsidP="002117E6">
      <w:pPr>
        <w:spacing w:after="0"/>
      </w:pPr>
      <w:r>
        <w:separator/>
      </w:r>
    </w:p>
  </w:endnote>
  <w:endnote w:type="continuationSeparator" w:id="0">
    <w:p w14:paraId="73F511F2" w14:textId="77777777" w:rsidR="006B3E00" w:rsidRDefault="006B3E0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318A" w14:textId="77777777" w:rsidR="008D4E53" w:rsidRDefault="008D4E53"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2367F19" wp14:editId="3FB6C1D7">
          <wp:extent cx="7596000" cy="400588"/>
          <wp:effectExtent l="0" t="0" r="0" b="6350"/>
          <wp:docPr id="10" name="Picture 10"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FB8514C" w14:textId="77777777" w:rsidR="008D4E53" w:rsidRPr="0037566A" w:rsidRDefault="008D4E53"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0D13CC78" w14:textId="77777777" w:rsidR="006B3E00" w:rsidRDefault="006B3E00" w:rsidP="001D7905">
    <w:pPr>
      <w:pStyle w:val="Footer"/>
      <w:tabs>
        <w:tab w:val="clear" w:pos="4513"/>
        <w:tab w:val="clear" w:pos="9026"/>
        <w:tab w:val="center" w:pos="4536"/>
        <w:tab w:val="right" w:pos="9498"/>
      </w:tabs>
      <w:ind w:right="-46"/>
      <w:rPr>
        <w:color w:val="001C40" w:themeColor="text2"/>
        <w:sz w:val="18"/>
        <w:szCs w:val="18"/>
      </w:rPr>
    </w:pPr>
    <w:r w:rsidRPr="006B3E00">
      <w:rPr>
        <w:color w:val="001C40" w:themeColor="text2"/>
        <w:sz w:val="18"/>
        <w:szCs w:val="18"/>
      </w:rPr>
      <w:t>Consumer Safeguards Review</w:t>
    </w:r>
  </w:p>
  <w:p w14:paraId="4B97D4CF" w14:textId="77777777" w:rsidR="008D4E53" w:rsidRPr="001D7905" w:rsidRDefault="006B3E00" w:rsidP="001D7905">
    <w:pPr>
      <w:pStyle w:val="Footer"/>
      <w:tabs>
        <w:tab w:val="clear" w:pos="4513"/>
        <w:tab w:val="clear" w:pos="9026"/>
        <w:tab w:val="center" w:pos="4536"/>
        <w:tab w:val="right" w:pos="9498"/>
      </w:tabs>
      <w:ind w:right="-46"/>
      <w:rPr>
        <w:rStyle w:val="Hyperlink"/>
        <w:color w:val="001C40" w:themeColor="text2"/>
        <w:sz w:val="18"/>
        <w:szCs w:val="18"/>
      </w:rPr>
    </w:pPr>
    <w:r w:rsidRPr="006B3E00">
      <w:rPr>
        <w:color w:val="001C40" w:themeColor="text2"/>
        <w:sz w:val="18"/>
        <w:szCs w:val="18"/>
      </w:rPr>
      <w:t>Terms of Reference</w:t>
    </w:r>
    <w:r w:rsidR="008D4E53" w:rsidRPr="001D7905">
      <w:rPr>
        <w:color w:val="001C40" w:themeColor="text2"/>
        <w:sz w:val="18"/>
        <w:szCs w:val="18"/>
      </w:rPr>
      <w:tab/>
    </w:r>
    <w:hyperlink r:id="rId3" w:history="1">
      <w:r w:rsidR="008D4E53" w:rsidRPr="001D7905">
        <w:rPr>
          <w:rStyle w:val="Hyperlink"/>
          <w:sz w:val="18"/>
          <w:szCs w:val="18"/>
        </w:rPr>
        <w:t>www.arts.gov.au</w:t>
      </w:r>
    </w:hyperlink>
    <w:r w:rsidR="008D4E53" w:rsidRPr="001D7905">
      <w:rPr>
        <w:color w:val="001C40" w:themeColor="text2"/>
        <w:sz w:val="18"/>
        <w:szCs w:val="18"/>
      </w:rPr>
      <w:tab/>
    </w:r>
    <w:sdt>
      <w:sdtPr>
        <w:rPr>
          <w:color w:val="001C40" w:themeColor="text2"/>
          <w:sz w:val="18"/>
          <w:szCs w:val="18"/>
        </w:rPr>
        <w:id w:val="-1761757439"/>
        <w:docPartObj>
          <w:docPartGallery w:val="Page Numbers (Top of Page)"/>
          <w:docPartUnique/>
        </w:docPartObj>
      </w:sdtPr>
      <w:sdtEndPr/>
      <w:sdtContent>
        <w:r w:rsidR="008D4E53" w:rsidRPr="001D7905">
          <w:rPr>
            <w:color w:val="001C40" w:themeColor="text2"/>
            <w:sz w:val="18"/>
            <w:szCs w:val="18"/>
          </w:rPr>
          <w:t xml:space="preserve">Page </w:t>
        </w:r>
        <w:r w:rsidR="008D4E53" w:rsidRPr="001D7905">
          <w:rPr>
            <w:bCs/>
            <w:color w:val="001C40" w:themeColor="text2"/>
            <w:sz w:val="18"/>
            <w:szCs w:val="18"/>
          </w:rPr>
          <w:fldChar w:fldCharType="begin"/>
        </w:r>
        <w:r w:rsidR="008D4E53" w:rsidRPr="001D7905">
          <w:rPr>
            <w:bCs/>
            <w:color w:val="001C40" w:themeColor="text2"/>
            <w:sz w:val="18"/>
            <w:szCs w:val="18"/>
          </w:rPr>
          <w:instrText xml:space="preserve"> PAGE </w:instrText>
        </w:r>
        <w:r w:rsidR="008D4E53" w:rsidRPr="001D7905">
          <w:rPr>
            <w:bCs/>
            <w:color w:val="001C40" w:themeColor="text2"/>
            <w:sz w:val="18"/>
            <w:szCs w:val="18"/>
          </w:rPr>
          <w:fldChar w:fldCharType="separate"/>
        </w:r>
        <w:r w:rsidR="007D4AD4">
          <w:rPr>
            <w:bCs/>
            <w:noProof/>
            <w:color w:val="001C40" w:themeColor="text2"/>
            <w:sz w:val="18"/>
            <w:szCs w:val="18"/>
          </w:rPr>
          <w:t>2</w:t>
        </w:r>
        <w:r w:rsidR="008D4E53" w:rsidRPr="001D7905">
          <w:rPr>
            <w:bCs/>
            <w:color w:val="001C40" w:themeColor="text2"/>
            <w:sz w:val="18"/>
            <w:szCs w:val="18"/>
          </w:rPr>
          <w:fldChar w:fldCharType="end"/>
        </w:r>
        <w:r w:rsidR="008D4E53" w:rsidRPr="001D7905">
          <w:rPr>
            <w:color w:val="001C40" w:themeColor="text2"/>
            <w:sz w:val="18"/>
            <w:szCs w:val="18"/>
          </w:rPr>
          <w:t xml:space="preserve"> of </w:t>
        </w:r>
        <w:r w:rsidR="008D4E53" w:rsidRPr="001D7905">
          <w:rPr>
            <w:bCs/>
            <w:color w:val="001C40" w:themeColor="text2"/>
            <w:sz w:val="18"/>
            <w:szCs w:val="18"/>
          </w:rPr>
          <w:fldChar w:fldCharType="begin"/>
        </w:r>
        <w:r w:rsidR="008D4E53" w:rsidRPr="001D7905">
          <w:rPr>
            <w:bCs/>
            <w:color w:val="001C40" w:themeColor="text2"/>
            <w:sz w:val="18"/>
            <w:szCs w:val="18"/>
          </w:rPr>
          <w:instrText xml:space="preserve"> NUMPAGES  </w:instrText>
        </w:r>
        <w:r w:rsidR="008D4E53" w:rsidRPr="001D7905">
          <w:rPr>
            <w:bCs/>
            <w:color w:val="001C40" w:themeColor="text2"/>
            <w:sz w:val="18"/>
            <w:szCs w:val="18"/>
          </w:rPr>
          <w:fldChar w:fldCharType="separate"/>
        </w:r>
        <w:r w:rsidR="00A92244">
          <w:rPr>
            <w:bCs/>
            <w:noProof/>
            <w:color w:val="001C40" w:themeColor="text2"/>
            <w:sz w:val="18"/>
            <w:szCs w:val="18"/>
          </w:rPr>
          <w:t>2</w:t>
        </w:r>
        <w:r w:rsidR="008D4E53" w:rsidRPr="001D7905">
          <w:rPr>
            <w:bCs/>
            <w:color w:val="001C40" w:themeColor="text2"/>
            <w:sz w:val="18"/>
            <w:szCs w:val="18"/>
          </w:rPr>
          <w:fldChar w:fldCharType="end"/>
        </w:r>
      </w:sdtContent>
    </w:sdt>
  </w:p>
  <w:p w14:paraId="1ACBF267" w14:textId="77777777" w:rsidR="008D4E53" w:rsidRPr="002117E6" w:rsidRDefault="008D4E53"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FD50" w14:textId="77777777" w:rsidR="008D4E53" w:rsidRDefault="008D4E53" w:rsidP="009B7EF0">
    <w:pPr>
      <w:pStyle w:val="Footer"/>
      <w:tabs>
        <w:tab w:val="clear" w:pos="4513"/>
        <w:tab w:val="clear" w:pos="9026"/>
        <w:tab w:val="center" w:pos="4536"/>
        <w:tab w:val="right" w:pos="9498"/>
      </w:tabs>
      <w:ind w:left="-1440" w:right="-613"/>
    </w:pPr>
  </w:p>
  <w:p w14:paraId="62E2B45C" w14:textId="77777777" w:rsidR="008D4E53" w:rsidRPr="0037566A" w:rsidRDefault="008D4E53" w:rsidP="0094124E">
    <w:pPr>
      <w:pStyle w:val="Footer"/>
      <w:tabs>
        <w:tab w:val="clear" w:pos="4513"/>
        <w:tab w:val="clear" w:pos="9026"/>
        <w:tab w:val="center" w:pos="4536"/>
        <w:tab w:val="right" w:pos="9498"/>
      </w:tabs>
      <w:ind w:right="-613"/>
      <w:rPr>
        <w:sz w:val="18"/>
        <w:szCs w:val="18"/>
      </w:rPr>
    </w:pPr>
    <w:r>
      <w:tab/>
    </w:r>
  </w:p>
  <w:p w14:paraId="2E2E2682" w14:textId="77777777" w:rsidR="007D4AD4" w:rsidRDefault="002A246D" w:rsidP="007D4AD4">
    <w:pPr>
      <w:pStyle w:val="Footer"/>
      <w:tabs>
        <w:tab w:val="clear" w:pos="4513"/>
        <w:tab w:val="clear" w:pos="9026"/>
        <w:tab w:val="center" w:pos="4536"/>
        <w:tab w:val="right" w:pos="9498"/>
      </w:tabs>
      <w:ind w:right="-46"/>
      <w:rPr>
        <w:sz w:val="18"/>
        <w:szCs w:val="18"/>
      </w:rPr>
    </w:pPr>
    <w:r>
      <w:rPr>
        <w:sz w:val="18"/>
        <w:szCs w:val="18"/>
      </w:rPr>
      <w:t>Competitive neutrality inquiry</w:t>
    </w:r>
  </w:p>
  <w:p w14:paraId="3B881115" w14:textId="77777777" w:rsidR="008D4E53" w:rsidRPr="002117E6" w:rsidRDefault="008D4E53" w:rsidP="00343AD3">
    <w:pPr>
      <w:pStyle w:val="Footer"/>
      <w:tabs>
        <w:tab w:val="clear" w:pos="4513"/>
        <w:tab w:val="clear" w:pos="9026"/>
        <w:tab w:val="center" w:pos="4536"/>
        <w:tab w:val="right" w:pos="9498"/>
      </w:tabs>
      <w:ind w:right="-46"/>
      <w:rPr>
        <w:rStyle w:val="Hyperlink"/>
        <w:color w:val="auto"/>
        <w:sz w:val="18"/>
        <w:szCs w:val="18"/>
      </w:rPr>
    </w:pPr>
    <w:r>
      <w:rPr>
        <w:sz w:val="18"/>
        <w:szCs w:val="18"/>
      </w:rPr>
      <w:tab/>
    </w:r>
    <w:r w:rsidRPr="0037566A">
      <w:rPr>
        <w:sz w:val="18"/>
        <w:szCs w:val="18"/>
      </w:rPr>
      <w:tab/>
    </w:r>
    <w:sdt>
      <w:sdtPr>
        <w:rPr>
          <w:sz w:val="18"/>
          <w:szCs w:val="18"/>
        </w:rPr>
        <w:id w:val="-89990504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D0501">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D0501">
          <w:rPr>
            <w:bCs/>
            <w:noProof/>
            <w:sz w:val="18"/>
            <w:szCs w:val="18"/>
          </w:rPr>
          <w:t>2</w:t>
        </w:r>
        <w:r w:rsidRPr="0037566A">
          <w:rPr>
            <w:bCs/>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7009" w14:textId="77777777" w:rsidR="007D4AD4" w:rsidRDefault="002A246D" w:rsidP="007D4AD4">
    <w:pPr>
      <w:pStyle w:val="Footer"/>
      <w:tabs>
        <w:tab w:val="clear" w:pos="4513"/>
        <w:tab w:val="clear" w:pos="9026"/>
        <w:tab w:val="center" w:pos="4536"/>
        <w:tab w:val="right" w:pos="9498"/>
      </w:tabs>
      <w:ind w:right="-46"/>
      <w:rPr>
        <w:sz w:val="18"/>
        <w:szCs w:val="18"/>
      </w:rPr>
    </w:pPr>
    <w:r>
      <w:rPr>
        <w:sz w:val="18"/>
        <w:szCs w:val="18"/>
      </w:rPr>
      <w:t>Competitive Neutrality Inquiry</w:t>
    </w:r>
  </w:p>
  <w:p w14:paraId="285C06A0" w14:textId="77777777"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14:paraId="6D76FD9E"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2" w:history="1">
      <w:r w:rsidRPr="0037566A">
        <w:rPr>
          <w:rStyle w:val="Hyperlink"/>
          <w:sz w:val="18"/>
          <w:szCs w:val="18"/>
        </w:rPr>
        <w:t>www.arts.gov.au</w:t>
      </w:r>
    </w:hyperlink>
    <w:r w:rsidRPr="0037566A">
      <w:rPr>
        <w:sz w:val="18"/>
        <w:szCs w:val="18"/>
      </w:rPr>
      <w:tab/>
    </w:r>
    <w:sdt>
      <w:sdtPr>
        <w:rPr>
          <w:sz w:val="18"/>
          <w:szCs w:val="18"/>
        </w:rPr>
        <w:id w:val="254014270"/>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D0501">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D0501">
          <w:rPr>
            <w:bCs/>
            <w:noProof/>
            <w:sz w:val="18"/>
            <w:szCs w:val="18"/>
          </w:rPr>
          <w:t>2</w:t>
        </w:r>
        <w:r w:rsidRPr="0037566A">
          <w:rPr>
            <w:bCs/>
            <w:sz w:val="18"/>
            <w:szCs w:val="18"/>
          </w:rPr>
          <w:fldChar w:fldCharType="end"/>
        </w:r>
      </w:sdtContent>
    </w:sdt>
  </w:p>
  <w:p w14:paraId="08EC79E8"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DFC5" w14:textId="77777777" w:rsidR="006B3E00" w:rsidRDefault="006B3E00" w:rsidP="002117E6">
      <w:pPr>
        <w:spacing w:after="0"/>
      </w:pPr>
      <w:r>
        <w:separator/>
      </w:r>
    </w:p>
  </w:footnote>
  <w:footnote w:type="continuationSeparator" w:id="0">
    <w:p w14:paraId="7856F1E0" w14:textId="77777777" w:rsidR="006B3E00" w:rsidRDefault="006B3E00"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3D70" w14:textId="77777777" w:rsidR="008D4E53" w:rsidRPr="006B3E00" w:rsidRDefault="008D4E53" w:rsidP="006B3E00">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6B3E00">
      <w:rPr>
        <w:color w:val="001C40" w:themeColor="text2"/>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C77" w14:textId="77777777" w:rsidR="007D4AD4" w:rsidRDefault="007D4AD4" w:rsidP="007D4AD4">
    <w:pPr>
      <w:pStyle w:val="Header"/>
      <w:tabs>
        <w:tab w:val="clear" w:pos="9026"/>
        <w:tab w:val="right" w:pos="9333"/>
      </w:tabs>
      <w:ind w:right="-46"/>
      <w:rPr>
        <w:color w:val="001C40" w:themeColor="text2"/>
      </w:rPr>
    </w:pPr>
  </w:p>
  <w:p w14:paraId="76B30257" w14:textId="77777777" w:rsidR="007D4AD4" w:rsidRDefault="007D4AD4" w:rsidP="007D4AD4">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April 2018</w:t>
    </w:r>
  </w:p>
  <w:p w14:paraId="4C6DBDE3" w14:textId="77777777" w:rsidR="002117E6" w:rsidRPr="007D4AD4" w:rsidRDefault="002117E6" w:rsidP="007D4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281818"/>
    <w:multiLevelType w:val="hybridMultilevel"/>
    <w:tmpl w:val="FE36EA66"/>
    <w:lvl w:ilvl="0" w:tplc="0C09000F">
      <w:start w:val="1"/>
      <w:numFmt w:val="decimal"/>
      <w:lvlText w:val="%1."/>
      <w:lvlJc w:val="left"/>
      <w:pPr>
        <w:ind w:left="360" w:hanging="360"/>
      </w:pPr>
      <w:rPr>
        <w:rFonts w:hint="default"/>
      </w:rPr>
    </w:lvl>
    <w:lvl w:ilvl="1" w:tplc="D3B0925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942691"/>
    <w:multiLevelType w:val="hybridMultilevel"/>
    <w:tmpl w:val="6C045426"/>
    <w:lvl w:ilvl="0" w:tplc="D3B09254">
      <w:start w:val="1"/>
      <w:numFmt w:val="lowerLetter"/>
      <w:lvlText w:val="(%1)"/>
      <w:lvlJc w:val="left"/>
      <w:pPr>
        <w:ind w:left="108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00"/>
    <w:rsid w:val="00111A64"/>
    <w:rsid w:val="001471EA"/>
    <w:rsid w:val="001472FC"/>
    <w:rsid w:val="00185E9F"/>
    <w:rsid w:val="0019701B"/>
    <w:rsid w:val="001C3415"/>
    <w:rsid w:val="001D7905"/>
    <w:rsid w:val="002117E6"/>
    <w:rsid w:val="00293DD6"/>
    <w:rsid w:val="002A246D"/>
    <w:rsid w:val="002F3895"/>
    <w:rsid w:val="00335334"/>
    <w:rsid w:val="00336DDD"/>
    <w:rsid w:val="00343AD3"/>
    <w:rsid w:val="00347158"/>
    <w:rsid w:val="00381364"/>
    <w:rsid w:val="003F495D"/>
    <w:rsid w:val="00400E77"/>
    <w:rsid w:val="00450D6E"/>
    <w:rsid w:val="00544465"/>
    <w:rsid w:val="00561190"/>
    <w:rsid w:val="00565B47"/>
    <w:rsid w:val="005726F1"/>
    <w:rsid w:val="00575A5A"/>
    <w:rsid w:val="005932D0"/>
    <w:rsid w:val="00597F9B"/>
    <w:rsid w:val="0061446D"/>
    <w:rsid w:val="00625397"/>
    <w:rsid w:val="0064138E"/>
    <w:rsid w:val="006A2F0E"/>
    <w:rsid w:val="006B3E00"/>
    <w:rsid w:val="006F06FD"/>
    <w:rsid w:val="00705B86"/>
    <w:rsid w:val="00753BB6"/>
    <w:rsid w:val="007C4DD3"/>
    <w:rsid w:val="007D4AD4"/>
    <w:rsid w:val="007E1C83"/>
    <w:rsid w:val="00866475"/>
    <w:rsid w:val="008A4B1F"/>
    <w:rsid w:val="008D4E53"/>
    <w:rsid w:val="009313D2"/>
    <w:rsid w:val="0094124E"/>
    <w:rsid w:val="009B7EF0"/>
    <w:rsid w:val="009C21FD"/>
    <w:rsid w:val="009E12E4"/>
    <w:rsid w:val="00A241FE"/>
    <w:rsid w:val="00A606B1"/>
    <w:rsid w:val="00A92244"/>
    <w:rsid w:val="00AE4F02"/>
    <w:rsid w:val="00B049A4"/>
    <w:rsid w:val="00B55747"/>
    <w:rsid w:val="00BC329E"/>
    <w:rsid w:val="00BC7D72"/>
    <w:rsid w:val="00BE7E66"/>
    <w:rsid w:val="00C16794"/>
    <w:rsid w:val="00CC75CC"/>
    <w:rsid w:val="00D5271F"/>
    <w:rsid w:val="00DC2DFA"/>
    <w:rsid w:val="00DD5D52"/>
    <w:rsid w:val="00EA2F26"/>
    <w:rsid w:val="00EA6D34"/>
    <w:rsid w:val="00EB40A5"/>
    <w:rsid w:val="00ED0501"/>
    <w:rsid w:val="00F3567E"/>
    <w:rsid w:val="00F408EE"/>
    <w:rsid w:val="00F7051B"/>
    <w:rsid w:val="00FE3A0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A0289"/>
  <w15:chartTrackingRefBased/>
  <w15:docId w15:val="{2E69DA2C-3706-4AF9-80F5-F3E67E8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D5271F"/>
    <w:pPr>
      <w:keepNext/>
      <w:spacing w:before="360" w:after="480"/>
      <w:outlineLvl w:val="0"/>
    </w:pPr>
    <w:rPr>
      <w:rFonts w:asciiTheme="majorHAnsi" w:eastAsiaTheme="majorEastAsia" w:hAnsiTheme="majorHAnsi" w:cstheme="majorBidi"/>
      <w:b/>
      <w:color w:val="001C40" w:themeColor="text2"/>
      <w:sz w:val="44"/>
      <w:szCs w:val="32"/>
      <w:lang w:eastAsia="en-US"/>
    </w:rPr>
  </w:style>
  <w:style w:type="paragraph" w:styleId="Heading2">
    <w:name w:val="heading 2"/>
    <w:basedOn w:val="Normal"/>
    <w:next w:val="Normal"/>
    <w:link w:val="Heading2Char"/>
    <w:uiPriority w:val="9"/>
    <w:unhideWhenUsed/>
    <w:qFormat/>
    <w:rsid w:val="00CC75CC"/>
    <w:pPr>
      <w:keepNext/>
      <w:outlineLvl w:val="1"/>
    </w:pPr>
    <w:rPr>
      <w:rFonts w:asciiTheme="majorHAnsi" w:eastAsiaTheme="majorEastAsia" w:hAnsiTheme="majorHAnsi" w:cstheme="majorBidi"/>
      <w:b/>
      <w:color w:val="1177AD"/>
      <w:sz w:val="36"/>
      <w:szCs w:val="26"/>
      <w:lang w:eastAsia="en-US"/>
    </w:rPr>
  </w:style>
  <w:style w:type="paragraph" w:styleId="Heading3">
    <w:name w:val="heading 3"/>
    <w:basedOn w:val="Normal"/>
    <w:next w:val="Normal"/>
    <w:link w:val="Heading3Char"/>
    <w:uiPriority w:val="9"/>
    <w:unhideWhenUsed/>
    <w:qFormat/>
    <w:rsid w:val="00CC75CC"/>
    <w:pPr>
      <w:keepNext/>
      <w:spacing w:after="120"/>
      <w:outlineLvl w:val="2"/>
    </w:pPr>
    <w:rPr>
      <w:rFonts w:asciiTheme="majorHAnsi" w:eastAsiaTheme="majorEastAsia" w:hAnsiTheme="majorHAnsi" w:cstheme="majorBidi"/>
      <w:b/>
      <w:color w:val="1177AD"/>
      <w:sz w:val="30"/>
      <w:szCs w:val="24"/>
      <w:lang w:eastAsia="en-US"/>
    </w:rPr>
  </w:style>
  <w:style w:type="paragraph" w:styleId="Heading4">
    <w:name w:val="heading 4"/>
    <w:basedOn w:val="Normal"/>
    <w:next w:val="Normal"/>
    <w:link w:val="Heading4Char"/>
    <w:uiPriority w:val="9"/>
    <w:unhideWhenUsed/>
    <w:qFormat/>
    <w:rsid w:val="00CC75CC"/>
    <w:pPr>
      <w:keepNext/>
      <w:keepLines/>
      <w:spacing w:after="120"/>
      <w:outlineLvl w:val="3"/>
    </w:pPr>
    <w:rPr>
      <w:rFonts w:asciiTheme="majorHAnsi" w:eastAsiaTheme="majorEastAsia" w:hAnsiTheme="majorHAnsi" w:cstheme="majorBidi"/>
      <w:b/>
      <w:bCs/>
      <w:color w:val="1177AD"/>
      <w:sz w:val="24"/>
      <w:szCs w:val="24"/>
    </w:rPr>
  </w:style>
  <w:style w:type="paragraph" w:styleId="Heading5">
    <w:name w:val="heading 5"/>
    <w:basedOn w:val="Normal"/>
    <w:next w:val="Normal"/>
    <w:link w:val="Heading5Char"/>
    <w:uiPriority w:val="9"/>
    <w:unhideWhenUsed/>
    <w:qFormat/>
    <w:rsid w:val="00CC75CC"/>
    <w:pPr>
      <w:keepNext/>
      <w:keepLines/>
      <w:spacing w:after="60"/>
      <w:outlineLvl w:val="4"/>
    </w:pPr>
    <w:rPr>
      <w:rFonts w:asciiTheme="majorHAnsi" w:eastAsiaTheme="majorEastAsia" w:hAnsiTheme="majorHAnsi" w:cstheme="majorBidi"/>
      <w:b/>
      <w:color w:val="1177AD"/>
    </w:rPr>
  </w:style>
  <w:style w:type="paragraph" w:styleId="Heading6">
    <w:name w:val="heading 6"/>
    <w:basedOn w:val="Normal"/>
    <w:next w:val="Normal"/>
    <w:link w:val="Heading6Char"/>
    <w:uiPriority w:val="9"/>
    <w:unhideWhenUsed/>
    <w:qFormat/>
    <w:rsid w:val="00CC75CC"/>
    <w:pPr>
      <w:keepNext/>
      <w:keepLines/>
      <w:spacing w:after="60"/>
      <w:outlineLvl w:val="5"/>
    </w:pPr>
    <w:rPr>
      <w:rFonts w:asciiTheme="majorHAnsi" w:eastAsiaTheme="majorEastAsia" w:hAnsiTheme="majorHAnsi" w:cstheme="majorBidi"/>
      <w:b/>
      <w:i/>
      <w:iCs/>
      <w:color w:val="1177AD"/>
    </w:rPr>
  </w:style>
  <w:style w:type="paragraph" w:styleId="Heading7">
    <w:name w:val="heading 7"/>
    <w:basedOn w:val="Normal"/>
    <w:next w:val="Normal"/>
    <w:link w:val="Heading7Char"/>
    <w:uiPriority w:val="9"/>
    <w:unhideWhenUsed/>
    <w:qFormat/>
    <w:rsid w:val="00CC75CC"/>
    <w:pPr>
      <w:keepNext/>
      <w:keepLines/>
      <w:spacing w:before="40" w:after="0"/>
      <w:outlineLvl w:val="6"/>
    </w:pPr>
    <w:rPr>
      <w:rFonts w:asciiTheme="majorHAnsi" w:eastAsiaTheme="majorEastAsia" w:hAnsiTheme="majorHAnsi" w:cstheme="majorBidi"/>
      <w:b/>
      <w:i/>
      <w:iCs/>
      <w:color w:val="1177AD"/>
    </w:rPr>
  </w:style>
  <w:style w:type="paragraph" w:styleId="Heading8">
    <w:name w:val="heading 8"/>
    <w:basedOn w:val="Normal"/>
    <w:next w:val="Normal"/>
    <w:link w:val="Heading8Char"/>
    <w:uiPriority w:val="9"/>
    <w:unhideWhenUsed/>
    <w:qFormat/>
    <w:rsid w:val="00CC75CC"/>
    <w:pPr>
      <w:keepNext/>
      <w:keepLines/>
      <w:spacing w:before="40" w:after="0"/>
      <w:outlineLvl w:val="7"/>
    </w:pPr>
    <w:rPr>
      <w:rFonts w:asciiTheme="majorHAnsi" w:eastAsiaTheme="majorEastAsia" w:hAnsiTheme="majorHAnsi" w:cstheme="majorBidi"/>
      <w:b/>
      <w:color w:val="1177AD"/>
      <w:sz w:val="21"/>
      <w:szCs w:val="21"/>
    </w:rPr>
  </w:style>
  <w:style w:type="paragraph" w:styleId="Heading9">
    <w:name w:val="heading 9"/>
    <w:basedOn w:val="Normal"/>
    <w:next w:val="Normal"/>
    <w:link w:val="Heading9Char"/>
    <w:uiPriority w:val="9"/>
    <w:unhideWhenUsed/>
    <w:qFormat/>
    <w:rsid w:val="00CC75CC"/>
    <w:pPr>
      <w:keepNext/>
      <w:keepLines/>
      <w:spacing w:before="40" w:after="0"/>
      <w:outlineLvl w:val="8"/>
    </w:pPr>
    <w:rPr>
      <w:rFonts w:asciiTheme="majorHAnsi" w:eastAsiaTheme="majorEastAsia" w:hAnsiTheme="majorHAnsi" w:cstheme="majorBidi"/>
      <w:b/>
      <w:i/>
      <w:iCs/>
      <w:color w:val="1177A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71F"/>
    <w:rPr>
      <w:rFonts w:asciiTheme="majorHAnsi" w:eastAsiaTheme="majorEastAsia" w:hAnsiTheme="majorHAnsi" w:cstheme="majorBidi"/>
      <w:b/>
      <w:color w:val="001C40" w:themeColor="text2"/>
      <w:sz w:val="44"/>
      <w:szCs w:val="32"/>
      <w:lang w:eastAsia="en-US"/>
    </w:rPr>
  </w:style>
  <w:style w:type="character" w:customStyle="1" w:styleId="Heading2Char">
    <w:name w:val="Heading 2 Char"/>
    <w:basedOn w:val="DefaultParagraphFont"/>
    <w:link w:val="Heading2"/>
    <w:uiPriority w:val="9"/>
    <w:rsid w:val="00CC75CC"/>
    <w:rPr>
      <w:rFonts w:asciiTheme="majorHAnsi" w:eastAsiaTheme="majorEastAsia" w:hAnsiTheme="majorHAnsi" w:cstheme="majorBidi"/>
      <w:b/>
      <w:color w:val="1177AD"/>
      <w:sz w:val="36"/>
      <w:szCs w:val="26"/>
      <w:lang w:eastAsia="en-US"/>
    </w:rPr>
  </w:style>
  <w:style w:type="character" w:customStyle="1" w:styleId="Heading3Char">
    <w:name w:val="Heading 3 Char"/>
    <w:basedOn w:val="DefaultParagraphFont"/>
    <w:link w:val="Heading3"/>
    <w:uiPriority w:val="9"/>
    <w:rsid w:val="00CC75CC"/>
    <w:rPr>
      <w:rFonts w:asciiTheme="majorHAnsi" w:eastAsiaTheme="majorEastAsia" w:hAnsiTheme="majorHAnsi" w:cstheme="majorBidi"/>
      <w:b/>
      <w:color w:val="1177AD"/>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CC75CC"/>
    <w:rPr>
      <w:rFonts w:asciiTheme="majorHAnsi" w:eastAsiaTheme="majorEastAsia" w:hAnsiTheme="majorHAnsi" w:cstheme="majorBidi"/>
      <w:b/>
      <w:bCs/>
      <w:color w:val="1177AD"/>
      <w:sz w:val="24"/>
      <w:szCs w:val="24"/>
    </w:rPr>
  </w:style>
  <w:style w:type="character" w:customStyle="1" w:styleId="Heading5Char">
    <w:name w:val="Heading 5 Char"/>
    <w:basedOn w:val="DefaultParagraphFont"/>
    <w:link w:val="Heading5"/>
    <w:uiPriority w:val="9"/>
    <w:rsid w:val="00CC75CC"/>
    <w:rPr>
      <w:rFonts w:asciiTheme="majorHAnsi" w:eastAsiaTheme="majorEastAsia" w:hAnsiTheme="majorHAnsi" w:cstheme="majorBidi"/>
      <w:b/>
      <w:color w:val="1177AD"/>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CC75CC"/>
    <w:rPr>
      <w:rFonts w:asciiTheme="majorHAnsi" w:eastAsiaTheme="majorEastAsia" w:hAnsiTheme="majorHAnsi" w:cstheme="majorBidi"/>
      <w:b/>
      <w:i/>
      <w:iCs/>
      <w:color w:val="1177AD"/>
    </w:rPr>
  </w:style>
  <w:style w:type="character" w:customStyle="1" w:styleId="Heading7Char">
    <w:name w:val="Heading 7 Char"/>
    <w:basedOn w:val="DefaultParagraphFont"/>
    <w:link w:val="Heading7"/>
    <w:uiPriority w:val="9"/>
    <w:rsid w:val="00CC75CC"/>
    <w:rPr>
      <w:rFonts w:asciiTheme="majorHAnsi" w:eastAsiaTheme="majorEastAsia" w:hAnsiTheme="majorHAnsi" w:cstheme="majorBidi"/>
      <w:b/>
      <w:i/>
      <w:iCs/>
      <w:color w:val="1177AD"/>
    </w:rPr>
  </w:style>
  <w:style w:type="character" w:customStyle="1" w:styleId="Heading8Char">
    <w:name w:val="Heading 8 Char"/>
    <w:basedOn w:val="DefaultParagraphFont"/>
    <w:link w:val="Heading8"/>
    <w:uiPriority w:val="9"/>
    <w:rsid w:val="00CC75CC"/>
    <w:rPr>
      <w:rFonts w:asciiTheme="majorHAnsi" w:eastAsiaTheme="majorEastAsia" w:hAnsiTheme="majorHAnsi" w:cstheme="majorBidi"/>
      <w:b/>
      <w:color w:val="1177AD"/>
      <w:sz w:val="21"/>
      <w:szCs w:val="21"/>
    </w:rPr>
  </w:style>
  <w:style w:type="character" w:customStyle="1" w:styleId="Heading9Char">
    <w:name w:val="Heading 9 Char"/>
    <w:basedOn w:val="DefaultParagraphFont"/>
    <w:link w:val="Heading9"/>
    <w:uiPriority w:val="9"/>
    <w:rsid w:val="00CC75CC"/>
    <w:rPr>
      <w:rFonts w:asciiTheme="majorHAnsi" w:eastAsiaTheme="majorEastAsia" w:hAnsiTheme="majorHAnsi" w:cstheme="majorBidi"/>
      <w:b/>
      <w:i/>
      <w:iCs/>
      <w:color w:val="1177AD"/>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6B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ecd.org/competition/competitiveneutralitymaintainingalevelplayingfieldbetweenpublicandprivatebusines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reasury.gov.au/publication/commonwealth-competitive-neutrality-policy-stat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7A8C5349-2742-4C29-85BD-59AEDB61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0F993-D771-484E-B19F-4F98D62F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459</Words>
  <Characters>2580</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Updated - 22 May 2018.docx</dc:title>
  <dc:subject/>
  <dc:creator>Owers, Cameron</dc:creator>
  <cp:keywords/>
  <dc:description>March 2018</dc:description>
  <cp:lastModifiedBy>O'DONNELL, Sally</cp:lastModifiedBy>
  <cp:revision>2</cp:revision>
  <cp:lastPrinted>2018-04-16T05:57:00Z</cp:lastPrinted>
  <dcterms:created xsi:type="dcterms:W3CDTF">2018-05-22T06:12:00Z</dcterms:created>
  <dcterms:modified xsi:type="dcterms:W3CDTF">2018-05-22T06:12:00Z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