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49787" w14:textId="77777777" w:rsidR="00567FAF" w:rsidRDefault="00297528" w:rsidP="00AA4438">
      <w:pPr>
        <w:spacing w:after="0"/>
        <w:ind w:left="-1418"/>
        <w:sectPr w:rsidR="00567FAF" w:rsidSect="0084603E">
          <w:footerReference w:type="default" r:id="rId11"/>
          <w:pgSz w:w="11906" w:h="16838"/>
          <w:pgMar w:top="0" w:right="1440" w:bottom="1440" w:left="1440" w:header="0" w:footer="0" w:gutter="0"/>
          <w:cols w:space="708"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56849798" wp14:editId="56849799">
            <wp:extent cx="7537757" cy="1349375"/>
            <wp:effectExtent l="0" t="0" r="6350" b="3175"/>
            <wp:docPr id="1" name="Picture 1" descr="Logo: Australian Government, Department of Communications and the Arts.&#10;http://www.communications.gov.au&#10;http://arts.gov.au&#10;&#10;GPO Box 2154, Canberra ACT 2601 Australia.&#10;Telephone 02 6271 1000" title="Logo banner for the Australian Government's Department of Communictions and the Ar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339" cy="135431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6DA69E64" w14:textId="77777777" w:rsidR="0091570D" w:rsidRPr="00932978" w:rsidRDefault="0091570D" w:rsidP="00F52882">
      <w:pPr>
        <w:pStyle w:val="Heading2"/>
      </w:pPr>
      <w:r w:rsidRPr="00932978">
        <w:t>Enhancing Ministerial guidance to the regulator</w:t>
      </w:r>
      <w:r>
        <w:t xml:space="preserve"> </w:t>
      </w:r>
    </w:p>
    <w:p w14:paraId="7F9F631F" w14:textId="77777777" w:rsidR="00AA4438" w:rsidRDefault="0091570D" w:rsidP="0065383F">
      <w:pPr>
        <w:pStyle w:val="Heading4"/>
      </w:pPr>
      <w:r w:rsidRPr="00124586">
        <w:t>Introduction</w:t>
      </w:r>
    </w:p>
    <w:p w14:paraId="17D870FB" w14:textId="613439DF" w:rsidR="0091570D" w:rsidRPr="00932978" w:rsidRDefault="00D80EED" w:rsidP="00AA4438">
      <w:pPr>
        <w:spacing w:after="0"/>
        <w:rPr>
          <w:rFonts w:cs="Times New Roman"/>
        </w:rPr>
      </w:pPr>
      <w:r>
        <w:rPr>
          <w:rFonts w:cs="Times New Roman"/>
        </w:rPr>
        <w:t>T</w:t>
      </w:r>
      <w:r w:rsidR="0091570D" w:rsidRPr="00932978">
        <w:rPr>
          <w:rFonts w:cs="Times New Roman"/>
        </w:rPr>
        <w:t>he</w:t>
      </w:r>
      <w:r w:rsidR="0091570D">
        <w:rPr>
          <w:rFonts w:cs="Times New Roman"/>
        </w:rPr>
        <w:t xml:space="preserve"> </w:t>
      </w:r>
      <w:r>
        <w:rPr>
          <w:rFonts w:cs="Times New Roman"/>
        </w:rPr>
        <w:t xml:space="preserve">Bill </w:t>
      </w:r>
      <w:r w:rsidR="00F52882">
        <w:rPr>
          <w:rFonts w:cs="Times New Roman"/>
        </w:rPr>
        <w:t xml:space="preserve">will </w:t>
      </w:r>
      <w:r>
        <w:rPr>
          <w:rFonts w:cs="Times New Roman"/>
        </w:rPr>
        <w:t>re</w:t>
      </w:r>
      <w:r w:rsidR="000E722E">
        <w:rPr>
          <w:rFonts w:cs="Times New Roman"/>
        </w:rPr>
        <w:t>inforce</w:t>
      </w:r>
      <w:r>
        <w:rPr>
          <w:rFonts w:cs="Times New Roman"/>
        </w:rPr>
        <w:t xml:space="preserve"> </w:t>
      </w:r>
      <w:r w:rsidR="0091570D">
        <w:rPr>
          <w:rFonts w:cs="Times New Roman"/>
        </w:rPr>
        <w:t>the Minister</w:t>
      </w:r>
      <w:r w:rsidR="00E74209">
        <w:rPr>
          <w:rFonts w:cs="Times New Roman"/>
        </w:rPr>
        <w:t xml:space="preserve"> for</w:t>
      </w:r>
      <w:bookmarkStart w:id="0" w:name="_GoBack"/>
      <w:bookmarkEnd w:id="0"/>
      <w:r w:rsidR="00705DF0">
        <w:rPr>
          <w:rFonts w:cs="Times New Roman"/>
        </w:rPr>
        <w:t xml:space="preserve"> Communications</w:t>
      </w:r>
      <w:r w:rsidR="000E722E">
        <w:rPr>
          <w:rFonts w:cs="Times New Roman"/>
        </w:rPr>
        <w:t xml:space="preserve">’ </w:t>
      </w:r>
      <w:r w:rsidR="0091570D" w:rsidRPr="00932978">
        <w:rPr>
          <w:rFonts w:cs="Times New Roman"/>
        </w:rPr>
        <w:t>strategic policy leadership</w:t>
      </w:r>
      <w:r w:rsidR="000E722E">
        <w:rPr>
          <w:rFonts w:cs="Times New Roman"/>
        </w:rPr>
        <w:t xml:space="preserve"> role</w:t>
      </w:r>
      <w:r w:rsidR="00F52882">
        <w:rPr>
          <w:rFonts w:cs="Times New Roman"/>
        </w:rPr>
        <w:t>. This will be</w:t>
      </w:r>
      <w:r>
        <w:rPr>
          <w:rFonts w:cs="Times New Roman"/>
        </w:rPr>
        <w:t xml:space="preserve"> achieved through</w:t>
      </w:r>
      <w:r w:rsidR="000E722E">
        <w:rPr>
          <w:rFonts w:cs="Times New Roman"/>
        </w:rPr>
        <w:t xml:space="preserve"> the publication</w:t>
      </w:r>
      <w:r w:rsidR="0091570D" w:rsidRPr="00932978">
        <w:rPr>
          <w:rFonts w:cs="Times New Roman"/>
        </w:rPr>
        <w:t xml:space="preserve"> of the A</w:t>
      </w:r>
      <w:r w:rsidR="0091570D">
        <w:rPr>
          <w:rFonts w:cs="Times New Roman"/>
        </w:rPr>
        <w:t xml:space="preserve">ustralian </w:t>
      </w:r>
      <w:r w:rsidR="0091570D" w:rsidRPr="00932978">
        <w:rPr>
          <w:rFonts w:cs="Times New Roman"/>
        </w:rPr>
        <w:t>C</w:t>
      </w:r>
      <w:r w:rsidR="0091570D">
        <w:rPr>
          <w:rFonts w:cs="Times New Roman"/>
        </w:rPr>
        <w:t xml:space="preserve">ommunication and </w:t>
      </w:r>
      <w:r w:rsidR="0091570D" w:rsidRPr="00932978">
        <w:rPr>
          <w:rFonts w:cs="Times New Roman"/>
        </w:rPr>
        <w:t>M</w:t>
      </w:r>
      <w:r w:rsidR="0091570D">
        <w:rPr>
          <w:rFonts w:cs="Times New Roman"/>
        </w:rPr>
        <w:t xml:space="preserve">edia </w:t>
      </w:r>
      <w:r w:rsidR="0091570D" w:rsidRPr="00932978">
        <w:rPr>
          <w:rFonts w:cs="Times New Roman"/>
        </w:rPr>
        <w:t>A</w:t>
      </w:r>
      <w:r w:rsidR="0091570D">
        <w:rPr>
          <w:rFonts w:cs="Times New Roman"/>
        </w:rPr>
        <w:t>uthority</w:t>
      </w:r>
      <w:r w:rsidR="0091570D" w:rsidRPr="00932978">
        <w:rPr>
          <w:rFonts w:cs="Times New Roman"/>
        </w:rPr>
        <w:t xml:space="preserve">’s </w:t>
      </w:r>
      <w:r w:rsidR="0091570D">
        <w:rPr>
          <w:rFonts w:cs="Times New Roman"/>
        </w:rPr>
        <w:t xml:space="preserve">(ACMA) </w:t>
      </w:r>
      <w:r w:rsidR="0091570D" w:rsidRPr="00932978">
        <w:rPr>
          <w:rFonts w:cs="Times New Roman"/>
        </w:rPr>
        <w:t xml:space="preserve">annual work </w:t>
      </w:r>
      <w:r w:rsidR="007C662B">
        <w:rPr>
          <w:rFonts w:cs="Times New Roman"/>
        </w:rPr>
        <w:t>program</w:t>
      </w:r>
      <w:r w:rsidR="000E722E">
        <w:rPr>
          <w:rFonts w:cs="Times New Roman"/>
        </w:rPr>
        <w:t xml:space="preserve"> </w:t>
      </w:r>
      <w:r w:rsidR="0091570D" w:rsidRPr="00932978">
        <w:rPr>
          <w:rFonts w:cs="Times New Roman"/>
        </w:rPr>
        <w:t>and the provision of Ministerial policy statements</w:t>
      </w:r>
      <w:r w:rsidR="00F52882">
        <w:rPr>
          <w:rFonts w:cs="Times New Roman"/>
        </w:rPr>
        <w:t xml:space="preserve"> (MPS)</w:t>
      </w:r>
      <w:r w:rsidR="0091570D">
        <w:rPr>
          <w:rFonts w:cs="Times New Roman"/>
        </w:rPr>
        <w:t xml:space="preserve">. </w:t>
      </w:r>
    </w:p>
    <w:p w14:paraId="65731291" w14:textId="77777777" w:rsidR="0091570D" w:rsidRPr="00932978" w:rsidRDefault="0091570D" w:rsidP="00AA4438">
      <w:pPr>
        <w:spacing w:after="0"/>
      </w:pPr>
    </w:p>
    <w:p w14:paraId="0361A296" w14:textId="77777777" w:rsidR="00AA4438" w:rsidRDefault="0091570D" w:rsidP="0065383F">
      <w:pPr>
        <w:pStyle w:val="Heading4"/>
      </w:pPr>
      <w:r w:rsidRPr="00124586">
        <w:lastRenderedPageBreak/>
        <w:t>Issue</w:t>
      </w:r>
    </w:p>
    <w:p w14:paraId="0A9C2629" w14:textId="221CEFE9" w:rsidR="0091570D" w:rsidRDefault="0091570D" w:rsidP="00AA4438">
      <w:pPr>
        <w:spacing w:after="0"/>
        <w:rPr>
          <w:rFonts w:cs="Times New Roman"/>
        </w:rPr>
      </w:pPr>
      <w:r w:rsidRPr="00932978">
        <w:rPr>
          <w:rFonts w:cs="Times New Roman"/>
        </w:rPr>
        <w:t xml:space="preserve">The current spectrum management arrangements under the Act are slow, rigid and administratively </w:t>
      </w:r>
      <w:r>
        <w:rPr>
          <w:rFonts w:cs="Times New Roman"/>
        </w:rPr>
        <w:t>inefficient</w:t>
      </w:r>
      <w:r w:rsidRPr="00932978">
        <w:rPr>
          <w:rFonts w:cs="Times New Roman"/>
        </w:rPr>
        <w:t>.</w:t>
      </w:r>
      <w:r w:rsidR="000E722E">
        <w:rPr>
          <w:rFonts w:cs="Times New Roman"/>
        </w:rPr>
        <w:t xml:space="preserve"> The current framework</w:t>
      </w:r>
      <w:r w:rsidRPr="00932978">
        <w:rPr>
          <w:rFonts w:cs="Times New Roman"/>
        </w:rPr>
        <w:t xml:space="preserve"> calls for significant Ministerial involvement in the primarily </w:t>
      </w:r>
      <w:r w:rsidR="007C662B" w:rsidRPr="00932978">
        <w:rPr>
          <w:rFonts w:cs="Times New Roman"/>
        </w:rPr>
        <w:t>day-to-day</w:t>
      </w:r>
      <w:r w:rsidRPr="00932978">
        <w:rPr>
          <w:rFonts w:cs="Times New Roman"/>
        </w:rPr>
        <w:t xml:space="preserve"> operations of the ACMA,</w:t>
      </w:r>
      <w:r w:rsidRPr="00932978">
        <w:t xml:space="preserve"> particularly surrounding the administration and allocation of spectrum licences.</w:t>
      </w:r>
      <w:r w:rsidRPr="00932978">
        <w:rPr>
          <w:rFonts w:cs="Times New Roman"/>
        </w:rPr>
        <w:t xml:space="preserve"> This results in a much slower and unresponsive </w:t>
      </w:r>
      <w:r>
        <w:rPr>
          <w:rFonts w:cs="Times New Roman"/>
        </w:rPr>
        <w:t xml:space="preserve">spectrum management </w:t>
      </w:r>
      <w:r w:rsidRPr="00932978">
        <w:rPr>
          <w:rFonts w:cs="Times New Roman"/>
        </w:rPr>
        <w:t>system and imposes unnecessary costs on industry</w:t>
      </w:r>
      <w:r>
        <w:rPr>
          <w:rFonts w:cs="Times New Roman"/>
        </w:rPr>
        <w:t xml:space="preserve"> and users</w:t>
      </w:r>
      <w:r w:rsidRPr="00932978">
        <w:rPr>
          <w:rFonts w:cs="Times New Roman"/>
        </w:rPr>
        <w:t xml:space="preserve">. </w:t>
      </w:r>
    </w:p>
    <w:p w14:paraId="2370B270" w14:textId="77777777" w:rsidR="0091570D" w:rsidRDefault="0091570D" w:rsidP="00AA4438">
      <w:pPr>
        <w:spacing w:after="0"/>
        <w:rPr>
          <w:rFonts w:cs="Times New Roman"/>
        </w:rPr>
      </w:pPr>
    </w:p>
    <w:p w14:paraId="1CD410C5" w14:textId="15266C9E" w:rsidR="00D80EED" w:rsidRPr="00932978" w:rsidRDefault="00D80EED" w:rsidP="004440B7">
      <w:pPr>
        <w:spacing w:after="0"/>
        <w:rPr>
          <w:rFonts w:cs="Times New Roman"/>
        </w:rPr>
      </w:pPr>
      <w:r w:rsidRPr="00932978">
        <w:rPr>
          <w:rFonts w:cs="Times New Roman"/>
        </w:rPr>
        <w:t xml:space="preserve">The removal of the Minister from the administration and regulation of spectrum </w:t>
      </w:r>
      <w:r>
        <w:rPr>
          <w:rFonts w:cs="Times New Roman"/>
        </w:rPr>
        <w:t>allows the ACMA to proactively exercise its</w:t>
      </w:r>
      <w:r w:rsidRPr="00932978">
        <w:rPr>
          <w:rFonts w:cs="Times New Roman"/>
        </w:rPr>
        <w:t xml:space="preserve"> regulatory powers, </w:t>
      </w:r>
      <w:r w:rsidR="007C662B">
        <w:rPr>
          <w:rFonts w:cs="Times New Roman"/>
        </w:rPr>
        <w:t>guided by Ministerial statements of</w:t>
      </w:r>
      <w:r w:rsidR="000E722E">
        <w:rPr>
          <w:rFonts w:cs="Times New Roman"/>
        </w:rPr>
        <w:t xml:space="preserve"> Commonwealth government policy.</w:t>
      </w:r>
      <w:r w:rsidR="007C662B">
        <w:rPr>
          <w:rFonts w:cs="Times New Roman"/>
        </w:rPr>
        <w:t xml:space="preserve"> </w:t>
      </w:r>
      <w:r>
        <w:rPr>
          <w:rFonts w:cs="Times New Roman"/>
        </w:rPr>
        <w:t>These powers will still be</w:t>
      </w:r>
      <w:r w:rsidR="000E722E">
        <w:rPr>
          <w:rFonts w:cs="Times New Roman"/>
        </w:rPr>
        <w:t xml:space="preserve"> bound by</w:t>
      </w:r>
      <w:r w:rsidRPr="00932978">
        <w:rPr>
          <w:rFonts w:cs="Times New Roman"/>
        </w:rPr>
        <w:t xml:space="preserve"> the Bill</w:t>
      </w:r>
      <w:r>
        <w:rPr>
          <w:rFonts w:cs="Times New Roman"/>
        </w:rPr>
        <w:t xml:space="preserve"> to ensure appropriate oversight</w:t>
      </w:r>
      <w:r w:rsidR="000E722E">
        <w:rPr>
          <w:rFonts w:cs="Times New Roman"/>
        </w:rPr>
        <w:t xml:space="preserve"> of the exercise of the ACMA’s regulatory powers</w:t>
      </w:r>
      <w:r>
        <w:rPr>
          <w:rFonts w:cs="Times New Roman"/>
        </w:rPr>
        <w:t>.</w:t>
      </w:r>
    </w:p>
    <w:p w14:paraId="711C1123" w14:textId="77777777" w:rsidR="00D80EED" w:rsidRDefault="00D80EED" w:rsidP="004440B7">
      <w:pPr>
        <w:spacing w:after="0"/>
        <w:rPr>
          <w:rFonts w:cs="Times New Roman"/>
        </w:rPr>
      </w:pPr>
    </w:p>
    <w:p w14:paraId="6BE90F38" w14:textId="42892796" w:rsidR="00AA4438" w:rsidRDefault="0091570D" w:rsidP="004440B7">
      <w:pPr>
        <w:pStyle w:val="Heading4"/>
        <w:spacing w:before="0" w:after="0"/>
      </w:pPr>
      <w:r w:rsidRPr="00124586">
        <w:lastRenderedPageBreak/>
        <w:t>Detail</w:t>
      </w:r>
      <w:r w:rsidR="00D80EED">
        <w:t xml:space="preserve"> – Annual work </w:t>
      </w:r>
      <w:r w:rsidR="007C662B">
        <w:t>program</w:t>
      </w:r>
    </w:p>
    <w:p w14:paraId="22B5D2E5" w14:textId="6C0A1F44" w:rsidR="0091570D" w:rsidRPr="00932978" w:rsidRDefault="00F52882" w:rsidP="00AA4438">
      <w:pPr>
        <w:spacing w:after="0"/>
        <w:rPr>
          <w:rFonts w:cs="Times New Roman"/>
          <w:lang w:val="en-US"/>
        </w:rPr>
      </w:pPr>
      <w:r>
        <w:rPr>
          <w:rFonts w:cs="Times New Roman"/>
        </w:rPr>
        <w:t>Under the Bill, the ACMA will be</w:t>
      </w:r>
      <w:r w:rsidR="0091570D" w:rsidRPr="00932978">
        <w:rPr>
          <w:rFonts w:cs="Times New Roman"/>
        </w:rPr>
        <w:t xml:space="preserve"> r</w:t>
      </w:r>
      <w:r w:rsidR="00803F0B">
        <w:rPr>
          <w:rFonts w:cs="Times New Roman"/>
        </w:rPr>
        <w:t>equired to prepare and submit a</w:t>
      </w:r>
      <w:r w:rsidR="0091570D" w:rsidRPr="00932978">
        <w:rPr>
          <w:rFonts w:cs="Times New Roman"/>
        </w:rPr>
        <w:t xml:space="preserve"> work program </w:t>
      </w:r>
      <w:r w:rsidR="0091570D">
        <w:rPr>
          <w:rFonts w:cs="Times New Roman"/>
        </w:rPr>
        <w:t>at least once every financial year</w:t>
      </w:r>
      <w:r w:rsidR="007C662B">
        <w:rPr>
          <w:rFonts w:cs="Times New Roman"/>
        </w:rPr>
        <w:t xml:space="preserve"> </w:t>
      </w:r>
      <w:r w:rsidR="0091570D" w:rsidRPr="00932978">
        <w:rPr>
          <w:rFonts w:cs="Times New Roman"/>
        </w:rPr>
        <w:t xml:space="preserve">to the Minister identifying priorities over a </w:t>
      </w:r>
      <w:r w:rsidR="007C662B" w:rsidRPr="00932978">
        <w:rPr>
          <w:rFonts w:cs="Times New Roman"/>
        </w:rPr>
        <w:t>five-year</w:t>
      </w:r>
      <w:r w:rsidR="0091570D" w:rsidRPr="00932978">
        <w:rPr>
          <w:rFonts w:cs="Times New Roman"/>
        </w:rPr>
        <w:t xml:space="preserve"> timefra</w:t>
      </w:r>
      <w:r>
        <w:rPr>
          <w:rFonts w:cs="Times New Roman"/>
        </w:rPr>
        <w:t>me. A greater level of detail will be</w:t>
      </w:r>
      <w:r w:rsidR="0091570D" w:rsidRPr="00932978">
        <w:rPr>
          <w:rFonts w:cs="Times New Roman"/>
        </w:rPr>
        <w:t xml:space="preserve"> </w:t>
      </w:r>
      <w:r w:rsidR="007C662B">
        <w:rPr>
          <w:rFonts w:cs="Times New Roman"/>
        </w:rPr>
        <w:t xml:space="preserve">expected </w:t>
      </w:r>
      <w:r w:rsidR="0091570D" w:rsidRPr="00932978">
        <w:rPr>
          <w:rFonts w:cs="Times New Roman"/>
        </w:rPr>
        <w:t xml:space="preserve">to be provided on activities to be undertaken in the upcoming 12 months. The </w:t>
      </w:r>
      <w:r w:rsidR="007C662B">
        <w:rPr>
          <w:rFonts w:cs="Times New Roman"/>
        </w:rPr>
        <w:t>ACMA’s annual report</w:t>
      </w:r>
      <w:r w:rsidR="007C662B" w:rsidRPr="00932978">
        <w:rPr>
          <w:rFonts w:cs="Times New Roman"/>
        </w:rPr>
        <w:t xml:space="preserve"> </w:t>
      </w:r>
      <w:r w:rsidR="00705DF0">
        <w:rPr>
          <w:rFonts w:cs="Times New Roman"/>
        </w:rPr>
        <w:t>will</w:t>
      </w:r>
      <w:r w:rsidR="00880C9B">
        <w:rPr>
          <w:rFonts w:cs="Times New Roman"/>
        </w:rPr>
        <w:t xml:space="preserve"> show how it performed</w:t>
      </w:r>
      <w:r w:rsidR="0091570D" w:rsidRPr="00932978">
        <w:rPr>
          <w:rFonts w:cs="Times New Roman"/>
        </w:rPr>
        <w:t xml:space="preserve"> against </w:t>
      </w:r>
      <w:r w:rsidR="00705DF0">
        <w:rPr>
          <w:rFonts w:cs="Times New Roman"/>
        </w:rPr>
        <w:t>work programs</w:t>
      </w:r>
      <w:r w:rsidR="0091570D" w:rsidRPr="00932978">
        <w:rPr>
          <w:rFonts w:cs="Times New Roman"/>
        </w:rPr>
        <w:t xml:space="preserve">, making the ACMA accountable </w:t>
      </w:r>
      <w:r w:rsidR="0091570D">
        <w:rPr>
          <w:rFonts w:cs="Times New Roman"/>
        </w:rPr>
        <w:t xml:space="preserve">to users and industry </w:t>
      </w:r>
      <w:r w:rsidR="0091570D" w:rsidRPr="00932978">
        <w:rPr>
          <w:rFonts w:cs="Times New Roman"/>
        </w:rPr>
        <w:t xml:space="preserve">for scheduling and managing priorities. </w:t>
      </w:r>
      <w:r w:rsidR="00262CFB">
        <w:rPr>
          <w:rFonts w:cs="Times New Roman"/>
        </w:rPr>
        <w:t>A Ministerial policy statement may be</w:t>
      </w:r>
      <w:r w:rsidR="004440B7">
        <w:rPr>
          <w:rFonts w:cs="Times New Roman"/>
        </w:rPr>
        <w:t xml:space="preserve"> issued to provide guidance on m</w:t>
      </w:r>
      <w:r w:rsidR="0091570D" w:rsidRPr="00932978">
        <w:rPr>
          <w:rFonts w:cs="Times New Roman"/>
          <w:lang w:val="en-US"/>
        </w:rPr>
        <w:t xml:space="preserve">atters to be addressed in the </w:t>
      </w:r>
      <w:r w:rsidR="007C662B">
        <w:rPr>
          <w:rFonts w:cs="Times New Roman"/>
          <w:lang w:val="en-US"/>
        </w:rPr>
        <w:t>A</w:t>
      </w:r>
      <w:r w:rsidR="000E722E">
        <w:rPr>
          <w:rFonts w:cs="Times New Roman"/>
          <w:lang w:val="en-US"/>
        </w:rPr>
        <w:t xml:space="preserve">nnual </w:t>
      </w:r>
      <w:r w:rsidR="007C662B">
        <w:rPr>
          <w:rFonts w:cs="Times New Roman"/>
          <w:lang w:val="en-US"/>
        </w:rPr>
        <w:t>W</w:t>
      </w:r>
      <w:r w:rsidR="000E722E">
        <w:rPr>
          <w:rFonts w:cs="Times New Roman"/>
          <w:lang w:val="en-US"/>
        </w:rPr>
        <w:t xml:space="preserve">ork </w:t>
      </w:r>
      <w:r w:rsidR="007C662B">
        <w:rPr>
          <w:rFonts w:cs="Times New Roman"/>
          <w:lang w:val="en-US"/>
        </w:rPr>
        <w:t>P</w:t>
      </w:r>
      <w:r w:rsidR="000E722E">
        <w:rPr>
          <w:rFonts w:cs="Times New Roman"/>
          <w:lang w:val="en-US"/>
        </w:rPr>
        <w:t>rogram</w:t>
      </w:r>
      <w:r w:rsidR="00262CFB">
        <w:rPr>
          <w:rFonts w:cs="Times New Roman"/>
          <w:lang w:val="en-US"/>
        </w:rPr>
        <w:t>. These</w:t>
      </w:r>
      <w:r w:rsidR="0091570D" w:rsidRPr="00932978">
        <w:rPr>
          <w:rFonts w:cs="Times New Roman"/>
          <w:lang w:val="en-US"/>
        </w:rPr>
        <w:t xml:space="preserve"> may include:</w:t>
      </w:r>
    </w:p>
    <w:p w14:paraId="34685077" w14:textId="77777777" w:rsidR="0091570D" w:rsidRPr="00932978" w:rsidRDefault="0091570D" w:rsidP="00AA4438">
      <w:pPr>
        <w:spacing w:after="0"/>
        <w:rPr>
          <w:rFonts w:cs="Times New Roman"/>
          <w:lang w:val="en-US"/>
        </w:rPr>
      </w:pPr>
    </w:p>
    <w:p w14:paraId="20E3C4B1" w14:textId="4DB76950" w:rsidR="0091570D" w:rsidRPr="00932978" w:rsidRDefault="0091570D" w:rsidP="00AA4438">
      <w:pPr>
        <w:numPr>
          <w:ilvl w:val="0"/>
          <w:numId w:val="20"/>
        </w:numPr>
        <w:spacing w:after="0"/>
        <w:contextualSpacing/>
        <w:rPr>
          <w:rFonts w:cs="Times New Roman"/>
        </w:rPr>
      </w:pPr>
      <w:r>
        <w:rPr>
          <w:rFonts w:cs="Times New Roman"/>
        </w:rPr>
        <w:t>proposed licence issue</w:t>
      </w:r>
      <w:r w:rsidRPr="00932978">
        <w:rPr>
          <w:rFonts w:cs="Times New Roman"/>
        </w:rPr>
        <w:t>, timeframe</w:t>
      </w:r>
      <w:r w:rsidR="000E722E">
        <w:rPr>
          <w:rFonts w:cs="Times New Roman"/>
        </w:rPr>
        <w:t>s and consultation requirements</w:t>
      </w:r>
    </w:p>
    <w:p w14:paraId="03C4E1CF" w14:textId="498A9ACD" w:rsidR="0091570D" w:rsidRPr="00932978" w:rsidRDefault="0091570D" w:rsidP="00AA4438">
      <w:pPr>
        <w:numPr>
          <w:ilvl w:val="0"/>
          <w:numId w:val="20"/>
        </w:numPr>
        <w:spacing w:after="0"/>
        <w:contextualSpacing/>
        <w:rPr>
          <w:rFonts w:cs="Times New Roman"/>
        </w:rPr>
      </w:pPr>
      <w:r w:rsidRPr="00932978">
        <w:rPr>
          <w:rFonts w:cs="Times New Roman"/>
        </w:rPr>
        <w:t>progress on implementation of initiatives and any planning changes</w:t>
      </w:r>
    </w:p>
    <w:p w14:paraId="33178629" w14:textId="58904D2A" w:rsidR="0091570D" w:rsidRPr="00932978" w:rsidRDefault="0091570D" w:rsidP="00AA4438">
      <w:pPr>
        <w:numPr>
          <w:ilvl w:val="0"/>
          <w:numId w:val="20"/>
        </w:numPr>
        <w:spacing w:after="0"/>
        <w:contextualSpacing/>
        <w:rPr>
          <w:rFonts w:cs="Times New Roman"/>
        </w:rPr>
      </w:pPr>
      <w:r w:rsidRPr="00932978">
        <w:rPr>
          <w:rFonts w:cs="Times New Roman"/>
        </w:rPr>
        <w:t>any Ministerial directions and the ACMA’s plan</w:t>
      </w:r>
      <w:r w:rsidR="00880C9B">
        <w:rPr>
          <w:rFonts w:cs="Times New Roman"/>
        </w:rPr>
        <w:t>ned response</w:t>
      </w:r>
      <w:r w:rsidR="000E722E">
        <w:rPr>
          <w:rFonts w:cs="Times New Roman"/>
        </w:rPr>
        <w:t>,</w:t>
      </w:r>
      <w:r w:rsidRPr="00932978">
        <w:rPr>
          <w:rFonts w:cs="Times New Roman"/>
        </w:rPr>
        <w:t xml:space="preserve"> and</w:t>
      </w:r>
    </w:p>
    <w:p w14:paraId="2882A312" w14:textId="0237D36A" w:rsidR="0091570D" w:rsidRDefault="0091570D" w:rsidP="00AA4438">
      <w:pPr>
        <w:numPr>
          <w:ilvl w:val="0"/>
          <w:numId w:val="20"/>
        </w:numPr>
        <w:spacing w:after="0"/>
        <w:contextualSpacing/>
        <w:rPr>
          <w:rFonts w:cs="Times New Roman"/>
        </w:rPr>
      </w:pPr>
      <w:r w:rsidRPr="00932978">
        <w:rPr>
          <w:rFonts w:cs="Times New Roman"/>
        </w:rPr>
        <w:t>advice on any changes to priorities</w:t>
      </w:r>
      <w:r w:rsidR="00705DF0">
        <w:rPr>
          <w:rFonts w:cs="Times New Roman"/>
        </w:rPr>
        <w:t>.</w:t>
      </w:r>
    </w:p>
    <w:p w14:paraId="08D0C387" w14:textId="77777777" w:rsidR="00AA4438" w:rsidRDefault="00AA4438" w:rsidP="00AA4438">
      <w:pPr>
        <w:spacing w:after="0"/>
        <w:rPr>
          <w:rFonts w:cs="Times New Roman"/>
        </w:rPr>
      </w:pPr>
    </w:p>
    <w:p w14:paraId="36B6AAA7" w14:textId="662753E6" w:rsidR="0091570D" w:rsidRPr="00932978" w:rsidRDefault="0091570D" w:rsidP="00AA4438">
      <w:pPr>
        <w:spacing w:after="0"/>
        <w:rPr>
          <w:rFonts w:cs="Times New Roman"/>
        </w:rPr>
      </w:pPr>
      <w:r w:rsidRPr="00932978">
        <w:rPr>
          <w:rFonts w:cs="Times New Roman"/>
        </w:rPr>
        <w:lastRenderedPageBreak/>
        <w:t xml:space="preserve">The ACMA will be expected to release updates on the timing and delivery of projects detailed in the </w:t>
      </w:r>
      <w:r w:rsidR="000E722E">
        <w:rPr>
          <w:rFonts w:cs="Times New Roman"/>
        </w:rPr>
        <w:t xml:space="preserve">Annual </w:t>
      </w:r>
      <w:r w:rsidR="007C662B">
        <w:rPr>
          <w:rFonts w:cs="Times New Roman"/>
        </w:rPr>
        <w:t>W</w:t>
      </w:r>
      <w:r w:rsidR="000E722E">
        <w:rPr>
          <w:rFonts w:cs="Times New Roman"/>
        </w:rPr>
        <w:t>ork Program,</w:t>
      </w:r>
      <w:r w:rsidRPr="00932978">
        <w:rPr>
          <w:rFonts w:cs="Times New Roman"/>
        </w:rPr>
        <w:t xml:space="preserve"> and provide reason</w:t>
      </w:r>
      <w:r w:rsidR="000E722E">
        <w:rPr>
          <w:rFonts w:cs="Times New Roman"/>
        </w:rPr>
        <w:t>s</w:t>
      </w:r>
      <w:r w:rsidRPr="00932978">
        <w:rPr>
          <w:rFonts w:cs="Times New Roman"/>
        </w:rPr>
        <w:t xml:space="preserve"> for any delays to project scheduling.</w:t>
      </w:r>
      <w:r>
        <w:rPr>
          <w:rFonts w:cs="Times New Roman"/>
        </w:rPr>
        <w:t xml:space="preserve"> This</w:t>
      </w:r>
      <w:r w:rsidR="00F52882">
        <w:rPr>
          <w:rFonts w:cs="Times New Roman"/>
        </w:rPr>
        <w:t xml:space="preserve"> will</w:t>
      </w:r>
      <w:r>
        <w:rPr>
          <w:rFonts w:cs="Times New Roman"/>
        </w:rPr>
        <w:t xml:space="preserve"> encourage increased</w:t>
      </w:r>
      <w:r w:rsidR="000E722E">
        <w:rPr>
          <w:rFonts w:cs="Times New Roman"/>
        </w:rPr>
        <w:t xml:space="preserve"> regulator</w:t>
      </w:r>
      <w:r>
        <w:rPr>
          <w:rFonts w:cs="Times New Roman"/>
        </w:rPr>
        <w:t xml:space="preserve"> tra</w:t>
      </w:r>
      <w:r w:rsidR="000E722E">
        <w:rPr>
          <w:rFonts w:cs="Times New Roman"/>
        </w:rPr>
        <w:t>nsparency and accountability.</w:t>
      </w:r>
    </w:p>
    <w:p w14:paraId="7675EBB8" w14:textId="77777777" w:rsidR="00AA4438" w:rsidRDefault="00AA4438" w:rsidP="00AA4438">
      <w:pPr>
        <w:spacing w:after="0"/>
        <w:rPr>
          <w:u w:val="single"/>
        </w:rPr>
      </w:pPr>
    </w:p>
    <w:p w14:paraId="33009F44" w14:textId="4A2E00B3" w:rsidR="00996009" w:rsidRDefault="00803F0B" w:rsidP="00803F0B">
      <w:r>
        <w:rPr>
          <w:rFonts w:cs="Times New Roman"/>
        </w:rPr>
        <w:t>T</w:t>
      </w:r>
      <w:r w:rsidR="00D80EED" w:rsidRPr="00932978">
        <w:rPr>
          <w:rFonts w:cs="Times New Roman"/>
        </w:rPr>
        <w:t>he ACMA</w:t>
      </w:r>
      <w:r w:rsidR="00D80EED">
        <w:rPr>
          <w:rFonts w:cs="Times New Roman"/>
        </w:rPr>
        <w:t xml:space="preserve"> currently</w:t>
      </w:r>
      <w:r w:rsidR="00D80EED" w:rsidRPr="00932978">
        <w:rPr>
          <w:rFonts w:cs="Times New Roman"/>
        </w:rPr>
        <w:t xml:space="preserve"> annually releases a </w:t>
      </w:r>
      <w:r w:rsidR="007C662B" w:rsidRPr="00932978">
        <w:rPr>
          <w:rFonts w:cs="Times New Roman"/>
        </w:rPr>
        <w:t>five-year</w:t>
      </w:r>
      <w:r w:rsidR="00D80EED" w:rsidRPr="00932978">
        <w:rPr>
          <w:rFonts w:cs="Times New Roman"/>
        </w:rPr>
        <w:t xml:space="preserve"> spectrum outlook report (FYSO</w:t>
      </w:r>
      <w:r w:rsidR="00262CFB">
        <w:rPr>
          <w:rFonts w:cs="Times New Roman"/>
        </w:rPr>
        <w:t>) which</w:t>
      </w:r>
      <w:r w:rsidR="00D80EED" w:rsidRPr="00932978">
        <w:rPr>
          <w:rFonts w:cs="Times New Roman"/>
        </w:rPr>
        <w:t xml:space="preserve"> provides industry stakeholders with a high-level overview of the ACMA’s priorities ove</w:t>
      </w:r>
      <w:r w:rsidR="00262CFB">
        <w:rPr>
          <w:rFonts w:cs="Times New Roman"/>
        </w:rPr>
        <w:t>r a three to five year window. As t</w:t>
      </w:r>
      <w:r w:rsidR="00D80EED" w:rsidRPr="00932978">
        <w:rPr>
          <w:rFonts w:cs="Times New Roman"/>
        </w:rPr>
        <w:t xml:space="preserve">he </w:t>
      </w:r>
      <w:r w:rsidR="007C662B">
        <w:rPr>
          <w:rFonts w:cs="Times New Roman"/>
        </w:rPr>
        <w:t xml:space="preserve">ACMA is not legislatively required to produce the </w:t>
      </w:r>
      <w:r w:rsidR="00262CFB">
        <w:rPr>
          <w:rFonts w:cs="Times New Roman"/>
        </w:rPr>
        <w:t>FYSO, t</w:t>
      </w:r>
      <w:r>
        <w:t xml:space="preserve">he future </w:t>
      </w:r>
      <w:r w:rsidR="00262CFB">
        <w:t>requirement to release one</w:t>
      </w:r>
      <w:r>
        <w:t xml:space="preserve"> will be considered as part of the implementation of the Bill. </w:t>
      </w:r>
    </w:p>
    <w:p w14:paraId="1E08944D" w14:textId="201058E6" w:rsidR="00803F0B" w:rsidRDefault="00996009" w:rsidP="00996009">
      <w:pPr>
        <w:spacing w:after="160" w:line="259" w:lineRule="auto"/>
      </w:pPr>
      <w:r>
        <w:br w:type="page"/>
      </w:r>
    </w:p>
    <w:p w14:paraId="071CDC03" w14:textId="7DDB8828" w:rsidR="00AA4438" w:rsidRDefault="00F52882" w:rsidP="0065383F">
      <w:pPr>
        <w:pStyle w:val="Heading4"/>
      </w:pPr>
      <w:r>
        <w:lastRenderedPageBreak/>
        <w:t xml:space="preserve">Detail - </w:t>
      </w:r>
      <w:r w:rsidR="00D80EED">
        <w:t>Ministerial policy statements</w:t>
      </w:r>
    </w:p>
    <w:p w14:paraId="6DB6A6A0" w14:textId="77777777" w:rsidR="000E722E" w:rsidRDefault="00880C9B" w:rsidP="000E722E">
      <w:pPr>
        <w:spacing w:after="0"/>
      </w:pPr>
      <w:r>
        <w:t>Ministerial policy statements</w:t>
      </w:r>
      <w:r w:rsidR="000E722E">
        <w:t xml:space="preserve"> will provide the ACMA with guidance on the Government’s expectations, </w:t>
      </w:r>
      <w:r w:rsidR="000E722E" w:rsidRPr="00DB6F86">
        <w:t xml:space="preserve">strategy and priorities for </w:t>
      </w:r>
      <w:r w:rsidR="000E722E">
        <w:t xml:space="preserve">ACMA’s </w:t>
      </w:r>
      <w:r w:rsidR="000E722E" w:rsidRPr="00DB6F86">
        <w:t>spectrum management</w:t>
      </w:r>
      <w:r w:rsidR="000E722E">
        <w:t xml:space="preserve"> functions.</w:t>
      </w:r>
    </w:p>
    <w:p w14:paraId="271039C0" w14:textId="285F5713" w:rsidR="0091570D" w:rsidRDefault="000E722E" w:rsidP="00AA4438">
      <w:pPr>
        <w:spacing w:after="0"/>
      </w:pPr>
      <w:r>
        <w:t>They</w:t>
      </w:r>
      <w:r w:rsidR="00880C9B">
        <w:t xml:space="preserve"> </w:t>
      </w:r>
      <w:r w:rsidR="00F52882">
        <w:t>are</w:t>
      </w:r>
      <w:r w:rsidR="00880C9B">
        <w:t xml:space="preserve"> intended to provide </w:t>
      </w:r>
      <w:r w:rsidR="00880C9B" w:rsidRPr="00DB6F86">
        <w:t xml:space="preserve">an appropriate level of Ministerial oversight of </w:t>
      </w:r>
      <w:r>
        <w:t>spectrum policy and management.</w:t>
      </w:r>
    </w:p>
    <w:p w14:paraId="34843ABD" w14:textId="77777777" w:rsidR="0091570D" w:rsidRDefault="0091570D" w:rsidP="00AA4438">
      <w:pPr>
        <w:spacing w:after="0"/>
      </w:pPr>
    </w:p>
    <w:p w14:paraId="36F2BE28" w14:textId="1FAE4B5E" w:rsidR="0091570D" w:rsidRPr="0035287F" w:rsidRDefault="00FE58F2" w:rsidP="00AA4438">
      <w:pPr>
        <w:spacing w:after="0"/>
        <w:rPr>
          <w:rStyle w:val="Heading1Char"/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b/>
          <w:noProof/>
          <w:lang w:eastAsia="en-AU"/>
        </w:rPr>
        <w:lastRenderedPageBreak/>
        <mc:AlternateContent>
          <mc:Choice Requires="wpg">
            <w:drawing>
              <wp:inline distT="0" distB="0" distL="0" distR="0" wp14:anchorId="4F865C2F" wp14:editId="2DBCD163">
                <wp:extent cx="6240862" cy="5177489"/>
                <wp:effectExtent l="0" t="0" r="7620" b="4445"/>
                <wp:docPr id="4" name="Group 4" title="Role and function of ministerial policy statement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0862" cy="5177489"/>
                          <a:chOff x="0" y="0"/>
                          <a:chExt cx="6240862" cy="5177489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85519" y="32892"/>
                            <a:ext cx="1322680" cy="110954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C8931F" w14:textId="77777777" w:rsidR="0091570D" w:rsidRPr="00013EBB" w:rsidRDefault="0091570D" w:rsidP="0091570D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What is a Ministerial Policy Statement?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8555" y="0"/>
                            <a:ext cx="4620260" cy="1593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2DBBE1" w14:textId="77777777" w:rsidR="00E1687F" w:rsidRDefault="0091570D" w:rsidP="00E1687F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</w:pPr>
                              <w:r w:rsidRPr="005D38CD">
                                <w:t xml:space="preserve">A Ministerial Policy statement is a </w:t>
                              </w:r>
                              <w:r w:rsidR="007C662B">
                                <w:t>notifiable instrument</w:t>
                              </w:r>
                              <w:r w:rsidRPr="005D38CD">
                                <w:t xml:space="preserve"> released as needed </w:t>
                              </w:r>
                              <w:r w:rsidR="00F52882">
                                <w:t>that may:</w:t>
                              </w:r>
                            </w:p>
                            <w:p w14:paraId="71390A9A" w14:textId="77777777" w:rsidR="00E1687F" w:rsidRDefault="00F52882" w:rsidP="00E1687F">
                              <w:pPr>
                                <w:pStyle w:val="ListParagraph"/>
                                <w:numPr>
                                  <w:ilvl w:val="1"/>
                                  <w:numId w:val="28"/>
                                </w:numPr>
                              </w:pPr>
                              <w:r>
                                <w:t>provide</w:t>
                              </w:r>
                              <w:r w:rsidR="0091570D" w:rsidRPr="005D38CD">
                                <w:t xml:space="preserve"> specific </w:t>
                              </w:r>
                              <w:r w:rsidR="007C662B">
                                <w:t>or</w:t>
                              </w:r>
                              <w:r w:rsidR="007C662B" w:rsidRPr="005D38CD">
                                <w:t xml:space="preserve"> </w:t>
                              </w:r>
                              <w:r w:rsidR="0091570D" w:rsidRPr="005D38CD">
                                <w:t>general policy guidance to the ACMA</w:t>
                              </w:r>
                            </w:p>
                            <w:p w14:paraId="781358D1" w14:textId="77777777" w:rsidR="00E1687F" w:rsidRDefault="00F52882" w:rsidP="00E1687F">
                              <w:pPr>
                                <w:pStyle w:val="ListParagraph"/>
                                <w:numPr>
                                  <w:ilvl w:val="1"/>
                                  <w:numId w:val="28"/>
                                </w:numPr>
                              </w:pPr>
                              <w:r>
                                <w:t>set</w:t>
                              </w:r>
                              <w:r w:rsidR="0091570D" w:rsidRPr="005D38CD">
                                <w:t xml:space="preserve"> Government expectations and</w:t>
                              </w:r>
                              <w:r w:rsidR="0091570D">
                                <w:t xml:space="preserve"> strategic</w:t>
                              </w:r>
                              <w:r w:rsidR="0091570D" w:rsidRPr="005D38CD">
                                <w:t xml:space="preserve"> priorities</w:t>
                              </w:r>
                            </w:p>
                            <w:p w14:paraId="3A91E629" w14:textId="77777777" w:rsidR="00E1687F" w:rsidRDefault="00F52882" w:rsidP="00E1687F">
                              <w:pPr>
                                <w:pStyle w:val="ListParagraph"/>
                                <w:numPr>
                                  <w:ilvl w:val="1"/>
                                  <w:numId w:val="28"/>
                                </w:numPr>
                              </w:pPr>
                              <w:r>
                                <w:t>b</w:t>
                              </w:r>
                              <w:r w:rsidR="0091570D" w:rsidRPr="005D38CD">
                                <w:t>e long or short term in duration</w:t>
                              </w:r>
                            </w:p>
                            <w:p w14:paraId="6EF8FE6C" w14:textId="4089EAF4" w:rsidR="00E1687F" w:rsidRDefault="0091570D" w:rsidP="00E1687F">
                              <w:pPr>
                                <w:pStyle w:val="ListParagraph"/>
                                <w:numPr>
                                  <w:ilvl w:val="1"/>
                                  <w:numId w:val="28"/>
                                </w:numPr>
                              </w:pPr>
                              <w:r w:rsidRPr="005D38CD">
                                <w:t>be updated and withdrawn</w:t>
                              </w:r>
                              <w:r>
                                <w:t xml:space="preserve"> as needed</w:t>
                              </w:r>
                              <w:r w:rsidR="000E722E">
                                <w:t xml:space="preserve"> and</w:t>
                              </w:r>
                            </w:p>
                            <w:p w14:paraId="7AF9C253" w14:textId="63D133C3" w:rsidR="0091570D" w:rsidRPr="005D38CD" w:rsidRDefault="0091570D" w:rsidP="00E1687F">
                              <w:pPr>
                                <w:pStyle w:val="ListParagraph"/>
                                <w:numPr>
                                  <w:ilvl w:val="1"/>
                                  <w:numId w:val="28"/>
                                </w:numPr>
                              </w:pPr>
                              <w:r w:rsidRPr="005D38CD">
                                <w:t xml:space="preserve">be open for </w:t>
                              </w:r>
                              <w:r>
                                <w:t xml:space="preserve">public </w:t>
                              </w:r>
                              <w:r w:rsidR="000E722E">
                                <w:t>consultation.</w:t>
                              </w:r>
                            </w:p>
                            <w:p w14:paraId="5AA0E914" w14:textId="77777777" w:rsidR="0091570D" w:rsidRPr="005D38CD" w:rsidRDefault="0091570D" w:rsidP="00880C9B">
                              <w:pPr>
                                <w:ind w:left="720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72363" y="1920898"/>
                            <a:ext cx="1382573" cy="104884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6F74ED" w14:textId="77777777" w:rsidR="0091570D" w:rsidRPr="00013EBB" w:rsidRDefault="0091570D" w:rsidP="0091570D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The role of the ACMA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5134" y="1920898"/>
                            <a:ext cx="4620260" cy="149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6FC7B1" w14:textId="6BBBAA3C" w:rsidR="0091570D" w:rsidRPr="005D38CD" w:rsidRDefault="007C662B" w:rsidP="0091570D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0"/>
                              </w:pPr>
                              <w:r>
                                <w:t xml:space="preserve">In the performance of its spectrum management functions and exercise of its spectrum management powers, </w:t>
                              </w:r>
                              <w:r w:rsidR="00880C9B">
                                <w:t xml:space="preserve">the ACMA must </w:t>
                              </w:r>
                              <w:r>
                                <w:t>h</w:t>
                              </w:r>
                              <w:r w:rsidRPr="005D38CD">
                                <w:t xml:space="preserve">ave </w:t>
                              </w:r>
                              <w:r w:rsidR="0091570D" w:rsidRPr="005D38CD">
                                <w:t xml:space="preserve">regard to any relevant </w:t>
                              </w:r>
                              <w:r w:rsidR="0091570D">
                                <w:t>Ministerial policy statement</w:t>
                              </w:r>
                              <w:r w:rsidR="000E722E">
                                <w:t>.</w:t>
                              </w:r>
                            </w:p>
                            <w:p w14:paraId="534CADFC" w14:textId="04BD159F" w:rsidR="0091570D" w:rsidRPr="005D38CD" w:rsidRDefault="000E722E" w:rsidP="0091570D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0"/>
                              </w:pPr>
                              <w:r>
                                <w:t>The ACMA must s</w:t>
                              </w:r>
                              <w:r w:rsidR="007C662B">
                                <w:t xml:space="preserve">ummarise </w:t>
                              </w:r>
                              <w:r w:rsidR="0091570D" w:rsidRPr="005D38CD">
                                <w:t xml:space="preserve">how regard has been given to </w:t>
                              </w:r>
                              <w:r w:rsidR="007C662B">
                                <w:t xml:space="preserve">Ministerial </w:t>
                              </w:r>
                              <w:r w:rsidR="0091570D">
                                <w:t>policy statement</w:t>
                              </w:r>
                              <w:r w:rsidR="007C662B">
                                <w:t>s</w:t>
                              </w:r>
                              <w:r w:rsidR="0091570D" w:rsidRPr="005D38CD">
                                <w:t xml:space="preserve"> in its Annual Report</w:t>
                              </w:r>
                              <w:r>
                                <w:t>.</w:t>
                              </w:r>
                            </w:p>
                            <w:p w14:paraId="3FBB90D6" w14:textId="77777777" w:rsidR="0091570D" w:rsidRDefault="0091570D" w:rsidP="0091570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Rounded Rectangle 12"/>
                        <wps:cNvSpPr/>
                        <wps:spPr>
                          <a:xfrm>
                            <a:off x="0" y="3670757"/>
                            <a:ext cx="1628775" cy="13144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47F06A" w14:textId="3F739436" w:rsidR="0091570D" w:rsidRPr="00880C9B" w:rsidRDefault="00880C9B" w:rsidP="0091570D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S</w:t>
                              </w:r>
                              <w:r w:rsidR="0091570D" w:rsidRPr="00880C9B">
                                <w:rPr>
                                  <w:sz w:val="28"/>
                                </w:rPr>
                                <w:t>uggested topics or issues to be covered in</w:t>
                              </w:r>
                              <w:r>
                                <w:rPr>
                                  <w:sz w:val="28"/>
                                </w:rPr>
                                <w:t xml:space="preserve"> a Ministerial policy statement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1712" y="3539189"/>
                            <a:ext cx="4629150" cy="163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AA6421" w14:textId="77777777" w:rsidR="00E1687F" w:rsidRDefault="00E1687F" w:rsidP="00E1687F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</w:pPr>
                              <w:r w:rsidRPr="005D38CD">
                                <w:t>M</w:t>
                              </w:r>
                              <w:r>
                                <w:t>inisterial policy statements</w:t>
                              </w:r>
                              <w:r w:rsidRPr="005D38CD">
                                <w:t xml:space="preserve"> </w:t>
                              </w:r>
                              <w:r>
                                <w:t>may include</w:t>
                              </w:r>
                              <w:r w:rsidRPr="005D38CD">
                                <w:t xml:space="preserve"> guidance on the following issues:</w:t>
                              </w:r>
                            </w:p>
                            <w:p w14:paraId="536FDE6C" w14:textId="77777777" w:rsidR="00E1687F" w:rsidRDefault="00803F0B" w:rsidP="00E1687F">
                              <w:pPr>
                                <w:pStyle w:val="ListParagraph"/>
                                <w:numPr>
                                  <w:ilvl w:val="1"/>
                                  <w:numId w:val="27"/>
                                </w:numPr>
                              </w:pPr>
                              <w:r w:rsidRPr="00803F0B">
                                <w:t xml:space="preserve">Establishing the </w:t>
                              </w:r>
                              <w:r>
                                <w:t>s</w:t>
                              </w:r>
                              <w:r w:rsidR="0091570D" w:rsidRPr="005D38CD">
                                <w:t xml:space="preserve">ingle licensing framework  </w:t>
                              </w:r>
                            </w:p>
                            <w:p w14:paraId="66735D5E" w14:textId="77777777" w:rsidR="00E1687F" w:rsidRDefault="0091570D" w:rsidP="00E1687F">
                              <w:pPr>
                                <w:pStyle w:val="ListParagraph"/>
                                <w:numPr>
                                  <w:ilvl w:val="1"/>
                                  <w:numId w:val="27"/>
                                </w:numPr>
                              </w:pPr>
                              <w:r>
                                <w:t>The content of the ACMA’s a</w:t>
                              </w:r>
                              <w:r w:rsidRPr="005D38CD">
                                <w:t xml:space="preserve">nnual work plan </w:t>
                              </w:r>
                            </w:p>
                            <w:p w14:paraId="6584C548" w14:textId="77777777" w:rsidR="00E1687F" w:rsidRDefault="0091570D" w:rsidP="00E1687F">
                              <w:pPr>
                                <w:pStyle w:val="ListParagraph"/>
                                <w:numPr>
                                  <w:ilvl w:val="1"/>
                                  <w:numId w:val="27"/>
                                </w:numPr>
                              </w:pPr>
                              <w:r>
                                <w:t>Licence r</w:t>
                              </w:r>
                              <w:r w:rsidRPr="005D38CD">
                                <w:t>enewal</w:t>
                              </w:r>
                            </w:p>
                            <w:p w14:paraId="2AEFF330" w14:textId="77777777" w:rsidR="00E1687F" w:rsidRDefault="0091570D" w:rsidP="00E1687F">
                              <w:pPr>
                                <w:pStyle w:val="ListParagraph"/>
                                <w:numPr>
                                  <w:ilvl w:val="1"/>
                                  <w:numId w:val="27"/>
                                </w:numPr>
                              </w:pPr>
                              <w:r w:rsidRPr="005D38CD">
                                <w:t>Protection mechanisms for the Radio quiet zone</w:t>
                              </w:r>
                              <w:r>
                                <w:t xml:space="preserve"> and square kilometre array </w:t>
                              </w:r>
                            </w:p>
                            <w:p w14:paraId="7315E991" w14:textId="525154AC" w:rsidR="0091570D" w:rsidRPr="005D38CD" w:rsidRDefault="0091570D" w:rsidP="00E1687F">
                              <w:pPr>
                                <w:pStyle w:val="ListParagraph"/>
                                <w:numPr>
                                  <w:ilvl w:val="1"/>
                                  <w:numId w:val="27"/>
                                </w:numPr>
                              </w:pPr>
                              <w:r w:rsidRPr="005D38CD">
                                <w:t>Broadcasting</w:t>
                              </w:r>
                            </w:p>
                            <w:p w14:paraId="2AAE5D8F" w14:textId="77777777" w:rsidR="0091570D" w:rsidRDefault="0091570D" w:rsidP="0091570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865C2F" id="Group 4" o:spid="_x0000_s1026" alt="Title: Role and function of ministerial policy statements" style="width:491.4pt;height:407.7pt;mso-position-horizontal-relative:char;mso-position-vertical-relative:line" coordsize="62408,5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">
                <v:roundrect id="Rounded Rectangle 2" o:spid="_x0000_s1027" style="position:absolute;left:855;top:328;width:13226;height:11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pVcEA&#10;AADaAAAADwAAAGRycy9kb3ducmV2LnhtbESPQWsCMRSE7wX/Q3iCt5pVaZGtUbQiFDy5evH23Lxu&#10;tt28LEmq6b83BaHHYWa+YRarZDtxJR9axwom4wIEce10y42C03H3PAcRIrLGzjEp+KUAq+XgaYGl&#10;djc+0LWKjcgQDiUqMDH2pZShNmQxjF1PnL1P5y3GLH0jtcdbhttOToviVVpsOS8Y7OndUP1d/VgF&#10;Vs/S9gvXZ9rNq835Je233lyUGg3T+g1EpBT/w4/2h1Ywhb8r+Qb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F6VXBAAAA2gAAAA8AAAAAAAAAAAAAAAAAmAIAAGRycy9kb3du&#10;cmV2LnhtbFBLBQYAAAAABAAEAPUAAACGAwAAAAA=&#10;" fillcolor="#5b9bd5 [3204]" strokecolor="#1f4d78 [1604]" strokeweight="1pt">
                  <v:stroke joinstyle="miter"/>
                  <v:textbox>
                    <w:txbxContent>
                      <w:p w14:paraId="72C8931F" w14:textId="77777777" w:rsidR="0091570D" w:rsidRPr="00013EBB" w:rsidRDefault="0091570D" w:rsidP="0091570D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What is a Ministerial Policy Statement?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5985;width:46203;height:15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14:paraId="6D2DBBE1" w14:textId="77777777" w:rsidR="00E1687F" w:rsidRDefault="0091570D" w:rsidP="00E1687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</w:pPr>
                        <w:r w:rsidRPr="005D38CD">
                          <w:t xml:space="preserve">A Ministerial Policy statement is a </w:t>
                        </w:r>
                        <w:r w:rsidR="007C662B">
                          <w:t>notifiable instrument</w:t>
                        </w:r>
                        <w:r w:rsidRPr="005D38CD">
                          <w:t xml:space="preserve"> released as needed </w:t>
                        </w:r>
                        <w:r w:rsidR="00F52882">
                          <w:t>that may:</w:t>
                        </w:r>
                      </w:p>
                      <w:p w14:paraId="71390A9A" w14:textId="77777777" w:rsidR="00E1687F" w:rsidRDefault="00F52882" w:rsidP="00E1687F">
                        <w:pPr>
                          <w:pStyle w:val="ListParagraph"/>
                          <w:numPr>
                            <w:ilvl w:val="1"/>
                            <w:numId w:val="28"/>
                          </w:numPr>
                        </w:pPr>
                        <w:r>
                          <w:t>provide</w:t>
                        </w:r>
                        <w:r w:rsidR="0091570D" w:rsidRPr="005D38CD">
                          <w:t xml:space="preserve"> specific </w:t>
                        </w:r>
                        <w:r w:rsidR="007C662B">
                          <w:t>or</w:t>
                        </w:r>
                        <w:r w:rsidR="007C662B" w:rsidRPr="005D38CD">
                          <w:t xml:space="preserve"> </w:t>
                        </w:r>
                        <w:r w:rsidR="0091570D" w:rsidRPr="005D38CD">
                          <w:t>general policy guidance to the ACMA</w:t>
                        </w:r>
                      </w:p>
                      <w:p w14:paraId="781358D1" w14:textId="77777777" w:rsidR="00E1687F" w:rsidRDefault="00F52882" w:rsidP="00E1687F">
                        <w:pPr>
                          <w:pStyle w:val="ListParagraph"/>
                          <w:numPr>
                            <w:ilvl w:val="1"/>
                            <w:numId w:val="28"/>
                          </w:numPr>
                        </w:pPr>
                        <w:r>
                          <w:t>set</w:t>
                        </w:r>
                        <w:r w:rsidR="0091570D" w:rsidRPr="005D38CD">
                          <w:t xml:space="preserve"> Government expectations and</w:t>
                        </w:r>
                        <w:r w:rsidR="0091570D">
                          <w:t xml:space="preserve"> strategic</w:t>
                        </w:r>
                        <w:r w:rsidR="0091570D" w:rsidRPr="005D38CD">
                          <w:t xml:space="preserve"> priorities</w:t>
                        </w:r>
                      </w:p>
                      <w:p w14:paraId="3A91E629" w14:textId="77777777" w:rsidR="00E1687F" w:rsidRDefault="00F52882" w:rsidP="00E1687F">
                        <w:pPr>
                          <w:pStyle w:val="ListParagraph"/>
                          <w:numPr>
                            <w:ilvl w:val="1"/>
                            <w:numId w:val="28"/>
                          </w:numPr>
                        </w:pPr>
                        <w:r>
                          <w:t>b</w:t>
                        </w:r>
                        <w:r w:rsidR="0091570D" w:rsidRPr="005D38CD">
                          <w:t>e long or short term in duration</w:t>
                        </w:r>
                      </w:p>
                      <w:p w14:paraId="6EF8FE6C" w14:textId="4089EAF4" w:rsidR="00E1687F" w:rsidRDefault="0091570D" w:rsidP="00E1687F">
                        <w:pPr>
                          <w:pStyle w:val="ListParagraph"/>
                          <w:numPr>
                            <w:ilvl w:val="1"/>
                            <w:numId w:val="28"/>
                          </w:numPr>
                        </w:pPr>
                        <w:r w:rsidRPr="005D38CD">
                          <w:t>be updated and withdrawn</w:t>
                        </w:r>
                        <w:r>
                          <w:t xml:space="preserve"> as needed</w:t>
                        </w:r>
                        <w:r w:rsidR="000E722E">
                          <w:t xml:space="preserve"> and</w:t>
                        </w:r>
                      </w:p>
                      <w:p w14:paraId="7AF9C253" w14:textId="63D133C3" w:rsidR="0091570D" w:rsidRPr="005D38CD" w:rsidRDefault="0091570D" w:rsidP="00E1687F">
                        <w:pPr>
                          <w:pStyle w:val="ListParagraph"/>
                          <w:numPr>
                            <w:ilvl w:val="1"/>
                            <w:numId w:val="28"/>
                          </w:numPr>
                        </w:pPr>
                        <w:r w:rsidRPr="005D38CD">
                          <w:t xml:space="preserve">be open for </w:t>
                        </w:r>
                        <w:r>
                          <w:t xml:space="preserve">public </w:t>
                        </w:r>
                        <w:r w:rsidR="000E722E">
                          <w:t>consultation.</w:t>
                        </w:r>
                      </w:p>
                      <w:p w14:paraId="5AA0E914" w14:textId="77777777" w:rsidR="0091570D" w:rsidRPr="005D38CD" w:rsidRDefault="0091570D" w:rsidP="00880C9B">
                        <w:pPr>
                          <w:ind w:left="720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roundrect id="Rounded Rectangle 9" o:spid="_x0000_s1029" style="position:absolute;left:723;top:19208;width:13826;height:1048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admMIA&#10;AADaAAAADwAAAGRycy9kb3ducmV2LnhtbESPQWsCMRSE7wX/Q3hCL0WztqW4q1FEEUtvbsXzc/Pc&#10;LG5eliTq+u+bQqHHYWa+YebL3rbiRj40jhVMxhkI4srphmsFh+/taAoiRGSNrWNS8KAAy8XgaY6F&#10;dnfe062MtUgQDgUqMDF2hZShMmQxjF1HnLyz8xZjkr6W2uM9wW0rX7PsQ1psOC0Y7GhtqLqUV6vg&#10;enx/y0u/27izeQl0qvLd+ksr9TzsVzMQkfr4H/5rf2oFOfxeSTd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lp2YwgAAANoAAAAPAAAAAAAAAAAAAAAAAJgCAABkcnMvZG93&#10;bnJldi54bWxQSwUGAAAAAAQABAD1AAAAhwMAAAAA&#10;" fillcolor="#ed7d31 [3205]" strokecolor="#823b0b [1605]" strokeweight="1pt">
                  <v:stroke joinstyle="miter"/>
                  <v:textbox>
                    <w:txbxContent>
                      <w:p w14:paraId="196F74ED" w14:textId="77777777" w:rsidR="0091570D" w:rsidRPr="00013EBB" w:rsidRDefault="0091570D" w:rsidP="0091570D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The role of the ACMA</w:t>
                        </w:r>
                      </w:p>
                    </w:txbxContent>
                  </v:textbox>
                </v:roundrect>
                <v:shape id="_x0000_s1030" type="#_x0000_t202" style="position:absolute;left:16051;top:19208;width:46202;height:14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14:paraId="586FC7B1" w14:textId="6BBBAA3C" w:rsidR="0091570D" w:rsidRPr="005D38CD" w:rsidRDefault="007C662B" w:rsidP="0091570D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0"/>
                        </w:pPr>
                        <w:r>
                          <w:t xml:space="preserve">In the performance of its spectrum management functions and exercise of its spectrum management powers, </w:t>
                        </w:r>
                        <w:r w:rsidR="00880C9B">
                          <w:t xml:space="preserve">the ACMA must </w:t>
                        </w:r>
                        <w:r>
                          <w:t>h</w:t>
                        </w:r>
                        <w:r w:rsidRPr="005D38CD">
                          <w:t xml:space="preserve">ave </w:t>
                        </w:r>
                        <w:r w:rsidR="0091570D" w:rsidRPr="005D38CD">
                          <w:t xml:space="preserve">regard to any relevant </w:t>
                        </w:r>
                        <w:r w:rsidR="0091570D">
                          <w:t>Ministerial policy statement</w:t>
                        </w:r>
                        <w:r w:rsidR="000E722E">
                          <w:t>.</w:t>
                        </w:r>
                      </w:p>
                      <w:p w14:paraId="534CADFC" w14:textId="04BD159F" w:rsidR="0091570D" w:rsidRPr="005D38CD" w:rsidRDefault="000E722E" w:rsidP="0091570D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0"/>
                        </w:pPr>
                        <w:r>
                          <w:t>The ACMA must s</w:t>
                        </w:r>
                        <w:r w:rsidR="007C662B">
                          <w:t xml:space="preserve">ummarise </w:t>
                        </w:r>
                        <w:r w:rsidR="0091570D" w:rsidRPr="005D38CD">
                          <w:t xml:space="preserve">how regard has been given to </w:t>
                        </w:r>
                        <w:r w:rsidR="007C662B">
                          <w:t xml:space="preserve">Ministerial </w:t>
                        </w:r>
                        <w:r w:rsidR="0091570D">
                          <w:t>policy statement</w:t>
                        </w:r>
                        <w:r w:rsidR="007C662B">
                          <w:t>s</w:t>
                        </w:r>
                        <w:r w:rsidR="0091570D" w:rsidRPr="005D38CD">
                          <w:t xml:space="preserve"> in its Annual Report</w:t>
                        </w:r>
                        <w:r>
                          <w:t>.</w:t>
                        </w:r>
                      </w:p>
                      <w:p w14:paraId="3FBB90D6" w14:textId="77777777" w:rsidR="0091570D" w:rsidRDefault="0091570D" w:rsidP="0091570D"/>
                    </w:txbxContent>
                  </v:textbox>
                </v:shape>
                <v:roundrect id="Rounded Rectangle 12" o:spid="_x0000_s1031" style="position:absolute;top:36707;width:16287;height:131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+fcIA&#10;AADbAAAADwAAAGRycy9kb3ducmV2LnhtbERPS2vCQBC+F/wPywje6qZig03diEiFXhp8VM9DdsyG&#10;ZGdDdmvSf98tFHqbj+85681oW3Gn3teOFTzNExDEpdM1Vwo+z/vHFQgfkDW2jknBN3nY5JOHNWba&#10;DXyk+ylUIoawz1CBCaHLpPSlIYt+7jriyN1cbzFE2FdS9zjEcNvKRZKk0mLNscFgRztDZXP6sgpC&#10;8vHWmQIvt6a4Lp/Tg94fihelZtNx+woi0Bj+xX/udx3nL+D3l3i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j59wgAAANsAAAAPAAAAAAAAAAAAAAAAAJgCAABkcnMvZG93&#10;bnJldi54bWxQSwUGAAAAAAQABAD1AAAAhwMAAAAA&#10;" fillcolor="#70ad47 [3209]" strokecolor="#375623 [1609]" strokeweight="1pt">
                  <v:stroke joinstyle="miter"/>
                  <v:textbox>
                    <w:txbxContent>
                      <w:p w14:paraId="7E47F06A" w14:textId="3F739436" w:rsidR="0091570D" w:rsidRPr="00880C9B" w:rsidRDefault="00880C9B" w:rsidP="0091570D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</w:t>
                        </w:r>
                        <w:r w:rsidR="0091570D" w:rsidRPr="00880C9B">
                          <w:rPr>
                            <w:sz w:val="28"/>
                          </w:rPr>
                          <w:t>uggested topics or issues to be covered in</w:t>
                        </w:r>
                        <w:r>
                          <w:rPr>
                            <w:sz w:val="28"/>
                          </w:rPr>
                          <w:t xml:space="preserve"> a Ministerial policy statement</w:t>
                        </w:r>
                      </w:p>
                    </w:txbxContent>
                  </v:textbox>
                </v:roundrect>
                <v:shape id="_x0000_s1032" type="#_x0000_t202" style="position:absolute;left:16117;top:35391;width:46291;height:16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66AA6421" w14:textId="77777777" w:rsidR="00E1687F" w:rsidRDefault="00E1687F" w:rsidP="00E1687F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</w:pPr>
                        <w:r w:rsidRPr="005D38CD">
                          <w:t>M</w:t>
                        </w:r>
                        <w:r>
                          <w:t>inisterial policy statements</w:t>
                        </w:r>
                        <w:r w:rsidRPr="005D38CD">
                          <w:t xml:space="preserve"> </w:t>
                        </w:r>
                        <w:r>
                          <w:t>may include</w:t>
                        </w:r>
                        <w:r w:rsidRPr="005D38CD">
                          <w:t xml:space="preserve"> guidance on the following issues:</w:t>
                        </w:r>
                      </w:p>
                      <w:p w14:paraId="536FDE6C" w14:textId="77777777" w:rsidR="00E1687F" w:rsidRDefault="00803F0B" w:rsidP="00E1687F">
                        <w:pPr>
                          <w:pStyle w:val="ListParagraph"/>
                          <w:numPr>
                            <w:ilvl w:val="1"/>
                            <w:numId w:val="27"/>
                          </w:numPr>
                        </w:pPr>
                        <w:r w:rsidRPr="00803F0B">
                          <w:t xml:space="preserve">Establishing the </w:t>
                        </w:r>
                        <w:r>
                          <w:t>s</w:t>
                        </w:r>
                        <w:r w:rsidR="0091570D" w:rsidRPr="005D38CD">
                          <w:t xml:space="preserve">ingle licensing framework  </w:t>
                        </w:r>
                      </w:p>
                      <w:p w14:paraId="66735D5E" w14:textId="77777777" w:rsidR="00E1687F" w:rsidRDefault="0091570D" w:rsidP="00E1687F">
                        <w:pPr>
                          <w:pStyle w:val="ListParagraph"/>
                          <w:numPr>
                            <w:ilvl w:val="1"/>
                            <w:numId w:val="27"/>
                          </w:numPr>
                        </w:pPr>
                        <w:r>
                          <w:t>The content of the ACMA’s a</w:t>
                        </w:r>
                        <w:r w:rsidRPr="005D38CD">
                          <w:t xml:space="preserve">nnual work plan </w:t>
                        </w:r>
                      </w:p>
                      <w:p w14:paraId="6584C548" w14:textId="77777777" w:rsidR="00E1687F" w:rsidRDefault="0091570D" w:rsidP="00E1687F">
                        <w:pPr>
                          <w:pStyle w:val="ListParagraph"/>
                          <w:numPr>
                            <w:ilvl w:val="1"/>
                            <w:numId w:val="27"/>
                          </w:numPr>
                        </w:pPr>
                        <w:r>
                          <w:t>Licence r</w:t>
                        </w:r>
                        <w:r w:rsidRPr="005D38CD">
                          <w:t>enewal</w:t>
                        </w:r>
                      </w:p>
                      <w:p w14:paraId="2AEFF330" w14:textId="77777777" w:rsidR="00E1687F" w:rsidRDefault="0091570D" w:rsidP="00E1687F">
                        <w:pPr>
                          <w:pStyle w:val="ListParagraph"/>
                          <w:numPr>
                            <w:ilvl w:val="1"/>
                            <w:numId w:val="27"/>
                          </w:numPr>
                        </w:pPr>
                        <w:r w:rsidRPr="005D38CD">
                          <w:t>Protection mechanisms for the Radio quiet zone</w:t>
                        </w:r>
                        <w:r>
                          <w:t xml:space="preserve"> and square kilometre array </w:t>
                        </w:r>
                      </w:p>
                      <w:p w14:paraId="7315E991" w14:textId="525154AC" w:rsidR="0091570D" w:rsidRPr="005D38CD" w:rsidRDefault="0091570D" w:rsidP="00E1687F">
                        <w:pPr>
                          <w:pStyle w:val="ListParagraph"/>
                          <w:numPr>
                            <w:ilvl w:val="1"/>
                            <w:numId w:val="27"/>
                          </w:numPr>
                        </w:pPr>
                        <w:r w:rsidRPr="005D38CD">
                          <w:t>Broadcasting</w:t>
                        </w:r>
                      </w:p>
                      <w:p w14:paraId="2AAE5D8F" w14:textId="77777777" w:rsidR="0091570D" w:rsidRDefault="0091570D" w:rsidP="0091570D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7B4923" w14:textId="026E001E" w:rsidR="00D80EED" w:rsidRDefault="00D80EED" w:rsidP="00AA4438">
      <w:pPr>
        <w:pStyle w:val="Heading1"/>
        <w:spacing w:before="0" w:after="0"/>
      </w:pPr>
    </w:p>
    <w:p w14:paraId="56849797" w14:textId="615C04C7" w:rsidR="00CC0C40" w:rsidRPr="00CC0C40" w:rsidRDefault="00803F0B" w:rsidP="00AA4438">
      <w:pPr>
        <w:pStyle w:val="Heading1"/>
        <w:spacing w:before="0" w:after="0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3FB99D8E" wp14:editId="39C6E386">
                <wp:extent cx="6103620" cy="1927860"/>
                <wp:effectExtent l="0" t="0" r="0" b="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92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5DCCC" w14:textId="2E2DA7A3" w:rsidR="00CE04B3" w:rsidRDefault="000E722E" w:rsidP="00D80EED">
                            <w:pPr>
                              <w:spacing w:after="0"/>
                            </w:pPr>
                            <w:r>
                              <w:t>M</w:t>
                            </w:r>
                            <w:r w:rsidR="00FE58F2">
                              <w:t>inis</w:t>
                            </w:r>
                            <w:r>
                              <w:t>terial</w:t>
                            </w:r>
                            <w:r w:rsidR="00D80EED">
                              <w:t xml:space="preserve"> policy statements</w:t>
                            </w:r>
                            <w:r w:rsidR="00D80EED" w:rsidRPr="005D38CD">
                              <w:t xml:space="preserve"> </w:t>
                            </w:r>
                            <w:r w:rsidR="00F52882">
                              <w:t>will</w:t>
                            </w:r>
                            <w:r w:rsidR="00D80EED" w:rsidRPr="005D38CD">
                              <w:t xml:space="preserve"> provide guidance on the Government’s expectations, strategy and priorities for</w:t>
                            </w:r>
                            <w:r w:rsidR="00D80EED">
                              <w:t xml:space="preserve"> the</w:t>
                            </w:r>
                            <w:r w:rsidR="00D80EED" w:rsidRPr="005D38CD">
                              <w:t xml:space="preserve"> ACMA’s spectrum management functions.</w:t>
                            </w:r>
                            <w:r w:rsidR="00CE04B3">
                              <w:t xml:space="preserve"> T</w:t>
                            </w:r>
                            <w:r w:rsidR="00CE04B3" w:rsidRPr="005D38CD">
                              <w:t>o ensure that they remain relevant</w:t>
                            </w:r>
                            <w:r w:rsidR="00CE04B3">
                              <w:t xml:space="preserve"> and fit for purpose, p</w:t>
                            </w:r>
                            <w:r w:rsidR="00D80EED">
                              <w:t>olicy statements</w:t>
                            </w:r>
                            <w:r w:rsidR="00D80EED" w:rsidRPr="005D38CD">
                              <w:t xml:space="preserve"> will be subjec</w:t>
                            </w:r>
                            <w:r w:rsidR="00D80EED">
                              <w:t>t to formal and periodic review by the Department of Communications and the</w:t>
                            </w:r>
                            <w:r w:rsidR="00CE04B3">
                              <w:t xml:space="preserve"> Arts</w:t>
                            </w:r>
                            <w:r w:rsidR="00D80EED" w:rsidRPr="005D38CD">
                              <w:t xml:space="preserve">. </w:t>
                            </w:r>
                          </w:p>
                          <w:p w14:paraId="4936CF9E" w14:textId="77777777" w:rsidR="00803F0B" w:rsidRDefault="00803F0B" w:rsidP="00D80EED">
                            <w:pPr>
                              <w:spacing w:after="0"/>
                            </w:pPr>
                          </w:p>
                          <w:p w14:paraId="04A7CA43" w14:textId="4AA99BE9" w:rsidR="00D80EED" w:rsidRDefault="00D80EED" w:rsidP="00D80EED">
                            <w:pPr>
                              <w:spacing w:after="0"/>
                            </w:pPr>
                            <w:r w:rsidRPr="005D38CD">
                              <w:t xml:space="preserve">The timing of when this could occur would be dependent on the nature and content of the </w:t>
                            </w:r>
                            <w:r>
                              <w:t>policy statement</w:t>
                            </w:r>
                            <w:r w:rsidRPr="005D38CD">
                              <w:t xml:space="preserve">. Reviews would also occur if feedback from stakeholders </w:t>
                            </w:r>
                            <w:r w:rsidR="007C662B">
                              <w:t>show that</w:t>
                            </w:r>
                            <w:r w:rsidR="007C662B" w:rsidRPr="005D38CD">
                              <w:t xml:space="preserve"> </w:t>
                            </w:r>
                            <w:r w:rsidRPr="005D38CD">
                              <w:t xml:space="preserve">it </w:t>
                            </w:r>
                            <w:r w:rsidR="007C662B">
                              <w:t xml:space="preserve">is </w:t>
                            </w:r>
                            <w:r w:rsidRPr="005D38CD">
                              <w:t xml:space="preserve">necessary to revisit the application of any </w:t>
                            </w:r>
                            <w:r>
                              <w:t>policy statements</w:t>
                            </w:r>
                            <w:r w:rsidRPr="005D38CD">
                              <w:t xml:space="preserve">. This provides an opportunity for full consideration to be given to the existing </w:t>
                            </w:r>
                            <w:r>
                              <w:t>statements and how they have</w:t>
                            </w:r>
                            <w:r w:rsidRPr="005D38CD">
                              <w:t xml:space="preserve"> been implemented. At this time there may be a decision to continue, vary or cancel the </w:t>
                            </w:r>
                            <w:r>
                              <w:t>statement.</w:t>
                            </w:r>
                          </w:p>
                          <w:p w14:paraId="07EAF51F" w14:textId="51E3C00F" w:rsidR="00D80EED" w:rsidRDefault="00D80E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B99D8E" id="Text Box 2" o:spid="_x0000_s1033" type="#_x0000_t202" style="width:480.6pt;height:15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" stroked="f">
                <v:textbox>
                  <w:txbxContent>
                    <w:p w14:paraId="0B95DCCC" w14:textId="2E2DA7A3" w:rsidR="00CE04B3" w:rsidRDefault="000E722E" w:rsidP="00D80EED">
                      <w:pPr>
                        <w:spacing w:after="0"/>
                      </w:pPr>
                      <w:r>
                        <w:t>M</w:t>
                      </w:r>
                      <w:r w:rsidR="00FE58F2">
                        <w:t>inis</w:t>
                      </w:r>
                      <w:r>
                        <w:t>terial</w:t>
                      </w:r>
                      <w:r w:rsidR="00D80EED">
                        <w:t xml:space="preserve"> policy statements</w:t>
                      </w:r>
                      <w:r w:rsidR="00D80EED" w:rsidRPr="005D38CD">
                        <w:t xml:space="preserve"> </w:t>
                      </w:r>
                      <w:r w:rsidR="00F52882">
                        <w:t>will</w:t>
                      </w:r>
                      <w:r w:rsidR="00D80EED" w:rsidRPr="005D38CD">
                        <w:t xml:space="preserve"> provide guidance on the Government’s expectations, strategy and priorities for</w:t>
                      </w:r>
                      <w:r w:rsidR="00D80EED">
                        <w:t xml:space="preserve"> the</w:t>
                      </w:r>
                      <w:r w:rsidR="00D80EED" w:rsidRPr="005D38CD">
                        <w:t xml:space="preserve"> ACMA’s spectrum management functions.</w:t>
                      </w:r>
                      <w:r w:rsidR="00CE04B3">
                        <w:t xml:space="preserve"> T</w:t>
                      </w:r>
                      <w:r w:rsidR="00CE04B3" w:rsidRPr="005D38CD">
                        <w:t>o ensure that they remain relevant</w:t>
                      </w:r>
                      <w:r w:rsidR="00CE04B3">
                        <w:t xml:space="preserve"> and fit for purpose, p</w:t>
                      </w:r>
                      <w:r w:rsidR="00D80EED">
                        <w:t>olicy statements</w:t>
                      </w:r>
                      <w:r w:rsidR="00D80EED" w:rsidRPr="005D38CD">
                        <w:t xml:space="preserve"> will be subjec</w:t>
                      </w:r>
                      <w:r w:rsidR="00D80EED">
                        <w:t>t to formal and periodic review by the Department of Communications and the</w:t>
                      </w:r>
                      <w:r w:rsidR="00CE04B3">
                        <w:t xml:space="preserve"> Arts</w:t>
                      </w:r>
                      <w:r w:rsidR="00D80EED" w:rsidRPr="005D38CD">
                        <w:t xml:space="preserve">. </w:t>
                      </w:r>
                    </w:p>
                    <w:p w14:paraId="4936CF9E" w14:textId="77777777" w:rsidR="00803F0B" w:rsidRDefault="00803F0B" w:rsidP="00D80EED">
                      <w:pPr>
                        <w:spacing w:after="0"/>
                      </w:pPr>
                    </w:p>
                    <w:p w14:paraId="04A7CA43" w14:textId="4AA99BE9" w:rsidR="00D80EED" w:rsidRDefault="00D80EED" w:rsidP="00D80EED">
                      <w:pPr>
                        <w:spacing w:after="0"/>
                      </w:pPr>
                      <w:r w:rsidRPr="005D38CD">
                        <w:t xml:space="preserve">The timing of when this could occur would be dependent on the nature and content of the </w:t>
                      </w:r>
                      <w:r>
                        <w:t>policy statement</w:t>
                      </w:r>
                      <w:r w:rsidRPr="005D38CD">
                        <w:t xml:space="preserve">. Reviews would also occur if feedback from stakeholders </w:t>
                      </w:r>
                      <w:r w:rsidR="007C662B">
                        <w:t>show that</w:t>
                      </w:r>
                      <w:r w:rsidR="007C662B" w:rsidRPr="005D38CD">
                        <w:t xml:space="preserve"> </w:t>
                      </w:r>
                      <w:r w:rsidRPr="005D38CD">
                        <w:t xml:space="preserve">it </w:t>
                      </w:r>
                      <w:r w:rsidR="007C662B">
                        <w:t xml:space="preserve">is </w:t>
                      </w:r>
                      <w:r w:rsidRPr="005D38CD">
                        <w:t xml:space="preserve">necessary to revisit the application of any </w:t>
                      </w:r>
                      <w:r>
                        <w:t>policy statements</w:t>
                      </w:r>
                      <w:r w:rsidRPr="005D38CD">
                        <w:t xml:space="preserve">. This provides an opportunity for full consideration to be given to the existing </w:t>
                      </w:r>
                      <w:r>
                        <w:t>statements and how they have</w:t>
                      </w:r>
                      <w:r w:rsidRPr="005D38CD">
                        <w:t xml:space="preserve"> been implemented. At this time there may be a decision to continue, vary or cancel the </w:t>
                      </w:r>
                      <w:r>
                        <w:t>statement.</w:t>
                      </w:r>
                    </w:p>
                    <w:p w14:paraId="07EAF51F" w14:textId="51E3C00F" w:rsidR="00D80EED" w:rsidRDefault="00D80EED"/>
                  </w:txbxContent>
                </v:textbox>
                <w10:anchorlock/>
              </v:shape>
            </w:pict>
          </mc:Fallback>
        </mc:AlternateContent>
      </w:r>
    </w:p>
    <w:sectPr w:rsidR="00CC0C40" w:rsidRPr="00CC0C40" w:rsidSect="0091570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4979C" w14:textId="77777777" w:rsidR="00117B46" w:rsidRDefault="00117B46" w:rsidP="003F0A2D">
      <w:pPr>
        <w:spacing w:after="0"/>
      </w:pPr>
      <w:r>
        <w:separator/>
      </w:r>
    </w:p>
  </w:endnote>
  <w:endnote w:type="continuationSeparator" w:id="0">
    <w:p w14:paraId="5684979D" w14:textId="77777777" w:rsidR="00117B46" w:rsidRDefault="00117B46" w:rsidP="003F0A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4979E" w14:textId="77777777" w:rsidR="00FD38F4" w:rsidRDefault="00EF5AC3" w:rsidP="00297528">
    <w:pPr>
      <w:pStyle w:val="Footer"/>
      <w:ind w:left="-1418"/>
    </w:pPr>
    <w:r>
      <w:rPr>
        <w:noProof/>
        <w:lang w:eastAsia="en-AU"/>
      </w:rPr>
      <w:drawing>
        <wp:inline distT="0" distB="0" distL="0" distR="0" wp14:anchorId="568497A4" wp14:editId="568497A5">
          <wp:extent cx="7598462" cy="766386"/>
          <wp:effectExtent l="0" t="0" r="2540" b="0"/>
          <wp:docPr id="8" name="Picture 8" descr="Australian Government, Department of Communications and the Arts.&#10;http://www.communications.gov.au&#10;http://www.arts.gov.au&#10;http://www.classification.gov.au&#10;&#10;GPO Box 2154, Canberra ACT 2601 Australia.&#10;Telephone 02 6271 1000" title="Contact the Department of Communications and the A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-footer-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5029" cy="779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4979A" w14:textId="77777777" w:rsidR="00117B46" w:rsidRDefault="00117B46" w:rsidP="003F0A2D">
      <w:pPr>
        <w:spacing w:after="0"/>
      </w:pPr>
      <w:r>
        <w:separator/>
      </w:r>
    </w:p>
  </w:footnote>
  <w:footnote w:type="continuationSeparator" w:id="0">
    <w:p w14:paraId="5684979B" w14:textId="77777777" w:rsidR="00117B46" w:rsidRDefault="00117B46" w:rsidP="003F0A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E9C6D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E22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C0C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A2D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DA41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84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26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A421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F25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88E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D3C60"/>
    <w:multiLevelType w:val="hybridMultilevel"/>
    <w:tmpl w:val="F89615BA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BD24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C09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325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9EB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B80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8A0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FA6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BC2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22F2D20"/>
    <w:multiLevelType w:val="hybridMultilevel"/>
    <w:tmpl w:val="676888FE"/>
    <w:lvl w:ilvl="0" w:tplc="8D8CBB84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26CBD"/>
    <w:multiLevelType w:val="hybridMultilevel"/>
    <w:tmpl w:val="5F6875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E50C5"/>
    <w:multiLevelType w:val="hybridMultilevel"/>
    <w:tmpl w:val="DE10A0B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244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D6D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702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8B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02B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E89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B01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A8E076A"/>
    <w:multiLevelType w:val="hybridMultilevel"/>
    <w:tmpl w:val="4D68E358"/>
    <w:lvl w:ilvl="0" w:tplc="2D5EE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EC9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244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D6D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702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8B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02B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E89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B01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ED22E9E"/>
    <w:multiLevelType w:val="hybridMultilevel"/>
    <w:tmpl w:val="2A161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94784"/>
    <w:multiLevelType w:val="hybridMultilevel"/>
    <w:tmpl w:val="9A0669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C99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244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D6D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702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8B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02B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E89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B01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56A468F"/>
    <w:multiLevelType w:val="hybridMultilevel"/>
    <w:tmpl w:val="43B299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F4896"/>
    <w:multiLevelType w:val="hybridMultilevel"/>
    <w:tmpl w:val="DE446150"/>
    <w:lvl w:ilvl="0" w:tplc="FCEA5AF4">
      <w:start w:val="1"/>
      <w:numFmt w:val="bullet"/>
      <w:pStyle w:val="Tickedboxbulletpoint"/>
      <w:lvlText w:val="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05391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054F7"/>
    <w:multiLevelType w:val="multilevel"/>
    <w:tmpl w:val="09F8E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7B32A07"/>
    <w:multiLevelType w:val="hybridMultilevel"/>
    <w:tmpl w:val="1A8CC2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C09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325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9EB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B80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8A0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FA6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BC2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04B6F42"/>
    <w:multiLevelType w:val="hybridMultilevel"/>
    <w:tmpl w:val="FA6E02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D24C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C09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325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9EB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B80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8A0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FA6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BC2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DBA3CD3"/>
    <w:multiLevelType w:val="hybridMultilevel"/>
    <w:tmpl w:val="7ABE6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A3F9A"/>
    <w:multiLevelType w:val="hybridMultilevel"/>
    <w:tmpl w:val="AB987C36"/>
    <w:lvl w:ilvl="0" w:tplc="E3827C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504F0"/>
    <w:multiLevelType w:val="hybridMultilevel"/>
    <w:tmpl w:val="0BEE247A"/>
    <w:lvl w:ilvl="0" w:tplc="83CE1250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85A14"/>
    <w:multiLevelType w:val="hybridMultilevel"/>
    <w:tmpl w:val="E2600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A56C4"/>
    <w:multiLevelType w:val="hybridMultilevel"/>
    <w:tmpl w:val="A6B6287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244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D6D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702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8B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02B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E89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B01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8"/>
  </w:num>
  <w:num w:numId="17">
    <w:abstractNumId w:val="24"/>
  </w:num>
  <w:num w:numId="18">
    <w:abstractNumId w:val="23"/>
  </w:num>
  <w:num w:numId="19">
    <w:abstractNumId w:val="15"/>
  </w:num>
  <w:num w:numId="20">
    <w:abstractNumId w:val="25"/>
  </w:num>
  <w:num w:numId="21">
    <w:abstractNumId w:val="21"/>
  </w:num>
  <w:num w:numId="22">
    <w:abstractNumId w:val="22"/>
  </w:num>
  <w:num w:numId="23">
    <w:abstractNumId w:val="14"/>
  </w:num>
  <w:num w:numId="24">
    <w:abstractNumId w:val="10"/>
  </w:num>
  <w:num w:numId="25">
    <w:abstractNumId w:val="16"/>
  </w:num>
  <w:num w:numId="26">
    <w:abstractNumId w:val="26"/>
  </w:num>
  <w:num w:numId="27">
    <w:abstractNumId w:val="1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46"/>
    <w:rsid w:val="00010C8C"/>
    <w:rsid w:val="000249BC"/>
    <w:rsid w:val="00051BCE"/>
    <w:rsid w:val="0008464E"/>
    <w:rsid w:val="00090EDB"/>
    <w:rsid w:val="00096D26"/>
    <w:rsid w:val="000E1A93"/>
    <w:rsid w:val="000E722E"/>
    <w:rsid w:val="00117B46"/>
    <w:rsid w:val="0012570D"/>
    <w:rsid w:val="001656B7"/>
    <w:rsid w:val="001F3924"/>
    <w:rsid w:val="002506AF"/>
    <w:rsid w:val="00262CFB"/>
    <w:rsid w:val="00264DDC"/>
    <w:rsid w:val="00285881"/>
    <w:rsid w:val="00297528"/>
    <w:rsid w:val="003509FE"/>
    <w:rsid w:val="0035345B"/>
    <w:rsid w:val="003A5230"/>
    <w:rsid w:val="003E4619"/>
    <w:rsid w:val="003F0A2D"/>
    <w:rsid w:val="0040012A"/>
    <w:rsid w:val="004048E1"/>
    <w:rsid w:val="0040622C"/>
    <w:rsid w:val="0043221A"/>
    <w:rsid w:val="00442D65"/>
    <w:rsid w:val="004440B7"/>
    <w:rsid w:val="0047530F"/>
    <w:rsid w:val="004877B3"/>
    <w:rsid w:val="004F046B"/>
    <w:rsid w:val="00507E41"/>
    <w:rsid w:val="00535ADA"/>
    <w:rsid w:val="00567FAF"/>
    <w:rsid w:val="005F08D5"/>
    <w:rsid w:val="00640D68"/>
    <w:rsid w:val="0064771D"/>
    <w:rsid w:val="0065383F"/>
    <w:rsid w:val="00660BB9"/>
    <w:rsid w:val="006A19A2"/>
    <w:rsid w:val="006D014F"/>
    <w:rsid w:val="006D6E9F"/>
    <w:rsid w:val="006E5C0F"/>
    <w:rsid w:val="006F5CF8"/>
    <w:rsid w:val="00704775"/>
    <w:rsid w:val="00705DF0"/>
    <w:rsid w:val="007279DD"/>
    <w:rsid w:val="0078017C"/>
    <w:rsid w:val="007C662B"/>
    <w:rsid w:val="007D02EC"/>
    <w:rsid w:val="00803F0B"/>
    <w:rsid w:val="00813016"/>
    <w:rsid w:val="00832492"/>
    <w:rsid w:val="0084603E"/>
    <w:rsid w:val="00852E5C"/>
    <w:rsid w:val="00853419"/>
    <w:rsid w:val="00876729"/>
    <w:rsid w:val="00880C9B"/>
    <w:rsid w:val="008A312B"/>
    <w:rsid w:val="008C6C53"/>
    <w:rsid w:val="0091570D"/>
    <w:rsid w:val="00933ABA"/>
    <w:rsid w:val="009535A5"/>
    <w:rsid w:val="00996009"/>
    <w:rsid w:val="009A56D0"/>
    <w:rsid w:val="009A72AA"/>
    <w:rsid w:val="00A625B3"/>
    <w:rsid w:val="00A669A1"/>
    <w:rsid w:val="00A70B60"/>
    <w:rsid w:val="00A7176A"/>
    <w:rsid w:val="00AA4438"/>
    <w:rsid w:val="00AD66A7"/>
    <w:rsid w:val="00AF277C"/>
    <w:rsid w:val="00B003DF"/>
    <w:rsid w:val="00B370BC"/>
    <w:rsid w:val="00B82933"/>
    <w:rsid w:val="00BA2E1F"/>
    <w:rsid w:val="00C61D2E"/>
    <w:rsid w:val="00CC0C40"/>
    <w:rsid w:val="00CE04B3"/>
    <w:rsid w:val="00CF72A9"/>
    <w:rsid w:val="00D24D05"/>
    <w:rsid w:val="00D80EED"/>
    <w:rsid w:val="00DB095A"/>
    <w:rsid w:val="00DD4718"/>
    <w:rsid w:val="00DE2125"/>
    <w:rsid w:val="00E1687F"/>
    <w:rsid w:val="00E240F8"/>
    <w:rsid w:val="00E74209"/>
    <w:rsid w:val="00E80C07"/>
    <w:rsid w:val="00EB5D20"/>
    <w:rsid w:val="00EF5AC3"/>
    <w:rsid w:val="00F41896"/>
    <w:rsid w:val="00F52882"/>
    <w:rsid w:val="00F977DF"/>
    <w:rsid w:val="00FA414F"/>
    <w:rsid w:val="00FB4064"/>
    <w:rsid w:val="00FD38F4"/>
    <w:rsid w:val="00FE58F2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6849787"/>
  <w15:chartTrackingRefBased/>
  <w15:docId w15:val="{8687B39B-8376-46A0-B890-AD8B55E7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419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464E"/>
    <w:pPr>
      <w:keepNext/>
      <w:spacing w:before="400"/>
      <w:outlineLvl w:val="0"/>
    </w:pPr>
    <w:rPr>
      <w:rFonts w:asciiTheme="majorHAnsi" w:eastAsiaTheme="majorEastAsia" w:hAnsiTheme="majorHAnsi" w:cstheme="majorBidi"/>
      <w:b/>
      <w:color w:val="0F293A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1BCE"/>
    <w:pPr>
      <w:keepNext/>
      <w:spacing w:before="120"/>
      <w:outlineLvl w:val="1"/>
    </w:pPr>
    <w:rPr>
      <w:rFonts w:asciiTheme="majorHAnsi" w:eastAsiaTheme="majorEastAsia" w:hAnsiTheme="majorHAnsi" w:cstheme="majorBidi"/>
      <w:b/>
      <w:color w:val="07478C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D26"/>
    <w:pPr>
      <w:keepNext/>
      <w:spacing w:before="120" w:after="120"/>
      <w:outlineLvl w:val="2"/>
    </w:pPr>
    <w:rPr>
      <w:rFonts w:asciiTheme="majorHAnsi" w:eastAsiaTheme="majorEastAsia" w:hAnsiTheme="majorHAnsi" w:cstheme="majorBidi"/>
      <w:b/>
      <w:color w:val="07478C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6D26"/>
    <w:pPr>
      <w:keepNext/>
      <w:spacing w:before="120" w:after="60"/>
      <w:outlineLvl w:val="3"/>
    </w:pPr>
    <w:rPr>
      <w:rFonts w:asciiTheme="majorHAnsi" w:eastAsiaTheme="majorEastAsia" w:hAnsiTheme="majorHAnsi" w:cstheme="majorBidi"/>
      <w:b/>
      <w:iCs/>
      <w:color w:val="07478C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6D0"/>
    <w:pPr>
      <w:keepNext/>
      <w:spacing w:after="60"/>
      <w:outlineLvl w:val="4"/>
    </w:pPr>
    <w:rPr>
      <w:rFonts w:asciiTheme="majorHAnsi" w:eastAsiaTheme="majorEastAsia" w:hAnsiTheme="majorHAnsi" w:cstheme="majorBidi"/>
      <w:color w:val="07478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64E"/>
    <w:rPr>
      <w:rFonts w:asciiTheme="majorHAnsi" w:eastAsiaTheme="majorEastAsia" w:hAnsiTheme="majorHAnsi" w:cstheme="majorBidi"/>
      <w:b/>
      <w:color w:val="0F293A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1BCE"/>
    <w:rPr>
      <w:rFonts w:asciiTheme="majorHAnsi" w:eastAsiaTheme="majorEastAsia" w:hAnsiTheme="majorHAnsi" w:cstheme="majorBidi"/>
      <w:b/>
      <w:color w:val="07478C"/>
      <w:sz w:val="3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71D"/>
    <w:pPr>
      <w:numPr>
        <w:ilvl w:val="1"/>
      </w:numPr>
      <w:spacing w:before="240"/>
    </w:pPr>
    <w:rPr>
      <w:rFonts w:asciiTheme="majorHAnsi" w:eastAsiaTheme="minorEastAsia" w:hAnsiTheme="majorHAnsi"/>
      <w:b/>
      <w:color w:val="07478C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4771D"/>
    <w:rPr>
      <w:rFonts w:asciiTheme="majorHAnsi" w:eastAsiaTheme="minorEastAsia" w:hAnsiTheme="majorHAnsi"/>
      <w:b/>
      <w:color w:val="07478C"/>
      <w:spacing w:val="15"/>
      <w:sz w:val="36"/>
    </w:rPr>
  </w:style>
  <w:style w:type="character" w:styleId="Hyperlink">
    <w:name w:val="Hyperlink"/>
    <w:basedOn w:val="DefaultParagraphFont"/>
    <w:uiPriority w:val="99"/>
    <w:unhideWhenUsed/>
    <w:rsid w:val="0064771D"/>
    <w:rPr>
      <w:color w:val="095EBB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96D26"/>
    <w:rPr>
      <w:rFonts w:asciiTheme="majorHAnsi" w:eastAsiaTheme="majorEastAsia" w:hAnsiTheme="majorHAnsi" w:cstheme="majorBidi"/>
      <w:b/>
      <w:color w:val="07478C"/>
      <w:sz w:val="28"/>
      <w:szCs w:val="24"/>
    </w:rPr>
  </w:style>
  <w:style w:type="paragraph" w:customStyle="1" w:styleId="Bulletlevel1">
    <w:name w:val="Bullet level 1"/>
    <w:basedOn w:val="Normal"/>
    <w:qFormat/>
    <w:rsid w:val="00EF5AC3"/>
    <w:pPr>
      <w:numPr>
        <w:numId w:val="1"/>
      </w:numPr>
      <w:ind w:left="567" w:hanging="567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A2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0A2D"/>
  </w:style>
  <w:style w:type="paragraph" w:styleId="Footer">
    <w:name w:val="footer"/>
    <w:basedOn w:val="Normal"/>
    <w:link w:val="FooterChar"/>
    <w:uiPriority w:val="99"/>
    <w:unhideWhenUsed/>
    <w:rsid w:val="003F0A2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0A2D"/>
  </w:style>
  <w:style w:type="character" w:customStyle="1" w:styleId="Heading4Char">
    <w:name w:val="Heading 4 Char"/>
    <w:basedOn w:val="DefaultParagraphFont"/>
    <w:link w:val="Heading4"/>
    <w:uiPriority w:val="9"/>
    <w:rsid w:val="00096D26"/>
    <w:rPr>
      <w:rFonts w:asciiTheme="majorHAnsi" w:eastAsiaTheme="majorEastAsia" w:hAnsiTheme="majorHAnsi" w:cstheme="majorBidi"/>
      <w:b/>
      <w:iCs/>
      <w:color w:val="07478C"/>
      <w:sz w:val="24"/>
    </w:rPr>
  </w:style>
  <w:style w:type="table" w:styleId="TableGrid">
    <w:name w:val="Table Grid"/>
    <w:basedOn w:val="TableNormal"/>
    <w:uiPriority w:val="39"/>
    <w:rsid w:val="0002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13016"/>
    <w:pPr>
      <w:keepNext/>
      <w:spacing w:before="40" w:after="0"/>
    </w:pPr>
    <w:rPr>
      <w:rFonts w:asciiTheme="majorHAnsi" w:hAnsiTheme="majorHAnsi"/>
      <w:b/>
      <w:color w:val="07478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49B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9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49BC"/>
    <w:rPr>
      <w:vertAlign w:val="superscript"/>
    </w:rPr>
  </w:style>
  <w:style w:type="paragraph" w:styleId="ListParagraph">
    <w:name w:val="List Paragraph"/>
    <w:aliases w:val="List Paragraph1,Recommendation,bullet point list,List Paragraph11"/>
    <w:basedOn w:val="Normal"/>
    <w:link w:val="ListParagraphChar"/>
    <w:uiPriority w:val="34"/>
    <w:qFormat/>
    <w:rsid w:val="0064771D"/>
    <w:pPr>
      <w:ind w:left="1134" w:hanging="567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A414F"/>
    <w:pPr>
      <w:spacing w:before="120" w:after="0"/>
    </w:pPr>
    <w:rPr>
      <w:b/>
      <w:color w:val="07478C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A414F"/>
    <w:pPr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FA414F"/>
    <w:pPr>
      <w:spacing w:after="0"/>
      <w:ind w:left="1134"/>
    </w:pPr>
  </w:style>
  <w:style w:type="paragraph" w:customStyle="1" w:styleId="Tableheading">
    <w:name w:val="Table heading"/>
    <w:basedOn w:val="Normal"/>
    <w:next w:val="Normal"/>
    <w:rsid w:val="00B370BC"/>
    <w:pPr>
      <w:spacing w:after="0"/>
    </w:pPr>
    <w:rPr>
      <w:rFonts w:eastAsia="Times New Roman" w:cs="Times New Roman"/>
      <w:b/>
      <w:bCs/>
      <w:szCs w:val="20"/>
    </w:rPr>
  </w:style>
  <w:style w:type="paragraph" w:customStyle="1" w:styleId="Tableheadingcentred">
    <w:name w:val="Table heading centred"/>
    <w:basedOn w:val="Normal"/>
    <w:next w:val="Normal"/>
    <w:rsid w:val="00B370BC"/>
    <w:pPr>
      <w:spacing w:after="0"/>
      <w:jc w:val="center"/>
    </w:pPr>
    <w:rPr>
      <w:rFonts w:eastAsia="Times New Roman" w:cs="Times New Roman"/>
      <w:b/>
      <w:bCs/>
      <w:szCs w:val="20"/>
    </w:rPr>
  </w:style>
  <w:style w:type="paragraph" w:customStyle="1" w:styleId="Tabletextcentred">
    <w:name w:val="Table text centred"/>
    <w:basedOn w:val="Normal"/>
    <w:next w:val="NoSpacing"/>
    <w:rsid w:val="00B370BC"/>
    <w:pPr>
      <w:spacing w:after="0"/>
      <w:jc w:val="center"/>
    </w:pPr>
    <w:rPr>
      <w:rFonts w:eastAsia="Times New Roman" w:cs="Times New Roman"/>
      <w:szCs w:val="20"/>
    </w:rPr>
  </w:style>
  <w:style w:type="paragraph" w:styleId="NoSpacing">
    <w:name w:val="No Spacing"/>
    <w:uiPriority w:val="1"/>
    <w:qFormat/>
    <w:rsid w:val="00B370BC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A56D0"/>
    <w:rPr>
      <w:rFonts w:asciiTheme="majorHAnsi" w:eastAsiaTheme="majorEastAsia" w:hAnsiTheme="majorHAnsi" w:cstheme="majorBidi"/>
      <w:color w:val="07478C"/>
    </w:rPr>
  </w:style>
  <w:style w:type="character" w:styleId="IntenseEmphasis">
    <w:name w:val="Intense Emphasis"/>
    <w:basedOn w:val="DefaultParagraphFont"/>
    <w:uiPriority w:val="21"/>
    <w:qFormat/>
    <w:rsid w:val="0064771D"/>
    <w:rPr>
      <w:rFonts w:asciiTheme="minorHAnsi" w:hAnsiTheme="minorHAnsi"/>
      <w:i/>
      <w:iCs/>
      <w:color w:val="07478C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71D"/>
    <w:pPr>
      <w:pBdr>
        <w:top w:val="single" w:sz="4" w:space="10" w:color="5B9BD5" w:themeColor="accent1"/>
        <w:bottom w:val="single" w:sz="4" w:space="10" w:color="5B9BD5" w:themeColor="accent1"/>
      </w:pBdr>
      <w:ind w:left="567" w:right="567"/>
    </w:pPr>
    <w:rPr>
      <w:i/>
      <w:iCs/>
      <w:color w:val="0747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71D"/>
    <w:rPr>
      <w:i/>
      <w:iCs/>
      <w:color w:val="07478C"/>
    </w:rPr>
  </w:style>
  <w:style w:type="character" w:styleId="IntenseReference">
    <w:name w:val="Intense Reference"/>
    <w:basedOn w:val="DefaultParagraphFont"/>
    <w:uiPriority w:val="32"/>
    <w:qFormat/>
    <w:rsid w:val="0064771D"/>
    <w:rPr>
      <w:rFonts w:asciiTheme="minorHAnsi" w:hAnsiTheme="minorHAnsi"/>
      <w:b/>
      <w:bCs/>
      <w:smallCaps/>
      <w:color w:val="07478C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64771D"/>
    <w:rPr>
      <w:rFonts w:asciiTheme="minorHAnsi" w:hAnsiTheme="minorHAnsi"/>
      <w:b/>
      <w:bCs/>
      <w:i/>
      <w:iCs/>
      <w:spacing w:val="5"/>
      <w:sz w:val="22"/>
    </w:rPr>
  </w:style>
  <w:style w:type="character" w:styleId="SubtleReference">
    <w:name w:val="Subtle Reference"/>
    <w:basedOn w:val="DefaultParagraphFont"/>
    <w:uiPriority w:val="31"/>
    <w:qFormat/>
    <w:rsid w:val="0064771D"/>
    <w:rPr>
      <w:rFonts w:asciiTheme="minorHAnsi" w:hAnsiTheme="minorHAnsi"/>
      <w:smallCaps/>
      <w:color w:val="5A5A5A" w:themeColor="text1" w:themeTint="A5"/>
      <w:sz w:val="22"/>
    </w:rPr>
  </w:style>
  <w:style w:type="paragraph" w:customStyle="1" w:styleId="Heading2-notshowingincontentsindocument">
    <w:name w:val="Heading 2 - not showing in contents in document"/>
    <w:basedOn w:val="Normal"/>
    <w:next w:val="Normal"/>
    <w:rsid w:val="00A7176A"/>
    <w:pPr>
      <w:outlineLvl w:val="1"/>
    </w:pPr>
    <w:rPr>
      <w:rFonts w:asciiTheme="majorHAnsi" w:hAnsiTheme="majorHAnsi"/>
      <w:b/>
      <w:color w:val="07478C"/>
      <w:sz w:val="36"/>
      <w:szCs w:val="36"/>
    </w:rPr>
  </w:style>
  <w:style w:type="paragraph" w:customStyle="1" w:styleId="Normal-monthyearforcoverpage">
    <w:name w:val="Normal - month/year for cover page"/>
    <w:basedOn w:val="Normal"/>
    <w:next w:val="Normal"/>
    <w:rsid w:val="00A7176A"/>
    <w:rPr>
      <w:color w:val="07478C"/>
      <w:sz w:val="24"/>
      <w:szCs w:val="24"/>
    </w:rPr>
  </w:style>
  <w:style w:type="paragraph" w:customStyle="1" w:styleId="Heading3-notshowingincontentsindocument">
    <w:name w:val="Heading 3 - not showing in contents in document"/>
    <w:basedOn w:val="Normal"/>
    <w:next w:val="Normal"/>
    <w:rsid w:val="00A7176A"/>
    <w:pPr>
      <w:outlineLvl w:val="2"/>
    </w:pPr>
    <w:rPr>
      <w:color w:val="07478C"/>
      <w:sz w:val="26"/>
      <w:szCs w:val="26"/>
    </w:rPr>
  </w:style>
  <w:style w:type="paragraph" w:customStyle="1" w:styleId="subtitleofdocument">
    <w:name w:val="subtitle of document"/>
    <w:basedOn w:val="Normal"/>
    <w:next w:val="Normal"/>
    <w:rsid w:val="00A7176A"/>
    <w:pPr>
      <w:spacing w:before="1000" w:after="1000"/>
      <w:outlineLvl w:val="1"/>
    </w:pPr>
    <w:rPr>
      <w:rFonts w:asciiTheme="majorHAnsi" w:eastAsia="Times New Roman" w:hAnsiTheme="majorHAnsi" w:cs="Times New Roman"/>
      <w:b/>
      <w:bCs/>
      <w:color w:val="07478C"/>
      <w:sz w:val="36"/>
      <w:szCs w:val="20"/>
    </w:rPr>
  </w:style>
  <w:style w:type="paragraph" w:customStyle="1" w:styleId="Tickedboxbulletpoint">
    <w:name w:val="Ticked box bullet point"/>
    <w:basedOn w:val="Bulletlevel1"/>
    <w:qFormat/>
    <w:rsid w:val="0047530F"/>
    <w:pPr>
      <w:numPr>
        <w:numId w:val="16"/>
      </w:numPr>
      <w:spacing w:before="240" w:after="0"/>
      <w:ind w:left="567" w:hanging="567"/>
    </w:pPr>
  </w:style>
  <w:style w:type="paragraph" w:customStyle="1" w:styleId="Checkboxemptybulletpoint">
    <w:name w:val="Check box empty bullet point"/>
    <w:basedOn w:val="Bulletlevel1"/>
    <w:qFormat/>
    <w:rsid w:val="00EF5AC3"/>
    <w:pPr>
      <w:numPr>
        <w:numId w:val="17"/>
      </w:numPr>
      <w:spacing w:after="0"/>
      <w:ind w:left="567" w:hanging="567"/>
    </w:pPr>
  </w:style>
  <w:style w:type="character" w:styleId="FollowedHyperlink">
    <w:name w:val="FollowedHyperlink"/>
    <w:basedOn w:val="DefaultParagraphFont"/>
    <w:uiPriority w:val="99"/>
    <w:semiHidden/>
    <w:unhideWhenUsed/>
    <w:rsid w:val="0087672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B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60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1 Char,Recommendation Char,bullet point list Char,List Paragraph11 Char"/>
    <w:link w:val="ListParagraph"/>
    <w:uiPriority w:val="34"/>
    <w:locked/>
    <w:rsid w:val="004877B3"/>
  </w:style>
  <w:style w:type="paragraph" w:styleId="BodyText">
    <w:name w:val="Body Text"/>
    <w:basedOn w:val="Normal"/>
    <w:link w:val="BodyTextChar"/>
    <w:rsid w:val="0091570D"/>
    <w:pPr>
      <w:spacing w:before="24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rsid w:val="0091570D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C6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6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6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6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3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DEPT\Department%20-%20document%20-%20accessible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97da67-68a3-4e9d-8803-ba3e1787ab6c"/>
    <e65fcc6ef396426b9c231bd6b3bc54de xmlns="4597da67-68a3-4e9d-8803-ba3e1787ab6c">
      <Terms xmlns="http://schemas.microsoft.com/office/infopath/2007/PartnerControls"/>
    </e65fcc6ef396426b9c231bd6b3bc54de>
    <me786d0e3c9949dc83d6a9826d3f7afb xmlns="4597da67-68a3-4e9d-8803-ba3e1787ab6c">
      <Terms xmlns="http://schemas.microsoft.com/office/infopath/2007/PartnerControls"/>
    </me786d0e3c9949dc83d6a9826d3f7afb>
    <trimRootDocACLCanUpdateDocument xmlns="4597da67-68a3-4e9d-8803-ba3e1787ab6c" xsi:nil="true"/>
    <l30152c64bc5409cb0d6af5fc7998329 xmlns="4597da67-68a3-4e9d-8803-ba3e1787ab6c">
      <Terms xmlns="http://schemas.microsoft.com/office/infopath/2007/PartnerControls"/>
    </l30152c64bc5409cb0d6af5fc7998329>
    <dd9c7627a75f4720a6ccce58a35e4d75 xmlns="4597da67-68a3-4e9d-8803-ba3e1787ab6c">
      <Terms xmlns="http://schemas.microsoft.com/office/infopath/2007/PartnerControls"/>
    </dd9c7627a75f4720a6ccce58a35e4d75>
    <hab31d4ae2264d5c8e77fd86c07e7635 xmlns="4597da67-68a3-4e9d-8803-ba3e1787ab6c">
      <Terms xmlns="http://schemas.microsoft.com/office/infopath/2007/PartnerControls"/>
    </hab31d4ae2264d5c8e77fd86c07e7635>
    <trimRootDocSecurityCaveats xmlns="4597da67-68a3-4e9d-8803-ba3e1787ab6c"/>
    <trimRootDocACLCanModifyAccess xmlns="4597da67-68a3-4e9d-8803-ba3e1787ab6c" xsi:nil="true"/>
    <e74c999a0f514bafbaad1ae53c56eac2 xmlns="4597da67-68a3-4e9d-8803-ba3e1787ab6c">
      <Terms xmlns="http://schemas.microsoft.com/office/infopath/2007/PartnerControls"/>
    </e74c999a0f514bafbaad1ae53c56eac2>
    <l7f7762656034748af4098221ba10b64 xmlns="4597da67-68a3-4e9d-8803-ba3e1787ab6c">
      <Terms xmlns="http://schemas.microsoft.com/office/infopath/2007/PartnerControls"/>
    </l7f7762656034748af4098221ba10b64>
    <a26f7cb41fae41ebb6c8e377b7c30d71 xmlns="4597da67-68a3-4e9d-8803-ba3e1787ab6c">
      <Terms xmlns="http://schemas.microsoft.com/office/infopath/2007/PartnerControls"/>
    </a26f7cb41fae41ebb6c8e377b7c30d71>
    <trimRootDocURI xmlns="4597da67-68a3-4e9d-8803-ba3e1787ab6c" xsi:nil="true"/>
    <trimRootDocNotes xmlns="4597da67-68a3-4e9d-8803-ba3e1787ab6c" xsi:nil="true"/>
    <trimRootDocACLCanContributeDocuments xmlns="4597da67-68a3-4e9d-8803-ba3e1787ab6c" xsi:nil="true"/>
    <ie56bdfdc4a44ef997c05b4ed8c67594 xmlns="4597da67-68a3-4e9d-8803-ba3e1787ab6c">
      <Terms xmlns="http://schemas.microsoft.com/office/infopath/2007/PartnerControls"/>
    </ie56bdfdc4a44ef997c05b4ed8c67594>
    <trimRootDocParentURI xmlns="4597da67-68a3-4e9d-8803-ba3e1787ab6c" xsi:nil="true"/>
    <trimRootDocACLCanUpdateMetadata xmlns="4597da67-68a3-4e9d-8803-ba3e1787ab6c" xsi:nil="true"/>
    <trimRootDocSecurityLevel xmlns="4597da67-68a3-4e9d-8803-ba3e1787ab6c" xsi:nil="true"/>
    <trimRootDocACLCanViewMetadata xmlns="4597da67-68a3-4e9d-8803-ba3e1787ab6c" xsi:nil="true"/>
    <trimRootDocACLCanViewDocument xmlns="4597da67-68a3-4e9d-8803-ba3e1787ab6c" xsi:nil="true"/>
    <c1aa94c1bcce43cc9138ccb9c7bf6e69 xmlns="4597da67-68a3-4e9d-8803-ba3e1787ab6c">
      <Terms xmlns="http://schemas.microsoft.com/office/infopath/2007/PartnerControls"/>
    </c1aa94c1bcce43cc9138ccb9c7bf6e69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imRootDocument" ma:contentTypeID="0x010100407620DDFF47524F86BCF55EDD39464300A545CAD05429564092EE1424DE171E67" ma:contentTypeVersion="5" ma:contentTypeDescription="This content type is the root content type of all trim record types with behaviour as Document" ma:contentTypeScope="" ma:versionID="a51791a8b910a5ed2806e5f9a1ec0ca5">
  <xsd:schema xmlns:xsd="http://www.w3.org/2001/XMLSchema" xmlns:xs="http://www.w3.org/2001/XMLSchema" xmlns:p="http://schemas.microsoft.com/office/2006/metadata/properties" xmlns:ns2="4597da67-68a3-4e9d-8803-ba3e1787ab6c" targetNamespace="http://schemas.microsoft.com/office/2006/metadata/properties" ma:root="true" ma:fieldsID="50beea152e3b2edc01fc48af3ed10d0e" ns2:_="">
    <xsd:import namespace="4597da67-68a3-4e9d-8803-ba3e1787ab6c"/>
    <xsd:element name="properties">
      <xsd:complexType>
        <xsd:sequence>
          <xsd:element name="documentManagement">
            <xsd:complexType>
              <xsd:all>
                <xsd:element ref="ns2:trimRootDocURI" minOccurs="0"/>
                <xsd:element ref="ns2:trimRootDocParentURI" minOccurs="0"/>
                <xsd:element ref="ns2:trimRootDocSecurityLevel" minOccurs="0"/>
                <xsd:element ref="ns2:trimRootDocSecurityCaveats" minOccurs="0"/>
                <xsd:element ref="ns2:trimRootDocACLCanViewDocument" minOccurs="0"/>
                <xsd:element ref="ns2:dd9c7627a75f4720a6ccce58a35e4d75" minOccurs="0"/>
                <xsd:element ref="ns2:TaxCatchAll" minOccurs="0"/>
                <xsd:element ref="ns2:TaxCatchAllLabel" minOccurs="0"/>
                <xsd:element ref="ns2:trimRootDocACLCanViewMetadata" minOccurs="0"/>
                <xsd:element ref="ns2:hab31d4ae2264d5c8e77fd86c07e7635" minOccurs="0"/>
                <xsd:element ref="ns2:trimRootDocACLCanUpdateDocument" minOccurs="0"/>
                <xsd:element ref="ns2:c1aa94c1bcce43cc9138ccb9c7bf6e69" minOccurs="0"/>
                <xsd:element ref="ns2:trimRootDocACLCanUpdateMetadata" minOccurs="0"/>
                <xsd:element ref="ns2:e65fcc6ef396426b9c231bd6b3bc54de" minOccurs="0"/>
                <xsd:element ref="ns2:trimRootDocACLCanContributeDocuments" minOccurs="0"/>
                <xsd:element ref="ns2:l30152c64bc5409cb0d6af5fc7998329" minOccurs="0"/>
                <xsd:element ref="ns2:trimRootDocACLCanModifyAccess" minOccurs="0"/>
                <xsd:element ref="ns2:ie56bdfdc4a44ef997c05b4ed8c67594" minOccurs="0"/>
                <xsd:element ref="ns2:trimRootDocNotes" minOccurs="0"/>
                <xsd:element ref="ns2:me786d0e3c9949dc83d6a9826d3f7afb" minOccurs="0"/>
                <xsd:element ref="ns2:e74c999a0f514bafbaad1ae53c56eac2" minOccurs="0"/>
                <xsd:element ref="ns2:l7f7762656034748af4098221ba10b64" minOccurs="0"/>
                <xsd:element ref="ns2:a26f7cb41fae41ebb6c8e377b7c30d7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7da67-68a3-4e9d-8803-ba3e1787ab6c" elementFormDefault="qualified">
    <xsd:import namespace="http://schemas.microsoft.com/office/2006/documentManagement/types"/>
    <xsd:import namespace="http://schemas.microsoft.com/office/infopath/2007/PartnerControls"/>
    <xsd:element name="trimRootDocURI" ma:index="8" nillable="true" ma:displayName="URI" ma:hidden="true" ma:internalName="trimRootDocURI" ma:readOnly="false">
      <xsd:simpleType>
        <xsd:restriction base="dms:Text">
          <xsd:maxLength value="255"/>
        </xsd:restriction>
      </xsd:simpleType>
    </xsd:element>
    <xsd:element name="trimRootDocParentURI" ma:index="9" nillable="true" ma:displayName="Parent URI" ma:internalName="trimRootDocParentURI">
      <xsd:simpleType>
        <xsd:restriction base="dms:Number"/>
      </xsd:simpleType>
    </xsd:element>
    <xsd:element name="trimRootDocSecurityLevel" ma:index="10" nillable="true" ma:displayName="Security Level" ma:default="For Official Use Only" ma:format="Dropdown" ma:internalName="trimRootDocSecurityLevel">
      <xsd:simpleType>
        <xsd:restriction base="dms:Choice">
          <xsd:enumeration value="For Official Use Only"/>
          <xsd:enumeration value="Protected"/>
          <xsd:enumeration value="Confidential"/>
          <xsd:enumeration value="Secret"/>
          <xsd:enumeration value="Top Secret"/>
        </xsd:restriction>
      </xsd:simpleType>
    </xsd:element>
    <xsd:element name="trimRootDocSecurityCaveats" ma:index="11" nillable="true" ma:displayName="Security Caveats" ma:default="Departmental Staff" ma:internalName="trimRootDocSecurityCavea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Departmental Staff"/>
                    <xsd:enumeration value="For-Official-Use-Only"/>
                    <xsd:enumeration value="For-Official-Use-Only: Commercial"/>
                    <xsd:enumeration value="For-Official-Use-Only: Legal"/>
                    <xsd:enumeration value="For-Official-Use-Only: Staff"/>
                    <xsd:enumeration value="Sensitive"/>
                    <xsd:enumeration value="Sensitive: Cabinet"/>
                    <xsd:enumeration value="Sensitive: Legal"/>
                    <xsd:enumeration value="Sensitive: Personal"/>
                    <xsd:enumeration value="Admin"/>
                  </xsd:restriction>
                </xsd:simpleType>
              </xsd:element>
            </xsd:sequence>
          </xsd:extension>
        </xsd:complexContent>
      </xsd:complexType>
    </xsd:element>
    <xsd:element name="trimRootDocACLCanViewDocument" ma:index="12" nillable="true" ma:displayName="Can View Document" ma:format="RadioButtons" ma:internalName="trimRootDocACLCanViewDocument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dd9c7627a75f4720a6ccce58a35e4d75" ma:index="13" nillable="true" ma:taxonomy="true" ma:internalName="dd9c7627a75f4720a6ccce58a35e4d75" ma:taxonomyFieldName="trimRootDocACLCanViewDocument_List" ma:displayName="Can View Document List" ma:fieldId="{dd9c7627-a75f-4720-a6cc-ce58a35e4d7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e1313e33-0c45-43da-8861-564a4ba3a667}" ma:internalName="TaxCatchAll" ma:showField="CatchAllData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e1313e33-0c45-43da-8861-564a4ba3a667}" ma:internalName="TaxCatchAllLabel" ma:readOnly="true" ma:showField="CatchAllDataLabel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imRootDocACLCanViewMetadata" ma:index="17" nillable="true" ma:displayName="Can View Metadata" ma:format="RadioButtons" ma:internalName="trimRootDocACLCanViewMetadata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hab31d4ae2264d5c8e77fd86c07e7635" ma:index="18" nillable="true" ma:taxonomy="true" ma:internalName="hab31d4ae2264d5c8e77fd86c07e7635" ma:taxonomyFieldName="trimRootDocACLCanViewMetadata_List" ma:displayName="Can View Metadata List" ma:fieldId="{1ab31d4a-e226-4d5c-8e77-fd86c07e763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UpdateDocument" ma:index="20" nillable="true" ma:displayName="Can Update Document" ma:format="RadioButtons" ma:internalName="trimRootDocACLCanUpdateDocument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c1aa94c1bcce43cc9138ccb9c7bf6e69" ma:index="21" nillable="true" ma:taxonomy="true" ma:internalName="c1aa94c1bcce43cc9138ccb9c7bf6e69" ma:taxonomyFieldName="trimRootDocACLCanUpdateDocument_List" ma:displayName="Can Update Document List" ma:fieldId="{c1aa94c1-bcce-43cc-9138-ccb9c7bf6e6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UpdateMetadata" ma:index="23" nillable="true" ma:displayName="Can Update Metadata" ma:format="RadioButtons" ma:internalName="trimRootDocACLCanUpdateMetadata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e65fcc6ef396426b9c231bd6b3bc54de" ma:index="24" nillable="true" ma:taxonomy="true" ma:internalName="e65fcc6ef396426b9c231bd6b3bc54de" ma:taxonomyFieldName="trimRootDocACLCanUpdateMetadata_List" ma:displayName="Can Update Metadata List" ma:fieldId="{e65fcc6e-f396-426b-9c23-1bd6b3bc54de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ContributeDocuments" ma:index="26" nillable="true" ma:displayName="Can Contribute Content" ma:format="RadioButtons" ma:hidden="true" ma:internalName="trimRootDocACLCanContributeDocument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l30152c64bc5409cb0d6af5fc7998329" ma:index="27" nillable="true" ma:taxonomy="true" ma:internalName="l30152c64bc5409cb0d6af5fc7998329" ma:taxonomyFieldName="trimRootDocACLCanContributeDocuments_List" ma:displayName="Can Contribute Content List" ma:readOnly="false" ma:default="" ma:fieldId="{530152c6-4bc5-409c-b0d6-af5fc799832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ModifyAccess" ma:index="29" nillable="true" ma:displayName="Can Modify Access" ma:format="RadioButtons" ma:internalName="trimRootDocACLCanModifyAccess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ie56bdfdc4a44ef997c05b4ed8c67594" ma:index="30" nillable="true" ma:taxonomy="true" ma:internalName="ie56bdfdc4a44ef997c05b4ed8c67594" ma:taxonomyFieldName="trimRootDocACLCanModifyAccess_List" ma:displayName="Can Modify Access List" ma:fieldId="{2e56bdfd-c4a4-4ef9-97c0-5b4ed8c67594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Notes" ma:index="32" nillable="true" ma:displayName="Notes" ma:internalName="trimRootDocNotes">
      <xsd:simpleType>
        <xsd:restriction base="dms:Note"/>
      </xsd:simpleType>
    </xsd:element>
    <xsd:element name="me786d0e3c9949dc83d6a9826d3f7afb" ma:index="33" nillable="true" ma:taxonomy="true" ma:internalName="me786d0e3c9949dc83d6a9826d3f7afb" ma:taxonomyFieldName="trimRootDocOwnerLocation" ma:displayName="Owner" ma:fieldId="{6e786d0e-3c99-49dc-83d6-a9826d3f7afb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4c999a0f514bafbaad1ae53c56eac2" ma:index="35" nillable="true" ma:taxonomy="true" ma:internalName="e74c999a0f514bafbaad1ae53c56eac2" ma:taxonomyFieldName="trimRootDocOtherContactLocation" ma:displayName="Other Contact" ma:readOnly="false" ma:default="" ma:fieldId="{e74c999a-0f51-4baf-baad-1ae53c56eac2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f7762656034748af4098221ba10b64" ma:index="37" nillable="true" ma:taxonomy="true" ma:internalName="l7f7762656034748af4098221ba10b64" ma:taxonomyFieldName="trimRootDocAssigneeLocation" ma:displayName="Assignee" ma:readOnly="false" ma:default="" ma:fieldId="{57f77626-5603-4748-af40-98221ba10b64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6f7cb41fae41ebb6c8e377b7c30d71" ma:index="39" nillable="true" ma:taxonomy="true" ma:internalName="a26f7cb41fae41ebb6c8e377b7c30d71" ma:taxonomyFieldName="trimRootDocClassification" ma:displayName="Classification" ma:default="" ma:fieldId="{a26f7cb4-1fae-41eb-b6c8-e377b7c30d71}" ma:sspId="2f9937d8-ded5-4646-b9c0-07a4c210d204" ma:termSetId="f9a750e0-e20a-43c2-89a6-4c381f79f1c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4737-3FE1-4DA3-913A-12AEB93C6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2F6F5E-5E84-4222-BF9F-EB2C70B70C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597da67-68a3-4e9d-8803-ba3e1787ab6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3E66A8-E7C7-4C6A-AD6F-32A4F9CC7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7da67-68a3-4e9d-8803-ba3e1787a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80ACC3-0C92-4389-803F-882485CA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- document - accessible Word template.dotx</Template>
  <TotalTime>50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Chrisa</dc:creator>
  <cp:keywords/>
  <dc:description/>
  <cp:lastModifiedBy>Oxlade, Jessica</cp:lastModifiedBy>
  <cp:revision>14</cp:revision>
  <cp:lastPrinted>2017-04-04T00:43:00Z</cp:lastPrinted>
  <dcterms:created xsi:type="dcterms:W3CDTF">2017-03-23T23:47:00Z</dcterms:created>
  <dcterms:modified xsi:type="dcterms:W3CDTF">2017-05-02T00:25:00Z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0x010100407620DDFF47524F86BCF55EDD39464300A545CAD05429564092EE1424DE171E67</vt:lpwstr>
  </property>
  <property fmtid="{D5CDD505-2E9C-101B-9397-08002B2CF9AE}" pid="3" name="TrimRevisionNumber">
    <vt:i4>13</vt:i4>
  </property>
  <property fmtid="{D5CDD505-2E9C-101B-9397-08002B2CF9AE}" pid="4" name="trimRootDocClassification">
    <vt:lpwstr/>
  </property>
  <property fmtid="{D5CDD505-2E9C-101B-9397-08002B2CF9AE}" pid="5" name="trimRootDocAssigneeLocation">
    <vt:lpwstr/>
  </property>
  <property fmtid="{D5CDD505-2E9C-101B-9397-08002B2CF9AE}" pid="6" name="trimRootDocOtherContactLocation">
    <vt:lpwstr/>
  </property>
  <property fmtid="{D5CDD505-2E9C-101B-9397-08002B2CF9AE}" pid="7" name="trimRootDocACLCanUpdateMetadata_List">
    <vt:lpwstr/>
  </property>
  <property fmtid="{D5CDD505-2E9C-101B-9397-08002B2CF9AE}" pid="8" name="trimRootDocACLCanModifyAccess_List">
    <vt:lpwstr/>
  </property>
  <property fmtid="{D5CDD505-2E9C-101B-9397-08002B2CF9AE}" pid="9" name="trimRootDocACLCanUpdateDocument_List">
    <vt:lpwstr/>
  </property>
  <property fmtid="{D5CDD505-2E9C-101B-9397-08002B2CF9AE}" pid="10" name="trimRootDocACLCanViewMetadata_List">
    <vt:lpwstr/>
  </property>
  <property fmtid="{D5CDD505-2E9C-101B-9397-08002B2CF9AE}" pid="11" name="trimRootDocACLCanViewDocument_List">
    <vt:lpwstr/>
  </property>
  <property fmtid="{D5CDD505-2E9C-101B-9397-08002B2CF9AE}" pid="12" name="trimRootDocOwnerLocation">
    <vt:lpwstr/>
  </property>
  <property fmtid="{D5CDD505-2E9C-101B-9397-08002B2CF9AE}" pid="13" name="trimRootDocACLCanContributeDocuments_List">
    <vt:lpwstr/>
  </property>
</Properties>
</file>